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4" w:lineRule="exact"/>
        <w:rPr>
          <w:sz w:val="24"/>
          <w:szCs w:val="24"/>
          <w:color w:val="auto"/>
        </w:rPr>
      </w:pPr>
    </w:p>
    <w:p>
      <w:pPr>
        <w:ind w:left="720" w:right="2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2, 2019</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20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46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17145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4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5160" w:type="dxa"/>
            <w:vAlign w:val="bottom"/>
          </w:tcPr>
          <w:p>
            <w:pPr>
              <w:spacing w:after="0"/>
              <w:rPr>
                <w:sz w:val="24"/>
                <w:szCs w:val="24"/>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51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(877) 708-8372</w:t>
            </w:r>
          </w:p>
        </w:tc>
      </w:tr>
      <w:tr>
        <w:trPr>
          <w:trHeight w:val="190"/>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52" w:orient="portrait"/>
          <w:cols w:equalWidth="0" w:num="1">
            <w:col w:w="11440"/>
          </w:cols>
          <w:pgMar w:left="240" w:top="225" w:right="219"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r>
      <w:tr>
        <w:trPr>
          <w:trHeight w:val="59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594"/>
        </w:trPr>
        <w:tc>
          <w:tcPr>
            <w:tcW w:w="2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40" w:lineRule="exact"/>
        <w:rPr>
          <w:sz w:val="20"/>
          <w:szCs w:val="20"/>
          <w:color w:val="auto"/>
        </w:rPr>
      </w:pPr>
    </w:p>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registrant had 33,642,427 shares of its common stock outstanding as of December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10"/>
          </w:tcPr>
          <w:p>
            <w:pPr>
              <w:ind w:left="1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11"/>
          </w:tcPr>
          <w:p>
            <w:pPr>
              <w:spacing w:after="0"/>
              <w:rPr>
                <w:rFonts w:ascii="Times New Roman" w:cs="Times New Roman" w:eastAsia="Times New Roman" w:hAnsi="Times New Roman"/>
                <w:sz w:val="18"/>
                <w:szCs w:val="18"/>
                <w:b w:val="1"/>
                <w:bCs w:val="1"/>
                <w:color w:val="0000FF"/>
                <w:w w:val="98"/>
              </w:rPr>
            </w:pPr>
            <w:hyperlink w:anchor="page5">
              <w:r>
                <w:rPr>
                  <w:rFonts w:ascii="Times New Roman" w:cs="Times New Roman" w:eastAsia="Times New Roman" w:hAnsi="Times New Roman"/>
                  <w:sz w:val="18"/>
                  <w:szCs w:val="18"/>
                  <w:b w:val="1"/>
                  <w:bCs w:val="1"/>
                  <w:color w:val="0000FF"/>
                  <w:w w:val="98"/>
                </w:rPr>
                <w:t>PART I.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Financial Statements (unaudited)</w:t>
              </w:r>
            </w:hyperlink>
          </w:p>
        </w:tc>
        <w:tc>
          <w:tcPr>
            <w:tcW w:w="788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as of November 2, 2019, and February 2, 2019</w:t>
              </w:r>
            </w:hyperlink>
          </w:p>
        </w:tc>
        <w:tc>
          <w:tcPr>
            <w:tcW w:w="39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Thirteen and Thirty-Nine Weeks Ended November 2, 2019,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November 3, 2018</w:t>
              </w:r>
            </w:hyperlink>
          </w:p>
        </w:tc>
        <w:tc>
          <w:tcPr>
            <w:tcW w:w="7460" w:type="dxa"/>
            <w:vAlign w:val="bottom"/>
            <w:tcBorders>
              <w:top w:val="single" w:sz="8" w:color="0000EE"/>
            </w:tcBorders>
            <w:gridSpan w:val="12"/>
          </w:tcPr>
          <w:p>
            <w:pPr>
              <w:spacing w:after="0"/>
              <w:rPr>
                <w:sz w:val="17"/>
                <w:szCs w:val="17"/>
                <w:color w:val="auto"/>
              </w:rPr>
            </w:pPr>
          </w:p>
        </w:tc>
        <w:tc>
          <w:tcPr>
            <w:tcW w:w="14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for the Thirteen and Thirty-Nine Weeks Ended November 2,</w:t>
              </w:r>
            </w:hyperlink>
          </w:p>
        </w:tc>
        <w:tc>
          <w:tcPr>
            <w:tcW w:w="12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2019, and November 3, 2018</w:t>
              </w:r>
            </w:hyperlink>
          </w:p>
        </w:tc>
        <w:tc>
          <w:tcPr>
            <w:tcW w:w="81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Shareholders' Equity for the Thirteen and Thirty-Nine Weeks Ended November 2, 2019,</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and November 3, 2018</w:t>
              </w:r>
            </w:hyperlink>
          </w:p>
        </w:tc>
        <w:tc>
          <w:tcPr>
            <w:tcW w:w="106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 for the Thirty-Nine Weeks Ended November 2, 2019, and November 3, 2018</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Notes to the Condensed Consolidated Financial Statements</w:t>
              </w:r>
            </w:hyperlink>
          </w:p>
        </w:tc>
        <w:tc>
          <w:tcPr>
            <w:tcW w:w="502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11</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31</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rFonts w:ascii="Times New Roman" w:cs="Times New Roman" w:eastAsia="Times New Roman" w:hAnsi="Times New Roman"/>
                <w:sz w:val="18"/>
                <w:szCs w:val="18"/>
                <w:b w:val="1"/>
                <w:bCs w:val="1"/>
                <w:color w:val="0000FF"/>
                <w:w w:val="97"/>
              </w:rPr>
            </w:pPr>
            <w:hyperlink w:anchor="page44">
              <w:r>
                <w:rPr>
                  <w:rFonts w:ascii="Times New Roman" w:cs="Times New Roman" w:eastAsia="Times New Roman" w:hAnsi="Times New Roman"/>
                  <w:sz w:val="18"/>
                  <w:szCs w:val="18"/>
                  <w:b w:val="1"/>
                  <w:bCs w:val="1"/>
                  <w:color w:val="0000FF"/>
                  <w:w w:val="97"/>
                </w:rPr>
                <w:t>PART II. OTHER INFORMATION</w:t>
              </w:r>
            </w:hyperlink>
          </w:p>
        </w:tc>
        <w:tc>
          <w:tcPr>
            <w:tcW w:w="842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21"/>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11"/>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858"/>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gridSpan w:val="15"/>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27"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 including our Vision 20/20 initiatives;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w:t>
      </w:r>
    </w:p>
    <w:p>
      <w:pPr>
        <w:spacing w:after="0" w:line="103" w:lineRule="exact"/>
        <w:rPr>
          <w:rFonts w:ascii="Times New Roman" w:cs="Times New Roman" w:eastAsia="Times New Roman" w:hAnsi="Times New Roman"/>
          <w:sz w:val="18"/>
          <w:szCs w:val="18"/>
          <w:color w:val="auto"/>
        </w:rPr>
      </w:pPr>
    </w:p>
    <w:p>
      <w:pPr>
        <w:ind w:left="620" w:right="840" w:hanging="315"/>
        <w:spacing w:after="0" w:line="36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Pura Vida acquisition benefits to materialize as expected, including the possibility that the business may not perform as anticipated; and</w:t>
      </w: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2, 2019, as well as in this Quarterly Report on Form 10-Q.</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7"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0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70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7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113,493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19,381</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15,604</w:t>
            </w:r>
          </w:p>
        </w:tc>
        <w:tc>
          <w:tcPr>
            <w:tcW w:w="0" w:type="dxa"/>
            <w:vAlign w:val="bottom"/>
          </w:tcPr>
          <w:p>
            <w:pPr>
              <w:spacing w:after="0"/>
              <w:rPr>
                <w:sz w:val="1"/>
                <w:szCs w:val="1"/>
                <w:color w:val="auto"/>
              </w:rPr>
            </w:pPr>
          </w:p>
        </w:tc>
      </w:tr>
      <w:tr>
        <w:trPr>
          <w:trHeight w:val="23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133,964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91,581</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211,343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252,468</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77,951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7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37"/>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33"/>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7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362,148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7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7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24,751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14,595</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13,316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Earn-out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13,482</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17"/>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93,886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43,556</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23,889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67,445</w:t>
            </w:r>
          </w:p>
        </w:tc>
        <w:tc>
          <w:tcPr>
            <w:tcW w:w="0" w:type="dxa"/>
            <w:vAlign w:val="bottom"/>
          </w:tcPr>
          <w:p>
            <w:pPr>
              <w:spacing w:after="0"/>
              <w:rPr>
                <w:sz w:val="1"/>
                <w:szCs w:val="1"/>
                <w:color w:val="auto"/>
              </w:rPr>
            </w:pPr>
          </w:p>
        </w:tc>
      </w:tr>
      <w:tr>
        <w:trPr>
          <w:trHeight w:val="20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Common stock, without par value; 200,000 shares authorized, 41,515 and 41,283 shares issued and 33,710 and 34,347</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95,572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291,994</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Treasury stock</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294,703</w:t>
            </w:r>
          </w:p>
        </w:tc>
        <w:tc>
          <w:tcPr>
            <w:tcW w:w="0" w:type="dxa"/>
            <w:vAlign w:val="bottom"/>
          </w:tcPr>
          <w:p>
            <w:pPr>
              <w:spacing w:after="0"/>
              <w:rPr>
                <w:sz w:val="1"/>
                <w:szCs w:val="1"/>
                <w:color w:val="auto"/>
              </w:rPr>
            </w:pPr>
          </w:p>
        </w:tc>
      </w:tr>
      <w:tr>
        <w:trPr>
          <w:trHeight w:val="217"/>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532,026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362,148</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4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24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5"/>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297,904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126,396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171,508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156,341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15,447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16,124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3,986</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12,138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12,138</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33,907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35,431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35,654</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share attributable to Vera Bradley,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Vera Bradley,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4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24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5"/>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12,138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gain on available-for-sale debt investments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12,109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loss attributable to redeemable noncontrolling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 attributable to Vera Bradley, Inc.</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12,109</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34,347,420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6,935,623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291,994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294,703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183,346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adjustment for ASC 842 adoption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May 4, 2019</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34,246,678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7,219,711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96,019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289,393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289,774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40,297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34,090,468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7,416,218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96,958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295,247</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294,351</w:t>
            </w:r>
          </w:p>
        </w:tc>
        <w:tc>
          <w:tcPr>
            <w:tcW w:w="0" w:type="dxa"/>
            <w:vAlign w:val="bottom"/>
          </w:tcPr>
          <w:p>
            <w:pPr>
              <w:spacing w:after="0"/>
              <w:rPr>
                <w:sz w:val="1"/>
                <w:szCs w:val="1"/>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7,935</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(388,833)</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388,833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November 2, 2019</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33,709,570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7,805,051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98,450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295,386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(101,884)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292,048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3, 2018</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35,459,025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5,642,485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285,283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177,192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adjustment for ASC 606 adoption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May 5, 2018</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35,636,217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5,642,485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91,569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269,867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284,695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debt</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252,201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August 4, 2018</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35,384,913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5,894,686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93,278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279,149</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292,149</w:t>
            </w:r>
          </w:p>
        </w:tc>
        <w:tc>
          <w:tcPr>
            <w:tcW w:w="0" w:type="dxa"/>
            <w:vAlign w:val="bottom"/>
          </w:tcPr>
          <w:p>
            <w:pPr>
              <w:spacing w:after="0"/>
              <w:rPr>
                <w:sz w:val="1"/>
                <w:szCs w:val="1"/>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tcBorders>
              <w:bottom w:val="single" w:sz="8" w:color="CCEEFF"/>
            </w:tcBorders>
            <w:gridSpan w:val="2"/>
            <w:vMerge w:val="continue"/>
            <w:shd w:val="clear" w:color="auto" w:fill="CCEEFF"/>
          </w:tcPr>
          <w:p>
            <w:pPr>
              <w:spacing w:after="0"/>
              <w:rPr>
                <w:sz w:val="20"/>
                <w:szCs w:val="20"/>
                <w:color w:val="auto"/>
              </w:rPr>
            </w:pPr>
          </w:p>
        </w:tc>
        <w:tc>
          <w:tcPr>
            <w:tcW w:w="11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(531,665)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531,665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November 3, 2018</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34,855,900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6,426,351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94,342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283,375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289,882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8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24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5"/>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12,138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12,402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gain on investments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Accretion of earn-out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step-up in inventory basis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1,074</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11,603</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(55,144)</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55,209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business acquisition,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of debt-issuance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509"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800"/>
        <w:spacing w:after="0"/>
        <w:tabs>
          <w:tab w:leader="none" w:pos="2440" w:val="left"/>
        </w:tabs>
        <w:rPr>
          <w:sz w:val="20"/>
          <w:szCs w:val="20"/>
          <w:color w:val="auto"/>
        </w:rPr>
      </w:pPr>
      <w:r>
        <w:rPr>
          <w:rFonts w:ascii="Times New Roman" w:cs="Times New Roman" w:eastAsia="Times New Roman" w:hAnsi="Times New Roman"/>
          <w:sz w:val="18"/>
          <w:szCs w:val="18"/>
          <w:color w:val="auto"/>
        </w:rPr>
        <w:t>(87,494)</w:t>
      </w:r>
      <w:r>
        <w:rPr>
          <w:sz w:val="20"/>
          <w:szCs w:val="20"/>
          <w:color w:val="auto"/>
        </w:rPr>
        <w:tab/>
      </w:r>
      <w:r>
        <w:rPr>
          <w:rFonts w:ascii="Times New Roman" w:cs="Times New Roman" w:eastAsia="Times New Roman" w:hAnsi="Times New Roman"/>
          <w:sz w:val="18"/>
          <w:szCs w:val="18"/>
          <w:color w:val="auto"/>
        </w:rPr>
        <w:t>(6,437)</w:t>
      </w:r>
    </w:p>
    <w:p>
      <w:pPr>
        <w:spacing w:after="0" w:line="63" w:lineRule="exact"/>
        <w:rPr>
          <w:sz w:val="20"/>
          <w:szCs w:val="20"/>
          <w:color w:val="auto"/>
        </w:rPr>
      </w:pPr>
    </w:p>
    <w:p>
      <w:pPr>
        <w:ind w:left="780"/>
        <w:spacing w:after="0"/>
        <w:tabs>
          <w:tab w:leader="none" w:pos="2420" w:val="left"/>
        </w:tabs>
        <w:rPr>
          <w:sz w:val="20"/>
          <w:szCs w:val="20"/>
          <w:color w:val="auto"/>
        </w:rPr>
      </w:pPr>
      <w:r>
        <w:rPr>
          <w:rFonts w:ascii="Times New Roman" w:cs="Times New Roman" w:eastAsia="Times New Roman" w:hAnsi="Times New Roman"/>
          <w:sz w:val="18"/>
          <w:szCs w:val="18"/>
          <w:color w:val="auto"/>
        </w:rPr>
        <w:t>113,493</w:t>
      </w:r>
      <w:r>
        <w:rPr>
          <w:sz w:val="20"/>
          <w:szCs w:val="20"/>
          <w:color w:val="auto"/>
        </w:rPr>
        <w:tab/>
      </w:r>
      <w:r>
        <w:rPr>
          <w:rFonts w:ascii="Times New Roman" w:cs="Times New Roman" w:eastAsia="Times New Roman" w:hAnsi="Times New Roman"/>
          <w:sz w:val="18"/>
          <w:szCs w:val="18"/>
          <w:color w:val="auto"/>
        </w:rPr>
        <w:t>68,751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25,999</w:t>
        <w:tab/>
        <w:t>$</w:t>
      </w:r>
      <w:r>
        <w:rPr>
          <w:sz w:val="20"/>
          <w:szCs w:val="20"/>
          <w:color w:val="auto"/>
        </w:rPr>
        <w:tab/>
      </w:r>
      <w:r>
        <w:rPr>
          <w:rFonts w:ascii="Times New Roman" w:cs="Times New Roman" w:eastAsia="Times New Roman" w:hAnsi="Times New Roman"/>
          <w:sz w:val="18"/>
          <w:szCs w:val="18"/>
          <w:color w:val="auto"/>
        </w:rPr>
        <w:t>62,314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720"/>
            <w:col w:w="3040"/>
          </w:cols>
          <w:pgMar w:left="240" w:top="117" w:right="239" w:bottom="5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509"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2"/>
                <w:szCs w:val="12"/>
                <w:color w:val="auto"/>
              </w:rPr>
            </w:pPr>
          </w:p>
        </w:tc>
        <w:tc>
          <w:tcPr>
            <w:tcW w:w="126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95"/>
        </w:trPr>
        <w:tc>
          <w:tcPr>
            <w:tcW w:w="8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Expenditures incurred but not yet paid as of November 2, 2019 and November 3, 2018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00" w:type="dxa"/>
            <w:vAlign w:val="bottom"/>
            <w:tcBorders>
              <w:bottom w:val="single" w:sz="8" w:color="CCEEFF"/>
            </w:tcBorders>
            <w:shd w:val="clear" w:color="auto" w:fill="CCEEFF"/>
          </w:tcPr>
          <w:p>
            <w:pPr>
              <w:ind w:left="480"/>
              <w:spacing w:after="0" w:line="196" w:lineRule="exact"/>
              <w:rPr>
                <w:sz w:val="20"/>
                <w:szCs w:val="20"/>
                <w:color w:val="auto"/>
              </w:rPr>
            </w:pPr>
            <w:r>
              <w:rPr>
                <w:rFonts w:ascii="Times New Roman" w:cs="Times New Roman" w:eastAsia="Times New Roman" w:hAnsi="Times New Roman"/>
                <w:sz w:val="18"/>
                <w:szCs w:val="18"/>
                <w:color w:val="auto"/>
              </w:rPr>
              <w:t>Expenditures incurred but not yet paid as of February 2, 2019 and February 3,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Expenditures incurred but not yet paid as of November 2, 2019 and November 3,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Expenditures incurred but not yet paid as of February 2, 2019 and February 3, 2018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00" w:type="dxa"/>
            <w:vAlign w:val="bottom"/>
            <w:tcBorders>
              <w:bottom w:val="single" w:sz="8" w:color="CCEEFF"/>
            </w:tcBorders>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rPr>
              <w:t>Contingent consideration related to business acquisition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7"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94"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23" w:lineRule="exact"/>
        <w:rPr>
          <w:rFonts w:ascii="Times New Roman" w:cs="Times New Roman" w:eastAsia="Times New Roman" w:hAnsi="Times New Roman"/>
          <w:sz w:val="18"/>
          <w:szCs w:val="18"/>
          <w:b w:val="1"/>
          <w:bCs w:val="1"/>
          <w:color w:val="auto"/>
        </w:rPr>
      </w:pPr>
    </w:p>
    <w:p>
      <w:pPr>
        <w:ind w:left="660" w:right="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July 2019, Vera Bradley, Inc. acquired a 75% interest in Creative Genius, Inc., which also operates under the name Pura Vida Bracelets (“Pura Vida”).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w:t>
      </w:r>
    </w:p>
    <w:p>
      <w:pPr>
        <w:spacing w:after="0" w:line="23"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spacing w:after="0" w:line="26" w:lineRule="exact"/>
        <w:rPr>
          <w:rFonts w:ascii="Times New Roman" w:cs="Times New Roman" w:eastAsia="Times New Roman" w:hAnsi="Times New Roman"/>
          <w:sz w:val="18"/>
          <w:szCs w:val="18"/>
          <w:b w:val="1"/>
          <w:bCs w:val="1"/>
          <w:color w:val="auto"/>
        </w:rPr>
      </w:pPr>
    </w:p>
    <w:p>
      <w:pPr>
        <w:jc w:val="both"/>
        <w:ind w:left="980" w:right="14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November 2, 2019, the Company operated 91 full-line stores and 63 factory outlet stores.</w:t>
      </w:r>
    </w:p>
    <w:p>
      <w:pPr>
        <w:spacing w:after="0" w:line="41"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2,200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1"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41"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2, 2019, filed with the SEC.</w:t>
      </w:r>
    </w:p>
    <w:p>
      <w:pPr>
        <w:spacing w:after="0" w:line="33"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2, 2019, are not necessarily indicative of the results to be expected for the full fiscal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540"/>
        <w:spacing w:after="0" w:line="313"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 owned subsidiaries, and its majority owned subsidiary, Pura Vida beginning on July 17, 2019. The Company has eliminated intercompany balances and transactions in consolidation.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November 2, 2019 and November 3, 2018, refer to the thirteen-week periods ended on those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92" w:lineRule="exact"/>
        <w:rPr>
          <w:sz w:val="20"/>
          <w:szCs w:val="20"/>
          <w:color w:val="auto"/>
        </w:rPr>
      </w:pPr>
    </w:p>
    <w:p>
      <w:pPr>
        <w:ind w:left="660" w:right="140"/>
        <w:spacing w:after="0" w:line="290" w:lineRule="auto"/>
        <w:rPr>
          <w:sz w:val="20"/>
          <w:szCs w:val="20"/>
          <w:color w:val="auto"/>
        </w:rPr>
      </w:pPr>
      <w:r>
        <w:rPr>
          <w:rFonts w:ascii="Times New Roman" w:cs="Times New Roman" w:eastAsia="Times New Roman" w:hAnsi="Times New Roman"/>
          <w:sz w:val="17"/>
          <w:szCs w:val="17"/>
          <w:color w:val="auto"/>
        </w:rPr>
        <w:t xml:space="preserve">Accounting Standard Codification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was adopted on a modified retrospective basis on February 3, 2019. Accordingly, prior year financial information contained herein was not recast and is reported under the prior accounting standard. This comparability primarily impacts the Company's Condensed Consolidated Balance Sheets. Refer to Note 3 herein for additional information regarding the Company's leases.</w:t>
      </w:r>
    </w:p>
    <w:p>
      <w:pPr>
        <w:spacing w:after="0" w:line="23"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41" w:lineRule="exact"/>
        <w:rPr>
          <w:sz w:val="20"/>
          <w:szCs w:val="20"/>
          <w:color w:val="auto"/>
        </w:rPr>
      </w:pPr>
    </w:p>
    <w:p>
      <w:pPr>
        <w:jc w:val="both"/>
        <w:ind w:left="660" w:right="52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12 herein for additional information.</w:t>
      </w:r>
    </w:p>
    <w:p>
      <w:pPr>
        <w:spacing w:after="0" w:line="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94" w:lineRule="exact"/>
        <w:rPr>
          <w:sz w:val="20"/>
          <w:szCs w:val="20"/>
          <w:color w:val="auto"/>
        </w:rPr>
      </w:pPr>
    </w:p>
    <w:p>
      <w:pPr>
        <w:ind w:left="660" w:right="180"/>
        <w:spacing w:after="0" w:line="277" w:lineRule="auto"/>
        <w:rPr>
          <w:sz w:val="20"/>
          <w:szCs w:val="20"/>
          <w:color w:val="auto"/>
        </w:rPr>
      </w:pPr>
      <w:r>
        <w:rPr>
          <w:rFonts w:ascii="Times New Roman" w:cs="Times New Roman" w:eastAsia="Times New Roman" w:hAnsi="Times New Roman"/>
          <w:sz w:val="17"/>
          <w:szCs w:val="17"/>
          <w:color w:val="auto"/>
        </w:rPr>
        <w:t>Upon an acquisition, the Company records the fair value of the identifiable intangible assets. As of November 2, 2019, these items consisted of the 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carrying amount of the asset may not be recoverable. Definite-lived intangible assets, including customer relationships and non-competition agreements, are amortized over their estimated useful lives and are also subject to impairment testing, similar to the Company’s long-lived assets.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132" w:lineRule="exact"/>
        <w:rPr>
          <w:sz w:val="20"/>
          <w:szCs w:val="20"/>
          <w:color w:val="auto"/>
        </w:rPr>
      </w:pPr>
    </w:p>
    <w:p>
      <w:pPr>
        <w:jc w:val="both"/>
        <w:ind w:left="660" w:right="200"/>
        <w:spacing w:after="0" w:line="261" w:lineRule="auto"/>
        <w:rPr>
          <w:sz w:val="20"/>
          <w:szCs w:val="20"/>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right="120"/>
        <w:spacing w:after="0" w:line="281" w:lineRule="auto"/>
        <w:rPr>
          <w:sz w:val="20"/>
          <w:szCs w:val="20"/>
          <w:color w:val="auto"/>
        </w:rPr>
      </w:pPr>
      <w:r>
        <w:rPr>
          <w:rFonts w:ascii="Times New Roman" w:cs="Times New Roman" w:eastAsia="Times New Roman" w:hAnsi="Times New Roman"/>
          <w:sz w:val="17"/>
          <w:szCs w:val="17"/>
          <w:color w:val="auto"/>
        </w:rPr>
        <w:t>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the redemption value exceeds the fair value of the noncontrolling interest on a cumulative basis. Refer to Note 13 herein for additional information regarding the redeemable noncontrolling interest.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9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adopted the standard using this adoption method on February 3, 2019 (the beginning of fiscal 2020) and recorded a $0.2 million beginning retained earnings adjustment. In addition, the Company evaluated the usage of applicable transition relief practical expedients at the adoption date as follows:</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Practical Expedient Package</w:t>
            </w: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Company elected the practical expedient package and did not re-assess whether a contract was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contained a lease; did not re-assess lease classification as an operating or financing lease for expired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existing leases; and did not re-assess whether a lease contained initial direct costs for expired or</w:t>
            </w: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existing leases.</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Hindsight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did not elect the hindsight practical expedient, which allows for hindsight when</w:t>
            </w:r>
          </w:p>
        </w:tc>
      </w:tr>
      <w:tr>
        <w:trPr>
          <w:trHeight w:val="234"/>
        </w:trPr>
        <w:tc>
          <w:tcPr>
            <w:tcW w:w="238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assessing the lease term and impairment of right-of-use assets.</w:t>
            </w:r>
          </w:p>
        </w:tc>
      </w:tr>
    </w:tbl>
    <w:p>
      <w:pPr>
        <w:spacing w:after="0" w:line="90"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at all of its retail stores; therefore, the adoption of this standard resulted in a material increase of assets and liabilities on the Company’s Condensed Consolidated Balance Sheets. The opening balance of its operating lease liabilities was approximately $149 million and its operating right-of-use assets were approximately $126 million at transition on February 3, 2019. The Condensed Consolidated Statements of Cash Flows also had material presentation changes within operating activities upon adoption. The adoption of this standard had no impact on the Company's Condensed Consolidated Statements of Operations.</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3 herein for additional information regarding ASC Topic 842, including details of practical expedients related to policy elections.</w:t>
      </w:r>
    </w:p>
    <w:p>
      <w:pPr>
        <w:spacing w:after="0" w:line="8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which aligns the requirements for capitalizing or expensing implementation costs in hosting arrangements (regardless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they convey a license to the hosted software) with capitalizing or expensing implementation costs incurred to develop or obtain internal-use software. This guidance is effective for interim and annual periods beginning on or after December 15, 2019 (fiscal 2021). Early adoption is permitted, and the amendments can be adopted either retrospectively or prospectively. The Company adopted this standard at the beginning of its fiscal 2020 (February 3, 2019) on a prospective basis. The adoption of this standard had an immaterial impact on the Company's Condensed Consolidated Financial Statements.</w:t>
      </w:r>
    </w:p>
    <w:p>
      <w:pPr>
        <w:spacing w:after="0" w:line="224"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This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(fiscal 2021). Early adoption is permitted. The Company early adopted this standard during the third quarter of fiscal 2020, with no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7"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The amendments in this update remove, modify, and add certain disclosure requirements to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13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thirty-nine weeks ended November 2,</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2019 and November 3, 2018 (in thousands):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33,178</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30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43,743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19,191</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17,575</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46,829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6,255</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6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78,397</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30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(5)</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25,017</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127,501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980" w:firstLine="3"/>
        <w:spacing w:after="0" w:line="282"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of net revenues related to product sales recognized at a point in time and $1.0 million of net revenues related to sales-based royalties recognized over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31,059</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300" w:type="dxa"/>
            <w:vAlign w:val="bottom"/>
          </w:tcPr>
          <w:p>
            <w:pPr>
              <w:spacing w:after="0"/>
              <w:rPr>
                <w:sz w:val="21"/>
                <w:szCs w:val="21"/>
                <w:color w:val="auto"/>
              </w:rPr>
            </w:pPr>
          </w:p>
        </w:tc>
        <w:tc>
          <w:tcPr>
            <w:tcW w:w="7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18,425</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5,369</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780" w:type="dxa"/>
            <w:vAlign w:val="bottom"/>
          </w:tcPr>
          <w:p>
            <w:pPr>
              <w:spacing w:after="0"/>
              <w:rPr>
                <w:sz w:val="21"/>
                <w:szCs w:val="21"/>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73,459</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3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(4)</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97,688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apparel/footwear,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240" w:firstLine="3"/>
        <w:spacing w:after="0" w:line="282"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million of net revenues related to product sales recognized at a point in time and $1.0 million of net revenues related to sales-based royalties recognized over time.</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100,527</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w:t>
            </w:r>
          </w:p>
        </w:tc>
        <w:tc>
          <w:tcPr>
            <w:tcW w:w="300" w:type="dxa"/>
            <w:vAlign w:val="bottom"/>
          </w:tcPr>
          <w:p>
            <w:pPr>
              <w:spacing w:after="0"/>
              <w:rPr>
                <w:sz w:val="21"/>
                <w:szCs w:val="21"/>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132,076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62,402</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75,493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54,622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97,263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19,769</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21,764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6,593</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243,913</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30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(5)</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30,405</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338,289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240" w:firstLine="3"/>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 million of net revenues related to product sales recognized at a point in time and $2.9 million of net revenues related to sales-based royalties recognized over time.</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60"/>
          </w:cols>
          <w:pgMar w:left="240" w:top="117" w:right="9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95,853</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3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129,620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59,607</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74,487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52,872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65,943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15,683</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17,471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5,997</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840" w:type="dxa"/>
            <w:vAlign w:val="bottom"/>
          </w:tcPr>
          <w:p>
            <w:pPr>
              <w:spacing w:after="0"/>
              <w:rPr>
                <w:sz w:val="21"/>
                <w:szCs w:val="21"/>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10,383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230,012</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67,892</w:t>
            </w:r>
          </w:p>
        </w:tc>
        <w:tc>
          <w:tcPr>
            <w:tcW w:w="3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(4)</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297,904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apparel/footwear,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1000" w:firstLine="3"/>
        <w:spacing w:after="0" w:line="282"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 million of net revenues related to product sales recognized at a point in time and $2.8 million of net revenues related to sales-based royalties recognized over time.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Contract liabilities as of November 2, 2019 and February 2, 2019, were $2.5 million and $1.6 million, respectively. The balance as of November 2, 2019 consisted of unearned revenue related to the monthly bracelet and jewelry clubs of the Pura Vida segment, unredeemed gift cards, and an immaterial amount of unearned revenue for pre-payments of royalties in certain of the Company’s licensing arrangements. The balance as of February 2, 2019 consisted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November 2, 2019 and February 2, 2019.</w:t>
      </w:r>
    </w:p>
    <w:p>
      <w:pPr>
        <w:spacing w:after="0" w:line="53" w:lineRule="exact"/>
        <w:rPr>
          <w:sz w:val="20"/>
          <w:szCs w:val="20"/>
          <w:color w:val="auto"/>
        </w:rPr>
      </w:pPr>
    </w:p>
    <w:p>
      <w:pPr>
        <w:jc w:val="both"/>
        <w:ind w:left="660" w:right="300"/>
        <w:spacing w:after="0" w:line="289" w:lineRule="auto"/>
        <w:rPr>
          <w:sz w:val="20"/>
          <w:szCs w:val="20"/>
          <w:color w:val="auto"/>
        </w:rPr>
      </w:pPr>
      <w:r>
        <w:rPr>
          <w:rFonts w:ascii="Times New Roman" w:cs="Times New Roman" w:eastAsia="Times New Roman" w:hAnsi="Times New Roman"/>
          <w:sz w:val="17"/>
          <w:szCs w:val="17"/>
          <w:color w:val="auto"/>
        </w:rPr>
        <w:t>The balance for accounts receivable from contracts with customers, net of allowances, as of November 2, 2019 and February 2, 2019, was $23.7 million and $14.1 million, respectively, which is recognized within accounts receivable, net, on the Company’s Condensed Consolidated Balance Sheets. The provision for doubtful accounts was $0.4 million and $0.3 million as of November 2, 2019 and February 2, 2019, respectively.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November 2, 2019.</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Leases</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at all of its retail stores, as well as for its New York office, the California Pura Vida office, Asia sourcing office, and showrooms. The Company also has operating leases for certain equipment and storage spaces. The Company does not have residual value guarantees, restrictions, or covenants imposed by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Determination of Lease Terms</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Retail store leases have remaining terms of up to 10 years as of November 2, 2019. These leases generally have early termination rights when certain sales thresholds are not met for a specified measurement period. The Company's other leases have remaining terms of up to seven years as of November 2, 2019.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November 2, 2019.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Variable Rental Payments</w:t>
      </w:r>
    </w:p>
    <w:p>
      <w:pPr>
        <w:spacing w:after="0" w:line="94"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All of the Company's retail store leases contain variable rental payments when the retail store's sales exceed a specified breakpoint. In addition, certain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45"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Determination of Whether a Contract Contains a Lease</w:t>
      </w:r>
    </w:p>
    <w:p>
      <w:pPr>
        <w:spacing w:after="0" w:line="92"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9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 as of November 2, 2019, was 5.0%.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November 2, 2019, the Company had a retail store lease which was executed, but it did not have control of the underlying asset; therefore, the lease liability and right-of-use asset is not recorded on its Condensed Consolidated Balance Sheets. This lease contains undiscounted lease payments, which will be included in the determination of the lease liability, totaling approximately $2.4 million and has an approximate term of 10 years commencing in fiscal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Leases</w:t>
            </w: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34"/>
        </w:trPr>
        <w:tc>
          <w:tcPr>
            <w:tcW w:w="2160" w:type="dxa"/>
            <w:vAlign w:val="bottom"/>
            <w:shd w:val="clear" w:color="auto" w:fill="CCEEFF"/>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27"/>
        </w:trPr>
        <w:tc>
          <w:tcPr>
            <w:tcW w:w="216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Not Separating Lease and Nonlease </w:t>
      </w:r>
      <w:r>
        <w:rPr>
          <w:rFonts w:ascii="Times New Roman" w:cs="Times New Roman" w:eastAsia="Times New Roman" w:hAnsi="Times New Roman"/>
          <w:sz w:val="18"/>
          <w:szCs w:val="18"/>
          <w:color w:val="auto"/>
        </w:rPr>
        <w:t>The Company elected to combine lease and nonlease components and recognize as a single lease</w:t>
      </w:r>
    </w:p>
    <w:p>
      <w:pPr>
        <w:spacing w:after="0" w:line="31" w:lineRule="exact"/>
        <w:rPr>
          <w:sz w:val="20"/>
          <w:szCs w:val="20"/>
          <w:color w:val="auto"/>
        </w:rPr>
      </w:pPr>
    </w:p>
    <w:p>
      <w:pPr>
        <w:ind w:left="680"/>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Components</w:t>
      </w:r>
      <w:r>
        <w:rPr>
          <w:sz w:val="20"/>
          <w:szCs w:val="20"/>
          <w:color w:val="auto"/>
        </w:rPr>
        <w:tab/>
      </w:r>
      <w:r>
        <w:rPr>
          <w:rFonts w:ascii="Times New Roman" w:cs="Times New Roman" w:eastAsia="Times New Roman" w:hAnsi="Times New Roman"/>
          <w:sz w:val="18"/>
          <w:szCs w:val="18"/>
          <w:color w:val="auto"/>
        </w:rPr>
        <w:t>component for all leases.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 herein for information regarding transition practical expedients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7"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thirty-nine weeks ended November 2, 2019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18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50"/>
        </w:trPr>
        <w:tc>
          <w:tcPr>
            <w:tcW w:w="6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20" w:type="dxa"/>
            <w:vAlign w:val="bottom"/>
          </w:tcPr>
          <w:p>
            <w:pPr>
              <w:spacing w:after="0"/>
              <w:rPr>
                <w:sz w:val="21"/>
                <w:szCs w:val="21"/>
                <w:color w:val="auto"/>
              </w:rPr>
            </w:pPr>
          </w:p>
        </w:tc>
        <w:tc>
          <w:tcPr>
            <w:tcW w:w="15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49"/>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21,621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6,954</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447</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29,022</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November 2, 2019 was 5.9 years.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23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24765</wp:posOffset>
            </wp:positionV>
            <wp:extent cx="1337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8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November 2, 2019</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54"/>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2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 liabilities, net</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7,021</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9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November 2, 2019 were as follows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8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(remaining three months)</w:t>
            </w:r>
          </w:p>
        </w:tc>
        <w:tc>
          <w:tcPr>
            <w:tcW w:w="4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4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29,093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24,881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4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49,695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4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161,365</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23,497</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137,868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17"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prior accounting standard (ASC Topic 840), the maturities of minimum lease payments as disclosed in the Company's Annual Report 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Form 10-K as of the fiscal year ended February 2, 2019 were as follows: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32,017</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29,707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25,933</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22,250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45,099</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187,664</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5120" w:type="dxa"/>
            <w:vAlign w:val="bottom"/>
          </w:tcPr>
          <w:p>
            <w:pPr>
              <w:spacing w:after="0"/>
              <w:rPr>
                <w:sz w:val="12"/>
                <w:szCs w:val="12"/>
                <w:color w:val="auto"/>
              </w:rPr>
            </w:pPr>
          </w:p>
        </w:tc>
        <w:tc>
          <w:tcPr>
            <w:tcW w:w="11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16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60" w:type="dxa"/>
            <w:vAlign w:val="bottom"/>
          </w:tcPr>
          <w:p>
            <w:pPr>
              <w:spacing w:after="0"/>
              <w:rPr>
                <w:sz w:val="12"/>
                <w:szCs w:val="12"/>
                <w:color w:val="auto"/>
              </w:rPr>
            </w:pPr>
          </w:p>
        </w:tc>
        <w:tc>
          <w:tcPr>
            <w:tcW w:w="106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5"/>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12,138</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12,138</w:t>
            </w:r>
          </w:p>
        </w:tc>
      </w:tr>
      <w:tr>
        <w:trPr>
          <w:trHeight w:val="67"/>
        </w:trPr>
        <w:tc>
          <w:tcPr>
            <w:tcW w:w="5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5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35,431</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35,654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per share attributable to Vera Bradley, Inc.:</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5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right="420"/>
        <w:spacing w:after="0" w:line="313" w:lineRule="auto"/>
        <w:rPr>
          <w:sz w:val="20"/>
          <w:szCs w:val="20"/>
          <w:color w:val="auto"/>
        </w:rPr>
      </w:pPr>
      <w:r>
        <w:rPr>
          <w:rFonts w:ascii="Times New Roman" w:cs="Times New Roman" w:eastAsia="Times New Roman" w:hAnsi="Times New Roman"/>
          <w:sz w:val="17"/>
          <w:szCs w:val="17"/>
          <w:color w:val="auto"/>
        </w:rPr>
        <w:t>For the thirteen and thirty-nine weeks ended November 2, 2019 and November 3, 2018, there were an immaterial number of additional shares issuable upon the vesting of restricted stock units that were excluded from the diluted share calculations because they were anti-dilutive.</w:t>
      </w: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80"/>
          </w:cols>
          <w:pgMar w:left="240" w:top="117" w:right="3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November 2, 2019 and February 2, 2019, approximated their fair values.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and contingent consideration as of November 2, 2019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February 2, 2019 (in thousands):</w:t>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r>
      <w:tr>
        <w:trPr>
          <w:trHeight w:val="195"/>
        </w:trPr>
        <w:tc>
          <w:tcPr>
            <w:tcW w:w="3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33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foreign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earn-out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33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provision</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680" w:right="1260" w:firstLine="3"/>
        <w:spacing w:after="0" w:line="281" w:lineRule="auto"/>
        <w:tabs>
          <w:tab w:leader="none" w:pos="9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 commercial paper and a money market fund that have a maturity of three months or less at the date of purchase. Due to their short maturity, the Company believes the carrying value approximates fair value.</w:t>
      </w:r>
    </w:p>
    <w:p>
      <w:pPr>
        <w:spacing w:after="0" w:line="1"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herein for additional information.</w:t>
      </w:r>
    </w:p>
    <w:p>
      <w:pPr>
        <w:spacing w:after="0" w:line="13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117"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no impairment for the thirteen and thirty-nine weeks ended November 2, 2019 and November 3, 2018.</w:t>
      </w:r>
    </w:p>
    <w:p>
      <w:pPr>
        <w:spacing w:after="0" w:line="45" w:lineRule="exact"/>
        <w:rPr>
          <w:sz w:val="20"/>
          <w:szCs w:val="20"/>
          <w:color w:val="auto"/>
        </w:rPr>
      </w:pPr>
    </w:p>
    <w:p>
      <w:pPr>
        <w:ind w:left="660" w:right="260"/>
        <w:spacing w:after="0" w:line="261"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12 herein for additional information on the methods used in the preliminary valuation of acquired intangible assets.</w:t>
      </w:r>
    </w:p>
    <w:p>
      <w:pPr>
        <w:spacing w:after="0" w:line="25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w:t>
      </w:r>
    </w:p>
    <w:p>
      <w:pPr>
        <w:spacing w:after="0" w:line="3"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44"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8" w:lineRule="exact"/>
        <w:rPr>
          <w:rFonts w:ascii="Times New Roman" w:cs="Times New Roman" w:eastAsia="Times New Roman" w:hAnsi="Times New Roman"/>
          <w:sz w:val="18"/>
          <w:szCs w:val="18"/>
          <w:b w:val="1"/>
          <w:bCs w:val="1"/>
          <w:color w:val="auto"/>
        </w:rPr>
      </w:pPr>
    </w:p>
    <w:p>
      <w:pPr>
        <w:ind w:left="6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7"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9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As of November 2, 2019 and February 2, 2019, the Company had no borrowings outstanding and availability of $75.0 million under the Credit Agreement.</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November 2, 2019, was 26.9%, compared to 23.4% for the thirteen weeks ended November 3, 2018. The year-over-year effective tax rate increase was primarily due to the relative impact of discrete items in the current-year period compared to the prior-year period.</w:t>
      </w:r>
    </w:p>
    <w:p>
      <w:pPr>
        <w:spacing w:after="0" w:line="41" w:lineRule="exact"/>
        <w:rPr>
          <w:rFonts w:ascii="Times New Roman" w:cs="Times New Roman" w:eastAsia="Times New Roman" w:hAnsi="Times New Roman"/>
          <w:sz w:val="18"/>
          <w:szCs w:val="18"/>
          <w:b w:val="1"/>
          <w:bCs w:val="1"/>
          <w:color w:val="auto"/>
        </w:rPr>
      </w:pPr>
    </w:p>
    <w:p>
      <w:pPr>
        <w:ind w:left="6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thirty-nine weeks ended November 2, 2019, was 26.7%, compared to 24.7% for the thirty-nine weeks ended November 3, 2018. The year-over-year effective tax rate increase was primarily due to the relative impact of permanent and discrete items in the current-year period compared to the prior-year period, primarily as a result of tax shortfalls from stock-based compensation and executive compensation.</w:t>
      </w:r>
    </w:p>
    <w:p>
      <w:pPr>
        <w:spacing w:after="0" w:line="2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27" w:lineRule="exact"/>
        <w:rPr>
          <w:rFonts w:ascii="Times New Roman" w:cs="Times New Roman" w:eastAsia="Times New Roman" w:hAnsi="Times New Roman"/>
          <w:sz w:val="18"/>
          <w:szCs w:val="18"/>
          <w:b w:val="1"/>
          <w:bCs w:val="1"/>
          <w:color w:val="auto"/>
        </w:rPr>
      </w:pPr>
    </w:p>
    <w:p>
      <w:pPr>
        <w:ind w:left="660" w:righ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November 2, 2019, the Company granted 9,680 time-based restricted stock units with an aggregate fair value of $0.1 million to certain employees under the 2010 Equity and Incentive Plan compared to 15,948 time-based restricted stock units with an aggregate fair value of $0.2 million in the same period of the prior year.</w:t>
      </w:r>
    </w:p>
    <w:p>
      <w:pPr>
        <w:spacing w:after="0" w:line="122" w:lineRule="exact"/>
        <w:rPr>
          <w:rFonts w:ascii="Times New Roman" w:cs="Times New Roman" w:eastAsia="Times New Roman" w:hAnsi="Times New Roman"/>
          <w:sz w:val="18"/>
          <w:szCs w:val="18"/>
          <w:b w:val="1"/>
          <w:bCs w:val="1"/>
          <w:color w:val="auto"/>
        </w:rPr>
      </w:pPr>
    </w:p>
    <w:p>
      <w:pPr>
        <w:ind w:left="660" w:right="8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thirty-nine weeks ended November 2, 2019, the Company granted 416,944 time-based and performance-based restricted stock units with an aggregate fair value of $5.4 million to certain employees and non-employee directors under the 2010 Equity and Incentive Plan compared to a total of 491,162 time-based and performance-based restricted stock units with an aggregate fair value of $5.5 million granted in the same period of the prior year. The Company determined the fair value of the awards based on the closing price of the Company’s common stock on the grant date.</w:t>
      </w:r>
    </w:p>
    <w:p>
      <w:pPr>
        <w:spacing w:after="0" w:line="110"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7"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thirty-nine weeks ended November 2, 2019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2, 2019</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November 2, 2019</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20"/>
        <w:spacing w:after="0" w:line="313" w:lineRule="auto"/>
        <w:rPr>
          <w:sz w:val="20"/>
          <w:szCs w:val="20"/>
          <w:color w:val="auto"/>
        </w:rPr>
      </w:pPr>
      <w:r>
        <w:rPr>
          <w:rFonts w:ascii="Times New Roman" w:cs="Times New Roman" w:eastAsia="Times New Roman" w:hAnsi="Times New Roman"/>
          <w:sz w:val="17"/>
          <w:szCs w:val="17"/>
          <w:color w:val="auto"/>
        </w:rPr>
        <w:t>As of November 2, 2019, there was $6.5 million of total unrecognized compensation cost, net of estimated forfeitures, related to nonvested restricted stock units. That cost is expected to be recognized over a weighted-average period of 1.6 years, subject to meeting performance conditions.</w:t>
      </w:r>
    </w:p>
    <w:p>
      <w:pPr>
        <w:spacing w:after="0" w:line="134"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8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w:t>
      </w:r>
    </w:p>
    <w:p>
      <w:pPr>
        <w:spacing w:after="0" w:line="41"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388,833 shares at an average price of $10.05 per share, excluding commissions, for an aggregate amount of $3.9 million during the thirteen weeks ended November 2, 2019, under the 2018 Share Repurchase Program.</w:t>
      </w:r>
    </w:p>
    <w:p>
      <w:pPr>
        <w:spacing w:after="0" w:line="107"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869,428 shares at an average price of $10.40 per share, excluding commissions, for an aggregate amount of $9.0 million during the thirty-nine weeks ended November 2, 2019, there was $38.1 million remaining available to repurchase shares of the Company's common stock under the 2018 Share Repurchase Program.</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7"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As of November 2, 2019, the Company held as treasury shares 7,805,051 shares of its common stock at an average price of $13.05 per share, excluding commissions, for an aggregate carrying amount of $101.9 million. The Company’s treasury shares may be issued under the 2010 Equity and Incentive Plan or for other corporate purposes.</w:t>
      </w:r>
    </w:p>
    <w:p>
      <w:pPr>
        <w:spacing w:after="0" w:line="253" w:lineRule="exact"/>
        <w:rPr>
          <w:sz w:val="20"/>
          <w:szCs w:val="20"/>
          <w:color w:val="auto"/>
        </w:rPr>
      </w:pPr>
    </w:p>
    <w:p>
      <w:pPr>
        <w:ind w:left="660" w:right="9280" w:hanging="652"/>
        <w:spacing w:after="0" w:line="367" w:lineRule="auto"/>
        <w:tabs>
          <w:tab w:leader="none" w:pos="6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w:t>
      </w:r>
      <w:r>
        <w:rPr>
          <w:rFonts w:ascii="Times New Roman" w:cs="Times New Roman" w:eastAsia="Times New Roman" w:hAnsi="Times New Roman"/>
          <w:sz w:val="17"/>
          <w:szCs w:val="17"/>
          <w:i w:val="1"/>
          <w:iCs w:val="1"/>
          <w:color w:val="auto"/>
        </w:rPr>
        <w:t>Cash Equivalents</w:t>
      </w:r>
    </w:p>
    <w:p>
      <w:pPr>
        <w:ind w:left="660" w:right="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Investments classified as cash equivalents relate to highly-liquid investments with a maturity of three months or less at the date of purchase. As of November 2, 2019 and February 2, 2019, these investments in the Company's portfolio consisted of commercial paper and a money market fund. </w:t>
      </w:r>
      <w:r>
        <w:rPr>
          <w:rFonts w:ascii="Times New Roman" w:cs="Times New Roman" w:eastAsia="Times New Roman" w:hAnsi="Times New Roman"/>
          <w:sz w:val="18"/>
          <w:szCs w:val="18"/>
          <w:i w:val="1"/>
          <w:iCs w:val="1"/>
          <w:color w:val="auto"/>
        </w:rPr>
        <w:t>Short-Term Investments</w:t>
      </w:r>
    </w:p>
    <w:p>
      <w:pPr>
        <w:spacing w:after="0" w:line="81" w:lineRule="exact"/>
        <w:rPr>
          <w:rFonts w:ascii="Times New Roman" w:cs="Times New Roman" w:eastAsia="Times New Roman" w:hAnsi="Times New Roman"/>
          <w:sz w:val="17"/>
          <w:szCs w:val="17"/>
          <w:b w:val="1"/>
          <w:bCs w:val="1"/>
          <w:color w:val="auto"/>
        </w:rPr>
      </w:pPr>
    </w:p>
    <w:p>
      <w:pPr>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November 2, 2019 and February 2, 2019, short-term investments consisted of U.S. and non-U.S. corporate debt securities, municipal securities, and commercial paper with a maturity within one year of the balance sheet date. The balance as of February 2, 2019,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29" w:lineRule="exact"/>
        <w:rPr>
          <w:rFonts w:ascii="Times New Roman" w:cs="Times New Roman" w:eastAsia="Times New Roman" w:hAnsi="Times New Roman"/>
          <w:sz w:val="17"/>
          <w:szCs w:val="17"/>
          <w:b w:val="1"/>
          <w:bCs w:val="1"/>
          <w:color w:val="auto"/>
        </w:rPr>
      </w:pPr>
    </w:p>
    <w:p>
      <w:pPr>
        <w:ind w:left="660" w:right="3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held $9.4 million and $19.4 million in short-term investments as of November 2, 2019 and February 2, 2019, respectively. The following table summarizes the Company's short-term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49"/>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5,769</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4,190</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5,808</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3,116</w:t>
            </w:r>
          </w:p>
        </w:tc>
      </w:tr>
      <w:tr>
        <w:trPr>
          <w:trHeight w:val="25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19,381</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173"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As of November 2, 2019 and February 2, 2019, long-term investments consisted of U.S. and non-U.S. corporate debt securities and U.S. and non-U.S. asset-backed securities with a maturity greater than one year from the balance sheet date. The balance as of November 2, 2019 also included other foreign securities and the balance as of February 2, 2019 included municipal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3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Company held $13.4 million and $23.7 million in long-term investments as of November 2, 2019 and February 2, 2019, respectively. The following table summarizes the Company's long-term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49"/>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9,499</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7,169</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4,675</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23,735</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debt securities as of November 2, 2019 and February 2, 2019.</w:t>
      </w:r>
    </w:p>
    <w:p>
      <w:pPr>
        <w:sectPr>
          <w:pgSz w:w="11900" w:h="16838" w:orient="portrait"/>
          <w:cols w:equalWidth="0" w:num="1">
            <w:col w:w="11200"/>
          </w:cols>
          <w:pgMar w:left="240" w:top="117" w:right="459" w:bottom="1440" w:gutter="0" w:footer="0" w:header="0"/>
        </w:sectPr>
      </w:pPr>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240" w:top="117" w:right="4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Pura Vida</w:t>
      </w:r>
    </w:p>
    <w:p>
      <w:pPr>
        <w:spacing w:after="0" w:line="94" w:lineRule="exact"/>
        <w:rPr>
          <w:rFonts w:ascii="Times New Roman" w:cs="Times New Roman" w:eastAsia="Times New Roman" w:hAnsi="Times New Roman"/>
          <w:sz w:val="18"/>
          <w:szCs w:val="18"/>
          <w:b w:val="1"/>
          <w:bCs w:val="1"/>
          <w:color w:val="auto"/>
        </w:rPr>
      </w:pPr>
    </w:p>
    <w:p>
      <w:pPr>
        <w:ind w:left="6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cash consideration of approximately $75 million. During the third quarter of fiscal 2020, the Company provided additional cash consideration of approximately $3.0 million for a working capital adjustment.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135"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is recorded as an earn-out liability on the Company's Condensed Consolidated Balance Sheets at its fair value of $21.9 million. The maximum payout of this contingent payment is $22.5 million. The Company’s existing available cash, cash equivalents, and investments funded the purchase price due at the closing of the Transaction and subsequent to the closing. Pre-tax Transaction costs totaled $2.7 million for the thirty-nine weeks ended November 2, 2019. There were no transaction costs during the thirteen weeks ended November 2, 2019. These costs are recorded within selling, general, and administrative expenses in the Condensed Consolidated Statements of Operations and within corporate unallocated expenses.</w:t>
      </w:r>
    </w:p>
    <w:p>
      <w:pPr>
        <w:spacing w:after="0" w:line="131"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preliminary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preliminary as the Company has not yet finalized the valuation of the aforementioned items.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 Acquisition</w:t>
            </w:r>
          </w:p>
        </w:tc>
        <w:tc>
          <w:tcPr>
            <w:tcW w:w="1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0" w:type="dxa"/>
            <w:vAlign w:val="bottom"/>
          </w:tcPr>
          <w:p>
            <w:pPr>
              <w:spacing w:after="0"/>
              <w:rPr>
                <w:sz w:val="1"/>
                <w:szCs w:val="1"/>
                <w:color w:val="auto"/>
              </w:rPr>
            </w:pPr>
          </w:p>
        </w:tc>
      </w:tr>
      <w:tr>
        <w:trPr>
          <w:trHeight w:val="249"/>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5"/>
                <w:szCs w:val="25"/>
                <w:color w:val="auto"/>
                <w:vertAlign w:val="superscript"/>
              </w:rPr>
              <w:t>(5)</w:t>
            </w:r>
          </w:p>
        </w:tc>
        <w:tc>
          <w:tcPr>
            <w:tcW w:w="4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27,643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44,604</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Intangible asset, brand</w:t>
            </w:r>
            <w:r>
              <w:rPr>
                <w:rFonts w:ascii="Times New Roman" w:cs="Times New Roman" w:eastAsia="Times New Roman" w:hAnsi="Times New Roman"/>
                <w:sz w:val="25"/>
                <w:szCs w:val="25"/>
                <w:color w:val="auto"/>
                <w:vertAlign w:val="superscript"/>
              </w:rPr>
              <w:t>(3)</w:t>
            </w:r>
          </w:p>
        </w:tc>
        <w:tc>
          <w:tcPr>
            <w:tcW w:w="4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5"/>
                <w:szCs w:val="25"/>
                <w:color w:val="auto"/>
                <w:vertAlign w:val="superscript"/>
              </w:rPr>
              <w:t>(4)</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147,609</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accrued liabilities</w:t>
            </w:r>
            <w:r>
              <w:rPr>
                <w:rFonts w:ascii="Times New Roman" w:cs="Times New Roman" w:eastAsia="Times New Roman" w:hAnsi="Times New Roman"/>
                <w:sz w:val="25"/>
                <w:szCs w:val="25"/>
                <w:color w:val="auto"/>
                <w:vertAlign w:val="superscript"/>
              </w:rPr>
              <w:t>(5)</w:t>
            </w:r>
          </w:p>
        </w:tc>
        <w:tc>
          <w:tcPr>
            <w:tcW w:w="4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17,443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Contingent consideration related to earn-out provision</w:t>
            </w:r>
            <w:r>
              <w:rPr>
                <w:rFonts w:ascii="Times New Roman" w:cs="Times New Roman" w:eastAsia="Times New Roman" w:hAnsi="Times New Roman"/>
                <w:sz w:val="25"/>
                <w:szCs w:val="25"/>
                <w:color w:val="auto"/>
                <w:vertAlign w:val="superscript"/>
              </w:rPr>
              <w:t>(6)</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324"/>
        </w:trPr>
        <w:tc>
          <w:tcPr>
            <w:tcW w:w="49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closing consideration amount, net of cash acquired</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740" w:firstLine="3"/>
        <w:spacing w:after="0" w:line="266" w:lineRule="auto"/>
        <w:tabs>
          <w:tab w:leader="none" w:pos="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$8.3 million step-up adjustment which will be recognized in cost of sales within four months of the acquisition. Inventories were valued using the cost approach. The significant assumptions used for the valuation include inventory balances, projected gross and operating margins, and cost and time to dispose (sell) inventory on hand.</w:t>
      </w:r>
    </w:p>
    <w:p>
      <w:pPr>
        <w:spacing w:after="0" w:line="14"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Notes 1 and 14 herein for additional information regarding goodwill.</w:t>
      </w:r>
    </w:p>
    <w:p>
      <w:pPr>
        <w:spacing w:after="0" w:line="63" w:lineRule="exact"/>
        <w:rPr>
          <w:rFonts w:ascii="Times New Roman" w:cs="Times New Roman" w:eastAsia="Times New Roman" w:hAnsi="Times New Roman"/>
          <w:sz w:val="18"/>
          <w:szCs w:val="18"/>
          <w:color w:val="auto"/>
        </w:rPr>
      </w:pPr>
    </w:p>
    <w:p>
      <w:pPr>
        <w:ind w:left="680" w:right="760" w:firstLine="3"/>
        <w:spacing w:after="0" w:line="266" w:lineRule="auto"/>
        <w:tabs>
          <w:tab w:leader="none" w:pos="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brand intangible asset was valued using the relief-from-royalty method. The significant assumptions used for the valuation include the royalty rate, estimated projected revenues, long-term growth rate, and the discount rate. Refer to Note 14 herein for additional information regarding intangible assets.</w:t>
      </w:r>
    </w:p>
    <w:p>
      <w:pPr>
        <w:spacing w:after="0" w:line="14" w:lineRule="exact"/>
        <w:rPr>
          <w:rFonts w:ascii="Times New Roman" w:cs="Times New Roman" w:eastAsia="Times New Roman" w:hAnsi="Times New Roman"/>
          <w:sz w:val="18"/>
          <w:szCs w:val="18"/>
          <w:color w:val="auto"/>
        </w:rPr>
      </w:pPr>
    </w:p>
    <w:p>
      <w:pPr>
        <w:ind w:left="680" w:right="740" w:firstLine="3"/>
        <w:spacing w:after="0" w:line="258" w:lineRule="auto"/>
        <w:tabs>
          <w:tab w:leader="none" w:pos="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customer attrition rate. The non-competition agreements were valued using the with-or-without method. Significant assumptions used for the valuation include projected cash flows, probability of competition, impact of competition on business, and the discount rate. Refer to Note 14 herein for additional information regarding intangible assets.</w:t>
      </w:r>
    </w:p>
    <w:p>
      <w:pPr>
        <w:spacing w:after="0" w:line="21"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 million related to an indemnified liability.</w:t>
      </w:r>
    </w:p>
    <w:p>
      <w:pPr>
        <w:spacing w:after="0" w:line="63" w:lineRule="exact"/>
        <w:rPr>
          <w:rFonts w:ascii="Times New Roman" w:cs="Times New Roman" w:eastAsia="Times New Roman" w:hAnsi="Times New Roman"/>
          <w:sz w:val="18"/>
          <w:szCs w:val="18"/>
          <w:color w:val="auto"/>
        </w:rPr>
      </w:pPr>
    </w:p>
    <w:p>
      <w:pPr>
        <w:ind w:left="680" w:right="760" w:firstLine="3"/>
        <w:spacing w:after="0" w:line="266" w:lineRule="auto"/>
        <w:tabs>
          <w:tab w:leader="none" w:pos="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14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operations of Pura Vida are recorded in the Company's Condensed Consolidated Statements of Operations for the thirteen and thirty-nine weeks ending November 2, 2019, beginning on July 17, 2019, which represents the first full day following the acquisition. As such, the Company's financial statements are not comparable with the prior-year period presented. Refer to Note 16 herein for segment-level financial information associated with Pura Vida. The</w:t>
      </w:r>
    </w:p>
    <w:p>
      <w:pPr>
        <w:sectPr>
          <w:pgSz w:w="11900" w:h="16838" w:orient="portrait"/>
          <w:cols w:equalWidth="0" w:num="1">
            <w:col w:w="11340"/>
          </w:cols>
          <w:pgMar w:left="240" w:top="117" w:right="319" w:bottom="1440" w:gutter="0" w:footer="0" w:header="0"/>
        </w:sectPr>
      </w:pP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117" w:right="31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right="200"/>
        <w:spacing w:after="0" w:line="256" w:lineRule="auto"/>
        <w:rPr>
          <w:sz w:val="20"/>
          <w:szCs w:val="20"/>
          <w:color w:val="auto"/>
        </w:rPr>
      </w:pPr>
      <w:r>
        <w:rPr>
          <w:rFonts w:ascii="Times New Roman" w:cs="Times New Roman" w:eastAsia="Times New Roman" w:hAnsi="Times New Roman"/>
          <w:sz w:val="18"/>
          <w:szCs w:val="18"/>
          <w:color w:val="auto"/>
        </w:rPr>
        <w:t>following 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53" w:lineRule="exact"/>
        <w:rPr>
          <w:sz w:val="20"/>
          <w:szCs w:val="20"/>
          <w:color w:val="auto"/>
        </w:rPr>
      </w:pPr>
    </w:p>
    <w:p>
      <w:pPr>
        <w:ind w:left="900" w:hanging="244"/>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purchase accounting items, such as the inventory step-up adjustment and earn-out liability accretion expense, have been excluded due to their non-recurring nature;</w:t>
      </w:r>
    </w:p>
    <w:p>
      <w:pPr>
        <w:spacing w:after="0" w:line="2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Definite-lived intangible amortization that exceeds one year has been reflected as if it occurred at the beginning of fiscal 2019;</w:t>
      </w:r>
    </w:p>
    <w:p>
      <w:pPr>
        <w:spacing w:after="0" w:line="9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have been excluded; and</w:t>
      </w:r>
    </w:p>
    <w:p>
      <w:pPr>
        <w:spacing w:after="0" w:line="9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has been estimated at a statutory rate of 25.0%.</w:t>
      </w: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1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20" w:type="dxa"/>
            <w:vAlign w:val="bottom"/>
          </w:tcPr>
          <w:p>
            <w:pPr>
              <w:spacing w:after="0"/>
              <w:rPr>
                <w:sz w:val="12"/>
                <w:szCs w:val="12"/>
                <w:color w:val="auto"/>
              </w:rPr>
            </w:pPr>
          </w:p>
        </w:tc>
        <w:tc>
          <w:tcPr>
            <w:tcW w:w="98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342,371</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1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10,471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Vera Bradley, Inc.</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basic net income per share attributable to Vera Bradley,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diluted net income per share attributable to Vera Bradley,</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 1 herein for additional information.</w:t>
      </w:r>
    </w:p>
    <w:p>
      <w:pPr>
        <w:spacing w:after="0" w:line="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and thirty-nine weeks ended November 2, 2019, were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 and May 4, 2019</w:t>
            </w:r>
          </w:p>
        </w:tc>
        <w:tc>
          <w:tcPr>
            <w:tcW w:w="4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 at acquisition</w:t>
            </w:r>
          </w:p>
        </w:tc>
        <w:tc>
          <w:tcPr>
            <w:tcW w:w="4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4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31,650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4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Fair value measurement period adjustment</w:t>
            </w:r>
          </w:p>
        </w:tc>
        <w:tc>
          <w:tcPr>
            <w:tcW w:w="4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redeemable noncontrolling interest</w:t>
            </w:r>
          </w:p>
        </w:tc>
        <w:tc>
          <w:tcPr>
            <w:tcW w:w="4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 2019</w:t>
            </w:r>
          </w:p>
        </w:tc>
        <w:tc>
          <w:tcPr>
            <w:tcW w:w="4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30,333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5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7"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94"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details the carrying value of the Company's intangible assets other than goodwill related to the acquisition of a majority interest in Pura Vida. The comparable prior-year period did not include intangible assets or goodwill. The valuation of the intangible assets and goodwill is preliminary and additional adjustments may be reflected during the measurement period.</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 Period</w:t>
            </w: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8"/>
                <w:szCs w:val="8"/>
                <w:b w:val="1"/>
                <w:bCs w:val="1"/>
                <w:color w:val="auto"/>
              </w:rPr>
              <w:t>(1)</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21,362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22,104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318"/>
        </w:trPr>
        <w:tc>
          <w:tcPr>
            <w:tcW w:w="32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58,772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provisional weighted-average amortization period for the definite-lived intangible assets in total is 3.6 years. The provisional weighted-average amortization period is 3.6 years and 5.0 years for customer relationships and non-competition agreements, respectively. The provisional amortization expense for intangible assets is as follows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(remaining three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2,472</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9,006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3,073</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3,072</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22,104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660" w:right="180"/>
        <w:spacing w:after="0" w:line="261" w:lineRule="auto"/>
        <w:rPr>
          <w:sz w:val="20"/>
          <w:szCs w:val="20"/>
          <w:color w:val="auto"/>
        </w:rPr>
      </w:pPr>
      <w:r>
        <w:rPr>
          <w:rFonts w:ascii="Times New Roman" w:cs="Times New Roman" w:eastAsia="Times New Roman" w:hAnsi="Times New Roman"/>
          <w:sz w:val="18"/>
          <w:szCs w:val="18"/>
          <w:color w:val="auto"/>
        </w:rPr>
        <w:t>The total amount of the provisional goodwill as of November 2, 2019, was $44.6 million recorded within the Pura Vida segment upon acquisition. Goodwill is expected to be deductible for tax purposes, limited to the Company's 75% majority ownership interest. Refer to Notes 1 and 12 herein for addition information regarding goodwill. Changes in goodwill for the thirteen and thirty-nine weeks ended November 2, 2019, were as follows (in thousands):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 and May 4, 2019</w:t>
            </w: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at acquisition</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41,310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41,310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 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44,604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7"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were as follows: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February 2,</w:t>
            </w:r>
          </w:p>
        </w:tc>
      </w:tr>
      <w:tr>
        <w:trPr>
          <w:trHeight w:val="195"/>
        </w:trPr>
        <w:tc>
          <w:tcPr>
            <w:tcW w:w="56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56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Raw materials</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130,126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91,581</w:t>
            </w:r>
          </w:p>
        </w:tc>
      </w:tr>
      <w:tr>
        <w:trPr>
          <w:trHeight w:val="27"/>
        </w:trPr>
        <w:tc>
          <w:tcPr>
            <w:tcW w:w="56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133,964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91,581</w:t>
            </w:r>
          </w:p>
        </w:tc>
      </w:tr>
      <w:tr>
        <w:trPr>
          <w:trHeight w:val="20"/>
        </w:trPr>
        <w:tc>
          <w:tcPr>
            <w:tcW w:w="5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ind w:left="940" w:hanging="257"/>
        <w:spacing w:after="0"/>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solely to Pura Vida operations.</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8"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4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2,200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b w:val="1"/>
          <w:bCs w:val="1"/>
          <w:color w:val="auto"/>
        </w:rPr>
      </w:pPr>
    </w:p>
    <w:p>
      <w:pPr>
        <w:ind w:left="660" w:right="1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3"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7"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November 2, 2019 and November 3, 2018, respectively, consisted of the following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354"/>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6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Pr>
          <w:p>
            <w:pPr>
              <w:spacing w:after="0"/>
              <w:rPr>
                <w:sz w:val="12"/>
                <w:szCs w:val="12"/>
                <w:color w:val="auto"/>
              </w:rPr>
            </w:pPr>
          </w:p>
        </w:tc>
        <w:tc>
          <w:tcPr>
            <w:tcW w:w="134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78,397</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73,459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230,012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67,892</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127,501</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297,904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14,675</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43,867</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27,186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19,516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71,053</w:t>
            </w:r>
          </w:p>
        </w:tc>
        <w:tc>
          <w:tcPr>
            <w:tcW w:w="0" w:type="dxa"/>
            <w:vAlign w:val="bottom"/>
          </w:tcPr>
          <w:p>
            <w:pPr>
              <w:spacing w:after="0"/>
              <w:rPr>
                <w:sz w:val="1"/>
                <w:szCs w:val="1"/>
                <w:color w:val="auto"/>
              </w:rPr>
            </w:pPr>
          </w:p>
        </w:tc>
      </w:tr>
      <w:tr>
        <w:trPr>
          <w:trHeight w:val="67"/>
        </w:trPr>
        <w:tc>
          <w:tcPr>
            <w:tcW w:w="3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19,516</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71,053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7"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thirty-nine weeks ended November 2, 2019 and November 3, 2018. The following discussion should be read in conjunction with our Annual Report on Form 10-K for the fiscal year ended February 2, 2019, and our unaudited condensed consolidated financial statements and the related notes included in Item 1 of this Quarterly Report. The results of operations for the thirteen and thirty-nine weeks ended November 2, 2019, are not necessarily indicative of the results to be expected for the full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third quarter of fiscal 2020:</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980" w:right="5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comparable sales growth of 4.7%, indicating that our customers are responding to both our innovative product and targeted consumer engagement efforts.</w:t>
      </w:r>
    </w:p>
    <w:p>
      <w:pPr>
        <w:spacing w:after="0" w:line="26"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our store base by relocating and expanding our factory outlet stores in Destin, Florida and Branson, Missouri, respectively. These stores are among our highest volume stores. We also opened a factory outlet store in Locust Grove, Georgia and closed three underperforming full-line stores.</w:t>
      </w:r>
    </w:p>
    <w:p>
      <w:pPr>
        <w:spacing w:after="0" w:line="4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partially mitigate the impact of Chinese tariffs through sourcing and pricing efforts, as well as reducing our reliance on China production.</w:t>
      </w:r>
    </w:p>
    <w:p>
      <w:pPr>
        <w:spacing w:after="0" w:line="26"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the process of re-platforming our Enterprise Resource Planning (“ERP”) and other key information systems to become more streamlined, nimble, and efficient in our technology and business processes.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third quarter of fiscal 2019)</w:t>
      </w:r>
    </w:p>
    <w:p>
      <w:pPr>
        <w:spacing w:after="0" w:line="94"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30.5% to $127.5 million. This increase includes $25.0 million related to Pura Vida segment sales.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increased 6.7% to $78.4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decreased 0.6% to $24.1 million.</w:t>
      </w:r>
    </w:p>
    <w:p>
      <w:pPr>
        <w:spacing w:after="0" w:line="9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$67.9 million, or 53.2% of net revenue. Gross profit included $6.2 million, or 4.9% of net revenue, of amortization expense for the step-up in inventory basis related to the Pura Vida acquisition.</w:t>
      </w:r>
    </w:p>
    <w:p>
      <w:pPr>
        <w:spacing w:after="0" w:line="26"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$1.5 million and net income attributable to Vera Bradley, Inc. was $0.1 million, or $0.00 per diluted share. Operating loss included Pura Vida purchase accounting charges of $10.5 million and charges of $1.1 million related to the Company's technology-related re-platforming.</w:t>
      </w:r>
    </w:p>
    <w:p>
      <w:pPr>
        <w:spacing w:after="0" w:line="4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$3.3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were $48.8 million at November 2, 2019.</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 debt as of November 2,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and www.puravidabracelets.eu, and through the distribution of Pura Vida-branded products to wholesale retailers.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17"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Pura Vida e-commerce operations are not currently included within comparable sales, but will be considered comparable sales once reflected in the Company’s operations for 12 full fiscal months.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 VB Direct business expenses, such as store expenses, employee compensation, and store occupancy and supply costs, VB Indirect business expenses consisting primarily of employee compensation and other expenses associated with sales to Indirect retailers, as well as Pura Vida business expenses primarily related to employee compensation.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includes certain legal settlements,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(loss) income is equal to gross profit less SG&amp;A expenses plus other income. Operating (loss)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is equal to operating (loss) income plus net interest income less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 represents the operating results of Pura Vida that are not attributable to Vera Bradley,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Vera Bradley, Inc. is equal to net income less net loss attributable to redeemable noncontrolling interest.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Acquisition</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which also operates under the name Pura Vida Bracelets (“Pura Vida”) (the “Transaction”) in exchange for cash consideration of approximately $75 million. During the third quarter of fiscal 2020, the Company provided additional cash consideration of approximately $3.0 million for a working capital adjustment. 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The Company’s existing available cash, cash equivalents, and investments funded the purchase price due at the closing of the Transaction.</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indirectly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132"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Pura Vida has been fully consolidated within our financial statements beginning on July 17, 2019, the first full day following the acquisition. Pura Vida was also added as a reportable segment as a result of the acquisition. Refer to Note 12 herein for additional information regarding the Pura Vida acquisition.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We adopted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beginning in the first quarter of fiscal 2020 using the modified retrospective adoption method. The adoption of this standard impacted fiscal 2020 beginning retained earnings by $0.2 million. As a result of the adoption of ASC Topic 842 using the modified retrospective method, the financial statements from the prior-year period are not reported under ASC Topic 842 which affects the comparability of the Condensed Consolidated Financial Statements. The primary impact from the adoption of the standard is the addition of right-of-use assets and lease liabilities on the Company's Condensed Consolidated Balance Sheet. The Condensed Consolidated Statements of Cash Flows also had material presentation changes within operating activities upon adoption. The adoption of this standard had no impact on the Condensed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3 to the Notes to the Condensed Consolidated Financial Statements herein for additional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7"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4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320" w:type="dxa"/>
            <w:vAlign w:val="bottom"/>
          </w:tcPr>
          <w:p>
            <w:pPr>
              <w:jc w:val="right"/>
              <w:ind w:right="331"/>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4"/>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127,501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97,688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338,289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297,904</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59,631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152,618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126,396</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57,152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185,671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171,508</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69,423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51,866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184,465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156,341</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15,447</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(677)</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16,124</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3,986</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12,138</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12,138</w:t>
            </w:r>
          </w:p>
        </w:tc>
      </w:tr>
      <w:tr>
        <w:trPr>
          <w:trHeight w:val="67"/>
        </w:trPr>
        <w:tc>
          <w:tcPr>
            <w:tcW w:w="4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4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30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4"/>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78,397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73,459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243,913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230,012</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21"/>
                <w:szCs w:val="21"/>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24,087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63,971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67,892</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25,017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30,405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127,501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97,688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338,289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297,904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4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3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43,867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24,193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27,186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6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(55,606)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by Segment:</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6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5"/>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Comparable sales (including e-commerce) increase (decrease)</w:t>
            </w:r>
          </w:p>
        </w:tc>
        <w:tc>
          <w:tcPr>
            <w:tcW w:w="2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7"/>
        </w:trPr>
        <w:tc>
          <w:tcPr>
            <w:tcW w:w="4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391,888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383,504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391,888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383,504</w:t>
            </w:r>
          </w:p>
        </w:tc>
        <w:tc>
          <w:tcPr>
            <w:tcW w:w="0" w:type="dxa"/>
            <w:vAlign w:val="bottom"/>
          </w:tcPr>
          <w:p>
            <w:pPr>
              <w:spacing w:after="0"/>
              <w:rPr>
                <w:sz w:val="1"/>
                <w:szCs w:val="1"/>
                <w:color w:val="auto"/>
              </w:rPr>
            </w:pPr>
          </w:p>
        </w:tc>
      </w:tr>
      <w:tr>
        <w:trPr>
          <w:trHeight w:val="341"/>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40" w:right="60" w:hanging="532"/>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Vera Bradley stores that have been open for at least 12 full fiscal months and net revenues from our Vera Bradley e-commerce operations. Pura Vida e-commerce operations are not currently included within comparable sales.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w:t>
      </w:r>
    </w:p>
    <w:p>
      <w:pPr>
        <w:spacing w:after="0" w:line="2"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9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Thirteen Weeks Ended November 2, 2019, Compared to Thirteen Weeks Ended November 3, 2018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2019, net revenues increased $29.8 million, or 30.5%, to $127.5 million, from $97.7 million in the comparable prior-year period.</w:t>
      </w:r>
    </w:p>
    <w:p>
      <w:pPr>
        <w:spacing w:after="0" w:line="1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November 2, 2019, net revenues in the VB Direct segment increased $4.9 million, or 6.7%, to $78.4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$73.5 million in the comparable prior-year period. Our comparable sales increased $3.3 million, or 4.7%. The increase in comparable sales includes a 6.9% increase in e-commerce sales and a 4.0% increase in comparable store sales indicating that our customers are responding to both our innovative product and our targeted consumer engagement efforts. Our non-comparable stores contributed $1.6 million of revenue, which included six additional factory outlet stores opened in the current fiscal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2, 2019, net revenues in the Indirect segment decreased $0.1 million, or 0.6%, to $24.1 million, from</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$24.2 million in the comparable prior-year period reflecting a reduction in orders and the number of department store accounts, which was nearly offset by the timing of certain revenues (planned for the second quarter but realized in the third quarter).</w:t>
      </w:r>
    </w:p>
    <w:p>
      <w:pPr>
        <w:spacing w:after="0" w:line="12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November 2, 2019, net revenues in the Pura Vida segment were $25.0 million. Refer to Note 12 herein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Pura Vida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For the thirteen weeks ended November 2, 2019, gross profit increased $10.7 million, or 18.8%, to $67.9 million, from $57.2 million in the comparable prior-year period. As a percentage of net revenues, gross profit decreased to 53.2% for the thirteen weeks ended November 2, 2019, from 58.5% in the comparable prior-year period. The amortization of $6.2 million of expense for an inventory step-up adjustment as a result of the Pura Vida acquisition negatively impacted gross profit as a percentage of net revenues by 4.9%. The remaining decrease as a percentage of net revenues was primarily due to the impact of U.S. tariffs on goods from China and increased shipping costs, partially offset by improvement in full-price selling and sourcing and operational efficiencies.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thirteen weeks ended November 2, 2019, SG&amp;A expenses increased $17.5 million, or 33.9%, to $69.4 million, from $51.9 million in the comparable prior-year period. As a percentage of net revenues, SG&amp;A expenses increased to 54.4% for the thirteen weeks ended November 2, 2019, from 53.1% in the comparable prior-year period. The increase in SG&amp;A expenses for the thirteen weeks ended November 2, 2019 was primarily due to Pura Vida operating expenses of $11.4 million; Pura Vida intangible asset amortization of approximately $2.5 million; $1.8 million of expense associated with accretion of the earn-out liability; $1.1 million of certain professional fees and accelerated depreciation charges related to our information technology re-platforming; and $0.9 million related to new factory outlet stores. SG&amp;A expenses as a percentage of net revenues increased primarily due to the aforementioned items, partially offset by SG&amp;A expense leverage associated with increased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November 2, 2019, other income was $0.1 million, consistent with the comparable prior-year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thirteen weeks ended November 2, 2019, operating (loss) income decreased $6.8 million to $(1.5) million in the current-year period, from $5.3 million in the comparable prior-year period. As a percentage of net revenues, operating (loss) income was (1.2)% and 5.5% for the thirteen weeks ended November 2, 2019 and November 3, 2018, respectively. Operating (loss) income decreased due to the factors described above.</w:t>
      </w:r>
    </w:p>
    <w:p>
      <w:pPr>
        <w:spacing w:after="0" w:line="12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November 2, 2019, operating income in the VB Direct segment increased $0.4 million, or 2.9%, to $14.7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$14.3 million in the comparable prior-year period. As a percentage of VB Direct segment net revenues, operating income in the VB Direct segment was 18.7% and 19.4% for the thirteen weeks ended November 2, 2019 and November 3, 2018, respectively. The decrease in operating income as a percentage of VB Direct segment net revenues was primarily due to new store expenses, certain professional fees and accelerated depreciation charges related to our information technology re-platforming, and a decrease in gross margin as a percentage of net revenues as described above, partially offset by SG&amp;A expense leverage associated with increased sales.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2, 2019, operating income in the VB Indirect segment decreased $0.8 million, or 7.5%, to $9.3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$10.1 million in the comparable prior-year period. As a percentage of VB Indirect segment net revenues, operating income in the VB Indirect segment was 38.7% and 41.6% for the thirteen weeks ended November 2, 2019 and November 3, 2018,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2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November 2, 2019, operating loss in the Pura Vida segment was $4.5 million, or (17.9)% of Pura Vida segment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These operating results included an expense of $6.2 million related to an inventory step-up adjustment and $2.5 million of intangible asset amortization expense. Refer to Note 12 herein for additional information regarding the Pura Vida acquisition.</w:t>
      </w:r>
    </w:p>
    <w:p>
      <w:pPr>
        <w:spacing w:after="0" w:line="12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November 2, 2019, unallocated expenses increased $2.0 million, or 10.5%, to $21.0 million from $19.0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expense associated with the accretion of the earn-out liability related to the Pura Vida acquisition of $1.8 million and certain professional fees and accelerated depreciation charges for the Company’s technology re-platforming.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2, 2019, was 26.9%, compared to 23.4% for the thirteen weeks ended November 3, 2018. The year-over year effective tax rate increase was primarily due to the relative impact of discrete items in the current-year period compared to the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2019, net (loss) income decreased $5.2 million to $(1.0) million from $4.2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2019, net loss attributable to redeemable noncontrolling interest was $1.1 million. This represents the allocation of the Pura Vida net loss to the noncontrolling interest. The net loss was due to the factors described above in the Pura Vida operating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2019, net income attributable to Vera Bradley, Inc. decreased $4.1 million to $0.1 million from $4.2 million in the comparable prior-year period due to the factors described above.</w:t>
      </w:r>
    </w:p>
    <w:p>
      <w:pPr>
        <w:spacing w:after="0" w:line="185" w:lineRule="exact"/>
        <w:rPr>
          <w:sz w:val="20"/>
          <w:szCs w:val="20"/>
          <w:color w:val="auto"/>
        </w:rPr>
      </w:pPr>
    </w:p>
    <w:p>
      <w:pPr>
        <w:ind w:right="33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Thirty-Nine Weeks Ended November 2, 2019, Compared to Thirty-Nine Weeks Ended November 3, 2018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2019, net revenues increased $40.4 million, or 13.6%, to $338.3 million, from $297.9 million in the comparable prior-year period.</w:t>
      </w:r>
    </w:p>
    <w:p>
      <w:pPr>
        <w:spacing w:after="0" w:line="1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2, 2019, net revenues in the VB Direct segment increased $13.9 million, or 6.0%, to $243.9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$230.0 million in the comparable prior-year period. Our comparable sales increased $8.2 million, or 3.8%. The increase in comparable sales includes a 6.7% increase in e-commerce sales and a 2.9% increase in comparable store sales indicating that our customers are responding to both our innovative product and our targeted consumer engagement efforts. Our non-comparable stores contributed $6.4 million of revenue, which included six additional factory outlet stores opened in the current fiscal year.</w:t>
      </w:r>
    </w:p>
    <w:p>
      <w:pPr>
        <w:spacing w:after="0" w:line="12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2, 2019, net revenues in the VB Indirect segment decreased $3.9 million, or 5.8%, to $64.0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$67.9 million in the comparable prior-year period reflecting a reduction in orders and the number of department store accounts.</w:t>
      </w:r>
    </w:p>
    <w:p>
      <w:pPr>
        <w:spacing w:after="0" w:line="10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November 2, 2019, net revenues in the Pura Vida segment were $30.4 million which reflected activity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on July 16, 2019. Refer to Note 12 herein for additional information regarding the Pura Vida acquisition.</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17"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the thirty-nine weeks ended November 2, 2019, gross profit increased $14.2 million, or 8.3%, to $185.7 million, from $171.5 million in the comparable prior-year period. As a percentage of net revenues, gross profit decreased to 54.9% for the thirty-nine weeks ended November 2, 2019, from 57.6% in the comparable prior-year period. The amortization of $7.2 million of expense for an inventory step-up adjustment as a result of the Pura Vida acquisition negatively impacted gross profit as a percentage of net revenues by 2.1%. The remaining decrease as a percentage of net revenues was primarily due to the impact of U.S. tariffs on goods from China and increased shipping costs, partially offset by improvement in full-price selling and sourcing and operational efficiencies.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thirty-nine weeks ended November 2, 2019, SG&amp;A expenses increased $28.2 million, or 18.0%, to $184.5 million, from $156.3 million in the comparable prior-year period. As a percentage of net revenues, SG&amp;A expenses increased to 54.5% for the thirty-nine weeks ended November 2, 2019, from 52.5% in the comparable prior-year period. The increase in SG&amp;A expenses for the thirty-nine weeks ended November 2, 2019 was primarily due to Pura Vida operating expenses of $13.8 million; Pura Vida acquisition-related charges of approximately $7.4 million including intangible asset amortization, acquisition-related transaction costs, and expense associated with accretion of the earn-out liability; an increase of $2.9 million in expenses related to new factory outlet stores; $1.8 million of certain professional fees and accelerated depreciation charges related to our information technology re-platforming; and an increase in certain advertising and marketing expenses of approximately $1.4 million. SG&amp;A expenses as a percentage of net revenues increased primarily due to the aforementioned items, partially offset by SG&amp;A expense leverage associated with increased sales.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2019, other income increased $0.7 million to $1.0 million compared to $0.3 million in the comparable prior-year period. The increase in other income was primarily due to a legal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November 2, 2019, operating income decreased $13.2 million to $2.2 million in the current-year period, from $15.4 million in the comparable prior-year period. As a percentage of net revenues, operating income was 0.7% and 5.2% for the thirty-nine weeks ended November 2, 2019 and November 3, 2018, respectively. Operating income decreased due to the factors described above.</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2, 2019, operating income in the VB Direct segment increased $1.3 million, or 3.0%, to $45.2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$43.9 million in the comparable prior-year period. As a percentage of VB Direct segment net revenues, operating income in the VB Direct segment was 18.5% and 19.1% for the thirty-nine weeks ended November 2, 2019 and November 3, 2018, respectively. The decrease in operating income as a percentage of VB Direct segment net revenues was primarily due to an increase in new store expenses, certain advertising expenses, certain professional fees and accelerated depreciation charges for the Company’s technology re-platforming, and a decrease in gross margin as a percentage of net revenues as described above, partially offset by SG&amp;A expense leverage associated with increased sales.</w:t>
      </w:r>
    </w:p>
    <w:p>
      <w:pPr>
        <w:spacing w:after="0" w:line="1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2, 2019, operating income in the VB Indirect segment decreased $3.0 million, or 11.0%, to $24.2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$27.2 million in the comparable prior-year period. As a percentage of VB Indirect segment net revenues, operating income in the VB Indirect segment was 37.8% and 40.0% for the thirty-nine weeks ended November 2, 2019 and November 3, 2018,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2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November 2, 2019, operating loss in the Pura Vida segment was $5.0 million, or (16.5)% of Pura Vida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These operating results included $7.2 million related to an inventory step-up adjustment and $2.9 million of intangible asset amortization expense. Refer to Note 12 herein for additional information regarding the Pura Vida acquisition.</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thirty-nine weeks ended November 2, 2019, unallocated expenses increased $6.5 million, or 11.7%, to $62.1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$55.6 million in the comparable prior-year period. The increase in unallocated expenses was primarily due to Pura Vida acquisition-related transaction costs of $2.7 million, expense associated with the accretion of the earn-out liability related to the Pura Vida acquisition of $1.8 million, an increase in certain consulting charges, and certain professional fees and accelerated depreciation charges for the Company’s technology re-platforming.</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117"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thirty-nine weeks ended November 2, 2019, was 26.7%, compared to 24.7% for the thirty-nine weeks ended November 3, 2018. The year-over year effective tax rate increase was primarily due to the relative impact of permanent and discrete items in the current-year period compared to the prior-year period, primarily as a result of tax shortfalls from stock-based compensation and executive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2019, net income decreased $9.8 million to $2.3 million from $12.1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2019, net loss attributable to redeemable noncontrolling interest was $1.3 million. This represents the allocation of the Pura Vida net loss to the noncontrolling interest. The net loss was due to the factors described above in the Pura Vida operating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2019, net income attributable to Vera Bradley, Inc. decreased $8.5 million to $3.6 million from $12.1 million in the comparable prior-year period due to the factors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began on September 7, 2018. There were no borrowings under the Credit Agreement during the thirty-nine weeks ended November 2, 2019, and there was no debt outstanding as of November 2, 2019.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2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as well as share repurchases and other strategic uses of cash, if any, and debt payments,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90"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highly-liquid investments with a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November 2, 2019 and February 2, 2019, these investments in our portfolio consisted of commercial paper and a money market fund.</w:t>
      </w:r>
    </w:p>
    <w:p>
      <w:pPr>
        <w:spacing w:after="0" w:line="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November 2, 2019 and February 2, 2019, short-term investments consisted of U.S. and non-U.S. corporate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securities, and commercial paper with a maturity within one year of the balance sheet date. The balance as of February 2, 2019, also included U.S. treasury securities.</w:t>
      </w:r>
    </w:p>
    <w:p>
      <w:pPr>
        <w:spacing w:after="0" w:line="12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November 2, 2019 and February 2, 2019, long-term investments consisted of U.S. and non-U.S. corporate debt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non-U.S. asset-backed securities with a maturity greater than one year from the balance sheet date. The balance as of November 2, 2019 also included other foreign securities and the balance as of February 2, 2019 included municipal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“Investments” within Item 1 “Financial Statements” of this Quarterly Report on Form 10-Q for additional detail regarding investments.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17"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9"/>
        </w:trPr>
        <w:tc>
          <w:tcPr>
            <w:tcW w:w="8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2"/>
                <w:szCs w:val="12"/>
                <w:color w:val="auto"/>
              </w:rPr>
            </w:pPr>
          </w:p>
        </w:tc>
        <w:tc>
          <w:tcPr>
            <w:tcW w:w="124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r>
      <w:tr>
        <w:trPr>
          <w:trHeight w:val="195"/>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11,603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7"/>
        </w:trPr>
        <w:tc>
          <w:tcPr>
            <w:tcW w:w="8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Net cash used in operating activities for the thirty-nine weeks ended November 2, 2019, was $9.2 million compared to net cash provided by operating activities of $11.6 million for the thirty-nine weeks ended November 3, 2018. The decrease in cash provided by operating activities was primarily related to the change in inventories and accrued and other liabilities. The change in inventories resulted in a $22.0 million use of cash, primarily as a result of accelerated inventory receipts, compared to a $8.7 million source of cash in the comparable prior-year period. The change in accrued and other liabilities resulted in a $9.0 million use of cash compared to $3.4 million in the comparable prior-year period primarily due to timing of expenses and Pura Vida activity.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$67.0 million and $6.5 million for the thirty-nine weeks ended November 2, 2019 and November 3, 2018, respectively. The increase in cash used in investing activities was primarily a result of the acquisition of a 75% interest in Pura Vida partially offset by net investment activity. Refer to Note 12 herein for additional information regarding the Pura Vida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2020 are expected to be approximately $13.0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$11.2 million and $11.5 million for the thirty-nine weeks ended November 2, 2019 and November 3, 2018, respectively. The decrease in cash used in financing activities was primarily due lower cash purchases of our common stock under the 2018 Share Repurchase Plan compared to the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CB Floating Rate, Adjusted LIBO Rate, or LIBO Rate shall be determined by the administrative agent. The Credit Agreement also requires VBD to pay a commitment fee for the unused portion of the revolving facility of up to 0.20% per annum.</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November 2, 2019.</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2019. In addition to these policies, refer to Note 1 “Description of the Company and Basis of Presentation” and Note 3 “Leases” within Item 1 “Financial Statements” of this Quarterly Report on Form 10-Q for a discussion of the Company's lease accounting policy under the recently adopted Accounting Standards Codification Topic 842. In addition to leases, also refer to Note 1 for discussion regarding accounting policies for business combinations and redeemable noncontrolling interests.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2019. With the exception of leases, business combinations, goodwill and intangible assets, and redeemable noncontrolling interests, there were no significant changes to any of the critical accounting policies and estimates described in the Annual Report as of November 2,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November 2, 2019, there was no material change in the market risks described in “Quantitative and Qualitative Disclosures About Market Risks” in the Company’s Annual Report on Form 10-K for the fiscal year ended February 2, 2019.</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November 2, 2019.</w:t>
      </w:r>
    </w:p>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Other than the implementation of controls related to the accounting of the Pura Vida business combination and redeemable noncontrolling interest, and the related financial statement reporting, there has been no change in our internal control over financial reporting during the most recent fiscal quarter that has materially affected, or that is reasonably likely to materially affect, our internal control over financial reporting.</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majority interest in Pura Vida. Pura Vida constitutes approximately 26% of total assets and 6% of total liabilities (excluding contingent consideration) as of November 2, 2019, and less than 20% and approximately 9% of net revenues for the thirteen and thirty-nine weeks ended November 2, 2019, respectively. The Company is in the process of evaluating the existing controls and procedures of the acquired business and integrating the acquired business into its system of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from the above assessment of the Company’s disclosure controls and procedures the disclosure controls and procedures of the acquired business that are subsumed by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7"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for the items below, there has been no material change to our risk factors as previously set forth in the Company’s Annual Report on Form 10-K for the fiscal year ended February 2, 2019.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Pura Vida acquisition may not be successful in achieving intended benefits and may disrupt current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a majority interest in Creative Genius, Inc. or “Pura Vida,” on July 16, 2019. This acquisition, and as with most any business acquisition, poses a number of potential integration risks that may result in negative consequences to our business, financial condition, and results of operations. These risks include, but are not limited to:</w:t>
      </w:r>
    </w:p>
    <w:p>
      <w:pPr>
        <w:spacing w:after="0" w:line="4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business to perform as planned following the acquisition to achieve anticipated revenue or profitability targets;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assimilation and retention of employees, including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and/or a need to allocate resources to manage unexpected operating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and resources of management or other disruptions to current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required regulatory approvals, licenses, and permits;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of the acquired business not identified during due diligence;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issues, expenses, and liabilities.</w:t>
      </w:r>
    </w:p>
    <w:p>
      <w:pPr>
        <w:spacing w:after="0" w:line="2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its acquisition, Pura Vida was a privately-held company and its new obligations from being part of a public company may require significant additional resources and management consideration.</w:t>
      </w:r>
    </w:p>
    <w:p>
      <w:pPr>
        <w:spacing w:after="0" w:line="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the completion of the Pura Vida acquisition, Pura Vida became a subsidiary of our consolidated Company and will need to comply with U.S. Generally Accepted Accounting Principles (“GAAP”), the Sarbanes-Oxley Act of 2002 (“SOX”), the Dodd-Frank Act and the rules and regulations subsequently implemented by the SEC and the Public Company Accounting Oversight Board. We will need to ensure that Pura Vida establishes and maintains effective disclosure controls as well as internal controls and procedures for financial reporting under U.S. GAAP, and such compliance efforts may be costly and may divert the attention of management. There are a number of processes, policies, procedures, and functions that must be integrated, or enhanced at Pura Vida, particularly those related to the implementation of a SOX compliant control environment. The execution of these plans may lead to additional unanticipated costs and time delays that could negatively impact our business, financial condition, and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combined company’s financial condition and results of operations.</w:t>
      </w:r>
    </w:p>
    <w:p>
      <w:pPr>
        <w:spacing w:after="0" w:line="4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are using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w:t>
      </w:r>
    </w:p>
    <w:p>
      <w:pPr>
        <w:spacing w:after="0" w:line="2" w:lineRule="exact"/>
        <w:rPr>
          <w:sz w:val="20"/>
          <w:szCs w:val="20"/>
          <w:color w:val="auto"/>
        </w:rPr>
      </w:pPr>
    </w:p>
    <w:p>
      <w:pPr>
        <w:ind w:right="140" w:firstLine="8"/>
        <w:spacing w:after="0" w:line="253"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any noncontrolling interest in the acquiree over the net assets acquired and liabilities assumed. The provisional purchase price allocation resulted in a preliminary goodwill value of $44.6 million and a preliminary value of $61.7 million related to other intangible assets. Refer to Note 12 within Item 1 “Financial Statements” of this Quarterly Report on Form 10-Q for additional information regarding the provisional purchase price allocation. When the combined company performs impairment tests, it is possible that the carrying value of goodwill or other intangible assets could exceed their implied fair value and therefore would require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adjustment. Such adjustment would result in a charge to operating income in that period. Once adjusted, there can be no assurance that there will not be further adjustments for impairment in future periods.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Put/Call Agreement between the Company, certain of its subsidiaries, and Creative Genius, Inc. may require us to purchase the remaining 25% interest in the Pura Vida business.</w:t>
      </w:r>
    </w:p>
    <w:p>
      <w:pPr>
        <w:spacing w:after="0" w:line="2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In the event of a change in control of the Company, the parties may exercise a portion of their put and call rights prior to the fifth anniversary of the closing date (as defined in the Put/Call Agreement).</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execution of the Sellers right to require us to purchase the Remaining Pura Vida Interest may represent a significant financial obligation that could have a material adverse impact on our liquidity, results of operations, and financial condition.</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purchased 388,833 shares at an average price of $10.05 per share, excluding commissions, for an aggregate amount of $3.9 million during the thirteen weeks ended November 2, 2019, under the 2018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November 2, 2019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4, 2019 - August 31,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87,192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41,120,594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1, 2019 - October 5, 2019</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189,894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189,894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39,285,941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6, 2019 - November 2,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111,747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111,747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38,115,675</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388,833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388,833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6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160" w:hanging="1265"/>
        <w:spacing w:after="0" w:line="255"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November 2, 2019 formatted in Extensible Business Reporting Language (XBRL): (i) Condensed Consolidated Statements of Operations for the Thirteen and Thirty-Nine Weeks ended November 2, 2019 and November 3, 2018; (ii) Condensed Consolidated Statements of Comprehensive Income for the Thirteen and Thirty-Nine Weeks ended November 2, 2019 and November 3, 2018; (iii) Condensed Consolidated Balance Sheets as of November 2, 2019 and November 3, 2019; (iv) Condensed Consolidated Statements of Shareholders' Equity for the Thirteen and Thirty-Nine Weeks ended November 2, 2019 and November 3, 2018; (v) Condensed Consolidated Statements of Cash Flows for the Thirty-Nine Weeks ended November 2, 2019 and November 3, 2018, and (vi) Notes to Condensed Consolidated Financial Statements. **</w:t>
      </w:r>
    </w:p>
    <w:p>
      <w:pPr>
        <w:spacing w:after="0" w:line="149" w:lineRule="exact"/>
        <w:rPr>
          <w:sz w:val="20"/>
          <w:szCs w:val="20"/>
          <w:color w:val="auto"/>
        </w:rPr>
      </w:pPr>
    </w:p>
    <w:p>
      <w:pPr>
        <w:ind w:left="740" w:hanging="705"/>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December 11, 2019</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240" w:top="117"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December 11, 2019</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49"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December 11, 2019</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49"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November 2,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November 2,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
      <w:numFmt w:val="bullet"/>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4"/>
    </w:lvl>
  </w:abstractNum>
  <w:abstractNum w:abstractNumId="11">
    <w:nsid w:val="8EDBDAB"/>
    <w:multiLevelType w:val="hybridMultilevel"/>
    <w:lvl w:ilvl="0">
      <w:lvlJc w:val="left"/>
      <w:lvlText w:val="%1."/>
      <w:numFmt w:val="decimal"/>
      <w:start w:val="5"/>
    </w:lvl>
    <w:lvl w:ilvl="1">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6"/>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decimal"/>
      <w:start w:val="9"/>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11"/>
    </w:lvl>
  </w:abstractNum>
  <w:abstractNum w:abstractNumId="18">
    <w:nsid w:val="2CA88611"/>
    <w:multiLevelType w:val="hybridMultilevel"/>
    <w:lvl w:ilvl="0">
      <w:lvlJc w:val="left"/>
      <w:lvlText w:val="%1."/>
      <w:numFmt w:val="decimal"/>
      <w:start w:val="12"/>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3"/>
    </w:lvl>
  </w:abstractNum>
  <w:abstractNum w:abstractNumId="22">
    <w:nsid w:val="8138641"/>
    <w:multiLevelType w:val="hybridMultilevel"/>
    <w:lvl w:ilvl="0">
      <w:lvlJc w:val="left"/>
      <w:lvlText w:val="%1."/>
      <w:numFmt w:val="decimal"/>
      <w:start w:val="14"/>
    </w:lvl>
  </w:abstractNum>
  <w:abstractNum w:abstractNumId="23">
    <w:nsid w:val="1E7FF521"/>
    <w:multiLevelType w:val="hybridMultilevel"/>
    <w:lvl w:ilvl="0">
      <w:lvlJc w:val="left"/>
      <w:lvlText w:val="%1."/>
      <w:numFmt w:val="decimal"/>
      <w:start w:val="15"/>
    </w:lvl>
  </w:abstractNum>
  <w:abstractNum w:abstractNumId="24">
    <w:nsid w:val="7C3DBD3D"/>
    <w:multiLevelType w:val="hybridMultilevel"/>
    <w:lvl w:ilvl="0">
      <w:lvlJc w:val="left"/>
      <w:lvlText w:val="%1"/>
      <w:numFmt w:val="decimal"/>
      <w:start w:val="1"/>
    </w:lvl>
    <w:lvl w:ilvl="1">
      <w:lvlJc w:val="left"/>
      <w:lvlText w:val="(%2)"/>
      <w:numFmt w:val="decimal"/>
      <w:start w:val="1"/>
    </w:lvl>
  </w:abstractNum>
  <w:abstractNum w:abstractNumId="25">
    <w:nsid w:val="737B8DDC"/>
    <w:multiLevelType w:val="hybridMultilevel"/>
    <w:lvl w:ilvl="0">
      <w:lvlJc w:val="left"/>
      <w:lvlText w:val="%1."/>
      <w:numFmt w:val="decimal"/>
      <w:start w:val="16"/>
    </w:lvl>
    <w:lvl w:ilvl="1">
      <w:lvlJc w:val="left"/>
      <w:lvlText w:val="%2"/>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2"/>
    </w:lvl>
  </w:abstractNum>
  <w:abstractNum w:abstractNumId="32">
    <w:nsid w:val="5577F8E1"/>
    <w:multiLevelType w:val="hybridMultilevel"/>
    <w:lvl w:ilvl="0">
      <w:lvlJc w:val="left"/>
      <w:lvlText w:val="%1"/>
      <w:numFmt w:val="decimal"/>
      <w:start w:val="10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2019-12-28T01:00:45Z</dcterms:created>
  <dcterms:modified xsi:type="dcterms:W3CDTF">2019-12-28T01:00:45Z</dcterms:modified>
</cp:coreProperties>
</file>