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358"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4,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46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460" w:type="dxa"/>
            <w:vAlign w:val="bottom"/>
          </w:tcPr>
          <w:p>
            <w:pPr>
              <w:jc w:val="center"/>
              <w:ind w:right="19"/>
              <w:spacing w:after="0"/>
              <w:rPr>
                <w:sz w:val="20"/>
                <w:szCs w:val="20"/>
                <w:color w:val="auto"/>
              </w:rPr>
            </w:pPr>
            <w:r>
              <w:rPr>
                <w:rFonts w:ascii="Arial" w:cs="Arial" w:eastAsia="Arial" w:hAnsi="Arial"/>
                <w:sz w:val="18"/>
                <w:szCs w:val="18"/>
                <w:b w:val="1"/>
                <w:bCs w:val="1"/>
                <w:color w:val="auto"/>
                <w:w w:val="95"/>
              </w:rPr>
              <w:t>Indiana</w:t>
            </w:r>
          </w:p>
        </w:tc>
        <w:tc>
          <w:tcPr>
            <w:tcW w:w="5160" w:type="dxa"/>
            <w:vAlign w:val="bottom"/>
          </w:tcPr>
          <w:p>
            <w:pPr>
              <w:jc w:val="right"/>
              <w:ind w:right="40"/>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60" w:type="dxa"/>
            <w:vAlign w:val="bottom"/>
          </w:tcPr>
          <w:p>
            <w:pPr>
              <w:jc w:val="center"/>
              <w:ind w:left="3960"/>
              <w:spacing w:after="0"/>
              <w:rPr>
                <w:sz w:val="20"/>
                <w:szCs w:val="20"/>
                <w:color w:val="auto"/>
              </w:rPr>
            </w:pPr>
            <w:r>
              <w:rPr>
                <w:rFonts w:ascii="Arial" w:cs="Arial" w:eastAsia="Arial" w:hAnsi="Arial"/>
                <w:sz w:val="14"/>
                <w:szCs w:val="14"/>
                <w:b w:val="1"/>
                <w:bCs w:val="1"/>
                <w:color w:val="auto"/>
                <w:w w:val="94"/>
              </w:rPr>
              <w:t>Identification No.)</w:t>
            </w:r>
          </w:p>
        </w:tc>
      </w:tr>
      <w:tr>
        <w:trPr>
          <w:trHeight w:val="561"/>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12420 Stonebridge Road,</w:t>
            </w:r>
          </w:p>
        </w:tc>
        <w:tc>
          <w:tcPr>
            <w:tcW w:w="516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2"/>
              </w:rPr>
              <w:t>Roanoke, Indiana</w:t>
            </w:r>
          </w:p>
        </w:tc>
        <w:tc>
          <w:tcPr>
            <w:tcW w:w="5160" w:type="dxa"/>
            <w:vAlign w:val="bottom"/>
          </w:tcPr>
          <w:p>
            <w:pPr>
              <w:jc w:val="right"/>
              <w:ind w:right="260"/>
              <w:spacing w:after="0"/>
              <w:rPr>
                <w:sz w:val="20"/>
                <w:szCs w:val="20"/>
                <w:color w:val="auto"/>
              </w:rPr>
            </w:pPr>
            <w:r>
              <w:rPr>
                <w:rFonts w:ascii="Arial" w:cs="Arial" w:eastAsia="Arial" w:hAnsi="Arial"/>
                <w:sz w:val="18"/>
                <w:szCs w:val="18"/>
                <w:b w:val="1"/>
                <w:bCs w:val="1"/>
                <w:color w:val="auto"/>
              </w:rPr>
              <w:t>46783</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398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Arial" w:cs="Arial" w:eastAsia="Arial" w:hAnsi="Arial"/>
                <w:sz w:val="18"/>
                <w:szCs w:val="18"/>
                <w:b w:val="1"/>
                <w:bCs w:val="1"/>
                <w:color w:val="auto"/>
              </w:rPr>
              <w:t>(877) 708-8372</w:t>
            </w:r>
          </w:p>
        </w:tc>
      </w:tr>
      <w:tr>
        <w:trPr>
          <w:trHeight w:val="186"/>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15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9"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300" w:space="720"/>
            <w:col w:w="160" w:space="100"/>
            <w:col w:w="3920" w:space="720"/>
            <w:col w:w="2460" w:space="720"/>
            <w:col w:w="320"/>
          </w:cols>
          <w:pgMar w:left="240" w:top="229" w:right="239" w:bottom="0" w:gutter="0" w:footer="0" w:header="0"/>
          <w:type w:val="continuous"/>
        </w:sectPr>
      </w:pPr>
    </w:p>
    <w:bookmarkStart w:id="1" w:name="page2"/>
    <w:bookmarkEnd w:id="1"/>
    <w:p>
      <w:pPr>
        <w:ind w:left="792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ind w:lef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34,214,013 shares of its common stock outstanding as of 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10"/>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88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May 4 2019, and February 2, 2019</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Thirteen Weeks Ended May 4, 2019, and May 5, 2018</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for the Thirteen Weeks Ended May 4, 2019, and May 5, 2018</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40" w:type="dxa"/>
            <w:vAlign w:val="bottom"/>
            <w:tcBorders>
              <w:top w:val="single" w:sz="8" w:color="0000EE"/>
            </w:tcBorders>
            <w:gridSpan w:val="16"/>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Shareholders' Equity for the Thirteen Weeks Ended May 4, 2019, and May 5, 2018</w:t>
              </w:r>
            </w:hyperlink>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Thirteen Weeks Ended May 4, 2019, and May 5, 2018</w:t>
              </w:r>
            </w:hyperlink>
          </w:p>
        </w:tc>
        <w:tc>
          <w:tcPr>
            <w:tcW w:w="640" w:type="dxa"/>
            <w:vAlign w:val="bottom"/>
            <w:tcBorders>
              <w:top w:val="single" w:sz="8" w:color="0000EE"/>
            </w:tcBorders>
          </w:tcPr>
          <w:p>
            <w:pPr>
              <w:spacing w:after="0"/>
              <w:rPr>
                <w:sz w:val="24"/>
                <w:szCs w:val="24"/>
                <w:color w:val="auto"/>
              </w:rPr>
            </w:pPr>
          </w:p>
        </w:tc>
        <w:tc>
          <w:tcPr>
            <w:tcW w:w="14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600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84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936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60" w:type="dxa"/>
            <w:vAlign w:val="bottom"/>
            <w:gridSpan w:val="11"/>
          </w:tcPr>
          <w:p>
            <w:pPr>
              <w:ind w:left="47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5"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2, 2019.</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Vera Bradley,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w:t>
            </w:r>
          </w:p>
        </w:tc>
        <w:tc>
          <w:tcPr>
            <w:tcW w:w="240" w:type="dxa"/>
            <w:vAlign w:val="bottom"/>
          </w:tcPr>
          <w:p>
            <w:pPr>
              <w:spacing w:after="0"/>
              <w:rPr>
                <w:sz w:val="24"/>
                <w:szCs w:val="2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43"/>
        </w:trPr>
        <w:tc>
          <w:tcPr>
            <w:tcW w:w="1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252,468</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Operating right-of-use assets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77,951</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362,148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rPr>
                <w:sz w:val="4"/>
                <w:szCs w:val="4"/>
                <w:color w:val="auto"/>
              </w:rPr>
            </w:pPr>
          </w:p>
        </w:tc>
        <w:tc>
          <w:tcPr>
            <w:tcW w:w="7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14,595</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174,650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67,445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41,466 and 41,283 shares issued and 34,247</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and 34,347 shares outstanding, respectively</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Additional paid-in-capital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289,393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291,994</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360" w:type="dxa"/>
            <w:vAlign w:val="bottom"/>
            <w:gridSpan w:val="3"/>
          </w:tcPr>
          <w:p>
            <w:pPr>
              <w:ind w:left="280"/>
              <w:spacing w:after="0"/>
              <w:rPr>
                <w:sz w:val="20"/>
                <w:szCs w:val="20"/>
                <w:color w:val="auto"/>
              </w:rPr>
            </w:pPr>
            <w:r>
              <w:rPr>
                <w:rFonts w:ascii="Arial" w:cs="Arial" w:eastAsia="Arial" w:hAnsi="Arial"/>
                <w:sz w:val="18"/>
                <w:szCs w:val="18"/>
                <w:color w:val="auto"/>
              </w:rPr>
              <w:t>Treasury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294,703</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464,424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w:t>
            </w:r>
          </w:p>
        </w:tc>
        <w:tc>
          <w:tcPr>
            <w:tcW w:w="32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May 5,</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40,535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37,975</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48,616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50,705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8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35,532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35,532</w:t>
            </w:r>
          </w:p>
        </w:tc>
      </w:tr>
      <w:tr>
        <w:trPr>
          <w:trHeight w:val="324"/>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4,</w:t>
            </w:r>
          </w:p>
        </w:tc>
        <w:tc>
          <w:tcPr>
            <w:tcW w:w="320" w:type="dxa"/>
            <w:vAlign w:val="bottom"/>
          </w:tcPr>
          <w:p>
            <w:pPr>
              <w:spacing w:after="0"/>
              <w:rPr>
                <w:sz w:val="14"/>
                <w:szCs w:val="14"/>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b w:val="1"/>
                <w:bCs w:val="1"/>
                <w:color w:val="auto"/>
              </w:rPr>
              <w:t>May 5,</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Unrealized gain (loss) on available-for-sale debt investments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loss, net of tax</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20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(Loss) Income</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 2019</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34,347,420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6,935,623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95,572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291,994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294,703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 on available for sale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183,346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Cumulative adjustment for ASC 842</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adoption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4, 2019</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34,246,678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7,219,711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96,019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289,393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289,774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3, 2018</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35,459,025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5,642,485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91,192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270,783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285,283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Unrealized loss on available for sale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177,192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Cumulative adjustment for ASC 606</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adoption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5, 2018</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35,636,217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5,642,485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91,569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269,867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284,695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4,</w:t>
            </w:r>
          </w:p>
        </w:tc>
        <w:tc>
          <w:tcPr>
            <w:tcW w:w="320" w:type="dxa"/>
            <w:vAlign w:val="bottom"/>
          </w:tcPr>
          <w:p>
            <w:pPr>
              <w:spacing w:after="0"/>
              <w:rPr>
                <w:sz w:val="13"/>
                <w:szCs w:val="13"/>
                <w:color w:val="auto"/>
              </w:rPr>
            </w:pPr>
          </w:p>
        </w:tc>
        <w:tc>
          <w:tcPr>
            <w:tcW w:w="1160" w:type="dxa"/>
            <w:vAlign w:val="bottom"/>
          </w:tcPr>
          <w:p>
            <w:pPr>
              <w:jc w:val="right"/>
              <w:ind w:right="451"/>
              <w:spacing w:after="0" w:line="153" w:lineRule="exact"/>
              <w:rPr>
                <w:sz w:val="20"/>
                <w:szCs w:val="20"/>
                <w:color w:val="auto"/>
              </w:rPr>
            </w:pPr>
            <w:r>
              <w:rPr>
                <w:rFonts w:ascii="Arial" w:cs="Arial" w:eastAsia="Arial" w:hAnsi="Arial"/>
                <w:sz w:val="14"/>
                <w:szCs w:val="14"/>
                <w:b w:val="1"/>
                <w:bCs w:val="1"/>
                <w:color w:val="auto"/>
              </w:rPr>
              <w:t>May 5,</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operating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maturities and sales of investments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withholdings for equity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68,751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61,403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(received) for income taxes,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activity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Expenditures incurred but not yet paid as of May 4, 2019 and May 5,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Expenditures incurred but not yet paid as of February 2, 2019 and February 3, 2018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Purchases of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Expenditures incurred but not yet paid as of May 4, 2019 and May 5, 2018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Expenditures incurred but not yet paid as of February 2, 2019 and February 3,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1" w:right="239" w:bottom="10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07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4"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terms “Company” and “Vera Bradley” refer to Vera Bradley, Inc. and its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46"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Vera Bradley offers a unique,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and the Company’s annual outlet sale in Fort Wayne, Indiana. As of May 4, 2019, the Company operated 97 full-line stores and 62 factory outlet stores. The Indirect business consists of sales of Vera Bradley products to approximately 2,200 specialty retail locations, substantially all of which are located in the United States, as well as department stores, national accounts, third-party e-commerce sites, third-party inventory liquidators, and royalties recognized through licensing agreements.</w:t>
      </w:r>
    </w:p>
    <w:p>
      <w:pPr>
        <w:spacing w:after="0" w:line="54" w:lineRule="exact"/>
        <w:rPr>
          <w:rFonts w:ascii="Arial" w:cs="Arial" w:eastAsia="Arial" w:hAnsi="Arial"/>
          <w:sz w:val="18"/>
          <w:szCs w:val="18"/>
          <w:b w:val="1"/>
          <w:bCs w:val="1"/>
          <w:color w:val="auto"/>
        </w:rPr>
      </w:pPr>
    </w:p>
    <w:p>
      <w:pPr>
        <w:ind w:left="66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2, 2019, filed with the SEC.</w:t>
      </w:r>
    </w:p>
    <w:p>
      <w:pPr>
        <w:spacing w:after="0" w:line="23"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4, 2019, are not necessarily indicative of the results to be expected for the full fiscal year.</w:t>
      </w:r>
    </w:p>
    <w:p>
      <w:pPr>
        <w:spacing w:after="0" w:line="20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May 4, 2019 and May 5, 2018, refer to the thirteen-week periods ended on those dates.</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94" w:lineRule="exact"/>
        <w:rPr>
          <w:rFonts w:ascii="Arial" w:cs="Arial" w:eastAsia="Arial" w:hAnsi="Arial"/>
          <w:sz w:val="18"/>
          <w:szCs w:val="18"/>
          <w:b w:val="1"/>
          <w:bCs w:val="1"/>
          <w:color w:val="auto"/>
        </w:rPr>
      </w:pPr>
    </w:p>
    <w:p>
      <w:pPr>
        <w:ind w:left="6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Accounting Standard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was adopted on a modified retrospective basis on February 3, 2019. Accordingly, prior year financial information contained herein was not recast and is reported under the prior accounting standard. This comparability primarily impacts the Company's Condensed Consolidated Balance Sheets. Refer to Note 3 herein for additional information regarding the Company's leases.</w:t>
      </w:r>
    </w:p>
    <w:p>
      <w:pPr>
        <w:spacing w:after="0" w:line="11"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46"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Operating lease liabilities are amortized based upon the effective interest method. Operating right-of-use assets are amortized based upon the straight line lease expense less interest on the lease liability. Operating lease expense is recognized on a straight-line basis over the lease term. Variable rent expense is recognized in the period incurred.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adopted the standard using this adoption method on February 3, 2019 (the beginning of fiscal 2020) and recorded a $0.2 million beginning retained earnings adjustment. In addition, the Company evaluated the usage of applicable transition relief practical expedients at the adoption date as follows:</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Practical Expedient Package</w:t>
            </w: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The Company elected the practical expedient package and did not re-assess whether a contract was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contained a lease; did not re-assess lease classification as an operating or financing lease for expired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existing leases; and did not re-assess whether a lease contained initial direct costs for expired or</w:t>
            </w:r>
          </w:p>
        </w:tc>
      </w:tr>
      <w:tr>
        <w:trPr>
          <w:trHeight w:val="237"/>
        </w:trPr>
        <w:tc>
          <w:tcPr>
            <w:tcW w:w="23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existing leases.</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Hindsight</w:t>
            </w:r>
          </w:p>
        </w:tc>
        <w:tc>
          <w:tcPr>
            <w:tcW w:w="7620" w:type="dxa"/>
            <w:vAlign w:val="bottom"/>
          </w:tcPr>
          <w:p>
            <w:pPr>
              <w:ind w:left="160"/>
              <w:spacing w:after="0"/>
              <w:rPr>
                <w:sz w:val="20"/>
                <w:szCs w:val="20"/>
                <w:color w:val="auto"/>
              </w:rPr>
            </w:pPr>
            <w:r>
              <w:rPr>
                <w:rFonts w:ascii="Arial" w:cs="Arial" w:eastAsia="Arial" w:hAnsi="Arial"/>
                <w:sz w:val="18"/>
                <w:szCs w:val="18"/>
                <w:color w:val="auto"/>
              </w:rPr>
              <w:t>The Company did not elect the hindsight practical expedient, which allows for hindsight when</w:t>
            </w:r>
          </w:p>
        </w:tc>
      </w:tr>
      <w:tr>
        <w:trPr>
          <w:trHeight w:val="230"/>
        </w:trPr>
        <w:tc>
          <w:tcPr>
            <w:tcW w:w="238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assessing the lease term and impairment of right-of-use assets.</w:t>
            </w:r>
          </w:p>
        </w:tc>
      </w:tr>
    </w:tbl>
    <w:p>
      <w:pPr>
        <w:spacing w:after="0" w:line="94"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The Company has operating leases at all of its retail stores; therefore, the adoption of this standard resulted in a material increase of assets and liabilities on the Company’s Condensed Consolidated Balance Sheets. The opening balance of its operating lease liabilities was approximately $149 million and its operating right-of-use assets were approximately $126 million at transition on February 3, 2019. The adoption of this standard had no impact on the Company's Condensed Consolidated Statements of Operations and its Condensed Consolidated Statements of Cash Flows.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 to Note 3 herein for additional information regarding ASC Topic 842, including details of practical expedients related to policy elections.</w:t>
      </w:r>
    </w:p>
    <w:p>
      <w:pPr>
        <w:spacing w:after="0" w:line="10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 That</w:t>
      </w:r>
      <w:r>
        <w:rPr>
          <w:rFonts w:ascii="Arial" w:cs="Arial" w:eastAsia="Arial" w:hAnsi="Arial"/>
          <w:sz w:val="18"/>
          <w:szCs w:val="18"/>
          <w:color w:val="auto"/>
        </w:rPr>
        <w:t xml:space="preserve"> </w:t>
      </w:r>
      <w:r>
        <w:rPr>
          <w:rFonts w:ascii="Arial" w:cs="Arial" w:eastAsia="Arial" w:hAnsi="Arial"/>
          <w:sz w:val="18"/>
          <w:szCs w:val="18"/>
          <w:i w:val="1"/>
          <w:iCs w:val="1"/>
          <w:color w:val="auto"/>
        </w:rPr>
        <w:t>Is a Service Contract</w:t>
      </w:r>
      <w:r>
        <w:rPr>
          <w:rFonts w:ascii="Arial" w:cs="Arial" w:eastAsia="Arial" w:hAnsi="Arial"/>
          <w:sz w:val="18"/>
          <w:szCs w:val="18"/>
          <w:color w:val="auto"/>
        </w:rPr>
        <w:t>, which aligns the requirements for capitalizing or expensing implementation costs in hosting arrangements (regardless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they convey a license to the hosted software) with capitalizing or expensing implementation costs incurred to develop or obtain internal-use software. This guidance is effective for interim and annual periods beginning on or after December 15, 2019 (fiscal 2021). Early adoption is permitted, and the amendments can be adopted either retrospectively or prospectively. The Company adopted this standard at the beginning of its fiscal 2020 (February 3, 2019) on a prospective basis. The adoption of this standard had an immaterial impact on the Company's Condensed Consolidated Financial Statements.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xml:space="preserve">. The amendments in this update remove, modify, and add certain disclosure requirements to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presents the Company's net revenues disaggregated by product category for the thirteen weeks ended May 4, 2019 and May 5, 2018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Thirteen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May 4, 2019</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27,667</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9,991</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37,658</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19,926</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23,648</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16,060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4,202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20,262</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5,685</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6,269</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1,798</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3,166</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71,136</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91,003</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and freight.</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1000" w:firstLine="3"/>
        <w:spacing w:after="0" w:line="277"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$18.9 million of net revenues related to product sales recognized at a point in time and $1.0 million of net revenues related to sales-based royalties recognized over time.</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Thirteen Weeks Ended</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50"/>
        </w:trPr>
        <w:tc>
          <w:tcPr>
            <w:tcW w:w="3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May 5, 2018</w:t>
            </w: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Direct Segment</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Indirect Segment</w:t>
            </w:r>
          </w:p>
        </w:tc>
        <w:tc>
          <w:tcPr>
            <w:tcW w:w="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Bags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25,600</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10,228</w:t>
            </w:r>
          </w:p>
        </w:tc>
        <w:tc>
          <w:tcPr>
            <w:tcW w:w="3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35,828</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18,059</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22,749</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15,679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4,168</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19,847</w:t>
            </w: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4,170</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4,628</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2,024</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3,539</w:t>
            </w:r>
          </w:p>
        </w:tc>
      </w:tr>
      <w:tr>
        <w:trPr>
          <w:trHeight w:val="27"/>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65,532</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86,591</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freight, and gift card breakage.</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940" w:hanging="257"/>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680" w:right="1000" w:firstLine="3"/>
        <w:spacing w:after="0" w:line="277"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 million of net revenues related to product sales recognized at a point in time and $1.0 million of net revenues related to sales-based royalties recognized over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94"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Contract liabilities as of May 4, 2019 and February 2, 2019, consisted of $1.4 million and $1.6 million, respectively,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May 4, 2019 and February 2, 2019.</w:t>
      </w:r>
    </w:p>
    <w:p>
      <w:pPr>
        <w:spacing w:after="0" w:line="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balance for accounts receivable from contracts with customers, net of allowances, as of May 4, 2019 and February 2, 2019, was $15.1 million and $14.1 million, respectively, which is recognized within accounts receivable, net, on the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Company’s Condensed Consolidated Balance Sheets. The provision for doubtful accounts was $0.4 million and $0.3 million as of May 4, 2019 and February 2, 2019,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performance obligations for the Direct and Indirect segments include the promise to transfer distinct goods (or a bundle of distinct goods). The Indirect segment also includes the right to access the Company’s intellectual property (“IP”).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May 4, 2019.</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Leases</w:t>
      </w:r>
    </w:p>
    <w:p>
      <w:pPr>
        <w:spacing w:after="0" w:line="94" w:lineRule="exact"/>
        <w:rPr>
          <w:rFonts w:ascii="Arial" w:cs="Arial" w:eastAsia="Arial" w:hAnsi="Arial"/>
          <w:sz w:val="18"/>
          <w:szCs w:val="18"/>
          <w:b w:val="1"/>
          <w:bCs w:val="1"/>
          <w:color w:val="auto"/>
        </w:rPr>
      </w:pPr>
    </w:p>
    <w:p>
      <w:pPr>
        <w:ind w:left="6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operating leases at all of its retail stores, as well as for its New York office, Asia sourcing office and showrooms. The Company also has operating leases for certain equipment and storage spaces. The Company does not have residual value guarantees, restrictions, or covenants imposed by leases.</w:t>
      </w:r>
    </w:p>
    <w:p>
      <w:pPr>
        <w:spacing w:after="0" w:line="17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Lease Terms</w:t>
      </w:r>
    </w:p>
    <w:p>
      <w:pPr>
        <w:spacing w:after="0" w:line="94"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Retail store leases have remaining terms of up to 10 years as of May 4, 2019. These leases generally have early termination rights when certain sales thresholds are not met for a specified measurement period. The Company's other leases have remaining terms of up to seven years as of May 4, 2019.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May 4, 2019.</w:t>
      </w:r>
    </w:p>
    <w:p>
      <w:pPr>
        <w:spacing w:after="0" w:line="1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Variable Rental Payments</w:t>
      </w:r>
    </w:p>
    <w:p>
      <w:pPr>
        <w:spacing w:after="0" w:line="94"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of the Company's retail store leases contain variable rental payments when the retail store's sales exceed a specified breakpoint. In addition, certain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51"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7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Significant Judgments and Assumptions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Determination of Whether a Contract Contains a Lease</w:t>
      </w:r>
    </w:p>
    <w:p>
      <w:pPr>
        <w:spacing w:after="0" w:line="90"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Discount Rate</w:t>
      </w:r>
    </w:p>
    <w:p>
      <w:pPr>
        <w:spacing w:after="0" w:line="90" w:lineRule="exact"/>
        <w:rPr>
          <w:rFonts w:ascii="Arial" w:cs="Arial" w:eastAsia="Arial" w:hAnsi="Arial"/>
          <w:sz w:val="18"/>
          <w:szCs w:val="18"/>
          <w:b w:val="1"/>
          <w:bCs w:val="1"/>
          <w:color w:val="auto"/>
        </w:rPr>
      </w:pPr>
    </w:p>
    <w:p>
      <w:pPr>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weighted-average discount rate as of May 4, 2019, was 4.9%.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94" w:lineRule="exact"/>
        <w:rPr>
          <w:sz w:val="20"/>
          <w:szCs w:val="20"/>
          <w:color w:val="auto"/>
        </w:rPr>
      </w:pPr>
    </w:p>
    <w:p>
      <w:pPr>
        <w:jc w:val="both"/>
        <w:ind w:left="660" w:right="60"/>
        <w:spacing w:after="0" w:line="259" w:lineRule="auto"/>
        <w:rPr>
          <w:sz w:val="20"/>
          <w:szCs w:val="20"/>
          <w:color w:val="auto"/>
        </w:rPr>
      </w:pPr>
      <w:r>
        <w:rPr>
          <w:rFonts w:ascii="Arial" w:cs="Arial" w:eastAsia="Arial" w:hAnsi="Arial"/>
          <w:sz w:val="18"/>
          <w:szCs w:val="18"/>
          <w:color w:val="auto"/>
        </w:rPr>
        <w:t>As of May 4, 2019, the Company had certain retail store leases which were executed but it did not have control of the underlying assets; therefore, the lease liabilities and right-of-use assets are not recorded on its Condensed Consolidated Balance Sheets. These leases contain undiscounted lease payments, which will be included in the determination of the lease liability, totaling approximately $11.5 million and have approximate terms of 10 years commencing in fiscal 2020 and fiscal 2021.</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Practical Expedients (Policy Elections)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the following practical expedients as policy elections upon the adoption of ASC Topic 842.</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Leases</w:t>
            </w:r>
          </w:p>
        </w:tc>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The Company elected to exclude leases with a term of 12 months or less from recognition on the</w:t>
            </w:r>
          </w:p>
        </w:tc>
      </w:tr>
      <w:tr>
        <w:trPr>
          <w:trHeight w:val="230"/>
        </w:trPr>
        <w:tc>
          <w:tcPr>
            <w:tcW w:w="2160" w:type="dxa"/>
            <w:vAlign w:val="bottom"/>
            <w:shd w:val="clear" w:color="auto" w:fill="CCEEFF"/>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balance sheet for all leases.</w:t>
            </w:r>
          </w:p>
        </w:tc>
      </w:tr>
      <w:tr>
        <w:trPr>
          <w:trHeight w:val="27"/>
        </w:trPr>
        <w:tc>
          <w:tcPr>
            <w:tcW w:w="216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 xml:space="preserve">Not Separating Lease and Nonlease </w:t>
      </w:r>
      <w:r>
        <w:rPr>
          <w:rFonts w:ascii="Arial" w:cs="Arial" w:eastAsia="Arial" w:hAnsi="Arial"/>
          <w:sz w:val="17"/>
          <w:szCs w:val="17"/>
          <w:color w:val="auto"/>
        </w:rPr>
        <w:t>The Company elected to combine lease and nonlease components and recognize as a single lease</w:t>
      </w:r>
    </w:p>
    <w:p>
      <w:pPr>
        <w:spacing w:after="0" w:line="39" w:lineRule="exact"/>
        <w:rPr>
          <w:sz w:val="20"/>
          <w:szCs w:val="20"/>
          <w:color w:val="auto"/>
        </w:rPr>
      </w:pPr>
    </w:p>
    <w:p>
      <w:pPr>
        <w:ind w:left="680"/>
        <w:spacing w:after="0"/>
        <w:tabs>
          <w:tab w:leader="none" w:pos="3460" w:val="left"/>
        </w:tabs>
        <w:rPr>
          <w:sz w:val="20"/>
          <w:szCs w:val="20"/>
          <w:color w:val="auto"/>
        </w:rPr>
      </w:pPr>
      <w:r>
        <w:rPr>
          <w:rFonts w:ascii="Arial" w:cs="Arial" w:eastAsia="Arial" w:hAnsi="Arial"/>
          <w:sz w:val="18"/>
          <w:szCs w:val="18"/>
          <w:b w:val="1"/>
          <w:bCs w:val="1"/>
          <w:color w:val="auto"/>
        </w:rPr>
        <w:t>Components</w:t>
      </w:r>
      <w:r>
        <w:rPr>
          <w:sz w:val="20"/>
          <w:szCs w:val="20"/>
          <w:color w:val="auto"/>
        </w:rPr>
        <w:tab/>
      </w:r>
      <w:r>
        <w:rPr>
          <w:rFonts w:ascii="Arial" w:cs="Arial" w:eastAsia="Arial" w:hAnsi="Arial"/>
          <w:sz w:val="18"/>
          <w:szCs w:val="18"/>
          <w:color w:val="auto"/>
        </w:rPr>
        <w:t>component for all leases.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 herein for information regarding transition practical expedients elected.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9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May 4, 2019 (in thousands):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Thirteen Weeks Ended</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May 4, 2019</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9,784</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The weighted-average remaining lease term as of May 4, 2019 was 5.8 years.</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Supplemental operating cash flow information was as follows (in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May 4, 2019</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Right-of-use assets reduction as a result of new and modified operating lease liabilities, net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702"/>
        </w:trPr>
        <w:tc>
          <w:tcPr>
            <w:tcW w:w="7860" w:type="dxa"/>
            <w:vAlign w:val="bottom"/>
          </w:tcPr>
          <w:p>
            <w:pPr>
              <w:ind w:left="49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1"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Maturity Analysis of Operating Lease Liabilities</w:t>
      </w:r>
    </w:p>
    <w:p>
      <w:pPr>
        <w:spacing w:after="0" w:line="9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Maturities of the Company's operating lease liabilities (undiscounted) reconciled to its lease liability as of May 4, 2019 were as follows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 (remaining nine months)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30,663</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28,307</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24,415</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39,244</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remaining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163,576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23,315</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140,261</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prior accounting standard (ASC Topic 840), the maturities of minimum lease payments as disclosed in the Company's Annual Report 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10-K as of the fiscal year ended February 2, 2019 were as follows: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32,658</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32,017</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29,707</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25,933</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22,250</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45,099</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remaining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187,664</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4,</w:t>
            </w:r>
          </w:p>
        </w:tc>
        <w:tc>
          <w:tcPr>
            <w:tcW w:w="220" w:type="dxa"/>
            <w:vAlign w:val="bottom"/>
          </w:tcPr>
          <w:p>
            <w:pPr>
              <w:spacing w:after="0"/>
              <w:rPr>
                <w:sz w:val="13"/>
                <w:szCs w:val="13"/>
                <w:color w:val="auto"/>
              </w:rPr>
            </w:pPr>
          </w:p>
        </w:tc>
        <w:tc>
          <w:tcPr>
            <w:tcW w:w="8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May 5,</w:t>
            </w:r>
          </w:p>
        </w:tc>
      </w:tr>
      <w:tr>
        <w:trPr>
          <w:trHeight w:val="192"/>
        </w:trPr>
        <w:tc>
          <w:tcPr>
            <w:tcW w:w="7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35,532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35,532</w:t>
            </w:r>
          </w:p>
        </w:tc>
      </w:tr>
      <w:tr>
        <w:trPr>
          <w:trHeight w:val="67"/>
        </w:trPr>
        <w:tc>
          <w:tcPr>
            <w:tcW w:w="77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Net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240" w:top="121" w:right="379" w:bottom="1440" w:gutter="0" w:footer="0" w:header="0"/>
        </w:sectPr>
      </w:pP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240" w:top="121" w:right="3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the thirteen weeks ended May 4, 2019 and May 5, 2018, all potential common shares were excluded from the diluted share calculation because they were anti-dilutive due to the net loss in the period.</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6"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May 4, 2019 and February 2, 2019, approximated their fair values.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May 4, 2019 and February 2, 2019 (in thousands):</w:t>
      </w:r>
    </w:p>
    <w:p>
      <w:pPr>
        <w:spacing w:after="0" w:line="33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May 4,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3"/>
                <w:szCs w:val="13"/>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May 4,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3"/>
                <w:szCs w:val="13"/>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May 4, 2019</w:t>
            </w:r>
          </w:p>
        </w:tc>
        <w:tc>
          <w:tcPr>
            <w:tcW w:w="1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8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Cash equivalents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U.S. asset-backed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Non-U.S. asset-backed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200"/>
              <w:spacing w:after="0"/>
              <w:rPr>
                <w:sz w:val="20"/>
                <w:szCs w:val="20"/>
                <w:color w:val="auto"/>
              </w:rPr>
            </w:pPr>
            <w:r>
              <w:rPr>
                <w:rFonts w:ascii="Arial" w:cs="Arial" w:eastAsia="Arial" w:hAnsi="Arial"/>
                <w:sz w:val="18"/>
                <w:szCs w:val="18"/>
                <w:color w:val="auto"/>
              </w:rPr>
              <w:t>Other foreign securities</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80" w:right="1260" w:firstLine="3"/>
        <w:spacing w:after="0" w:line="277"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equivalents include commercial paper and a money market fund that have a maturity of three months or less at the date of purchase. Due to their short maturity, the Company believes the carrying value approximates fair value.</w:t>
      </w:r>
    </w:p>
    <w:p>
      <w:pPr>
        <w:spacing w:after="0" w:line="76" w:lineRule="exact"/>
        <w:rPr>
          <w:sz w:val="20"/>
          <w:szCs w:val="20"/>
          <w:color w:val="auto"/>
        </w:rPr>
      </w:pPr>
    </w:p>
    <w:p>
      <w:pPr>
        <w:ind w:left="660"/>
        <w:spacing w:after="0" w:line="289" w:lineRule="auto"/>
        <w:rPr>
          <w:sz w:val="20"/>
          <w:szCs w:val="20"/>
          <w:color w:val="auto"/>
        </w:rPr>
      </w:pPr>
      <w:r>
        <w:rPr>
          <w:rFonts w:ascii="Arial" w:cs="Arial" w:eastAsia="Arial" w:hAnsi="Arial"/>
          <w:sz w:val="17"/>
          <w:szCs w:val="17"/>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1"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no impairment for the thirteen weeks ended May 4, 2019 and May 5, 2018.</w:t>
      </w:r>
    </w:p>
    <w:p>
      <w:pPr>
        <w:spacing w:after="0" w:line="52"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Assets recognized or disclosed at fair value on the consolidated financial statements on a nonrecurring basis include items such as property, plant, and equipment, including leasehold improvements, and operating lease assets. These assets are measured at fair value if determined to be impaired.</w:t>
      </w:r>
    </w:p>
    <w:p>
      <w:pPr>
        <w:spacing w:after="0" w:line="20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4" w:lineRule="exact"/>
        <w:rPr>
          <w:rFonts w:ascii="Arial" w:cs="Arial" w:eastAsia="Arial" w:hAnsi="Arial"/>
          <w:sz w:val="18"/>
          <w:szCs w:val="18"/>
          <w:b w:val="1"/>
          <w:bCs w:val="1"/>
          <w:color w:val="auto"/>
        </w:rPr>
      </w:pPr>
    </w:p>
    <w:p>
      <w:pPr>
        <w:ind w:left="6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w:t>
      </w:r>
    </w:p>
    <w:p>
      <w:pPr>
        <w:spacing w:after="0" w:line="2" w:lineRule="exact"/>
        <w:rPr>
          <w:rFonts w:ascii="Arial" w:cs="Arial" w:eastAsia="Arial" w:hAnsi="Arial"/>
          <w:sz w:val="18"/>
          <w:szCs w:val="18"/>
          <w:b w:val="1"/>
          <w:bCs w:val="1"/>
          <w:color w:val="auto"/>
        </w:rPr>
      </w:pPr>
    </w:p>
    <w:p>
      <w:pPr>
        <w:ind w:left="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48"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6"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37" w:lineRule="exact"/>
        <w:rPr>
          <w:rFonts w:ascii="Arial" w:cs="Arial" w:eastAsia="Arial" w:hAnsi="Arial"/>
          <w:sz w:val="18"/>
          <w:szCs w:val="18"/>
          <w:b w:val="1"/>
          <w:bCs w:val="1"/>
          <w:color w:val="auto"/>
        </w:rPr>
      </w:pPr>
    </w:p>
    <w:p>
      <w:pPr>
        <w:ind w:left="6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1" w:lineRule="exact"/>
        <w:rPr>
          <w:rFonts w:ascii="Arial" w:cs="Arial" w:eastAsia="Arial" w:hAnsi="Arial"/>
          <w:sz w:val="18"/>
          <w:szCs w:val="18"/>
          <w:b w:val="1"/>
          <w:bCs w:val="1"/>
          <w:color w:val="auto"/>
        </w:rPr>
      </w:pPr>
    </w:p>
    <w:p>
      <w:pPr>
        <w:ind w:left="6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Any commitments made under the Credit Agreement mature on September 7, 2023.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May 4, 2019 and February 2, 2019, the Company had no borrowings outstanding and availability of $75.0 million under the Credit Agreement.</w:t>
      </w:r>
    </w:p>
    <w:p>
      <w:pPr>
        <w:spacing w:after="0" w:line="24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2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11" w:lineRule="exact"/>
        <w:rPr>
          <w:rFonts w:ascii="Arial" w:cs="Arial" w:eastAsia="Arial" w:hAnsi="Arial"/>
          <w:sz w:val="18"/>
          <w:szCs w:val="18"/>
          <w:b w:val="1"/>
          <w:bCs w:val="1"/>
          <w:color w:val="auto"/>
        </w:rPr>
      </w:pPr>
    </w:p>
    <w:p>
      <w:pPr>
        <w:ind w:left="6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May 4, 2019, was 24.8%, compared to 17.9% for the thirteen weeks ended May 5, 2018. The year-over-year effective tax rate increase was primarily due to the relative impact of discrete items in the current-year period compared to the prior-year period, primarily as a result of tax shortfalls from stock-based compensation.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3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9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171" w:lineRule="exact"/>
        <w:rPr>
          <w:rFonts w:ascii="Arial" w:cs="Arial" w:eastAsia="Arial" w:hAnsi="Arial"/>
          <w:sz w:val="18"/>
          <w:szCs w:val="18"/>
          <w:b w:val="1"/>
          <w:bCs w:val="1"/>
          <w:color w:val="auto"/>
        </w:rPr>
      </w:pPr>
    </w:p>
    <w:p>
      <w:pPr>
        <w:ind w:left="6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May 4, 2019, the Company granted 407,264 time-based and performance-based restricted stock units with an aggregate fair value of $5.3 million to certain employees and non-employee directors under the 2010 Equity and Incentive Plan compared to a total of 409,145 time-based and performance-based restricted stock units with an aggregate fair value of $4.3 million granted in the same period of the prior year. The Company determined the fair value of the awards based on the closing price of the Company’s common stock on the grant date.</w:t>
      </w:r>
    </w:p>
    <w:p>
      <w:pPr>
        <w:spacing w:after="0" w:line="100"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2" w:lineRule="exact"/>
        <w:rPr>
          <w:rFonts w:ascii="Arial" w:cs="Arial" w:eastAsia="Arial" w:hAnsi="Arial"/>
          <w:sz w:val="18"/>
          <w:szCs w:val="18"/>
          <w:b w:val="1"/>
          <w:bCs w:val="1"/>
          <w:color w:val="auto"/>
        </w:rPr>
      </w:pPr>
    </w:p>
    <w:p>
      <w:pPr>
        <w:ind w:left="6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a summary of restricted stock unit activity for the thirteen weeks ended May 4, 2019 (units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8"/>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2, 2019</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4, 2019</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40" w:type="dxa"/>
            <w:vAlign w:val="bottom"/>
          </w:tcPr>
          <w:p>
            <w:pPr>
              <w:spacing w:after="0"/>
              <w:rPr>
                <w:sz w:val="24"/>
                <w:szCs w:val="24"/>
                <w:color w:val="auto"/>
              </w:rPr>
            </w:pPr>
          </w:p>
        </w:tc>
        <w:tc>
          <w:tcPr>
            <w:tcW w:w="1300" w:type="dxa"/>
            <w:vAlign w:val="bottom"/>
          </w:tcPr>
          <w:p>
            <w:pPr>
              <w:jc w:val="right"/>
              <w:ind w:right="61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As of May 4, 2019, there was $8.2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14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4"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9" w:lineRule="exact"/>
        <w:rPr>
          <w:rFonts w:ascii="Arial" w:cs="Arial" w:eastAsia="Arial" w:hAnsi="Arial"/>
          <w:sz w:val="18"/>
          <w:szCs w:val="18"/>
          <w:b w:val="1"/>
          <w:bCs w:val="1"/>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is scheduled to expire on December 14, 2020.</w:t>
      </w:r>
    </w:p>
    <w:p>
      <w:pPr>
        <w:spacing w:after="0" w:line="54"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The Company purchased 284,088 shares at an average price of $10.24 per share, excluding commissions, for an aggregate amount of $2.9 million during the thirteen weeks ended May 4, 2019, under the 2018 Share Repurchase Program. As of May 4, 2019, there was $44.3 million remaining available to repurchase shares of the Company's common stock under the 2018 Share Repurchase Program.</w:t>
      </w:r>
    </w:p>
    <w:p>
      <w:pPr>
        <w:spacing w:after="0" w:line="111"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As of May 4, 2019, the Company held as treasury shares 7,219,711 shares of its common stock at an average price of $13.26 per share, excluding commissions, for an aggregate carrying amount of $95.7 million. The Company’s treasury shares may be issued under the 2010 Equity and Incentive Plan or for other corporate purposes.</w:t>
      </w:r>
    </w:p>
    <w:p>
      <w:pPr>
        <w:spacing w:after="0" w:line="258" w:lineRule="exact"/>
        <w:rPr>
          <w:sz w:val="20"/>
          <w:szCs w:val="20"/>
          <w:color w:val="auto"/>
        </w:rPr>
      </w:pPr>
    </w:p>
    <w:p>
      <w:pPr>
        <w:ind w:left="660" w:right="9480" w:hanging="652"/>
        <w:spacing w:after="0" w:line="390"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ind w:left="660" w:right="220"/>
        <w:spacing w:after="0" w:line="311" w:lineRule="auto"/>
        <w:rPr>
          <w:rFonts w:ascii="Arial" w:cs="Arial" w:eastAsia="Arial" w:hAnsi="Arial"/>
          <w:sz w:val="16"/>
          <w:szCs w:val="16"/>
          <w:b w:val="1"/>
          <w:bCs w:val="1"/>
          <w:color w:val="auto"/>
        </w:rPr>
      </w:pPr>
      <w:r>
        <w:rPr>
          <w:rFonts w:ascii="Arial" w:cs="Arial" w:eastAsia="Arial" w:hAnsi="Arial"/>
          <w:sz w:val="18"/>
          <w:szCs w:val="18"/>
          <w:color w:val="auto"/>
        </w:rPr>
        <w:t xml:space="preserve">Investments classified as cash equivalents relate to highly-liquid investments with a maturity of three months or less at the date of purchase. As of May 4, 2019 and February 2, 2019, these investments in the Company's portfolio consisted of commercial paper and a money market fund. </w:t>
      </w:r>
      <w:r>
        <w:rPr>
          <w:rFonts w:ascii="Arial" w:cs="Arial" w:eastAsia="Arial" w:hAnsi="Arial"/>
          <w:sz w:val="18"/>
          <w:szCs w:val="18"/>
          <w:i w:val="1"/>
          <w:iCs w:val="1"/>
          <w:color w:val="auto"/>
        </w:rPr>
        <w:t>Short-Term Investments</w:t>
      </w:r>
    </w:p>
    <w:p>
      <w:pPr>
        <w:spacing w:after="0" w:line="86" w:lineRule="exact"/>
        <w:rPr>
          <w:rFonts w:ascii="Arial" w:cs="Arial" w:eastAsia="Arial" w:hAnsi="Arial"/>
          <w:sz w:val="16"/>
          <w:szCs w:val="16"/>
          <w:b w:val="1"/>
          <w:bCs w:val="1"/>
          <w:color w:val="auto"/>
        </w:rPr>
      </w:pPr>
    </w:p>
    <w:p>
      <w:pPr>
        <w:ind w:left="660" w:right="10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As of May 4, 2019 and February 2, 2019, short-term investments consisted of U.S. and non-U.S. corporate debt securities, municipal securities, and commercial paper with a maturity within one year of the balance sheet date. The balance as of February 2, 2019,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Company held $13.9 million and $19.4 million in short-term investments as of May 4, 2019 and February 2, 2019, respectively. The following table summarizes the Company's short-term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2019</w:t>
            </w:r>
          </w:p>
        </w:tc>
        <w:tc>
          <w:tcPr>
            <w:tcW w:w="220" w:type="dxa"/>
            <w:vAlign w:val="bottom"/>
          </w:tcPr>
          <w:p>
            <w:pPr>
              <w:spacing w:after="0"/>
              <w:rPr>
                <w:sz w:val="16"/>
                <w:szCs w:val="16"/>
                <w:color w:val="auto"/>
              </w:rPr>
            </w:pPr>
          </w:p>
        </w:tc>
        <w:tc>
          <w:tcPr>
            <w:tcW w:w="1480" w:type="dxa"/>
            <w:vAlign w:val="bottom"/>
          </w:tcPr>
          <w:p>
            <w:pPr>
              <w:jc w:val="right"/>
              <w:ind w:right="233"/>
              <w:spacing w:after="0"/>
              <w:rPr>
                <w:sz w:val="20"/>
                <w:szCs w:val="20"/>
                <w:color w:val="auto"/>
              </w:rPr>
            </w:pPr>
            <w:r>
              <w:rPr>
                <w:rFonts w:ascii="Arial" w:cs="Arial" w:eastAsia="Arial" w:hAnsi="Arial"/>
                <w:sz w:val="14"/>
                <w:szCs w:val="14"/>
                <w:b w:val="1"/>
                <w:bCs w:val="1"/>
                <w:color w:val="auto"/>
              </w:rPr>
              <w:t>February 2, 2019</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4,190</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5,808</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498</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3,116</w:t>
            </w:r>
          </w:p>
        </w:tc>
      </w:tr>
      <w:tr>
        <w:trPr>
          <w:trHeight w:val="257"/>
        </w:trPr>
        <w:tc>
          <w:tcPr>
            <w:tcW w:w="64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19,381</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As of May 4, 2019 and February 2, 2019, long-term investments consisted of U.S. and non-U.S. corporate debt securities, U.S. and non-U.S. asset-backed securities, and municipal securities with a maturity greater than one year from the balance sheet date. The balance as of May 4, 2019 also included other foreign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34"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 held $30.6 million and $23.7 million in long-term investments as of May 4, 2019 and February 2, 2019, respectively. The following table summarizes the Company's long-term investments (in thousands):</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2019</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February 2, 2019</w:t>
            </w:r>
          </w:p>
        </w:tc>
      </w:tr>
      <w:tr>
        <w:trPr>
          <w:trHeight w:val="250"/>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9,499</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7,169</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Non-U.S. asset-backed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1,127</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 foreign securities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23,735</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material gross unrealized gains or losses on available-for-sale debt securities as of May 4, 2019 and February 2, 2019.</w:t>
      </w:r>
    </w:p>
    <w:p>
      <w:pPr>
        <w:spacing w:after="0" w:line="30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6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full-line and factory outlet stores; the Company’s website, verabradley.com; the Company’s online outlet site; and the annual outlet sale. Revenues generated from this segment are driven through the sale of Company-branded products from Vera Bradley to end consumers.</w:t>
      </w:r>
    </w:p>
    <w:p>
      <w:pPr>
        <w:spacing w:after="0" w:line="46" w:lineRule="exact"/>
        <w:rPr>
          <w:rFonts w:ascii="Arial" w:cs="Arial" w:eastAsia="Arial" w:hAnsi="Arial"/>
          <w:sz w:val="18"/>
          <w:szCs w:val="18"/>
          <w:b w:val="1"/>
          <w:bCs w:val="1"/>
          <w:color w:val="auto"/>
        </w:rPr>
      </w:pPr>
    </w:p>
    <w:p>
      <w:pPr>
        <w:ind w:left="66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Indirect segment represents revenues generated through the distribution of Company-branded products to specialty retailers representing approximately 2,200 locations, substantially all of which are located in the United States; key accounts, which include department stores, national accounts, third-party e-commerce sites, and third-party inventory liquidators; and royalties recognized through licensing agreements.</w:t>
      </w:r>
    </w:p>
    <w:p>
      <w:pPr>
        <w:spacing w:after="0" w:line="1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color w:val="auto"/>
        </w:rPr>
        <w:t>marketing and advertising, and various other corporate-level-activity-related expenses. All intercompany-related activities are eliminated in consolidation and are excluded from the segment reporting.</w:t>
      </w:r>
    </w:p>
    <w:p>
      <w:pPr>
        <w:spacing w:after="0" w:line="35"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May 4, 2019 and May 5, 2018, respectively, consisted of the following (in thousands):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4,</w:t>
            </w:r>
          </w:p>
        </w:tc>
        <w:tc>
          <w:tcPr>
            <w:tcW w:w="340" w:type="dxa"/>
            <w:vAlign w:val="bottom"/>
          </w:tcPr>
          <w:p>
            <w:pPr>
              <w:spacing w:after="0"/>
              <w:rPr>
                <w:sz w:val="13"/>
                <w:szCs w:val="13"/>
                <w:color w:val="auto"/>
              </w:rPr>
            </w:pPr>
          </w:p>
        </w:tc>
        <w:tc>
          <w:tcPr>
            <w:tcW w:w="126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May 5,</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71,136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65,532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86,591</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Direct</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8,360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37"/>
        </w:trPr>
        <w:tc>
          <w:tcPr>
            <w:tcW w:w="3760" w:type="dxa"/>
            <w:vAlign w:val="bottom"/>
          </w:tcPr>
          <w:p>
            <w:pPr>
              <w:ind w:left="48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3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weeks ended May 4, 2019 and May 5, 2018. The following discussion should be read in conjunction with our Annual Report on Form 10-K for the fiscal year ended February 2, 2019, and our unaudited condensed consolidated financial statements and the related notes included in Item 1 of this Quarterly Report. The results of operations for the thirteen weeks ended May 4, 2019,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first quarter of fiscal 2020: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980" w:right="5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achieved comparable sales growth of 5.2%, indicating that our customers are responding to both our innovative product and targeted consumer engagement efforts.</w:t>
      </w:r>
    </w:p>
    <w:p>
      <w:pPr>
        <w:spacing w:after="0" w:line="35" w:lineRule="exact"/>
        <w:rPr>
          <w:rFonts w:ascii="Arial" w:cs="Arial" w:eastAsia="Arial" w:hAnsi="Arial"/>
          <w:sz w:val="18"/>
          <w:szCs w:val="18"/>
          <w:color w:val="auto"/>
        </w:rPr>
      </w:pPr>
    </w:p>
    <w:p>
      <w:pPr>
        <w:ind w:left="980" w:right="34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first quarter, we strengthened our store base by opening five new factory outlet stores and closing two underperforming full-line stores. We also began relocation and expansion plans for three of our top volume factory outlet stores.</w:t>
      </w:r>
    </w:p>
    <w:p>
      <w:pPr>
        <w:spacing w:after="0" w:line="11"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created an improved experience for our mobile customers by launching a new mobile-friendly product detail page, which better showcases our product and increases load times by approximately 40%.</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launched partnerships and collaborations in the quarter, including:</w:t>
      </w:r>
    </w:p>
    <w:p>
      <w:pPr>
        <w:spacing w:after="0" w:line="90" w:lineRule="exact"/>
        <w:rPr>
          <w:rFonts w:ascii="Arial" w:cs="Arial" w:eastAsia="Arial" w:hAnsi="Arial"/>
          <w:sz w:val="18"/>
          <w:szCs w:val="18"/>
          <w:color w:val="auto"/>
        </w:rPr>
      </w:pPr>
    </w:p>
    <w:p>
      <w:pPr>
        <w:ind w:left="1620" w:hanging="315"/>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launching a limited-edition mini-collection with New Hope Girls in March;</w:t>
      </w:r>
    </w:p>
    <w:p>
      <w:pPr>
        <w:spacing w:after="0" w:line="90" w:lineRule="exact"/>
        <w:rPr>
          <w:rFonts w:ascii="Arial" w:cs="Arial" w:eastAsia="Arial" w:hAnsi="Arial"/>
          <w:sz w:val="18"/>
          <w:szCs w:val="18"/>
          <w:color w:val="auto"/>
        </w:rPr>
      </w:pPr>
    </w:p>
    <w:p>
      <w:pPr>
        <w:ind w:left="1620" w:right="20" w:hanging="31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partnering with Disney Theme Park Merchandise to create a limited-edition novelty patterns and sixteen-piece collection that launched at the end of March;</w:t>
      </w:r>
    </w:p>
    <w:p>
      <w:pPr>
        <w:spacing w:after="0" w:line="35" w:lineRule="exact"/>
        <w:rPr>
          <w:rFonts w:ascii="Arial" w:cs="Arial" w:eastAsia="Arial" w:hAnsi="Arial"/>
          <w:sz w:val="18"/>
          <w:szCs w:val="18"/>
          <w:color w:val="auto"/>
        </w:rPr>
      </w:pPr>
    </w:p>
    <w:p>
      <w:pPr>
        <w:ind w:left="1620" w:right="200" w:hanging="31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collaborating with Gillette Venus creating a collection with a popular Vera Bradley design on a selection of Gillette Venus's core and special-edition shaving products;</w:t>
      </w:r>
    </w:p>
    <w:p>
      <w:pPr>
        <w:spacing w:after="0" w:line="35" w:lineRule="exact"/>
        <w:rPr>
          <w:rFonts w:ascii="Arial" w:cs="Arial" w:eastAsia="Arial" w:hAnsi="Arial"/>
          <w:sz w:val="18"/>
          <w:szCs w:val="18"/>
          <w:color w:val="auto"/>
        </w:rPr>
      </w:pPr>
    </w:p>
    <w:p>
      <w:pPr>
        <w:ind w:left="1620" w:hanging="315"/>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collaborating with Starbucks Asia Pacific on a drinkware and accessories collection; and</w:t>
      </w:r>
    </w:p>
    <w:p>
      <w:pPr>
        <w:spacing w:after="0" w:line="90" w:lineRule="exact"/>
        <w:rPr>
          <w:rFonts w:ascii="Arial" w:cs="Arial" w:eastAsia="Arial" w:hAnsi="Arial"/>
          <w:sz w:val="18"/>
          <w:szCs w:val="18"/>
          <w:color w:val="auto"/>
        </w:rPr>
      </w:pPr>
    </w:p>
    <w:p>
      <w:pPr>
        <w:ind w:left="1620" w:hanging="315"/>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partnering with country music star Cassadee Pope as she headlined the “CMT Next Women of Country Tour.”</w:t>
      </w:r>
    </w:p>
    <w:p>
      <w:pPr>
        <w:spacing w:after="0" w:line="9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continuing to mitigate the impact of Chinese tariffs through sourcing and pricing efforts, as well as reducing our reliance on China production.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first quarter of fiscal 2019)</w:t>
      </w:r>
    </w:p>
    <w:p>
      <w:pPr>
        <w:spacing w:after="0" w:line="9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revenues increased 5.1% to $91.0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segment sales increased 8.6% to $71.1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Indirect segment sales decreased 5.7% to $19.9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was $50.5 million, or 55.5% of net revenue.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loss was $(3.6) million and net loss was $(2.4) million, or $(0.07) per diluted share.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$3.4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and investments were $144.2 million at May 4,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Direct segment reflect sales through our full-line and factory outlet stores; verabradley.com; our online outlet site; and our annual outlet sale in Fort Wayne, Indiana. Revenues for the Indirect segment reflect sales to specialty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retail partners; department stores; national accounts; third-party e-commerce sites; third-party inventory liquidators; and royalties recognized through licensing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income includes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is equal to gross profit less SG&amp;A expenses plus other income. Operating loss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loss is equal to operating loss plus net interest income less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May 4,</w:t>
            </w:r>
          </w:p>
        </w:tc>
        <w:tc>
          <w:tcPr>
            <w:tcW w:w="340" w:type="dxa"/>
            <w:vAlign w:val="bottom"/>
          </w:tcPr>
          <w:p>
            <w:pPr>
              <w:spacing w:after="0"/>
              <w:rPr>
                <w:sz w:val="13"/>
                <w:szCs w:val="13"/>
                <w:color w:val="auto"/>
              </w:rPr>
            </w:pPr>
          </w:p>
        </w:tc>
        <w:tc>
          <w:tcPr>
            <w:tcW w:w="1260" w:type="dxa"/>
            <w:vAlign w:val="bottom"/>
          </w:tcPr>
          <w:p>
            <w:pPr>
              <w:jc w:val="right"/>
              <w:ind w:right="512"/>
              <w:spacing w:after="0" w:line="153" w:lineRule="exact"/>
              <w:rPr>
                <w:sz w:val="20"/>
                <w:szCs w:val="20"/>
                <w:color w:val="auto"/>
              </w:rPr>
            </w:pPr>
            <w:r>
              <w:rPr>
                <w:rFonts w:ascii="Arial" w:cs="Arial" w:eastAsia="Arial" w:hAnsi="Arial"/>
                <w:sz w:val="14"/>
                <w:szCs w:val="14"/>
                <w:b w:val="1"/>
                <w:bCs w:val="1"/>
                <w:color w:val="auto"/>
              </w:rPr>
              <w:t>May 5,</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0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91,003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86,591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40,535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37,975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48,616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54,297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50,705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Operating loss</w:t>
            </w:r>
          </w:p>
        </w:tc>
        <w:tc>
          <w:tcPr>
            <w:tcW w:w="3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3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3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6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3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55.5 %</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58.6 %</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loss</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before income taxes</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3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79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May 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center"/>
              <w:ind w:right="253"/>
              <w:spacing w:after="0" w:line="153" w:lineRule="exact"/>
              <w:rPr>
                <w:sz w:val="20"/>
                <w:szCs w:val="20"/>
                <w:color w:val="auto"/>
              </w:rPr>
            </w:pPr>
            <w:r>
              <w:rPr>
                <w:rFonts w:ascii="Arial" w:cs="Arial" w:eastAsia="Arial" w:hAnsi="Arial"/>
                <w:sz w:val="14"/>
                <w:szCs w:val="14"/>
                <w:b w:val="1"/>
                <w:bCs w:val="1"/>
                <w:color w:val="auto"/>
                <w:w w:val="98"/>
              </w:rPr>
              <w:t>May 5,</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30"/>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71,136</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65,532</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19,867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21,059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91,003</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86,591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52"/>
        </w:trPr>
        <w:tc>
          <w:tcPr>
            <w:tcW w:w="8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98"/>
              </w:rPr>
              <w:t>May 5,</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9"/>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 by Segment: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8,360</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Pr>
          <w:p>
            <w:pPr>
              <w:spacing w:after="0"/>
              <w:rPr>
                <w:sz w:val="21"/>
                <w:szCs w:val="21"/>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7,707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Corporate unallocated</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(19,712)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(3,645)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67"/>
        </w:trPr>
        <w:tc>
          <w:tcPr>
            <w:tcW w:w="81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as a Percentage of Net Revenues by Segment:</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Direct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stores opened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Total stores closed during period</w:t>
            </w:r>
          </w:p>
        </w:tc>
        <w:tc>
          <w:tcPr>
            <w:tcW w:w="32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stores open at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increase (decrease)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gross square footage at end of period (all stores)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394,478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383,570</w:t>
            </w:r>
          </w:p>
        </w:tc>
        <w:tc>
          <w:tcPr>
            <w:tcW w:w="0" w:type="dxa"/>
            <w:vAlign w:val="bottom"/>
          </w:tcPr>
          <w:p>
            <w:pPr>
              <w:spacing w:after="0"/>
              <w:rPr>
                <w:sz w:val="1"/>
                <w:szCs w:val="1"/>
                <w:color w:val="auto"/>
              </w:rPr>
            </w:pPr>
          </w:p>
        </w:tc>
      </w:tr>
      <w:tr>
        <w:trPr>
          <w:trHeight w:val="341"/>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our full-line and factory outlet stores.</w:t>
      </w:r>
    </w:p>
    <w:p>
      <w:pPr>
        <w:spacing w:after="0" w:line="23" w:lineRule="exact"/>
        <w:rPr>
          <w:rFonts w:ascii="Arial" w:cs="Arial" w:eastAsia="Arial" w:hAnsi="Arial"/>
          <w:sz w:val="18"/>
          <w:szCs w:val="18"/>
          <w:color w:val="auto"/>
        </w:rPr>
      </w:pPr>
    </w:p>
    <w:p>
      <w:pPr>
        <w:ind w:left="540" w:right="180" w:hanging="532"/>
        <w:spacing w:after="0" w:line="281"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w:t>
      </w:r>
    </w:p>
    <w:p>
      <w:pPr>
        <w:spacing w:after="0" w:line="3" w:lineRule="exact"/>
        <w:rPr>
          <w:rFonts w:ascii="Arial" w:cs="Arial" w:eastAsia="Arial" w:hAnsi="Arial"/>
          <w:sz w:val="16"/>
          <w:szCs w:val="16"/>
          <w:color w:val="auto"/>
        </w:rPr>
      </w:pPr>
    </w:p>
    <w:p>
      <w:pPr>
        <w:ind w:left="540" w:right="40" w:hanging="532"/>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We adopted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beginning in the first quarter of fiscal 2020 using the modified retrospective adoption method. The adoption of this standard impacted fiscal 2020 beginning retained earnings by $0.2 million. As a result of the adoption of ASC Topic 842 using the modified retrospective method, the financial statements from the prior-year period are not reported under ASC Topic 842 which affects the comparability of the Condensed Consolidated Financial Statements. The primary impact from the adoption of the standard is the addition of right-of-use assets and lease liabilities on the Company's Condensed Consolidated Balance Sheet. The adoption of this standard had no impact on the Condensed Consolidated Statements of Operations and Condensed Consolidated Statements of Cash Flows.</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1 and 3 to the Notes to the Condensed Consolidated Financial Statements herein for additional information.</w:t>
      </w:r>
    </w:p>
    <w:p>
      <w:pPr>
        <w:spacing w:after="0" w:line="248" w:lineRule="exact"/>
        <w:rPr>
          <w:sz w:val="20"/>
          <w:szCs w:val="20"/>
          <w:color w:val="auto"/>
        </w:rPr>
      </w:pPr>
    </w:p>
    <w:p>
      <w:pPr>
        <w:ind w:right="4760"/>
        <w:spacing w:after="0" w:line="346" w:lineRule="auto"/>
        <w:rPr>
          <w:sz w:val="20"/>
          <w:szCs w:val="20"/>
          <w:color w:val="auto"/>
        </w:rPr>
      </w:pPr>
      <w:r>
        <w:rPr>
          <w:rFonts w:ascii="Arial" w:cs="Arial" w:eastAsia="Arial" w:hAnsi="Arial"/>
          <w:sz w:val="18"/>
          <w:szCs w:val="18"/>
          <w:b w:val="1"/>
          <w:bCs w:val="1"/>
          <w:color w:val="auto"/>
        </w:rPr>
        <w:t xml:space="preserve">Thirteen Weeks Ended May 4, 2019, Compared to Thirteen Weeks Ended May 5, 2018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thirteen weeks ended May 4, 2019, net revenues increased $4.4 million, or 5.1%, to $91.0 million, from $86.6 million in the comparable prior-year period.</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May 4, 2019, net revenues in the Direct segment increased $5.6 million, or 8.6%, to $71.1 million, from $65.5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prior-year period. Our non-comparable stores contributed $3.3 million of revenue, which included five additional factory outlet stores opened in the current fiscal year, along with a comparable sales increase of $3.0 million, or 5.2%. The increase in comparable sales includes a 9.2% increase in e-commerce sales and a 4.0% increase in comparable store sales indicating that our customers are responding to both our innovative product and our targeted consumer engagement efforts.</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May 4, 2019, net revenues in the Indirect segment decreased $1.2 million, or 5.7%, to $19.9 million, from $21.1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reflecting a reduction in orders and the number of specialty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thirteen weeks ended May 4, 2019, gross profit increased $1.9 million, or 3.8%, to $50.5 million, from $48.6 million in the comparable prior-year period. As a percentage of net revenues, gross profit decreased to 55.5% for the thirteen weeks ended May 4, 2019, from 56.1% in the comparable prior-year period. The decrease as a percentage of net revenues was primarily due to the impact of Chinese tariffs, partially offset by improvement in full-price selling and sourcing and operational efficiencies.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the thirteen weeks ended May 4, 2019, SG&amp;A expenses increased $3.6 million, or 7.1%, to $54.3 million, from $50.7 million in the comparable prior-year period. As a percentage of net revenues, SG&amp;A expenses increased to 59.7% for the thirteen weeks ended May 4, 2019, from 58.6% in the comparable prior-year period. The increase in SG&amp;A expenses for the thirteen weeks ended May 4, 2019 was primarily due to an increase in certain advertising and marketing expenses of approximately $1.4 million mostly as a result of timing of expenses, an increase of $1.2 million in expenses related to new factory outlet stores, and $0.8 million for certain consulting charges. SG&amp;A expenses as a percentage of net revenues increased primarily due to the aforementioned items, partially offset by SG&amp;A expense leverage associated with increased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weeks ended May 4, 2019, other income was $0.2 million, flat with the comparable prior-year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thirteen weeks ended May 4, 2019, operating loss increased $1.7 million to $(3.6) million in the current-year period, from $(1.9) million in the comparable prior-year period. As a percentage of net revenues, operating loss was (4.0)% and (2.2)% for the thirteen weeks ended May 4, 2019 and May 5, 2018, respectively. Operating loss increased due to the factors described above.</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thirteen weeks ended May 4, 2019, operating income in the Direct segment increased $1.1 million, or 14.7%, to $8.4 million from $7.3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comparable prior-year period. As a percentage of Direct segment net revenues, operating income in the Direct segment was 11.8% and 11.1% for the thirteen weeks ended May 4, 2019 and May 5, 2018, respectively. The increase in operating income as a percentage of Direct segment net revenues was primarily due to SG&amp;A expense leverage associated with increased sales, partially offset by an increase in certain advertising expenses, new store expenses, and a decrease in gross margin as a percentage of net revenues as described above.</w:t>
      </w:r>
    </w:p>
    <w:p>
      <w:pPr>
        <w:spacing w:after="0" w:line="11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the thirteen weeks ended May 4, 2019, operating income in the Indirect segment decreased $0.6 million, or 7.0%, to $7.7 million from $8.3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As a percentage of Indirect segment net revenues, operating income in the Indirect segment was 38.8% and 39.3% for the thirteen weeks ended May 4, 2019 and May 5, 2018, respectively. The decrease in operating income as a percentage of Indirect segment net revenues was primarily due to SG&amp;A expense deleverage associated with lower sales and a decrease in gross margin as a percentage of net revenues as described above.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May 4, 2019, unallocated expenses increased $2.2 million, or 12.7%, to $19.7 million from $17.5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increase in unallocated expenses was primarily due to an increase in certain consulting charges and certain employee-related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effective tax rate for the thirteen weeks ended May 4, 2019, was 24.8%, compared to 17.9% for the thirteen weeks ended May 5, 2018. The year-over year effective tax rate increase was primarily due to the relative impact of discrete items in the current-year period compared to the prior-year period, primarily as a result of tax shortfalls from stock-based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thirteen weeks ended May 4, 2019, net loss increased $1.0 million to $(2.4) million from $(1.4) million in the comparable prior-year period due to the factors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began on September 7, 2018. There were no borrowings under the Credit Agreement during the thirteen weeks ended May 4, 2019, and there was no debt outstanding as of May 4, 2019.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as well as share repurchases and other strategic uses of cash, if any, and debt payments, if any,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480"/>
        <w:spacing w:after="0" w:line="334"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Investments classified as cash equivalents relate to highly-liquid investments with a maturity of three months or less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As of May 4, 2019 and February 2, 2019, these investments in our portfolio consisted of commercial paper and a money market fund.</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May 4, 2019 and February 2, 2019, short-term investments consisted of U.S. and non-U.S. corporate debt securities, municipal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commercial paper with a maturity within one year of the balance sheet date. The balance as of February 2, 2019, also included U.S. treasury securities.</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May 4, 2019 and February 2, 2019, long-term investments consisted of U.S. and non-U.S. corporate debt securities, U.S. and</w:t>
      </w:r>
      <w:r>
        <w:rPr>
          <w:rFonts w:ascii="Arial" w:cs="Arial" w:eastAsia="Arial" w:hAnsi="Arial"/>
          <w:sz w:val="18"/>
          <w:szCs w:val="18"/>
          <w:i w:val="1"/>
          <w:iCs w:val="1"/>
          <w:color w:val="auto"/>
        </w:rPr>
        <w:t xml:space="preserve"> </w:t>
      </w:r>
      <w:r>
        <w:rPr>
          <w:rFonts w:ascii="Arial" w:cs="Arial" w:eastAsia="Arial" w:hAnsi="Arial"/>
          <w:sz w:val="18"/>
          <w:szCs w:val="18"/>
          <w:color w:val="auto"/>
        </w:rPr>
        <w:t>non-U.S. asset-backed securities, and municipal securities with a maturity greater than one year from the balance sheet date. The balance as of May 4, 2019 also included other foreign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“Investments” within Item 1 “Financial Statements” of this Quarterly Report on Form 10-Q for additional detail regarding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Thirteen Weeks Ended</w:t>
            </w:r>
          </w:p>
        </w:tc>
      </w:tr>
      <w:tr>
        <w:trPr>
          <w:trHeight w:val="152"/>
        </w:trPr>
        <w:tc>
          <w:tcPr>
            <w:tcW w:w="4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May 4,</w:t>
            </w:r>
          </w:p>
        </w:tc>
        <w:tc>
          <w:tcPr>
            <w:tcW w:w="320" w:type="dxa"/>
            <w:vAlign w:val="bottom"/>
          </w:tcPr>
          <w:p>
            <w:pPr>
              <w:spacing w:after="0"/>
              <w:rPr>
                <w:sz w:val="13"/>
                <w:szCs w:val="13"/>
                <w:color w:val="auto"/>
              </w:rPr>
            </w:pPr>
          </w:p>
        </w:tc>
        <w:tc>
          <w:tcPr>
            <w:tcW w:w="116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May 5,</w:t>
            </w:r>
          </w:p>
        </w:tc>
      </w:tr>
      <w:tr>
        <w:trPr>
          <w:trHeight w:val="192"/>
        </w:trPr>
        <w:tc>
          <w:tcPr>
            <w:tcW w:w="414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4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(4,976)</w:t>
            </w:r>
          </w:p>
        </w:tc>
      </w:tr>
      <w:tr>
        <w:trPr>
          <w:trHeight w:val="27"/>
        </w:trPr>
        <w:tc>
          <w:tcPr>
            <w:tcW w:w="4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459"/>
        </w:trPr>
        <w:tc>
          <w:tcPr>
            <w:tcW w:w="4140" w:type="dxa"/>
            <w:vAlign w:val="bottom"/>
          </w:tcPr>
          <w:p>
            <w:pPr>
              <w:spacing w:after="0"/>
              <w:rPr>
                <w:sz w:val="24"/>
                <w:szCs w:val="24"/>
                <w:color w:val="auto"/>
              </w:rPr>
            </w:pPr>
          </w:p>
        </w:tc>
        <w:tc>
          <w:tcPr>
            <w:tcW w:w="4220" w:type="dxa"/>
            <w:vAlign w:val="bottom"/>
          </w:tcPr>
          <w:p>
            <w:pPr>
              <w:jc w:val="right"/>
              <w:ind w:right="247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used in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cash used in operating activities for the thirteen weeks ended May 4, 2019, was $5.2 million compared to $1.8 million for the thirteen weeks ended May 5, 2018. The increase in cash used in operating activities was primarily a result of $2.9 million in income tax payments principally as a result of timing.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investing activities was $4.6 million and $5.0 million for the thirteen weeks ended May 4, 2019 and May 5, 2018, respectively. The decrease in cash used in investing activities was primarily a result of lower cash payments for property, plant, and equipment in the current-year period principally due to timing.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2020 are expected to be approximately $13.0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7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Net cash used in financing activities was $3.8 million and $0.5 million for the thirteen weeks ended May 4, 2019 and May 5, 2018, respectively. The increase in cash used in financing activities was primarily due to cash purchases of our common stock under the 2018 Share Repurchase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3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May 4, 2019.</w:t>
      </w:r>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revolving commitment, and (ii) the borrowing base. The fixed charge coverage ratio, availability, aggregate revolving commitment, and the borrowing base are further defined in the Credit Agreement.</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2019. In addition to these policies, refer to Note 1 “Description of the Company and Basis of Presentation” and Note 3 “Leases” within Item 1 “Financial Statements” of this Quarterly Report on Form 10-Q for a discussion of the Company's lease accounting policy under the recently adopted Accounting Standards Codification Topic 842.</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2019. With the exception of leases, there were no significant changes to any of the critical accounting policies and estimates described in the Annual Report as of May 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May 4, 2019, there was no material change in the market risks described in “Quantitative and Qualitative Disclosures About Market Risks” in the Company’s Annual Report on Form 10-K for the fiscal year ended February 2, 2019.</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4, 2019.</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Other than the implementation of controls related to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 the related financial statement reporting, there has been no change in our internal control over financial reporting during the most recent fiscal quarter that has materially affected, or that is reasonably likely to materially affect, our internal control over financial reporting.</w:t>
      </w: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121"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2, 2019.</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The initial term of the 2015 Share Repurchase Program expired on December 31, 2017. On November 30, 2017, the Company’s board of directors authorized the Company to extend the 2015 Share Repurchase Program during an open window period until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is scheduled to expire on December 14, 2020.</w:t>
      </w:r>
    </w:p>
    <w:p>
      <w:pPr>
        <w:spacing w:after="0" w:line="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purchased 284,088 shares at an average price of $10.24 per share, excluding commissions, for an aggregate amount of $2.9 million during the thirteen weeks ended May 4, 2019, under the 2018 Share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activity under the program during the thirteen weeks ended May 4, 2019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Under the Plans or Program</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3, 2019 - March 2,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170,343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45,577,663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March 3, 2019 - April 6,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72,745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72,745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44,746,155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7, 2019 - May 4,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44,252,640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284,088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284,088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101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No.</w:t>
            </w:r>
          </w:p>
        </w:tc>
        <w:tc>
          <w:tcPr>
            <w:tcW w:w="101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jc w:val="right"/>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5"/>
          </w:tcPr>
          <w:p>
            <w:pPr>
              <w:ind w:left="40"/>
              <w:spacing w:after="0"/>
              <w:rPr>
                <w:rFonts w:ascii="Arial" w:cs="Arial" w:eastAsia="Arial" w:hAnsi="Arial"/>
                <w:sz w:val="18"/>
                <w:szCs w:val="18"/>
                <w:color w:val="0000FF"/>
              </w:rPr>
            </w:pPr>
            <w:hyperlink w:anchor="page34">
              <w:r>
                <w:rPr>
                  <w:rFonts w:ascii="Arial" w:cs="Arial" w:eastAsia="Arial" w:hAnsi="Arial"/>
                  <w:sz w:val="18"/>
                  <w:szCs w:val="18"/>
                  <w:color w:val="0000FF"/>
                </w:rPr>
                <w:t>Fiscal 2020 Annual Incentive Compensation Plan (Executives)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rPr>
            </w:pPr>
            <w:hyperlink w:anchor="page38">
              <w:r>
                <w:rPr>
                  <w:rFonts w:ascii="Arial" w:cs="Arial" w:eastAsia="Arial" w:hAnsi="Arial"/>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rPr>
            </w:pPr>
            <w:hyperlink w:anchor="page39">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4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rPr>
            </w:pPr>
            <w:hyperlink w:anchor="page40">
              <w:r>
                <w:rPr>
                  <w:rFonts w:ascii="Arial" w:cs="Arial" w:eastAsia="Arial" w:hAnsi="Arial"/>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40" w:hanging="1265"/>
        <w:spacing w:after="0" w:line="284"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materials from Vera Bradley, Inc.’s Quarterly Report on Form 10-Q for the quarter ended May 4, 2019 formatted in Extensible Business Reporting Language (XBRL): (i) Condensed Consolidated Statements of Operations for the Thirteen Weeks ended May 4, 2019 and May 5, 2018; (ii) Condensed Consolidated Statements of Comprehensive Income for the Thirteen Weeks ended May 4, 2019 and May 5, 2018; (iii) Condensed Consolidated Balance Sheets as of May 4, 2019 and February 2, 2019; (iv) Condensed Consolidated Statements of Shareholders' Equity for the Thirteen Weeks ended May 4, 2019 and May 5, 2018; (v) Condensed Consolidated Statements of Cash Flows for the Thirteen Weeks ended May 4, 2019 and May 5, 2018, and (vi) Notes to Condensed Consolidated Financial Statements.</w:t>
      </w:r>
    </w:p>
    <w:p>
      <w:pPr>
        <w:spacing w:after="0" w:line="4"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170" w:lineRule="exact"/>
        <w:rPr>
          <w:sz w:val="20"/>
          <w:szCs w:val="20"/>
          <w:color w:val="auto"/>
        </w:rPr>
      </w:pPr>
    </w:p>
    <w:p>
      <w:pPr>
        <w:ind w:left="740" w:hanging="705"/>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85" w:lineRule="exact"/>
        <w:rPr>
          <w:sz w:val="20"/>
          <w:szCs w:val="20"/>
          <w:color w:val="auto"/>
        </w:rPr>
      </w:pPr>
    </w:p>
    <w:p>
      <w:pPr>
        <w:ind w:left="740" w:right="140" w:hanging="705"/>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 Bradley,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2019</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121" w:right="439" w:bottom="1440" w:gutter="0" w:footer="0" w:header="0"/>
        </w:sectPr>
      </w:pPr>
    </w:p>
    <w:bookmarkStart w:id="33" w:name="page34"/>
    <w:bookmarkEnd w:id="33"/>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Officer Annual Incentive Compensation Plan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Overview</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Awards under this Annual Incentive Compensation Plan (“Annual Plan”) are granted under and governed by the terms and conditions of the Vera Bradley, Inc. 2010 Equity and Incentive Plan (the “2010 Plan”), as amended. Any term capitalized herein but not defined will have the meaning set forth in the 2010 Plan.</w:t>
      </w:r>
    </w:p>
    <w:p>
      <w:pPr>
        <w:spacing w:after="0" w:line="19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This Annual Plan is designed to give each eligible Participant (as defined in the attached Administrative Guidelines) an opportunity to share in the Company's success for the fiscal year ending February 1, 2020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two to three independent performance measures: (1) Corporate Performance (made up of net revenue and operating income), (2) Corporate Strategic Objectives, and (3) Individual Financial Goals. Collectively, these are referred to as the “FY20 Performance Measures.”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incentive opportunity for each Participant is determined based on a percentage of each Participant's Base Salary (as defined below) based upon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level:</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100" w:type="dxa"/>
            <w:vAlign w:val="bottom"/>
            <w:tcBorders>
              <w:top w:val="single" w:sz="8" w:color="auto"/>
              <w:left w:val="single" w:sz="8" w:color="auto"/>
              <w:right w:val="single" w:sz="8" w:color="auto"/>
            </w:tcBorders>
          </w:tcPr>
          <w:p>
            <w:pPr>
              <w:spacing w:after="0"/>
              <w:rPr>
                <w:sz w:val="22"/>
                <w:szCs w:val="22"/>
                <w:color w:val="auto"/>
              </w:rPr>
            </w:pPr>
          </w:p>
        </w:tc>
        <w:tc>
          <w:tcPr>
            <w:tcW w:w="43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Opportunity as a Percentage of Base Salary</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100" w:type="dxa"/>
            <w:vAlign w:val="bottom"/>
            <w:tcBorders>
              <w:left w:val="single" w:sz="8" w:color="auto"/>
              <w:right w:val="single" w:sz="8" w:color="auto"/>
            </w:tcBorders>
          </w:tcPr>
          <w:p>
            <w:pPr>
              <w:ind w:left="2880"/>
              <w:spacing w:after="0"/>
              <w:rPr>
                <w:sz w:val="20"/>
                <w:szCs w:val="20"/>
                <w:color w:val="auto"/>
              </w:rPr>
            </w:pPr>
            <w:r>
              <w:rPr>
                <w:rFonts w:ascii="Arial" w:cs="Arial" w:eastAsia="Arial" w:hAnsi="Arial"/>
                <w:sz w:val="18"/>
                <w:szCs w:val="18"/>
                <w:b w:val="1"/>
                <w:bCs w:val="1"/>
                <w:color w:val="auto"/>
              </w:rPr>
              <w:t>Participant Level</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Excellence</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12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16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200%</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7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Functional Management 5-2 (Executive Officer)</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112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40%</w:t>
            </w:r>
          </w:p>
        </w:tc>
        <w:tc>
          <w:tcPr>
            <w:tcW w:w="16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80%</w:t>
            </w:r>
          </w:p>
        </w:tc>
      </w:tr>
      <w:tr>
        <w:trPr>
          <w:trHeight w:val="27"/>
        </w:trPr>
        <w:tc>
          <w:tcPr>
            <w:tcW w:w="710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Each Participant will have the opportunity to earn the incentive set forth above based on the level of achievement against the FY20 Performance Measures. The applicability and weighting of the FY20 Performance Measures relative to the total incentive opportunity is also based upon the Participant’s level as follows:</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right w:val="single" w:sz="8" w:color="auto"/>
            </w:tcBorders>
          </w:tcPr>
          <w:p>
            <w:pPr>
              <w:spacing w:after="0"/>
              <w:rPr>
                <w:sz w:val="22"/>
                <w:szCs w:val="22"/>
                <w:color w:val="auto"/>
              </w:rPr>
            </w:pPr>
          </w:p>
        </w:tc>
        <w:tc>
          <w:tcPr>
            <w:tcW w:w="6380" w:type="dxa"/>
            <w:vAlign w:val="bottom"/>
            <w:tcBorders>
              <w:top w:val="single" w:sz="8" w:color="auto"/>
              <w:right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9"/>
              </w:rPr>
              <w:t>As a Percentage of Total Target Incentive Opportunity Shown Above</w:t>
            </w:r>
          </w:p>
        </w:tc>
      </w:tr>
      <w:tr>
        <w:trPr>
          <w:trHeight w:val="27"/>
        </w:trPr>
        <w:tc>
          <w:tcPr>
            <w:tcW w:w="5060" w:type="dxa"/>
            <w:vAlign w:val="bottom"/>
            <w:tcBorders>
              <w:left w:val="single" w:sz="8" w:color="auto"/>
              <w:right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64"/>
        </w:trPr>
        <w:tc>
          <w:tcPr>
            <w:tcW w:w="5060" w:type="dxa"/>
            <w:vAlign w:val="bottom"/>
            <w:tcBorders>
              <w:left w:val="single" w:sz="8" w:color="auto"/>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Corporate Performance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Strategic</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Individual Financial</w:t>
            </w:r>
          </w:p>
        </w:tc>
      </w:tr>
      <w:tr>
        <w:trPr>
          <w:trHeight w:val="237"/>
        </w:trPr>
        <w:tc>
          <w:tcPr>
            <w:tcW w:w="5060" w:type="dxa"/>
            <w:vAlign w:val="bottom"/>
            <w:tcBorders>
              <w:left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Participant Career Ladder Level</w:t>
            </w:r>
          </w:p>
        </w:tc>
        <w:tc>
          <w:tcPr>
            <w:tcW w:w="13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Net Revenue</w:t>
            </w:r>
          </w:p>
        </w:tc>
        <w:tc>
          <w:tcPr>
            <w:tcW w:w="16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6"/>
              </w:rPr>
              <w:t>Operating Income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Objectives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Goals</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3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33.3%</w:t>
            </w:r>
          </w:p>
        </w:tc>
        <w:tc>
          <w:tcPr>
            <w:tcW w:w="162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33.3%</w:t>
            </w:r>
          </w:p>
        </w:tc>
        <w:tc>
          <w:tcPr>
            <w:tcW w:w="170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33.3%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5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Functional Management 5-2 (Executive Officer)</w:t>
            </w:r>
          </w:p>
        </w:tc>
        <w:tc>
          <w:tcPr>
            <w:tcW w:w="13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color w:val="auto"/>
              </w:rPr>
              <w:t>25%</w:t>
            </w:r>
          </w:p>
        </w:tc>
        <w:tc>
          <w:tcPr>
            <w:tcW w:w="16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25%</w:t>
            </w:r>
          </w:p>
        </w:tc>
        <w:tc>
          <w:tcPr>
            <w:tcW w:w="170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506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Performance</w:t>
      </w:r>
    </w:p>
    <w:p>
      <w:pPr>
        <w:spacing w:after="0" w:line="9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Payouts for Corporate Performance are based on meeting two independent financial metrics, which are net revenue and operating income. Each financial metric is weighted at 50% of the Corporate Performance goal. Assuming at least threshold levels of performance against the Corporate Performance goals are met during the Performance Period, the actual payout levels will range from 25%-200% of target. The actual amount of Corporate Performance goals is considered to be confidential information and is not included in this document, but can be obtained from Human Resources.</w:t>
      </w:r>
    </w:p>
    <w:p>
      <w:pPr>
        <w:sectPr>
          <w:pgSz w:w="11900" w:h="16838" w:orient="portrait"/>
          <w:cols w:equalWidth="0" w:num="1">
            <w:col w:w="11440"/>
          </w:cols>
          <w:pgMar w:left="240" w:top="580" w:right="21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8"/>
        </w:trPr>
        <w:tc>
          <w:tcPr>
            <w:tcW w:w="5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Net Revenue Performance Level</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c>
          <w:tcPr>
            <w:tcW w:w="0" w:type="dxa"/>
            <w:vAlign w:val="bottom"/>
          </w:tcPr>
          <w:p>
            <w:pPr>
              <w:spacing w:after="0"/>
              <w:rPr>
                <w:sz w:val="1"/>
                <w:szCs w:val="1"/>
                <w:color w:val="auto"/>
              </w:rPr>
            </w:pPr>
          </w:p>
        </w:tc>
      </w:tr>
      <w:tr>
        <w:trPr>
          <w:trHeight w:val="126"/>
        </w:trPr>
        <w:tc>
          <w:tcPr>
            <w:tcW w:w="5740" w:type="dxa"/>
            <w:vAlign w:val="bottom"/>
            <w:tcBorders>
              <w:left w:val="single" w:sz="8" w:color="auto"/>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108"/>
        </w:trPr>
        <w:tc>
          <w:tcPr>
            <w:tcW w:w="574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Operating Income Performance Level</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c>
          <w:tcPr>
            <w:tcW w:w="0" w:type="dxa"/>
            <w:vAlign w:val="bottom"/>
          </w:tcPr>
          <w:p>
            <w:pPr>
              <w:spacing w:after="0"/>
              <w:rPr>
                <w:sz w:val="1"/>
                <w:szCs w:val="1"/>
                <w:color w:val="auto"/>
              </w:rPr>
            </w:pPr>
          </w:p>
        </w:tc>
      </w:tr>
      <w:tr>
        <w:trPr>
          <w:trHeight w:val="126"/>
        </w:trPr>
        <w:tc>
          <w:tcPr>
            <w:tcW w:w="5740" w:type="dxa"/>
            <w:vAlign w:val="bottom"/>
            <w:tcBorders>
              <w:left w:val="single" w:sz="8" w:color="auto"/>
              <w:right w:val="single" w:sz="8" w:color="auto"/>
            </w:tcBorders>
            <w:vMerge w:val="continue"/>
          </w:tcPr>
          <w:p>
            <w:pPr>
              <w:spacing w:after="0"/>
              <w:rPr>
                <w:sz w:val="10"/>
                <w:szCs w:val="10"/>
                <w:color w:val="auto"/>
              </w:rPr>
            </w:pPr>
          </w:p>
        </w:tc>
        <w:tc>
          <w:tcPr>
            <w:tcW w:w="5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Performance*</w:t>
            </w:r>
          </w:p>
        </w:tc>
        <w:tc>
          <w:tcPr>
            <w:tcW w:w="0" w:type="dxa"/>
            <w:vAlign w:val="bottom"/>
          </w:tcPr>
          <w:p>
            <w:pPr>
              <w:spacing w:after="0"/>
              <w:rPr>
                <w:sz w:val="1"/>
                <w:szCs w:val="1"/>
                <w:color w:val="auto"/>
              </w:rPr>
            </w:pPr>
          </w:p>
        </w:tc>
      </w:tr>
      <w:tr>
        <w:trPr>
          <w:trHeight w:val="108"/>
        </w:trPr>
        <w:tc>
          <w:tcPr>
            <w:tcW w:w="5740" w:type="dxa"/>
            <w:vAlign w:val="bottom"/>
            <w:tcBorders>
              <w:left w:val="single" w:sz="8" w:color="auto"/>
              <w:right w:val="single" w:sz="8" w:color="auto"/>
            </w:tcBorders>
          </w:tcPr>
          <w:p>
            <w:pPr>
              <w:spacing w:after="0"/>
              <w:rPr>
                <w:sz w:val="9"/>
                <w:szCs w:val="9"/>
                <w:color w:val="auto"/>
              </w:rPr>
            </w:pPr>
          </w:p>
        </w:tc>
        <w:tc>
          <w:tcPr>
            <w:tcW w:w="5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Threshold</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Excellence</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*Payout levels are determined using linear interpolation for results falling between the three performance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Strategic Objectives</w:t>
      </w:r>
    </w:p>
    <w:p>
      <w:pPr>
        <w:spacing w:after="0" w:line="9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Payouts for performance against the Corporate Strategic Objectives will be based on performance against the following objectives, with underlying success measures to be provided by your manager.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SG&amp;A Rate Reduction </w:t>
      </w:r>
      <w:r>
        <w:rPr>
          <w:rFonts w:ascii="Arial" w:cs="Arial" w:eastAsia="Arial" w:hAnsi="Arial"/>
          <w:sz w:val="18"/>
          <w:szCs w:val="18"/>
          <w:color w:val="auto"/>
        </w:rPr>
        <w:t>-Achieve consolidated SG&amp;A rate reduction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Full Price Growth </w:t>
      </w:r>
      <w:r>
        <w:rPr>
          <w:rFonts w:ascii="Arial" w:cs="Arial" w:eastAsia="Arial" w:hAnsi="Arial"/>
          <w:sz w:val="18"/>
          <w:szCs w:val="18"/>
          <w:color w:val="auto"/>
        </w:rPr>
        <w:t>- Achieve full-price selling growth in full-line and verabradley.com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Customer Count Growth </w:t>
      </w:r>
      <w:r>
        <w:rPr>
          <w:rFonts w:ascii="Arial" w:cs="Arial" w:eastAsia="Arial" w:hAnsi="Arial"/>
          <w:sz w:val="18"/>
          <w:szCs w:val="18"/>
          <w:color w:val="auto"/>
        </w:rPr>
        <w:t>-Achieve Customer base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 Comparable Sales Growth </w:t>
      </w:r>
      <w:r>
        <w:rPr>
          <w:rFonts w:ascii="Arial" w:cs="Arial" w:eastAsia="Arial" w:hAnsi="Arial"/>
          <w:sz w:val="18"/>
          <w:szCs w:val="18"/>
          <w:color w:val="auto"/>
        </w:rPr>
        <w:t>- Achieve Direct comparable sales growth</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Assuming threshold levels of performance against the Corporate Strategic Objectives are met during the Performance Period, the actual payout levels will range from 25%-200% of target. The Compensation Committee of the Board of Directors of the Company (the “Compensation Committee”) shall determine the level of performance achieved against the Corporate Objectives in its sole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objectives, as determined by the Participant’s supervisor and approved by the Compensation Committee. Payout levels for achievement of the Individual Financial Goals range from 0%-200% of that portion of incentive tied to the Individual Financial Goals.</w:t>
      </w:r>
    </w:p>
    <w:p>
      <w:pPr>
        <w:sectPr>
          <w:pgSz w:w="11900" w:h="16838" w:orient="portrait"/>
          <w:cols w:equalWidth="0" w:num="1">
            <w:col w:w="11440"/>
          </w:cols>
          <w:pgMar w:left="240" w:top="714"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Administrative Guidelines</w:t>
      </w:r>
    </w:p>
    <w:p>
      <w:pPr>
        <w:spacing w:after="0" w:line="229" w:lineRule="exact"/>
        <w:rPr>
          <w:sz w:val="20"/>
          <w:szCs w:val="20"/>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Final payout of any bonus under this Plan is subject to the final approval of the Chief Financial Officer and Vice President, Human Resources and as necessary the Compensation Committee.</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Participants placed on a Performance Improvement Plan or who are on Step 3 Probation within six months of when payment is made under this Plan will not be eligible for such payment.</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Results. Before any Awards under the Annual Plan are deemed earned with respect to a Performance Period, the Compensation Committee shall certify, in accordance with Section 9.5 of the 2010 Plan, in writing (i) that the performance goals have been met for the Performance Period, and (ii) the calculation of "Operating Income" and "Net Revenue" for the Performance Period.</w:t>
      </w:r>
    </w:p>
    <w:p>
      <w:pPr>
        <w:jc w:val="both"/>
        <w:ind w:left="1300" w:hanging="320"/>
        <w:spacing w:after="0" w:line="250"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183" w:lineRule="exact"/>
        <w:rPr>
          <w:rFonts w:ascii="Arial" w:cs="Arial" w:eastAsia="Arial" w:hAnsi="Arial"/>
          <w:sz w:val="18"/>
          <w:szCs w:val="18"/>
          <w:color w:val="auto"/>
        </w:rPr>
      </w:pPr>
    </w:p>
    <w:p>
      <w:pPr>
        <w:jc w:val="both"/>
        <w:ind w:left="660" w:hanging="652"/>
        <w:spacing w:after="0" w:line="267"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4" w:lineRule="exact"/>
        <w:rPr>
          <w:rFonts w:ascii="Arial" w:cs="Arial" w:eastAsia="Arial" w:hAnsi="Arial"/>
          <w:sz w:val="17"/>
          <w:szCs w:val="17"/>
          <w:color w:val="auto"/>
        </w:rPr>
      </w:pPr>
    </w:p>
    <w:p>
      <w:pPr>
        <w:jc w:val="both"/>
        <w:ind w:left="1960" w:hanging="655"/>
        <w:spacing w:after="0" w:line="250" w:lineRule="auto"/>
        <w:tabs>
          <w:tab w:leader="none" w:pos="1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1" w:lineRule="exact"/>
        <w:rPr>
          <w:rFonts w:ascii="Arial" w:cs="Arial" w:eastAsia="Arial" w:hAnsi="Arial"/>
          <w:sz w:val="18"/>
          <w:szCs w:val="18"/>
          <w:color w:val="auto"/>
        </w:rPr>
      </w:pPr>
    </w:p>
    <w:p>
      <w:pPr>
        <w:jc w:val="both"/>
        <w:ind w:left="1960" w:hanging="655"/>
        <w:spacing w:after="0" w:line="254" w:lineRule="auto"/>
        <w:tabs>
          <w:tab w:leader="none" w:pos="19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spacing w:after="0" w:line="189"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w:t>
      </w:r>
    </w:p>
    <w:p>
      <w:pPr>
        <w:sectPr>
          <w:pgSz w:w="11900" w:h="16838" w:orient="portrait"/>
          <w:cols w:equalWidth="0" w:num="1">
            <w:col w:w="11420"/>
          </w:cols>
          <w:pgMar w:left="240" w:top="580" w:right="239" w:bottom="1440" w:gutter="0" w:footer="0" w:header="0"/>
        </w:sectPr>
      </w:pPr>
    </w:p>
    <w:bookmarkStart w:id="36" w:name="page37"/>
    <w:bookmarkEnd w:id="36"/>
    <w:p>
      <w:pPr>
        <w:jc w:val="both"/>
        <w:ind w:left="652"/>
        <w:spacing w:after="0" w:line="341" w:lineRule="auto"/>
        <w:rPr>
          <w:sz w:val="20"/>
          <w:szCs w:val="20"/>
          <w:color w:val="auto"/>
        </w:rPr>
      </w:pPr>
      <w:r>
        <w:rPr>
          <w:rFonts w:ascii="Arial" w:cs="Arial" w:eastAsia="Arial" w:hAnsi="Arial"/>
          <w:sz w:val="16"/>
          <w:szCs w:val="16"/>
          <w:color w:val="auto"/>
        </w:rPr>
        <w:t>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41"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spacing w:after="0" w:line="170"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158" w:lineRule="exact"/>
        <w:rPr>
          <w:rFonts w:ascii="Arial" w:cs="Arial" w:eastAsia="Arial" w:hAnsi="Arial"/>
          <w:sz w:val="16"/>
          <w:szCs w:val="16"/>
          <w:color w:val="auto"/>
        </w:rPr>
      </w:pPr>
    </w:p>
    <w:p>
      <w:pPr>
        <w:ind w:left="652"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70" w:lineRule="exact"/>
        <w:rPr>
          <w:rFonts w:ascii="Arial" w:cs="Arial" w:eastAsia="Arial" w:hAnsi="Arial"/>
          <w:sz w:val="18"/>
          <w:szCs w:val="18"/>
          <w:color w:val="auto"/>
        </w:rPr>
      </w:pPr>
    </w:p>
    <w:p>
      <w:pPr>
        <w:ind w:left="652" w:hanging="652"/>
        <w:spacing w:after="0" w:line="342"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ectPr>
          <w:pgSz w:w="11900" w:h="16838" w:orient="portrait"/>
          <w:cols w:equalWidth="0" w:num="1">
            <w:col w:w="11412"/>
          </w:cols>
          <w:pgMar w:left="248" w:top="61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2019</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644"/>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60" w:hanging="652"/>
        <w:spacing w:after="0" w:line="33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644"/>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12, 2019</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4,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May 4,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June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lvl w:ilvl="1">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1."/>
      <w:numFmt w:val="decimal"/>
      <w:start w:val="7"/>
    </w:lvl>
  </w:abstractNum>
  <w:abstractNum w:abstractNumId="13">
    <w:nsid w:val="436C6125"/>
    <w:multiLevelType w:val="hybridMultilevel"/>
    <w:lvl w:ilvl="0">
      <w:lvlJc w:val="left"/>
      <w:lvlText w:val="%1."/>
      <w:numFmt w:val="decimal"/>
      <w:start w:val="9"/>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
      <w:numFmt w:val="bullet"/>
      <w:start w:val="1"/>
    </w:lvl>
    <w:lvl w:ilvl="1">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B03E0C6"/>
    <w:multiLevelType w:val="hybridMultilevel"/>
    <w:lvl w:ilvl="0">
      <w:lvlJc w:val="left"/>
      <w:lvlText w:val="%1."/>
      <w:numFmt w:val="decimal"/>
      <w:start w:val="8"/>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2019-12-28T10:59:37Z</dcterms:created>
  <dcterms:modified xsi:type="dcterms:W3CDTF">2019-12-28T10:59:37Z</dcterms:modified>
</cp:coreProperties>
</file>