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93"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00" w:lineRule="exact"/>
        <w:rPr>
          <w:sz w:val="24"/>
          <w:szCs w:val="24"/>
          <w:color w:val="auto"/>
        </w:rPr>
      </w:pPr>
    </w:p>
    <w:p>
      <w:pPr>
        <w:spacing w:after="0" w:line="251" w:lineRule="exact"/>
        <w:rPr>
          <w:sz w:val="24"/>
          <w:szCs w:val="24"/>
          <w:color w:val="auto"/>
        </w:rPr>
      </w:pPr>
    </w:p>
    <w:p>
      <w:pPr>
        <w:ind w:left="4020" w:right="1900" w:hanging="3985"/>
        <w:spacing w:after="0" w:line="360" w:lineRule="auto"/>
        <w:tabs>
          <w:tab w:leader="none" w:pos="7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January 30, 2016</w:t>
      </w: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820"/>
        <w:spacing w:after="0"/>
        <w:tabs>
          <w:tab w:leader="none" w:pos="68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8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60325</wp:posOffset>
            </wp:positionV>
            <wp:extent cx="1766570" cy="900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6570"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67" w:lineRule="exact"/>
        <w:rPr>
          <w:sz w:val="24"/>
          <w:szCs w:val="24"/>
          <w:color w:val="auto"/>
        </w:rPr>
      </w:pPr>
    </w:p>
    <w:tbl>
      <w:tblPr>
        <w:tblLayout w:type="fixed"/>
        <w:tblInd w:w="1620" w:type="dxa"/>
        <w:tblCellMar>
          <w:top w:w="0" w:type="dxa"/>
          <w:left w:w="0" w:type="dxa"/>
          <w:bottom w:w="0" w:type="dxa"/>
          <w:right w:w="0" w:type="dxa"/>
        </w:tblCellMar>
      </w:tblPr>
      <w:tr>
        <w:trPr>
          <w:trHeight w:val="238"/>
        </w:trPr>
        <w:tc>
          <w:tcPr>
            <w:tcW w:w="6240" w:type="dxa"/>
            <w:vAlign w:val="bottom"/>
          </w:tcPr>
          <w:p>
            <w:pPr>
              <w:jc w:val="center"/>
              <w:ind w:right="3758"/>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12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27-2935063</w:t>
            </w:r>
          </w:p>
        </w:tc>
      </w:tr>
      <w:tr>
        <w:trPr>
          <w:trHeight w:val="178"/>
        </w:trPr>
        <w:tc>
          <w:tcPr>
            <w:tcW w:w="6240" w:type="dxa"/>
            <w:vAlign w:val="bottom"/>
          </w:tcPr>
          <w:p>
            <w:pPr>
              <w:jc w:val="center"/>
              <w:ind w:right="377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40" w:type="dxa"/>
            <w:vAlign w:val="bottom"/>
          </w:tcPr>
          <w:p>
            <w:pPr>
              <w:jc w:val="center"/>
              <w:ind w:right="377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5"/>
        </w:trPr>
        <w:tc>
          <w:tcPr>
            <w:tcW w:w="6240" w:type="dxa"/>
            <w:vAlign w:val="bottom"/>
          </w:tcPr>
          <w:p>
            <w:pPr>
              <w:jc w:val="center"/>
              <w:ind w:right="3778"/>
              <w:spacing w:after="0"/>
              <w:rPr>
                <w:sz w:val="20"/>
                <w:szCs w:val="20"/>
                <w:color w:val="auto"/>
              </w:rPr>
            </w:pPr>
            <w:r>
              <w:rPr>
                <w:rFonts w:ascii="Times New Roman" w:cs="Times New Roman" w:eastAsia="Times New Roman" w:hAnsi="Times New Roman"/>
                <w:sz w:val="18"/>
                <w:szCs w:val="18"/>
                <w:b w:val="1"/>
                <w:bCs w:val="1"/>
                <w:color w:val="auto"/>
              </w:rPr>
              <w:t>12420 Stonebridge Road,</w:t>
            </w:r>
          </w:p>
        </w:tc>
        <w:tc>
          <w:tcPr>
            <w:tcW w:w="1280" w:type="dxa"/>
            <w:vAlign w:val="bottom"/>
          </w:tcPr>
          <w:p>
            <w:pPr>
              <w:spacing w:after="0"/>
              <w:rPr>
                <w:sz w:val="24"/>
                <w:szCs w:val="24"/>
                <w:color w:val="auto"/>
              </w:rPr>
            </w:pPr>
          </w:p>
        </w:tc>
      </w:tr>
      <w:tr>
        <w:trPr>
          <w:trHeight w:val="238"/>
        </w:trPr>
        <w:tc>
          <w:tcPr>
            <w:tcW w:w="6240" w:type="dxa"/>
            <w:vAlign w:val="bottom"/>
          </w:tcPr>
          <w:p>
            <w:pPr>
              <w:jc w:val="center"/>
              <w:ind w:right="3778"/>
              <w:spacing w:after="0"/>
              <w:rPr>
                <w:sz w:val="20"/>
                <w:szCs w:val="20"/>
                <w:color w:val="auto"/>
              </w:rPr>
            </w:pPr>
            <w:r>
              <w:rPr>
                <w:rFonts w:ascii="Times New Roman" w:cs="Times New Roman" w:eastAsia="Times New Roman" w:hAnsi="Times New Roman"/>
                <w:sz w:val="18"/>
                <w:szCs w:val="18"/>
                <w:b w:val="1"/>
                <w:bCs w:val="1"/>
                <w:color w:val="auto"/>
              </w:rPr>
              <w:t>Roanoke, Indiana</w:t>
            </w: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46783</w:t>
            </w:r>
          </w:p>
        </w:tc>
      </w:tr>
      <w:tr>
        <w:trPr>
          <w:trHeight w:val="220"/>
        </w:trPr>
        <w:tc>
          <w:tcPr>
            <w:tcW w:w="6240" w:type="dxa"/>
            <w:vAlign w:val="bottom"/>
          </w:tcPr>
          <w:p>
            <w:pPr>
              <w:jc w:val="center"/>
              <w:ind w:right="37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50"/>
        </w:trPr>
        <w:tc>
          <w:tcPr>
            <w:tcW w:w="6240" w:type="dxa"/>
            <w:vAlign w:val="bottom"/>
          </w:tcPr>
          <w:p>
            <w:pPr>
              <w:jc w:val="right"/>
              <w:ind w:right="1498"/>
              <w:spacing w:after="0"/>
              <w:rPr>
                <w:sz w:val="20"/>
                <w:szCs w:val="20"/>
                <w:color w:val="auto"/>
              </w:rPr>
            </w:pPr>
            <w:r>
              <w:rPr>
                <w:rFonts w:ascii="Times New Roman" w:cs="Times New Roman" w:eastAsia="Times New Roman" w:hAnsi="Times New Roman"/>
                <w:sz w:val="18"/>
                <w:szCs w:val="18"/>
                <w:b w:val="1"/>
                <w:bCs w:val="1"/>
                <w:color w:val="auto"/>
              </w:rPr>
              <w:t>(877) 708-8372</w:t>
            </w:r>
          </w:p>
        </w:tc>
        <w:tc>
          <w:tcPr>
            <w:tcW w:w="1280" w:type="dxa"/>
            <w:vAlign w:val="bottom"/>
          </w:tcPr>
          <w:p>
            <w:pPr>
              <w:spacing w:after="0"/>
              <w:rPr>
                <w:sz w:val="24"/>
                <w:szCs w:val="24"/>
                <w:color w:val="auto"/>
              </w:rPr>
            </w:pPr>
          </w:p>
        </w:tc>
      </w:tr>
      <w:tr>
        <w:trPr>
          <w:trHeight w:val="190"/>
        </w:trPr>
        <w:tc>
          <w:tcPr>
            <w:tcW w:w="6240" w:type="dxa"/>
            <w:vAlign w:val="bottom"/>
          </w:tcPr>
          <w:p>
            <w:pPr>
              <w:jc w:val="center"/>
              <w:ind w:left="18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280" w:type="dxa"/>
            <w:vAlign w:val="bottom"/>
          </w:tcPr>
          <w:p>
            <w:pPr>
              <w:spacing w:after="0"/>
              <w:rPr>
                <w:sz w:val="16"/>
                <w:szCs w:val="16"/>
                <w:color w:val="auto"/>
              </w:rPr>
            </w:pPr>
          </w:p>
        </w:tc>
      </w:tr>
      <w:tr>
        <w:trPr>
          <w:trHeight w:val="280"/>
        </w:trPr>
        <w:tc>
          <w:tcPr>
            <w:tcW w:w="624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_____________________________________________</w:t>
            </w:r>
          </w:p>
        </w:tc>
        <w:tc>
          <w:tcPr>
            <w:tcW w:w="1280" w:type="dxa"/>
            <w:vAlign w:val="bottom"/>
          </w:tcPr>
          <w:p>
            <w:pPr>
              <w:spacing w:after="0"/>
              <w:rPr>
                <w:sz w:val="24"/>
                <w:szCs w:val="24"/>
                <w:color w:val="auto"/>
              </w:rPr>
            </w:pPr>
          </w:p>
        </w:tc>
      </w:tr>
    </w:tbl>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9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9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66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312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6760" w:type="dxa"/>
            <w:vAlign w:val="bottom"/>
            <w:gridSpan w:val="5"/>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r>
        <w:trPr>
          <w:trHeight w:val="302"/>
        </w:trPr>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2"/>
          </w:tcPr>
          <w:p>
            <w:pPr>
              <w:jc w:val="center"/>
              <w:ind w:right="908"/>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8"/>
        </w:trPr>
        <w:tc>
          <w:tcPr>
            <w:tcW w:w="1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gridSpan w:val="2"/>
          </w:tcPr>
          <w:p>
            <w:pPr>
              <w:jc w:val="center"/>
              <w:ind w:right="908"/>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84"/>
        </w:trPr>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2"/>
          </w:tcPr>
          <w:p>
            <w:pPr>
              <w:jc w:val="center"/>
              <w:ind w:right="928"/>
              <w:spacing w:after="0"/>
              <w:rPr>
                <w:sz w:val="20"/>
                <w:szCs w:val="20"/>
                <w:color w:val="auto"/>
              </w:rPr>
            </w:pPr>
            <w:r>
              <w:rPr>
                <w:rFonts w:ascii="Times New Roman" w:cs="Times New Roman" w:eastAsia="Times New Roman" w:hAnsi="Times New Roman"/>
                <w:sz w:val="18"/>
                <w:szCs w:val="18"/>
                <w:color w:val="auto"/>
              </w:rPr>
              <w:t>_____________________________________________</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17"/>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x</w:t>
            </w:r>
          </w:p>
        </w:tc>
      </w:tr>
      <w:tr>
        <w:trPr>
          <w:trHeight w:val="297"/>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 x</w:t>
            </w:r>
          </w:p>
        </w:tc>
      </w:tr>
    </w:tbl>
    <w:p>
      <w:pPr>
        <w:spacing w:after="0" w:line="43" w:lineRule="exact"/>
        <w:rPr>
          <w:sz w:val="24"/>
          <w:szCs w:val="24"/>
          <w:color w:val="auto"/>
        </w:rPr>
      </w:pPr>
    </w:p>
    <w:p>
      <w:pPr>
        <w:ind w:right="14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4" w:lineRule="exact"/>
        <w:rPr>
          <w:sz w:val="24"/>
          <w:szCs w:val="24"/>
          <w:color w:val="auto"/>
        </w:rPr>
      </w:pPr>
    </w:p>
    <w:p>
      <w:pPr>
        <w:ind w:right="26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4" w:lineRule="exact"/>
        <w:rPr>
          <w:sz w:val="24"/>
          <w:szCs w:val="24"/>
          <w:color w:val="auto"/>
        </w:rPr>
      </w:pPr>
    </w:p>
    <w:p>
      <w:pPr>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4" w:lineRule="exact"/>
        <w:rPr>
          <w:sz w:val="24"/>
          <w:szCs w:val="24"/>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79" w:lineRule="exact"/>
        <w:rPr>
          <w:sz w:val="24"/>
          <w:szCs w:val="24"/>
          <w:color w:val="auto"/>
        </w:rPr>
      </w:pPr>
    </w:p>
    <w:p>
      <w:pPr>
        <w:ind w:left="40"/>
        <w:spacing w:after="0" w:line="207" w:lineRule="exact"/>
        <w:tabs>
          <w:tab w:leader="none" w:pos="2780" w:val="left"/>
          <w:tab w:leader="none" w:pos="8260" w:val="left"/>
          <w:tab w:leader="none" w:pos="1108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Times New Roman" w:cs="Times New Roman" w:eastAsia="Times New Roman" w:hAnsi="Times New Roman"/>
          <w:sz w:val="18"/>
          <w:szCs w:val="18"/>
          <w:color w:val="auto"/>
        </w:rPr>
        <w:t>x</w:t>
      </w:r>
    </w:p>
    <w:p>
      <w:pPr>
        <w:sectPr>
          <w:pgSz w:w="11900" w:h="16838" w:orient="portrait"/>
          <w:cols w:equalWidth="0" w:num="1">
            <w:col w:w="11420"/>
          </w:cols>
          <w:pgMar w:left="240" w:top="225" w:right="239" w:bottom="159" w:gutter="0" w:footer="0" w:header="0"/>
        </w:sectPr>
      </w:pPr>
    </w:p>
    <w:bookmarkStart w:id="1" w:name="page2"/>
    <w:bookmarkEnd w:id="1"/>
    <w:p>
      <w:pPr>
        <w:ind w:left="340" w:hanging="296"/>
        <w:spacing w:after="0" w:line="304" w:lineRule="exact"/>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 xml:space="preserve"> </w:t>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(Do not check if a smaller reporting company) Smaller reporting company</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w:t>
      </w:r>
    </w:p>
    <w:p>
      <w:pPr>
        <w:spacing w:after="0" w:line="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market value of the registrant’s voting common stock held by non-affiliates of the registrant as of August 1, 2015 was $219,293,786.</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registrant had 34,873,336 shares of its common stock outstanding as of March 29, 2016.</w:t>
      </w:r>
    </w:p>
    <w:p>
      <w:pPr>
        <w:spacing w:after="0" w:line="7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DOCUMENT INCORPORATED BY REFERENCE:</w:t>
      </w:r>
    </w:p>
    <w:p>
      <w:pPr>
        <w:spacing w:after="0" w:line="94"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2016 Annual Meeting of Shareholders are incorporated by reference into Part III of this Annual Report on Form 10-K.</w:t>
      </w:r>
    </w:p>
    <w:p>
      <w:pPr>
        <w:sectPr>
          <w:pgSz w:w="11900" w:h="16838" w:orient="portrait"/>
          <w:cols w:equalWidth="0" w:num="1">
            <w:col w:w="11280"/>
          </w:cols>
          <w:pgMar w:left="240" w:top="91" w:right="3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54" w:lineRule="exact"/>
        <w:rPr>
          <w:sz w:val="20"/>
          <w:szCs w:val="20"/>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continued declines in our comparable sales;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or design associates or inability to attract and retain the talent required for our business;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w:t>
      </w:r>
    </w:p>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these risks and other risks and uncertainties that could cause actual results to differ materially from those contained in our forward-looking statements, please refer to “Risk Factors” in Item 1A of this report.</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120" w:type="dxa"/>
            <w:vAlign w:val="bottom"/>
            <w:gridSpan w:val="26"/>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128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40" w:type="dxa"/>
            <w:vAlign w:val="bottom"/>
            <w:gridSpan w:val="8"/>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8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920" w:type="dxa"/>
            <w:vAlign w:val="bottom"/>
            <w:gridSpan w:val="5"/>
          </w:tcPr>
          <w:p>
            <w:pPr>
              <w:spacing w:after="0"/>
              <w:rPr>
                <w:rFonts w:ascii="Times New Roman" w:cs="Times New Roman" w:eastAsia="Times New Roman" w:hAnsi="Times New Roman"/>
                <w:sz w:val="18"/>
                <w:szCs w:val="18"/>
                <w:b w:val="1"/>
                <w:bCs w:val="1"/>
                <w:color w:val="0000FF"/>
              </w:rPr>
            </w:pPr>
            <w:hyperlink w:anchor="page4">
              <w:r>
                <w:rPr>
                  <w:rFonts w:ascii="Times New Roman" w:cs="Times New Roman" w:eastAsia="Times New Roman" w:hAnsi="Times New Roman"/>
                  <w:sz w:val="18"/>
                  <w:szCs w:val="18"/>
                  <w:b w:val="1"/>
                  <w:bCs w:val="1"/>
                  <w:color w:val="0000FF"/>
                </w:rPr>
                <w:t>PART I.</w:t>
              </w:r>
            </w:hyperlink>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4</w:t>
              </w:r>
            </w:hyperlink>
          </w:p>
        </w:tc>
      </w:tr>
      <w:tr>
        <w:trPr>
          <w:trHeight w:val="480"/>
        </w:trPr>
        <w:tc>
          <w:tcPr>
            <w:tcW w:w="40" w:type="dxa"/>
            <w:vAlign w:val="bottom"/>
          </w:tcPr>
          <w:p>
            <w:pPr>
              <w:spacing w:after="0"/>
              <w:rPr>
                <w:sz w:val="24"/>
                <w:szCs w:val="24"/>
                <w:color w:val="auto"/>
              </w:rPr>
            </w:pPr>
          </w:p>
        </w:tc>
        <w:tc>
          <w:tcPr>
            <w:tcW w:w="6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300" w:type="dxa"/>
            <w:vAlign w:val="bottom"/>
            <w:gridSpan w:val="4"/>
          </w:tcPr>
          <w:p>
            <w:pPr>
              <w:spacing w:after="0"/>
              <w:rPr>
                <w:sz w:val="24"/>
                <w:szCs w:val="24"/>
                <w:color w:val="auto"/>
              </w:rPr>
            </w:pPr>
          </w:p>
        </w:tc>
        <w:tc>
          <w:tcPr>
            <w:tcW w:w="64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6"/>
              </w:rPr>
            </w:pPr>
            <w:hyperlink w:anchor="page5">
              <w:r>
                <w:rPr>
                  <w:rFonts w:ascii="Times New Roman" w:cs="Times New Roman" w:eastAsia="Times New Roman" w:hAnsi="Times New Roman"/>
                  <w:sz w:val="18"/>
                  <w:szCs w:val="18"/>
                  <w:color w:val="0000FF"/>
                  <w:w w:val="96"/>
                </w:rPr>
                <w:t>Business</w:t>
              </w:r>
            </w:hyperlink>
          </w:p>
        </w:tc>
        <w:tc>
          <w:tcPr>
            <w:tcW w:w="8520" w:type="dxa"/>
            <w:vAlign w:val="bottom"/>
            <w:gridSpan w:val="18"/>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4</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7"/>
              </w:rPr>
            </w:pPr>
            <w:hyperlink w:anchor="page15">
              <w:r>
                <w:rPr>
                  <w:rFonts w:ascii="Times New Roman" w:cs="Times New Roman" w:eastAsia="Times New Roman" w:hAnsi="Times New Roman"/>
                  <w:sz w:val="18"/>
                  <w:szCs w:val="18"/>
                  <w:color w:val="0000FF"/>
                  <w:w w:val="97"/>
                </w:rPr>
                <w:t>Risk Factors</w:t>
              </w:r>
            </w:hyperlink>
          </w:p>
        </w:tc>
        <w:tc>
          <w:tcPr>
            <w:tcW w:w="8260" w:type="dxa"/>
            <w:vAlign w:val="bottom"/>
            <w:gridSpan w:val="16"/>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15">
              <w:r>
                <w:rPr>
                  <w:rFonts w:ascii="Times New Roman" w:cs="Times New Roman" w:eastAsia="Times New Roman" w:hAnsi="Times New Roman"/>
                  <w:sz w:val="18"/>
                  <w:szCs w:val="18"/>
                  <w:color w:val="auto"/>
                </w:rPr>
                <w:t>15</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8"/>
              </w:rPr>
            </w:pPr>
            <w:hyperlink w:anchor="page25">
              <w:r>
                <w:rPr>
                  <w:rFonts w:ascii="Times New Roman" w:cs="Times New Roman" w:eastAsia="Times New Roman" w:hAnsi="Times New Roman"/>
                  <w:sz w:val="18"/>
                  <w:szCs w:val="18"/>
                  <w:color w:val="0000FF"/>
                  <w:w w:val="98"/>
                </w:rPr>
                <w:t>Unresolved Staff Comments</w:t>
              </w:r>
            </w:hyperlink>
          </w:p>
        </w:tc>
        <w:tc>
          <w:tcPr>
            <w:tcW w:w="7120" w:type="dxa"/>
            <w:vAlign w:val="bottom"/>
            <w:gridSpan w:val="11"/>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25</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0"/>
          </w:tcPr>
          <w:p>
            <w:pPr>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Properties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25</w:t>
              </w:r>
            </w:hyperlink>
          </w:p>
        </w:tc>
      </w:tr>
      <w:tr>
        <w:trPr>
          <w:trHeight w:val="20"/>
        </w:trPr>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9160" w:type="dxa"/>
            <w:vAlign w:val="bottom"/>
            <w:gridSpan w:val="20"/>
          </w:tcPr>
          <w:p>
            <w:pPr>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Legal Proceedings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26</w:t>
              </w:r>
            </w:hyperlink>
          </w:p>
        </w:tc>
      </w:tr>
      <w:tr>
        <w:trPr>
          <w:trHeight w:val="20"/>
        </w:trPr>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0"/>
          </w:tcPr>
          <w:p>
            <w:pPr>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Mine Safety Disclosure</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26</w:t>
              </w:r>
            </w:hyperlink>
          </w:p>
        </w:tc>
      </w:tr>
      <w:tr>
        <w:trPr>
          <w:trHeight w:val="480"/>
        </w:trPr>
        <w:tc>
          <w:tcPr>
            <w:tcW w:w="40" w:type="dxa"/>
            <w:vAlign w:val="bottom"/>
          </w:tcPr>
          <w:p>
            <w:pPr>
              <w:spacing w:after="0"/>
              <w:rPr>
                <w:sz w:val="24"/>
                <w:szCs w:val="24"/>
                <w:color w:val="auto"/>
              </w:rPr>
            </w:pPr>
          </w:p>
        </w:tc>
        <w:tc>
          <w:tcPr>
            <w:tcW w:w="700" w:type="dxa"/>
            <w:vAlign w:val="bottom"/>
            <w:tcBorders>
              <w:bottom w:val="single" w:sz="8" w:color="0000FF"/>
            </w:tcBorders>
            <w:gridSpan w:val="2"/>
          </w:tcPr>
          <w:p>
            <w:pPr>
              <w:spacing w:after="0"/>
              <w:rPr>
                <w:rFonts w:ascii="Times New Roman" w:cs="Times New Roman" w:eastAsia="Times New Roman" w:hAnsi="Times New Roman"/>
                <w:sz w:val="18"/>
                <w:szCs w:val="18"/>
                <w:b w:val="1"/>
                <w:bCs w:val="1"/>
                <w:color w:val="0000FF"/>
                <w:w w:val="94"/>
              </w:rPr>
            </w:pPr>
            <w:hyperlink w:anchor="page27">
              <w:r>
                <w:rPr>
                  <w:rFonts w:ascii="Times New Roman" w:cs="Times New Roman" w:eastAsia="Times New Roman" w:hAnsi="Times New Roman"/>
                  <w:sz w:val="18"/>
                  <w:szCs w:val="18"/>
                  <w:b w:val="1"/>
                  <w:bCs w:val="1"/>
                  <w:color w:val="0000FF"/>
                  <w:w w:val="94"/>
                </w:rPr>
                <w:t>PART II.</w:t>
              </w:r>
            </w:hyperlink>
          </w:p>
        </w:tc>
        <w:tc>
          <w:tcPr>
            <w:tcW w:w="220" w:type="dxa"/>
            <w:vAlign w:val="bottom"/>
            <w:gridSpan w:val="3"/>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27</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5.</w:t>
            </w:r>
          </w:p>
        </w:tc>
        <w:tc>
          <w:tcPr>
            <w:tcW w:w="9160" w:type="dxa"/>
            <w:vAlign w:val="bottom"/>
            <w:gridSpan w:val="20"/>
          </w:tcPr>
          <w:p>
            <w:pPr>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Market for Registrant’s Common Equity, Related Stockholder Matters and Issuer Purchases of Equity Securities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27</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19"/>
          </w:tcPr>
          <w:p>
            <w:pPr>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Selected Financial Data</w:t>
              </w:r>
            </w:hyperlink>
          </w:p>
        </w:tc>
        <w:tc>
          <w:tcPr>
            <w:tcW w:w="1100" w:type="dxa"/>
            <w:vAlign w:val="bottom"/>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29</w:t>
              </w:r>
            </w:hyperlink>
          </w:p>
        </w:tc>
      </w:tr>
      <w:tr>
        <w:trPr>
          <w:trHeight w:val="20"/>
        </w:trPr>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w:anchor="page32">
              <w:r>
                <w:rPr>
                  <w:rFonts w:ascii="Times New Roman" w:cs="Times New Roman" w:eastAsia="Times New Roman" w:hAnsi="Times New Roman"/>
                  <w:sz w:val="18"/>
                  <w:szCs w:val="18"/>
                  <w:color w:val="0000FF"/>
                  <w:w w:val="99"/>
                </w:rPr>
                <w:t>Management’s Discussion and Analysis of Financial Condition and Results of Operations</w:t>
              </w:r>
            </w:hyperlink>
          </w:p>
        </w:tc>
        <w:tc>
          <w:tcPr>
            <w:tcW w:w="2700" w:type="dxa"/>
            <w:vAlign w:val="bottom"/>
            <w:gridSpan w:val="4"/>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32</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w:anchor="page44">
              <w:r>
                <w:rPr>
                  <w:rFonts w:ascii="Times New Roman" w:cs="Times New Roman" w:eastAsia="Times New Roman" w:hAnsi="Times New Roman"/>
                  <w:sz w:val="18"/>
                  <w:szCs w:val="18"/>
                  <w:color w:val="0000FF"/>
                  <w:w w:val="99"/>
                </w:rPr>
                <w:t>Quantitative and Qualitative Disclosures About Market Risk</w:t>
              </w:r>
            </w:hyperlink>
          </w:p>
        </w:tc>
        <w:tc>
          <w:tcPr>
            <w:tcW w:w="4800" w:type="dxa"/>
            <w:vAlign w:val="bottom"/>
            <w:gridSpan w:val="6"/>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44</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9160" w:type="dxa"/>
            <w:vAlign w:val="bottom"/>
            <w:gridSpan w:val="20"/>
          </w:tcPr>
          <w:p>
            <w:pPr>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Financial Statements and Supplementary Data</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45">
              <w:r>
                <w:rPr>
                  <w:rFonts w:ascii="Times New Roman" w:cs="Times New Roman" w:eastAsia="Times New Roman" w:hAnsi="Times New Roman"/>
                  <w:sz w:val="18"/>
                  <w:szCs w:val="18"/>
                  <w:color w:val="auto"/>
                </w:rPr>
                <w:t>45</w:t>
              </w:r>
            </w:hyperlink>
          </w:p>
        </w:tc>
      </w:tr>
      <w:tr>
        <w:trPr>
          <w:trHeight w:val="20"/>
        </w:trPr>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w:anchor="page68">
              <w:r>
                <w:rPr>
                  <w:rFonts w:ascii="Times New Roman" w:cs="Times New Roman" w:eastAsia="Times New Roman" w:hAnsi="Times New Roman"/>
                  <w:sz w:val="18"/>
                  <w:szCs w:val="18"/>
                  <w:color w:val="0000FF"/>
                  <w:w w:val="99"/>
                </w:rPr>
                <w:t>Changes in and Disagreements with Accountants on Accounting and Financial Disclosure</w:t>
              </w:r>
            </w:hyperlink>
          </w:p>
        </w:tc>
        <w:tc>
          <w:tcPr>
            <w:tcW w:w="2680" w:type="dxa"/>
            <w:vAlign w:val="bottom"/>
            <w:gridSpan w:val="3"/>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68">
              <w:r>
                <w:rPr>
                  <w:rFonts w:ascii="Times New Roman" w:cs="Times New Roman" w:eastAsia="Times New Roman" w:hAnsi="Times New Roman"/>
                  <w:sz w:val="18"/>
                  <w:szCs w:val="18"/>
                  <w:color w:val="auto"/>
                </w:rPr>
                <w:t>68</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9160" w:type="dxa"/>
            <w:vAlign w:val="bottom"/>
            <w:gridSpan w:val="20"/>
          </w:tcPr>
          <w:p>
            <w:pPr>
              <w:spacing w:after="0"/>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Controls and Procedures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69">
              <w:r>
                <w:rPr>
                  <w:rFonts w:ascii="Times New Roman" w:cs="Times New Roman" w:eastAsia="Times New Roman" w:hAnsi="Times New Roman"/>
                  <w:sz w:val="18"/>
                  <w:szCs w:val="18"/>
                  <w:color w:val="auto"/>
                </w:rPr>
                <w:t>68</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Other Information</w:t>
              </w:r>
            </w:hyperlink>
          </w:p>
        </w:tc>
        <w:tc>
          <w:tcPr>
            <w:tcW w:w="7400" w:type="dxa"/>
            <w:vAlign w:val="bottom"/>
            <w:gridSpan w:val="13"/>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69">
              <w:r>
                <w:rPr>
                  <w:rFonts w:ascii="Times New Roman" w:cs="Times New Roman" w:eastAsia="Times New Roman" w:hAnsi="Times New Roman"/>
                  <w:sz w:val="18"/>
                  <w:szCs w:val="18"/>
                  <w:color w:val="auto"/>
                </w:rPr>
                <w:t>68</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rFonts w:ascii="Times New Roman" w:cs="Times New Roman" w:eastAsia="Times New Roman" w:hAnsi="Times New Roman"/>
                <w:sz w:val="18"/>
                <w:szCs w:val="18"/>
                <w:b w:val="1"/>
                <w:bCs w:val="1"/>
                <w:color w:val="0000FF"/>
              </w:rPr>
            </w:pPr>
            <w:hyperlink w:anchor="page69">
              <w:r>
                <w:rPr>
                  <w:rFonts w:ascii="Times New Roman" w:cs="Times New Roman" w:eastAsia="Times New Roman" w:hAnsi="Times New Roman"/>
                  <w:sz w:val="18"/>
                  <w:szCs w:val="18"/>
                  <w:b w:val="1"/>
                  <w:bCs w:val="1"/>
                  <w:color w:val="0000FF"/>
                </w:rPr>
                <w:t>PART III.</w:t>
              </w:r>
            </w:hyperlink>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69">
              <w:r>
                <w:rPr>
                  <w:rFonts w:ascii="Times New Roman" w:cs="Times New Roman" w:eastAsia="Times New Roman" w:hAnsi="Times New Roman"/>
                  <w:sz w:val="18"/>
                  <w:szCs w:val="18"/>
                  <w:color w:val="auto"/>
                </w:rPr>
                <w:t>69</w:t>
              </w:r>
            </w:hyperlink>
          </w:p>
        </w:tc>
      </w:tr>
      <w:tr>
        <w:trPr>
          <w:trHeight w:val="480"/>
        </w:trPr>
        <w:tc>
          <w:tcPr>
            <w:tcW w:w="40" w:type="dxa"/>
            <w:vAlign w:val="bottom"/>
          </w:tcPr>
          <w:p>
            <w:pPr>
              <w:spacing w:after="0"/>
              <w:rPr>
                <w:sz w:val="24"/>
                <w:szCs w:val="24"/>
                <w:color w:val="auto"/>
              </w:rPr>
            </w:pPr>
          </w:p>
        </w:tc>
        <w:tc>
          <w:tcPr>
            <w:tcW w:w="7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Item 10.</w:t>
            </w:r>
          </w:p>
        </w:tc>
        <w:tc>
          <w:tcPr>
            <w:tcW w:w="160" w:type="dxa"/>
            <w:vAlign w:val="bottom"/>
          </w:tcPr>
          <w:p>
            <w:pPr>
              <w:spacing w:after="0"/>
              <w:rPr>
                <w:sz w:val="24"/>
                <w:szCs w:val="24"/>
                <w:color w:val="auto"/>
              </w:rPr>
            </w:pPr>
          </w:p>
        </w:tc>
        <w:tc>
          <w:tcPr>
            <w:tcW w:w="9160" w:type="dxa"/>
            <w:vAlign w:val="bottom"/>
            <w:gridSpan w:val="20"/>
          </w:tcPr>
          <w:p>
            <w:pPr>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Directors, Executive Officers and Corporate Governance</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70">
              <w:r>
                <w:rPr>
                  <w:rFonts w:ascii="Times New Roman" w:cs="Times New Roman" w:eastAsia="Times New Roman" w:hAnsi="Times New Roman"/>
                  <w:sz w:val="18"/>
                  <w:szCs w:val="18"/>
                  <w:color w:val="auto"/>
                </w:rPr>
                <w:t>69</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8"/>
                <w:szCs w:val="18"/>
                <w:color w:val="0000FF"/>
                <w:w w:val="98"/>
              </w:rPr>
            </w:pPr>
            <w:hyperlink w:anchor="page70">
              <w:r>
                <w:rPr>
                  <w:rFonts w:ascii="Times New Roman" w:cs="Times New Roman" w:eastAsia="Times New Roman" w:hAnsi="Times New Roman"/>
                  <w:sz w:val="18"/>
                  <w:szCs w:val="18"/>
                  <w:color w:val="0000FF"/>
                  <w:w w:val="98"/>
                </w:rPr>
                <w:t>Executive Compensation</w:t>
              </w:r>
            </w:hyperlink>
          </w:p>
        </w:tc>
        <w:tc>
          <w:tcPr>
            <w:tcW w:w="2280" w:type="dxa"/>
            <w:vAlign w:val="bottom"/>
            <w:tcBorders>
              <w:top w:val="single" w:sz="8" w:color="0000FF"/>
            </w:tcBorders>
            <w:gridSpan w:val="5"/>
          </w:tcPr>
          <w:p>
            <w:pPr>
              <w:spacing w:after="0"/>
              <w:rPr>
                <w:sz w:val="24"/>
                <w:szCs w:val="24"/>
                <w:color w:val="auto"/>
              </w:rPr>
            </w:pPr>
          </w:p>
        </w:tc>
        <w:tc>
          <w:tcPr>
            <w:tcW w:w="5080" w:type="dxa"/>
            <w:vAlign w:val="bottom"/>
            <w:gridSpan w:val="7"/>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70">
              <w:r>
                <w:rPr>
                  <w:rFonts w:ascii="Times New Roman" w:cs="Times New Roman" w:eastAsia="Times New Roman" w:hAnsi="Times New Roman"/>
                  <w:sz w:val="18"/>
                  <w:szCs w:val="18"/>
                  <w:color w:val="auto"/>
                </w:rPr>
                <w:t>69</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9160" w:type="dxa"/>
            <w:vAlign w:val="bottom"/>
            <w:gridSpan w:val="20"/>
          </w:tcPr>
          <w:p>
            <w:pPr>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Security Ownership of Certain Beneficial Owners and Management and Related Stockholder Matters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70">
              <w:r>
                <w:rPr>
                  <w:rFonts w:ascii="Times New Roman" w:cs="Times New Roman" w:eastAsia="Times New Roman" w:hAnsi="Times New Roman"/>
                  <w:sz w:val="18"/>
                  <w:szCs w:val="18"/>
                  <w:color w:val="auto"/>
                </w:rPr>
                <w:t>69</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18"/>
          </w:tcPr>
          <w:p>
            <w:pPr>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Certain Relationships and Related Transactions, and Director Independence</w:t>
              </w:r>
            </w:hyperlink>
          </w:p>
        </w:tc>
        <w:tc>
          <w:tcPr>
            <w:tcW w:w="1880" w:type="dxa"/>
            <w:vAlign w:val="bottom"/>
            <w:gridSpan w:val="2"/>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70">
              <w:r>
                <w:rPr>
                  <w:rFonts w:ascii="Times New Roman" w:cs="Times New Roman" w:eastAsia="Times New Roman" w:hAnsi="Times New Roman"/>
                  <w:sz w:val="18"/>
                  <w:szCs w:val="18"/>
                  <w:color w:val="auto"/>
                </w:rPr>
                <w:t>70</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Principal Accounting Fees and Services</w:t>
              </w:r>
            </w:hyperlink>
          </w:p>
        </w:tc>
        <w:tc>
          <w:tcPr>
            <w:tcW w:w="3720" w:type="dxa"/>
            <w:vAlign w:val="bottom"/>
            <w:gridSpan w:val="5"/>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71">
              <w:r>
                <w:rPr>
                  <w:rFonts w:ascii="Times New Roman" w:cs="Times New Roman" w:eastAsia="Times New Roman" w:hAnsi="Times New Roman"/>
                  <w:sz w:val="18"/>
                  <w:szCs w:val="18"/>
                  <w:color w:val="auto"/>
                </w:rPr>
                <w:t>70</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rFonts w:ascii="Times New Roman" w:cs="Times New Roman" w:eastAsia="Times New Roman" w:hAnsi="Times New Roman"/>
                <w:sz w:val="18"/>
                <w:szCs w:val="18"/>
                <w:b w:val="1"/>
                <w:bCs w:val="1"/>
                <w:color w:val="0000FF"/>
              </w:rPr>
            </w:pPr>
            <w:hyperlink w:anchor="page71">
              <w:r>
                <w:rPr>
                  <w:rFonts w:ascii="Times New Roman" w:cs="Times New Roman" w:eastAsia="Times New Roman" w:hAnsi="Times New Roman"/>
                  <w:sz w:val="18"/>
                  <w:szCs w:val="18"/>
                  <w:b w:val="1"/>
                  <w:bCs w:val="1"/>
                  <w:color w:val="0000FF"/>
                </w:rPr>
                <w:t>PART IV.</w:t>
              </w:r>
            </w:hyperlink>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71">
              <w:r>
                <w:rPr>
                  <w:rFonts w:ascii="Times New Roman" w:cs="Times New Roman" w:eastAsia="Times New Roman" w:hAnsi="Times New Roman"/>
                  <w:sz w:val="18"/>
                  <w:szCs w:val="18"/>
                  <w:color w:val="auto"/>
                </w:rPr>
                <w:t>71</w:t>
              </w:r>
            </w:hyperlink>
          </w:p>
        </w:tc>
      </w:tr>
      <w:tr>
        <w:trPr>
          <w:trHeight w:val="480"/>
        </w:trPr>
        <w:tc>
          <w:tcPr>
            <w:tcW w:w="40" w:type="dxa"/>
            <w:vAlign w:val="bottom"/>
          </w:tcPr>
          <w:p>
            <w:pPr>
              <w:spacing w:after="0"/>
              <w:rPr>
                <w:sz w:val="24"/>
                <w:szCs w:val="24"/>
                <w:color w:val="auto"/>
              </w:rPr>
            </w:pPr>
          </w:p>
        </w:tc>
        <w:tc>
          <w:tcPr>
            <w:tcW w:w="7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200" w:type="dxa"/>
            <w:vAlign w:val="bottom"/>
            <w:gridSpan w:val="2"/>
          </w:tcPr>
          <w:p>
            <w:pPr>
              <w:spacing w:after="0"/>
              <w:rPr>
                <w:sz w:val="24"/>
                <w:szCs w:val="24"/>
                <w:color w:val="auto"/>
              </w:rPr>
            </w:pPr>
          </w:p>
        </w:tc>
        <w:tc>
          <w:tcPr>
            <w:tcW w:w="29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w:anchor="page72">
              <w:r>
                <w:rPr>
                  <w:rFonts w:ascii="Times New Roman" w:cs="Times New Roman" w:eastAsia="Times New Roman" w:hAnsi="Times New Roman"/>
                  <w:sz w:val="18"/>
                  <w:szCs w:val="18"/>
                  <w:color w:val="0000FF"/>
                  <w:w w:val="99"/>
                </w:rPr>
                <w:t>Exhibits, Financial Statement Schedules</w:t>
              </w:r>
            </w:hyperlink>
          </w:p>
        </w:tc>
        <w:tc>
          <w:tcPr>
            <w:tcW w:w="6260" w:type="dxa"/>
            <w:vAlign w:val="bottom"/>
            <w:gridSpan w:val="9"/>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72">
              <w:r>
                <w:rPr>
                  <w:rFonts w:ascii="Times New Roman" w:cs="Times New Roman" w:eastAsia="Times New Roman" w:hAnsi="Times New Roman"/>
                  <w:sz w:val="18"/>
                  <w:szCs w:val="18"/>
                  <w:color w:val="auto"/>
                </w:rPr>
                <w:t>71</w:t>
              </w:r>
            </w:hyperlink>
          </w:p>
        </w:tc>
      </w:tr>
      <w:tr>
        <w:trPr>
          <w:trHeight w:val="507"/>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40" w:type="dxa"/>
            <w:vAlign w:val="bottom"/>
            <w:gridSpan w:val="15"/>
          </w:tcPr>
          <w:p>
            <w:pPr>
              <w:ind w:left="470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i w:val="1"/>
          <w:iCs w:val="1"/>
          <w:color w:val="auto"/>
        </w:rPr>
        <w:t>In this Form 10-K, references to “Vera Bradley,” “we,” “our,” “us” and the “Company” refer to Vera Bradley, Inc. and its subsidiaries, including Vera Bradley Designs, Inc. The Company utilizes a 52-53 week fiscal year ending on the Saturday closest to January 31. The fiscal years ended January 30, 2016 (“fiscal 2016”), January 31, 2015 (“fiscal 2015”) and February 1, 2014 (“fiscal 2014”) were each 52-week periods. The fiscal year ending January 28, 2017 (“fiscal 2017”) will also be a 52-week period.</w:t>
      </w:r>
    </w:p>
    <w:p>
      <w:pPr>
        <w:spacing w:after="0" w:line="16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9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Vera Bradley is a leading designer of women’s handbags and accessories, luggage and travel items, eyewear, and stationery and gifts. Founded in 1982 by friends Barbara Bradley Baekgaard and Patricia R. Miller, the brand’s innovative designs, iconic patterns and versatile styles offer women of all ages a colorful way to accessorize every look.</w:t>
      </w:r>
    </w:p>
    <w:p>
      <w:pPr>
        <w:spacing w:after="0" w:line="4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direct-to-consumer eBay sales, and the Company’s annual outlet sale in Fort Wayne, Indiana. As of January 30, 2016, the Company operated 110 full-line stores and 40 factory outlet stores. The Indirect business consists of sales of Vera Bradley products to approximately 2,600 specialty retail locations, substantially all of which are located in the United States, as well as department stores, national accounts, third party e-commerce sites, the Company's wholesale business in Japan, and third party inventory liquidators. For financial information about our reportable segments, refer to Note 16 of the Notes to Consolidated Financial Statements set forth in Part II, “Item 8. Financial Statements and Supplementary Data,” of this report.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Barbara Bradley Baekgaard and Patricia Miller founded the Company in 1982 in Fort Wayne, Indiana, after recognizing a lack of stylish travel accessories in the market. Within weeks, the friends created Vera Bradley, named after Ms. Bradley Baekgaard’s mother, and began manufacturing and marketing their distinctive products. The founders, together with past and present members of the executive management team, have been instrumental in our growth and success. The following timeline sets forth a summary of significant milestones in Vera Bradley’s history:</w:t>
      </w:r>
    </w:p>
    <w:p>
      <w:pPr>
        <w:spacing w:after="0" w:line="288"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4"/>
              </w:rPr>
              <w:t>1982</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Barbara Bradley Baekgaard and Patricia Miller launched Vera Bradley by introducing three products: the handbag, the sports bag, and</w:t>
            </w:r>
          </w:p>
        </w:tc>
      </w:tr>
      <w:tr>
        <w:trPr>
          <w:trHeight w:val="234"/>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duffel bag.</w:t>
            </w:r>
          </w:p>
        </w:tc>
      </w:tr>
      <w:tr>
        <w:trPr>
          <w:trHeight w:val="594"/>
        </w:trPr>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4"/>
              </w:rPr>
              <w:t>1987</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Ernst &amp; Young honored our Co-Founders with an “Entrepreneur of the Year” award.</w:t>
            </w:r>
          </w:p>
        </w:tc>
      </w:tr>
      <w:tr>
        <w:trPr>
          <w:trHeight w:val="576"/>
        </w:trPr>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4"/>
              </w:rPr>
              <w:t>1991</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accommodate the increasing number of attendees, we relocated our annual outlet sale from a tent in our parking lot to its present</w:t>
            </w:r>
          </w:p>
        </w:tc>
      </w:tr>
      <w:tr>
        <w:trPr>
          <w:trHeight w:val="234"/>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location at the Allen County War Memorial Coliseum Exposition Center in Fort Wayne, Indiana.</w:t>
            </w:r>
          </w:p>
        </w:tc>
      </w:tr>
      <w:tr>
        <w:trPr>
          <w:trHeight w:val="594"/>
        </w:trPr>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4"/>
              </w:rPr>
              <w:t>1998</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 founded our primary philanthropy, the Vera Bradley Foundation for Breast Cancer.</w:t>
            </w:r>
          </w:p>
        </w:tc>
      </w:tr>
      <w:tr>
        <w:trPr>
          <w:trHeight w:val="594"/>
        </w:trPr>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4"/>
              </w:rPr>
              <w:t>1999</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Our products were sold in all 50 states through Indirect retailers.</w:t>
            </w:r>
          </w:p>
        </w:tc>
      </w:tr>
      <w:tr>
        <w:trPr>
          <w:trHeight w:val="576"/>
        </w:trPr>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4"/>
              </w:rPr>
              <w:t>2005</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 launched the Vera Bradley Visual Merchandising Program, providing our retail partners a framework for presenting the brand and</w:t>
            </w:r>
          </w:p>
        </w:tc>
      </w:tr>
      <w:tr>
        <w:trPr>
          <w:trHeight w:val="234"/>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merchandising our products in a consistent manner.</w:t>
            </w:r>
          </w:p>
        </w:tc>
      </w:tr>
      <w:tr>
        <w:trPr>
          <w:trHeight w:val="594"/>
        </w:trPr>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4"/>
              </w:rPr>
              <w:t>2006</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 launched our e-commerce business through our website, verabradley.com.</w:t>
            </w:r>
          </w:p>
        </w:tc>
      </w:tr>
      <w:tr>
        <w:trPr>
          <w:trHeight w:val="576"/>
        </w:trPr>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4"/>
              </w:rPr>
              <w:t>2007</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We opened a state-of-the-art distribution facility in Roanoke, Indiana and also opened our first full-line store at the Natick Collection, in</w:t>
            </w:r>
          </w:p>
        </w:tc>
      </w:tr>
      <w:tr>
        <w:trPr>
          <w:trHeight w:val="234"/>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greater Boston.</w:t>
            </w:r>
          </w:p>
        </w:tc>
      </w:tr>
      <w:tr>
        <w:trPr>
          <w:trHeight w:val="864"/>
        </w:trPr>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60" w:type="dxa"/>
            <w:vAlign w:val="bottom"/>
          </w:tcPr>
          <w:p>
            <w:pPr>
              <w:ind w:left="430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340"/>
          </w:cols>
          <w:pgMar w:left="240" w:top="117" w:right="31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3"/>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9880" w:type="dxa"/>
            <w:vAlign w:val="bottom"/>
          </w:tcPr>
          <w:p>
            <w:pPr>
              <w:spacing w:after="0"/>
              <w:rPr>
                <w:sz w:val="17"/>
                <w:szCs w:val="17"/>
                <w:color w:val="auto"/>
              </w:rPr>
            </w:pPr>
          </w:p>
        </w:tc>
      </w:tr>
      <w:tr>
        <w:trPr>
          <w:trHeight w:val="804"/>
        </w:trPr>
        <w:tc>
          <w:tcPr>
            <w:tcW w:w="860" w:type="dxa"/>
            <w:vAlign w:val="bottom"/>
            <w:tcBorders>
              <w:top w:val="single" w:sz="8" w:color="0000EE"/>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2009</w:t>
            </w:r>
          </w:p>
        </w:tc>
        <w:tc>
          <w:tcPr>
            <w:tcW w:w="500" w:type="dxa"/>
            <w:vAlign w:val="bottom"/>
            <w:tcBorders>
              <w:top w:val="single" w:sz="8" w:color="0000EE"/>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opened our first outlet store at Chicago Premium Outlets in Aurora, Illinois.</w:t>
            </w:r>
          </w:p>
        </w:tc>
      </w:tr>
      <w:tr>
        <w:trPr>
          <w:trHeight w:val="594"/>
        </w:trPr>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2010</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completed our initial public offering.</w:t>
            </w:r>
          </w:p>
        </w:tc>
      </w:tr>
      <w:tr>
        <w:trPr>
          <w:trHeight w:val="594"/>
        </w:trPr>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2011</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opened the Vera Bradley Design Center in Roanoke, Indiana, and launched our products in Dillard's department stores.</w:t>
            </w:r>
          </w:p>
        </w:tc>
      </w:tr>
      <w:tr>
        <w:trPr>
          <w:trHeight w:val="576"/>
        </w:trPr>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2012</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completed a 200,000 square-foot expansion of our distribution facility in Roanoke, Indiana; increased our presence to all Dillard’s</w:t>
            </w:r>
          </w:p>
        </w:tc>
      </w:tr>
      <w:tr>
        <w:trPr>
          <w:trHeight w:val="234"/>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locations; and launched a relationship with Von Maur department stores.</w:t>
            </w:r>
          </w:p>
        </w:tc>
      </w:tr>
      <w:tr>
        <w:trPr>
          <w:trHeight w:val="589"/>
        </w:trPr>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2013</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migrated verabradley.com to a more responsive design, providing an enhanced shopping experience and improved product viewing</w:t>
            </w:r>
          </w:p>
        </w:tc>
      </w:tr>
      <w:tr>
        <w:trPr>
          <w:trHeight w:val="234"/>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regardless of the device being used to shop.</w:t>
            </w:r>
          </w:p>
        </w:tc>
      </w:tr>
      <w:tr>
        <w:trPr>
          <w:trHeight w:val="589"/>
        </w:trPr>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2014</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introduced laser-cut, leather, faux leather, and full coordinating collections; began our relationship with Macy's; and launched our</w:t>
            </w:r>
          </w:p>
        </w:tc>
      </w:tr>
      <w:tr>
        <w:trPr>
          <w:trHeight w:val="234"/>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 national ad campaign.</w:t>
            </w:r>
          </w:p>
        </w:tc>
      </w:tr>
      <w:tr>
        <w:trPr>
          <w:trHeight w:val="616"/>
        </w:trPr>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2015</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launched several new collections including Streeterville, Preppy Poly, and Collegiate; introduced line extensions such as our</w:t>
            </w: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fragrance collection and the expansion of our jewelry collection; launched our “I AM” national ad campaign; increased our presence in</w:t>
            </w: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Macy's; introduced our products in Belk and Bon-Ton department stores; and made further improvements to verabradley.com, including</w:t>
            </w:r>
          </w:p>
        </w:tc>
      </w:tr>
      <w:tr>
        <w:trPr>
          <w:trHeight w:val="234"/>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enhanced search.</w:t>
            </w:r>
          </w:p>
        </w:tc>
      </w:tr>
    </w:tbl>
    <w:p>
      <w:pPr>
        <w:spacing w:after="0" w:line="198"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The passion for design and customer service established by our founders has driven our Company for over 30 years and remains the cornerstone of Vera Bradley today. Chief Creative Officer, Ms. Bradley Baekgaard continues to be responsible for our day-to-day creative functions, including product development and store design. Ms. Miller retired in October 2012 as our National Spokesperson, but continues to serve on the Board of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long-term vision is to build on the Company's rich heritage and establish Vera Bradley as a premium global lifestyle brand, expand our customer reach and grow our customer connections. Our long-term strategic plan is centered upon the three planks of product, distribution, and marketing.</w:t>
      </w:r>
    </w:p>
    <w:p>
      <w:pPr>
        <w:spacing w:after="0" w:line="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call our target aspirational customer the Day Maker. She is organized, thoughtful and, most of all, appreciates femininity and beauty - in color, print and thoughtful details. We are focused on creating “beautiful solutions” for the Day Maker and believe we have a great opportunity to attract more Day Makers to our brand through our product offerings, our distribution channels, and our marketing efforts.</w:t>
      </w:r>
    </w:p>
    <w:p>
      <w:pPr>
        <w:spacing w:after="0" w:line="39"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We have identified five key businesses where we can offer the Day Maker beautiful solutions that we believe will propel our future growth.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optimizing our existing core product portfolio and expanding into relevant new categories. We will continue to use licenses and strategic partnerships as appropriate to expand our product categories.</w:t>
      </w:r>
    </w:p>
    <w:p>
      <w:pPr>
        <w:spacing w:after="0" w:line="3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Fashion Bag and Accessories</w:t>
      </w:r>
      <w:r>
        <w:rPr>
          <w:rFonts w:ascii="Times New Roman" w:cs="Times New Roman" w:eastAsia="Times New Roman" w:hAnsi="Times New Roman"/>
          <w:sz w:val="18"/>
          <w:szCs w:val="18"/>
          <w:color w:val="auto"/>
        </w:rPr>
        <w:t xml:space="preserve"> business continues to be our largest opportunity and allows us to showcase our innovation, function, and fashion.</w:t>
      </w:r>
    </w:p>
    <w:p>
      <w:pPr>
        <w:spacing w:after="0" w:line="90" w:lineRule="exact"/>
        <w:rPr>
          <w:rFonts w:ascii="Times New Roman" w:cs="Times New Roman" w:eastAsia="Times New Roman" w:hAnsi="Times New Roman"/>
          <w:sz w:val="18"/>
          <w:szCs w:val="18"/>
          <w:color w:val="auto"/>
        </w:rPr>
      </w:pPr>
    </w:p>
    <w:p>
      <w:pPr>
        <w:ind w:left="660" w:right="26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Travel </w:t>
      </w:r>
      <w:r>
        <w:rPr>
          <w:rFonts w:ascii="Times New Roman" w:cs="Times New Roman" w:eastAsia="Times New Roman" w:hAnsi="Times New Roman"/>
          <w:sz w:val="18"/>
          <w:szCs w:val="18"/>
          <w:color w:val="auto"/>
        </w:rPr>
        <w:t>remains a core differentiator for Vera Bradley and allows us to both embrace our heritage and to showcase newness and functionality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like Lighten Up and our unique collapsible luggage.</w:t>
      </w:r>
    </w:p>
    <w:p>
      <w:pPr>
        <w:spacing w:after="0" w:line="23" w:lineRule="exact"/>
        <w:rPr>
          <w:rFonts w:ascii="Times New Roman" w:cs="Times New Roman" w:eastAsia="Times New Roman" w:hAnsi="Times New Roman"/>
          <w:sz w:val="18"/>
          <w:szCs w:val="18"/>
          <w:color w:val="auto"/>
        </w:rPr>
      </w:pPr>
    </w:p>
    <w:p>
      <w:pPr>
        <w:ind w:left="660" w:right="18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Campus</w:t>
      </w:r>
      <w:r>
        <w:rPr>
          <w:rFonts w:ascii="Times New Roman" w:cs="Times New Roman" w:eastAsia="Times New Roman" w:hAnsi="Times New Roman"/>
          <w:sz w:val="18"/>
          <w:szCs w:val="18"/>
          <w:color w:val="auto"/>
        </w:rPr>
        <w:t xml:space="preserve"> business has been successful, and we believe further expansion of our Collegiate Collection will help continue to propel our Campus authority forward.</w:t>
      </w:r>
    </w:p>
    <w:p>
      <w:pPr>
        <w:spacing w:after="0" w:line="23" w:lineRule="exact"/>
        <w:rPr>
          <w:rFonts w:ascii="Times New Roman" w:cs="Times New Roman" w:eastAsia="Times New Roman" w:hAnsi="Times New Roman"/>
          <w:sz w:val="18"/>
          <w:szCs w:val="18"/>
          <w:color w:val="auto"/>
        </w:rPr>
      </w:pPr>
    </w:p>
    <w:p>
      <w:pPr>
        <w:ind w:left="660" w:right="10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Wellness and Beauty </w:t>
      </w:r>
      <w:r>
        <w:rPr>
          <w:rFonts w:ascii="Times New Roman" w:cs="Times New Roman" w:eastAsia="Times New Roman" w:hAnsi="Times New Roman"/>
          <w:sz w:val="18"/>
          <w:szCs w:val="18"/>
          <w:color w:val="auto"/>
        </w:rPr>
        <w:t>is a growing category as our Day Maker is looking for experiential events and wants to find wellness and beauty products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 her holistically. Our recent home and body fragrance launch and our current line of multi-purpose sport bags play into this theme.</w:t>
      </w:r>
    </w:p>
    <w:p>
      <w:pPr>
        <w:spacing w:after="0" w:line="23" w:lineRule="exact"/>
        <w:rPr>
          <w:rFonts w:ascii="Times New Roman" w:cs="Times New Roman" w:eastAsia="Times New Roman" w:hAnsi="Times New Roman"/>
          <w:sz w:val="18"/>
          <w:szCs w:val="18"/>
          <w:color w:val="auto"/>
        </w:rPr>
      </w:pPr>
    </w:p>
    <w:p>
      <w:pPr>
        <w:ind w:left="660" w:right="28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believe </w:t>
      </w:r>
      <w:r>
        <w:rPr>
          <w:rFonts w:ascii="Times New Roman" w:cs="Times New Roman" w:eastAsia="Times New Roman" w:hAnsi="Times New Roman"/>
          <w:sz w:val="18"/>
          <w:szCs w:val="18"/>
          <w:i w:val="1"/>
          <w:iCs w:val="1"/>
          <w:color w:val="auto"/>
        </w:rPr>
        <w:t>Home</w:t>
      </w:r>
      <w:r>
        <w:rPr>
          <w:rFonts w:ascii="Times New Roman" w:cs="Times New Roman" w:eastAsia="Times New Roman" w:hAnsi="Times New Roman"/>
          <w:sz w:val="18"/>
          <w:szCs w:val="18"/>
          <w:color w:val="auto"/>
        </w:rPr>
        <w:t xml:space="preserve"> can continue to be a significant growth opportunity for Vera Bradley, with market attractiveness and a great brand fit. The Day Maker’s fashion statement is often her home.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of these areas, fabric, pattern innovation, and newness remain critical in order to stay relevant.</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40" w:top="108" w:right="2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Distribution Channels. </w:t>
      </w:r>
      <w:r>
        <w:rPr>
          <w:rFonts w:ascii="Times New Roman" w:cs="Times New Roman" w:eastAsia="Times New Roman" w:hAnsi="Times New Roman"/>
          <w:sz w:val="18"/>
          <w:szCs w:val="18"/>
          <w:color w:val="auto"/>
        </w:rPr>
        <w:t>Vera Bradley products are available wherever our consumer chooses to shop including via full-line and factory outlet stores,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department and specialty retail stores. We continue to focus on tightly integrating our multi-channel business by growing our Direct distribution channel (including full-line stores, factory outlet stores, and e-commerce), further developing our department store and other Indirect channel relationships and right-sizing and working to strengthen the performance in our specialty retail channel.</w:t>
      </w:r>
    </w:p>
    <w:p>
      <w:pPr>
        <w:spacing w:after="0" w:line="4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2007 and 2009, we opened our first full-line and factory outlet stores, respectively. We believe there are ample opportunities for new stores throughout the United States and that we could eventually have up to 300 full-line and 100 factory outlet Vera Bradley stores. We added 15 new full-line and 11 new factory outlet stores in fiscal 2016, but based on recent comparable store sales trends, we have slowed our short-term plans for new store openings.</w:t>
      </w:r>
    </w:p>
    <w:p>
      <w:pPr>
        <w:spacing w:after="0" w:line="4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expect to open four new full-line stores in fiscal 2017, including our first store in Manhattan which will be a flagship store in the historical SoHo district. In our full-line stores, we are working to drive traffic and sales through building a service and selling culture, nurturing more community outreach, and building more localized assortments. We will continue to revise our new, modern full-line store design and update our visual in-store presentation in our stores.</w:t>
      </w:r>
    </w:p>
    <w:p>
      <w:pPr>
        <w:spacing w:after="0" w:line="4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also plan to add six new factory outlet stores in fiscal 2017. At January 30, 2016, nearly 70% of the product in the outlet channel was made specifically for our factory outlet stores.</w:t>
      </w:r>
    </w:p>
    <w:p>
      <w:pPr>
        <w:spacing w:after="0" w:line="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2006, we began selling directly to consumers through verabradley.com. In fiscal 2016, we had approximately 59 million visits to our website. Building our digital flagship remains a key part of our distribution strategy. The redesign and conversion of our website to a new platform will be completed in fall 2016, allowing us to better convey our brand and product story, and increase consumer engagement with the Day Maker, which should ultimately generate more full-price selling. This new platform will provide us with a site that reflects our rebranding and more modern positioning, gives us more robust consumer data, allows us to strategically tailor content and offers to targeted groups or individuals, and will give us “order on-line/pick-up in-store” capabilities.</w:t>
      </w:r>
    </w:p>
    <w:p>
      <w:pPr>
        <w:spacing w:after="0" w:line="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department store relationships allow us to expose our brand to new customers and showcase our new product assortments. Since spring 2015, we have nearly doubled our department store presence to about 620 locations. We expect to add about 100 more department store door locations this year. However, our main focus is to increase the productivity of our existing doors through editing assortments by location and delivering visual consistency across locations.</w:t>
      </w:r>
    </w:p>
    <w:p>
      <w:pPr>
        <w:spacing w:after="0" w:line="4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specialty retail channel is the heritage of our business and remains very important to us. We continue to add select accounts while discontinuing unproductive accounts. While the specialty retail business is becoming a smaller percentage of our total revenue base, it is still an important piece of our business, and we are working to stabilize it by segmenting specific products to this channel and assisting retailers with assortment planning.</w:t>
      </w:r>
    </w:p>
    <w:p>
      <w:pPr>
        <w:spacing w:after="0" w:line="4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have a small wholesale presence in Japan. We are currently exploring the possibility of expanding into other countries but do not foresee any additional international country expansion in fiscal 2017.</w:t>
      </w:r>
    </w:p>
    <w:p>
      <w:pPr>
        <w:spacing w:after="0" w:line="106" w:lineRule="exact"/>
        <w:rPr>
          <w:sz w:val="20"/>
          <w:szCs w:val="20"/>
          <w:color w:val="auto"/>
        </w:rPr>
      </w:pPr>
    </w:p>
    <w:p>
      <w:pPr>
        <w:jc w:val="both"/>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Marketing. </w:t>
      </w:r>
      <w:r>
        <w:rPr>
          <w:rFonts w:ascii="Times New Roman" w:cs="Times New Roman" w:eastAsia="Times New Roman" w:hAnsi="Times New Roman"/>
          <w:sz w:val="18"/>
          <w:szCs w:val="18"/>
          <w:color w:val="auto"/>
        </w:rPr>
        <w:t>Marketing and brand positioning are both critical elements as we continue to engage new consumers and strengthen our bond with our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fiscal 2016, we increased aided brand awareness. In fiscal 2017, our focus is shifting to increasing brand relevancy, desire for the brand, and purchase intent.</w:t>
      </w:r>
    </w:p>
    <w:p>
      <w:pPr>
        <w:spacing w:after="0" w:line="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fiscal 2016, we worked with an outside agency to evolve our Company branding and brand positioning. We will activate this new branding and brand positioning in fiscal 2017, which will include updating elements of our visual identity such as our logo and further evolving our marketing to speak more directly to the Day Maker. We believe that highlighting our new product and enhancing our brand creative to assure our customer that we understand her will give the Day Maker a new reason to look at Vera Bradley.</w:t>
      </w:r>
    </w:p>
    <w:p>
      <w:pPr>
        <w:spacing w:after="0" w:line="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Well-timed and well-executed brand activation is critical to increasing our brand relevancy and increasing purchase intent. Through comprehensive consumer research, we have designed a media plan that we believe will effectively target our Day Maker customers and attract both lapsed and new Day Maker consumers to our brand, reaching them where they already are looking and giving them content that showcases our beautiful solutions. Our media plan for fiscal 2017 contains a fully-integrated mix of digital, social, experiential, and print, with our goal being to surround the Day Maker with our brand.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competitive strengths differentiate us within the marketplace and provide a strong foundation for our future growth:</w:t>
      </w:r>
    </w:p>
    <w:p>
      <w:pPr>
        <w:spacing w:after="0" w:line="8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Strong Brand Identity and Positioning. </w:t>
      </w:r>
      <w:r>
        <w:rPr>
          <w:rFonts w:ascii="Times New Roman" w:cs="Times New Roman" w:eastAsia="Times New Roman" w:hAnsi="Times New Roman"/>
          <w:sz w:val="18"/>
          <w:szCs w:val="18"/>
          <w:color w:val="auto"/>
        </w:rPr>
        <w:t>We believe the Vera Bradley brand is highly recognized for its distinctive and vibrant style. Vera Bradley is positioned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market as a lifestyle brand that inspires consumers to express their femininity, individuality, and sense of style. We have also positioned our brand to highlight the high quality and functional attributes of our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7"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products. The Vera Bradley brand is more price accessible than many competing brands, which allows us to attract a wide range of consumers and increases our ability to achieve repeat purchases.</w:t>
      </w:r>
    </w:p>
    <w:p>
      <w:pPr>
        <w:spacing w:after="0" w:line="106"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Exceptional Customer Loyalty. </w:t>
      </w:r>
      <w:r>
        <w:rPr>
          <w:rFonts w:ascii="Times New Roman" w:cs="Times New Roman" w:eastAsia="Times New Roman" w:hAnsi="Times New Roman"/>
          <w:sz w:val="18"/>
          <w:szCs w:val="18"/>
          <w:color w:val="auto"/>
        </w:rPr>
        <w:t>We believe we have a segment of long-term consumers who act as loyal and enthusiastic brand advocates. We believe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enthusiasm for our brand by our loyal customers inspires repeat purchases. Our customers often purchase our products as gifts for family members and friends, who we strive to turn into brand enthusiasts.</w:t>
      </w:r>
    </w:p>
    <w:p>
      <w:pPr>
        <w:spacing w:after="0" w:line="12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Development Expertise. </w:t>
      </w:r>
      <w:r>
        <w:rPr>
          <w:rFonts w:ascii="Times New Roman" w:cs="Times New Roman" w:eastAsia="Times New Roman" w:hAnsi="Times New Roman"/>
          <w:sz w:val="18"/>
          <w:szCs w:val="18"/>
          <w:color w:val="auto"/>
        </w:rPr>
        <w:t>Our product development team combines an understanding of consumer preferences with a knowledge of color, fashion,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style trends to design our products. Our creative design associates utilize a disciplined product design process that seeks to maximize the productivity of our product releases and drive consumer demand.</w:t>
      </w:r>
    </w:p>
    <w:p>
      <w:pPr>
        <w:spacing w:after="0" w:line="1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Dynamic Multi-Channel Distribution Model. </w:t>
      </w:r>
      <w:r>
        <w:rPr>
          <w:rFonts w:ascii="Times New Roman" w:cs="Times New Roman" w:eastAsia="Times New Roman" w:hAnsi="Times New Roman"/>
          <w:sz w:val="18"/>
          <w:szCs w:val="18"/>
          <w:color w:val="auto"/>
        </w:rPr>
        <w:t>We offer our products through a diverse choice of shopping options across channels that are intimate, highly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shop-able, fun, and characteristic of our brand. Whether they are at a Vera Bradley store, a specialty retail store, a department store, or verabradley.com, we believe consumers have an opportunity to find the brand in places that match their unique shopping interests. Our multi-channel distribution model enables us to maximize customer access to our products.</w:t>
      </w:r>
    </w:p>
    <w:p>
      <w:pPr>
        <w:spacing w:after="0" w:line="126" w:lineRule="exact"/>
        <w:rPr>
          <w:sz w:val="20"/>
          <w:szCs w:val="20"/>
          <w:color w:val="auto"/>
        </w:rPr>
      </w:pPr>
    </w:p>
    <w:p>
      <w:pPr>
        <w:ind w:right="5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Established Network of Indirect Retailers. </w:t>
      </w:r>
      <w:r>
        <w:rPr>
          <w:rFonts w:ascii="Times New Roman" w:cs="Times New Roman" w:eastAsia="Times New Roman" w:hAnsi="Times New Roman"/>
          <w:sz w:val="18"/>
          <w:szCs w:val="18"/>
          <w:color w:val="auto"/>
        </w:rPr>
        <w:t>Our Indirect specialty retail business consists of an established and diverse network of approximately 2,600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locations. This channel, primarily located throughout the United States, includes some of the brand’s strongest advocates, and their passion has been instrumental in the development of our brand.</w:t>
      </w:r>
    </w:p>
    <w:p>
      <w:pPr>
        <w:spacing w:after="0" w:line="12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Unique Company Culture. </w:t>
      </w:r>
      <w:r>
        <w:rPr>
          <w:rFonts w:ascii="Times New Roman" w:cs="Times New Roman" w:eastAsia="Times New Roman" w:hAnsi="Times New Roman"/>
          <w:sz w:val="18"/>
          <w:szCs w:val="18"/>
          <w:color w:val="auto"/>
        </w:rPr>
        <w:t>We were founded in 1982 by two friends, Barbara Bradley Baekgaard and Patricia Miller, who built our business around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passion for design and commitment to customer service. We believe our founders created a unique culture that attracts passionate and motivated employees who are excited about our products and our brand. Our employees share our founders’ commitment to Vera Bradley customers. We believe that a fun, friendly, and welcoming work environment fosters creativity and collaboration and that, by empowering our employees to become personally involved in product design, testing, and marketing, they become passionate and devoted brand advocates.</w:t>
      </w:r>
    </w:p>
    <w:p>
      <w:pPr>
        <w:spacing w:after="0" w:line="126"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Experienced Management Team. </w:t>
      </w:r>
      <w:r>
        <w:rPr>
          <w:rFonts w:ascii="Times New Roman" w:cs="Times New Roman" w:eastAsia="Times New Roman" w:hAnsi="Times New Roman"/>
          <w:sz w:val="18"/>
          <w:szCs w:val="18"/>
          <w:color w:val="auto"/>
        </w:rPr>
        <w:t>Our senior management team led by Robert Wallstrom, our Chief Executive Officer, has extensive experience across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diverse range of disciplines in product design, merchandising, marketing, store operations and development, supply chain management, and finance.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Release Strategy</w:t>
      </w:r>
    </w:p>
    <w:p>
      <w:pPr>
        <w:spacing w:after="0" w:line="175"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We introduce new collections approximately eight times per year. Each launch typically consists of two to five signature cotton-quilted patterns that coordinate with smaller prints in the cotton-quilted fabric, as well as other fabrications including microfiber, leather, faux leather, and Preppy Poly and patterns in Streeterville and Lighten-Up, many of which are also available in solid colors. These signature patterns, coordinating patterns, and solids are incorporated into the designs of a wide range of products, including bags, accessories, and travel items, that are part of the core collection release. These collections typically include classic styles, updates to existing designs, and new product introductions.</w:t>
      </w:r>
    </w:p>
    <w:p>
      <w:pPr>
        <w:spacing w:after="0" w:line="13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To keep our assortment current and fresh, and to focus our inventory investments on our best performers, we discontinue patterns and fabrications as necessary. We sell our remaining inventory of retired products primarily through our website, factory outlet stores, our annual outlet sale and third party liquidators.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117"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chart presents net revenues generated by each of our four product categories and other revenues as a percentage of our total net revenues for fiscal 2016, 2015, and 2014.</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40" w:type="dxa"/>
            <w:vAlign w:val="bottom"/>
            <w:tcBorders>
              <w:bottom w:val="single" w:sz="8" w:color="auto"/>
            </w:tcBorders>
          </w:tcPr>
          <w:p>
            <w:pPr>
              <w:spacing w:after="0"/>
              <w:rPr>
                <w:sz w:val="16"/>
                <w:szCs w:val="16"/>
                <w:color w:val="auto"/>
              </w:rPr>
            </w:pPr>
          </w:p>
        </w:tc>
      </w:tr>
      <w:tr>
        <w:trPr>
          <w:trHeight w:val="149"/>
        </w:trPr>
        <w:tc>
          <w:tcPr>
            <w:tcW w:w="6580" w:type="dxa"/>
            <w:vAlign w:val="bottom"/>
          </w:tcPr>
          <w:p>
            <w:pPr>
              <w:spacing w:after="0"/>
              <w:rPr>
                <w:sz w:val="12"/>
                <w:szCs w:val="12"/>
                <w:color w:val="auto"/>
              </w:rPr>
            </w:pPr>
          </w:p>
        </w:tc>
        <w:tc>
          <w:tcPr>
            <w:tcW w:w="1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16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540" w:type="dxa"/>
            <w:vAlign w:val="bottom"/>
          </w:tcPr>
          <w:p>
            <w:pPr>
              <w:jc w:val="right"/>
              <w:ind w:right="334"/>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5"/>
        </w:trPr>
        <w:tc>
          <w:tcPr>
            <w:tcW w:w="65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Bags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Accessories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Travel</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Home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5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7"/>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6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primarily apparel/footwear, stationery, merchandising, freight, licensing revenue, and gift card breakage revenue.</w:t>
      </w:r>
    </w:p>
    <w:p>
      <w:pPr>
        <w:spacing w:after="0" w:line="16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Bags. </w:t>
      </w:r>
      <w:r>
        <w:rPr>
          <w:rFonts w:ascii="Times New Roman" w:cs="Times New Roman" w:eastAsia="Times New Roman" w:hAnsi="Times New Roman"/>
          <w:sz w:val="18"/>
          <w:szCs w:val="18"/>
          <w:color w:val="auto"/>
        </w:rPr>
        <w:t>Bags are a core part of our product offerings and are the primary component of every seasonal assortment. The category consists of classic and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styles developed by our product development team to meet consumer demand. Our bag product category includes items such as totes, crossbodies, satchels, clutches, backpacks, baby bags, and lunch bags. Bags play a prominent role in our visual merchandising, and we focus on showcasing the different fabrications, patterns, colors, and features of each bag.</w:t>
      </w:r>
    </w:p>
    <w:p>
      <w:pPr>
        <w:spacing w:after="0" w:line="126"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Accessories. </w:t>
      </w:r>
      <w:r>
        <w:rPr>
          <w:rFonts w:ascii="Times New Roman" w:cs="Times New Roman" w:eastAsia="Times New Roman" w:hAnsi="Times New Roman"/>
          <w:sz w:val="18"/>
          <w:szCs w:val="18"/>
          <w:color w:val="auto"/>
        </w:rPr>
        <w:t>Accessories include fashion accessories such as wallets, wristlets, eyeglass cases, jewelry, and scarves and various technology accessories.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accessories are attractively priced and allow the consumer to include some color in her wardrobe, even if tucked into another bag. Our product development team consistently updates the accessories assortment based on consumer demand and fashion trends.</w:t>
      </w:r>
    </w:p>
    <w:p>
      <w:pPr>
        <w:spacing w:after="0" w:line="120"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Travel. </w:t>
      </w:r>
      <w:r>
        <w:rPr>
          <w:rFonts w:ascii="Times New Roman" w:cs="Times New Roman" w:eastAsia="Times New Roman" w:hAnsi="Times New Roman"/>
          <w:sz w:val="18"/>
          <w:szCs w:val="18"/>
          <w:color w:val="auto"/>
        </w:rPr>
        <w:t>Our travel product category includes rolling luggage, cosmetics, travel and packing accessories, and travel bags which includes our iconic duffel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weekend bags. The first Vera Bradley product offering included duffel bags, which consistently have been a strong performer. We believe their popularity, as well as the appeal of our other travel items, results from our vibrant designs, functional styles, and lightweight fabrications.</w:t>
      </w:r>
    </w:p>
    <w:p>
      <w:pPr>
        <w:spacing w:after="0" w:line="12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Home. </w:t>
      </w:r>
      <w:r>
        <w:rPr>
          <w:rFonts w:ascii="Times New Roman" w:cs="Times New Roman" w:eastAsia="Times New Roman" w:hAnsi="Times New Roman"/>
          <w:sz w:val="18"/>
          <w:szCs w:val="18"/>
          <w:color w:val="auto"/>
        </w:rPr>
        <w:t>Our home category includes textiles, including throw blankets, beach towels, and comforters, wellness and beauty, as well as items such as mugs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tumblers.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9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implemented a fully integrated and cross-functional product development process that aligns design, market research, merchandising, planning, sales, marketing, and sourcing. Product development is a core capability that makes our products unique. Our designs and aesthetics set our products apart and drive customer loyalty. Our product development team mixes an understanding of the needs of our target Day Maker customers, with knowledge of upcoming color and fashion trends, to design new collections, as well as new product categories, that will resonate in the market.</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typically begin the development stage of our products in the Vera Bradley portfolio twelve to eighteen months in advance of their release. The development of each new pattern includes the design of a primary, secondary, and sometimes a tertiary print. To seek fresh perspectives, we often collaborate with independent designers to create unique patterns for each season and also maintain an internal print design team. We oversee the development and exercise the final approval of all patterns and designs. Once developed, we generally copyright our patterns as appropriate. We believe that great design is not only central to our product development efforts, but also is a fundamental part of our brand development and growth strategies.</w:t>
      </w:r>
    </w:p>
    <w:p>
      <w:pPr>
        <w:spacing w:after="0" w:line="13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Our product development team works to ensure that new collections contain an assortment of products and styles that are in line with both fashion trends and Day Maker customer needs and regularly updates classic styles to enhance functionality. In addition, we actively pursue opportunities to expand our product offerings through new line and brand extensions. Our product development team monitors fashion trends and customer needs by attending major trend shows in Europe and the United States, subscribing to trend monitoring services, and engaging in comparison-shopping.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product development team works closely with our marketing team to gather consumer insights through seasonal market research and in-store testing. We gather seasonal market research through a variety of methodologies, including scheduled interviews and online and in-person surveys. The team assures that we offer a broad range of patterns, fabrications, styles, and functional features in a cost-effective manner. We believe that with our cross-functional, collaborative approach, we are able to introduce and sell our merchandise in a way that clearly communicates the Vera Bradley brand.</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products developed in-house, we also pursue brand extensions through strategic partnerships and licensing agreements. We currently have strategic partnerships in place for development of our fragrance and jewelry collections and licenses in place for our eyewear and collegiate collections. In the future we will continue to look for the right strategic partners and licensees that can augment the brand and provide established distributions networks for certain categories of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believe that the growth of our brand and our business is influenced by our ability to introduce and sell our merchandise in a way that clearly conveys the Vera Bradley brand personality. We use marketing as a critical tool in our efforts to promote our brand.</w:t>
      </w:r>
    </w:p>
    <w:p>
      <w:pPr>
        <w:spacing w:after="0" w:line="106"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Retention Advertising. </w:t>
      </w:r>
      <w:r>
        <w:rPr>
          <w:rFonts w:ascii="Times New Roman" w:cs="Times New Roman" w:eastAsia="Times New Roman" w:hAnsi="Times New Roman"/>
          <w:sz w:val="18"/>
          <w:szCs w:val="18"/>
          <w:color w:val="auto"/>
        </w:rPr>
        <w:t>Vera Bradley communicates with our established customers consistently throughout the year with regular e-mails and seasonal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mail catalogs, brochures and notifications. Our retention advertising is geared to keeping Vera Bradley top of mind with our customers, rewarding our customers, and providing them with news of our seasonal launches and new product introductions.</w:t>
      </w:r>
    </w:p>
    <w:p>
      <w:pPr>
        <w:spacing w:after="0" w:line="1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New Customer Acquisition Advertising. </w:t>
      </w:r>
      <w:r>
        <w:rPr>
          <w:rFonts w:ascii="Times New Roman" w:cs="Times New Roman" w:eastAsia="Times New Roman" w:hAnsi="Times New Roman"/>
          <w:sz w:val="18"/>
          <w:szCs w:val="18"/>
          <w:color w:val="auto"/>
        </w:rPr>
        <w:t>We primarily employ print and digital (i.e., display banner, mobile, geo-targeting, and pre-roll video) advertising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increase overall brand awareness and attract new customers. Our advertisements are placed in fashion, lifestyle, family, and teen publications and websites that complement the wide breadth of appeal of our brand. Our ads have recently appeared in </w:t>
      </w:r>
      <w:r>
        <w:rPr>
          <w:rFonts w:ascii="Times New Roman" w:cs="Times New Roman" w:eastAsia="Times New Roman" w:hAnsi="Times New Roman"/>
          <w:sz w:val="18"/>
          <w:szCs w:val="18"/>
          <w:i w:val="1"/>
          <w:iCs w:val="1"/>
          <w:color w:val="auto"/>
        </w:rPr>
        <w:t>Glamour, Elle, Seventeen, Teen Vogue, InStyle, Better Homes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Gardens, Parents,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Real Simple</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Direct Mail. </w:t>
      </w:r>
      <w:r>
        <w:rPr>
          <w:rFonts w:ascii="Times New Roman" w:cs="Times New Roman" w:eastAsia="Times New Roman" w:hAnsi="Times New Roman"/>
          <w:sz w:val="18"/>
          <w:szCs w:val="18"/>
          <w:color w:val="auto"/>
        </w:rPr>
        <w:t>Seasonal Vera Bradley catalogs are key vehicles for promoting our brand and product portfolio. Each catalog is sent to a targeted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mailing list. In addition to distributing the catalog, we produce and distribute a number of other marketing pieces, including postcards and mini-mailers. We believe our direct mail medium generates excitement and awareness about the brand and seasonal introductions and allows us to reach both new and loyal customers in their homes.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Public Relations and Product Placement. </w:t>
      </w:r>
      <w:r>
        <w:rPr>
          <w:rFonts w:ascii="Times New Roman" w:cs="Times New Roman" w:eastAsia="Times New Roman" w:hAnsi="Times New Roman"/>
          <w:sz w:val="18"/>
          <w:szCs w:val="18"/>
          <w:color w:val="auto"/>
        </w:rPr>
        <w:t>Vera Bradley has received considerable exposure in the press, with placement in</w:t>
      </w:r>
      <w:r>
        <w:rPr>
          <w:rFonts w:ascii="Times New Roman" w:cs="Times New Roman" w:eastAsia="Times New Roman" w:hAnsi="Times New Roman"/>
          <w:sz w:val="18"/>
          <w:szCs w:val="18"/>
          <w:i w:val="1"/>
          <w:iCs w:val="1"/>
          <w:color w:val="auto"/>
        </w:rPr>
        <w:t xml:space="preserve"> People Style Watch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Redbook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Teen Vogue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Real Simple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 the Oprah Magazine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Foder’s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The Huffington Post</w:t>
      </w:r>
      <w:r>
        <w:rPr>
          <w:rFonts w:ascii="Times New Roman" w:cs="Times New Roman" w:eastAsia="Times New Roman" w:hAnsi="Times New Roman"/>
          <w:sz w:val="18"/>
          <w:szCs w:val="18"/>
          <w:color w:val="auto"/>
        </w:rPr>
        <w:t>. In addition, we have expanded our public relations efforts to reach popular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online influencers and blogs including: </w:t>
      </w:r>
      <w:r>
        <w:rPr>
          <w:rFonts w:ascii="Times New Roman" w:cs="Times New Roman" w:eastAsia="Times New Roman" w:hAnsi="Times New Roman"/>
          <w:sz w:val="18"/>
          <w:szCs w:val="18"/>
          <w:i w:val="1"/>
          <w:iCs w:val="1"/>
          <w:color w:val="auto"/>
        </w:rPr>
        <w:t>Momtrends.com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Matchbook Magazine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Lovelyish.com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Lemon Stripes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Love of Fancy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Kelly in the City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Bows &amp; Sequins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Product placement in feature-length films and on prime-time television shows remains strong with television placements in </w:t>
      </w:r>
      <w:r>
        <w:rPr>
          <w:rFonts w:ascii="Times New Roman" w:cs="Times New Roman" w:eastAsia="Times New Roman" w:hAnsi="Times New Roman"/>
          <w:sz w:val="18"/>
          <w:szCs w:val="18"/>
          <w:i w:val="1"/>
          <w:iCs w:val="1"/>
          <w:color w:val="auto"/>
        </w:rPr>
        <w:t>Modern Family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Big Bang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Theory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Pretty Little Liars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Parenthood</w:t>
      </w:r>
      <w:r>
        <w:rPr>
          <w:rFonts w:ascii="Times New Roman" w:cs="Times New Roman" w:eastAsia="Times New Roman" w:hAnsi="Times New Roman"/>
          <w:sz w:val="18"/>
          <w:szCs w:val="18"/>
          <w:color w:val="auto"/>
        </w:rPr>
        <w:t>. Movie placements include:</w:t>
      </w:r>
      <w:r>
        <w:rPr>
          <w:rFonts w:ascii="Times New Roman" w:cs="Times New Roman" w:eastAsia="Times New Roman" w:hAnsi="Times New Roman"/>
          <w:sz w:val="18"/>
          <w:szCs w:val="18"/>
          <w:i w:val="1"/>
          <w:iCs w:val="1"/>
          <w:color w:val="auto"/>
        </w:rPr>
        <w:t xml:space="preserve"> The Other Woman, The Longest Ride,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Jurassic World</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Social Media and Online Marketing. </w:t>
      </w:r>
      <w:r>
        <w:rPr>
          <w:rFonts w:ascii="Times New Roman" w:cs="Times New Roman" w:eastAsia="Times New Roman" w:hAnsi="Times New Roman"/>
          <w:sz w:val="18"/>
          <w:szCs w:val="18"/>
          <w:color w:val="auto"/>
        </w:rPr>
        <w:t>We use online marketing and social networking sites as tools to increase brand awareness and drive traffic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verabradley.com and to our stores. We have captured more than 3.8 million customer e-mail addresses in our online customer file, with many of these customers providing age, occupation, and location data. This captured information provides us with deeper insight into the products and categories that are in the highest interest of our customers, and allows us to better target our customers with appropriate messages. As of January 30, 2016, we had approximately 1.6 million Facebook fans and over 80,000 Twitter followers. Our Instagram, which we launched in October 2012, has grown to more than 200,000 followers and is our most highly engaged social medium. In addition, we often partner with brand-right bloggers to promote product.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Vera Bradley products are frequently given as gifts, we have historically realized, and expect to continue to realize, higher sales and operating income in the fourth quarter of our fiscal year, which includes the holiday months of November and December. In addition, fluctuations in sales and operating income in any fiscal quarter are affected by the timing of seasonal wholesale shipments and other events affecting retail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Channels of Distribution</w:t>
      </w:r>
    </w:p>
    <w:p>
      <w:pPr>
        <w:spacing w:after="0" w:line="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distribute our products through our Direct and Indirect segments. This multi-channel distribution model is designed to enable operational flexibility and maximizes the methods by which we can access potential customers.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17"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Segment</w:t>
      </w:r>
    </w:p>
    <w:p>
      <w:pPr>
        <w:spacing w:after="0" w:line="9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Full-Line Stores. </w:t>
      </w:r>
      <w:r>
        <w:rPr>
          <w:rFonts w:ascii="Times New Roman" w:cs="Times New Roman" w:eastAsia="Times New Roman" w:hAnsi="Times New Roman"/>
          <w:sz w:val="18"/>
          <w:szCs w:val="18"/>
          <w:color w:val="auto"/>
        </w:rPr>
        <w:t>We have developed a retail presence through our full-line stores, all located in the United States, which provides us with a format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showcase our brand and the full array of Vera Bradley products. As of January 30, 2016, we operated 110 full-line stores averaging approximately 1,900 square feet per store. Our sales associates are passionate about our products and customer service, which, we believe, translates into a superior shopping experience.</w:t>
      </w:r>
    </w:p>
    <w:p>
      <w:pPr>
        <w:spacing w:after="0" w:line="12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Factory Outlet Stores. </w:t>
      </w:r>
      <w:r>
        <w:rPr>
          <w:rFonts w:ascii="Times New Roman" w:cs="Times New Roman" w:eastAsia="Times New Roman" w:hAnsi="Times New Roman"/>
          <w:sz w:val="18"/>
          <w:szCs w:val="18"/>
          <w:color w:val="auto"/>
        </w:rPr>
        <w:t>Our factory outlet stores are a vehicle for selling factory exclusive styles, as well as retired merchandise at discounted prices,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maintaining brand integrity. At the end of fiscal 2016, nearly 70% of the merchandise found in our factory outlet stores was factory exclusive styles. We believe our factory outlet stores are an integral part of our distribution strategy, as this format provides an additional channel of distribution for our products and enables us to better target value-oriented customers. Our factory outlet stores average approximately 3,200 square feet per store. As of January 30, 2016, we operated 40 factory outlet stores.</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Store Location Selection Strategy. </w:t>
      </w:r>
      <w:r>
        <w:rPr>
          <w:rFonts w:ascii="Times New Roman" w:cs="Times New Roman" w:eastAsia="Times New Roman" w:hAnsi="Times New Roman"/>
          <w:sz w:val="18"/>
          <w:szCs w:val="18"/>
          <w:color w:val="auto"/>
        </w:rPr>
        <w:t>Our store location decisions for both full-line and factory outlet stores are made based upon our comprehensive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strategy that includes actual and planned penetration in both Indirect and Direct segments, as well as existing e-commerce demand. At this time, we do not believe any geographical market has been fully penetrated by our distribution channels. We believe that expansion of our store base complements our Indirect segment by increasing brand awareness and reinforcing our brand image. In addition to analyzing store economics, we pay particular attention to the location within the shopping center, the size and shape of the space, and desirable co-tenancies. Along with seeking co-tenants that we believe share our target customer, we seek a balanced mix of moderate and high-end retailers to encourage high levels of traffic. Our target full-line store size is approximately 1,800 square feet, but we are able to work with spaces as small as 1,000 square feet or, depending on our market strategy and relevant economic factors, spaces as large as 2,800 square feet. Our target factory outlet store size is approximately 3,000 square feet.</w:t>
      </w:r>
    </w:p>
    <w:p>
      <w:pPr>
        <w:spacing w:after="0" w:line="21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Store Operations. </w:t>
      </w:r>
      <w:r>
        <w:rPr>
          <w:rFonts w:ascii="Times New Roman" w:cs="Times New Roman" w:eastAsia="Times New Roman" w:hAnsi="Times New Roman"/>
          <w:sz w:val="18"/>
          <w:szCs w:val="18"/>
          <w:color w:val="auto"/>
        </w:rPr>
        <w:t>The focus of our store operations is providing consumers with a comfortable and memorable shopping experience. We strive to make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interactive through special store events, such as showcasing newly launched products or celebrating our namesake’s birthday. Our customer service philosophy emphasizes friendly service, merchandise knowledge, and passion for the brand. Consequently, an essential requirement for the success of our stores is our ability to attract, train, and retain talented, highly motivated district managers, store managers, and sales associates.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Store Economics. </w:t>
      </w:r>
      <w:r>
        <w:rPr>
          <w:rFonts w:ascii="Times New Roman" w:cs="Times New Roman" w:eastAsia="Times New Roman" w:hAnsi="Times New Roman"/>
          <w:sz w:val="18"/>
          <w:szCs w:val="18"/>
          <w:color w:val="auto"/>
        </w:rPr>
        <w:t>We expect our new full-line stores to average approximately 1,800 square feet per store, and we expect to invest approximately $0.4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new store, consisting of inventory costs, pre-opening costs, and build-out costs, less tenant-improvement allowances. New full-line stores generate, on average, approximately $0.8 million in net revenues during the first twelve months, and the payback on our investment is expected to occur in less than 22 months.</w:t>
      </w:r>
    </w:p>
    <w:p>
      <w:pPr>
        <w:spacing w:after="0" w:line="47"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We expect our factory outlet stores to average approximately 3,000 square feet per store, and we expect to invest approximately $0.4 million per new store, consisting of inventory costs, pre-opening costs, and build-out costs, less tenant-improvement allowances. New factory outlet stores generate, on average, approximately $3.0 million in net revenues during the first twelve months, and the payback on our investment is expected to occur in less than 12 months.</w:t>
      </w:r>
    </w:p>
    <w:p>
      <w:pPr>
        <w:spacing w:after="0" w:line="1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E-Commerce. </w:t>
      </w:r>
      <w:r>
        <w:rPr>
          <w:rFonts w:ascii="Times New Roman" w:cs="Times New Roman" w:eastAsia="Times New Roman" w:hAnsi="Times New Roman"/>
          <w:sz w:val="18"/>
          <w:szCs w:val="18"/>
          <w:color w:val="auto"/>
        </w:rPr>
        <w:t>In 2006, we began selling our products through the verabradley.com website. The objective of verabradley.com is to provide both a mechanism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marketing directly to consumers and a storefront where consumers can find the entire full-line Vera Bradley collection. In fiscal 2013, we invested in upgrades to our website allowing for a more user friendly homepage, enabling us to ship internationally to 15 countries, and enhancing the checkout experience. In fiscal 2015, we made additional enhancements to our website, including adding product recommendations, enhancing product descriptions, adding silhouettes for product scale, generating cart and site abandonment emails, and gathering and analyzing customer feedback. We further enhanced our website engagement features by enhancing our search capabilities in fiscal 2016. We had approximately 59 million visits to verabradley.com during fiscal 2016. To continue to enhance our website engagement, we plan to complete a redesign and conversion of our website to a new platform in the fall of fiscal 2017.</w:t>
      </w:r>
    </w:p>
    <w:p>
      <w:pPr>
        <w:spacing w:after="0" w:line="131"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Annual Outlet Sale. </w:t>
      </w:r>
      <w:r>
        <w:rPr>
          <w:rFonts w:ascii="Times New Roman" w:cs="Times New Roman" w:eastAsia="Times New Roman" w:hAnsi="Times New Roman"/>
          <w:sz w:val="18"/>
          <w:szCs w:val="18"/>
          <w:color w:val="auto"/>
        </w:rPr>
        <w:t>Our annual outlet sale is held in the Allen County War Memorial Coliseum Exposition Center in Fort Wayne, Indiana. The annual outlet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is an important tradition for Vera Bradley, has many loyal followers, and is an opportunity for us to sell our retired merchandise at discounted prices in a brand-right fashion. We attracted approximately 55,000 attendees to our 2015 annual outlet sale.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Indirect Segment</w:t>
      </w:r>
    </w:p>
    <w:p>
      <w:pPr>
        <w:spacing w:after="0" w:line="9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of January 30, 2016, we sold our products in approximately 2,600 specialty retail locations, with the majority of which we have had long-standing relationships, as well as department stores, national accounts, third party e-commerce sites, our</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117" w:right="2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wholesale business in Japan and third-party inventory liquidators. The top 30% of our specialty retailers account for approximately 70% of total specialty retailer revenue. No single account represented more than 10% of consolidated net revenues in fiscal 2016, with the top ten accounts representing in the aggregate approximately 30% of total Indirect net revenues. The majority of our Indirect retailers have been customers for over five years.</w:t>
      </w:r>
    </w:p>
    <w:p>
      <w:pPr>
        <w:spacing w:after="0" w:line="41"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In fiscal 2012, we launched our products in the department store channel. Since spring 2015, we have nearly doubled our department store presence to about 620 locations, which includes 250 Macy's stores. No single department store account represented more than 10% of consolidated net revenues in fiscal 2016.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Indirect Sales Force</w:t>
      </w:r>
    </w:p>
    <w:p>
      <w:pPr>
        <w:spacing w:after="0" w:line="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that having an in-house field sales force results in more consistent brand presentation and messaging, enhanced support for our Indirect customers, and a more predictable, scalable, and cost-efficient business model. As of January 30, 2016, our sales team consisted of approximately 50 in-house, full-time sales consultants. The compensation structure for our sales consultants consists of a combination of fixed pay and sales-based incentives.</w:t>
      </w:r>
    </w:p>
    <w:p>
      <w:pPr>
        <w:spacing w:after="0" w:line="12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addition to acquiring new and growing existing accounts, our sales consultants serve as a support center for our Indirect customers by assisting and educating them in areas such as merchandising and visual presentation, marketing the brand, product selection, and inventory management. Our visual merchandising program provides our sales consultants with a framework to guide our Indirect customers regarding optimal product placement and display that is intended to reinforce the message that our brand is distinct from those of our competitors.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Chain Model</w:t>
      </w:r>
    </w:p>
    <w:p>
      <w:pPr>
        <w:spacing w:after="0" w:line="94"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Our multi-country manufacturing and supply chain model is designed to achieve efficient, timely, and accurate order fulfillment while maintaining appropriate levels of inventory.</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manufacturing and sourcing strategy is part of the larger cross-functional product development process. The overall objective for our sourcing team is to build and sustain collaborative partnerships throughout our supply chain, with a focus on identifying appropriate countries and partners to manufacture our products. The sourcing team leverages its expertise in negotiation, relationship management, and change management to maintain a strong global supply chain.</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strive to maintain the appropriate balance of inventory to enable us to provide a high level of service to our customers, including prompt and accurate delivery of our products. We have an active and nimble sales and operations planning process that helps us balance the supply and demand issues that we encounter in our business, optimize our inventory levels, and anticipate inventory needs. We have also integrated our planning, forecasting, and segmentation processes under one function called Merchandise Planning and Allocation.</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Approximately half of our products are cotton-based. Our other fabrics include nylon, polyester, microfiber, leather, and faux leather. We source our materials from various suppliers in Asia, with the majority coming from China and South Korea. Our global sourcing team works with select suppliers enabling us to optimize the mix of cost, lead time, quality, and reliability within our global supply network. All of our suppliers must comply with our quality standards, and we use only a limited number of pre-approved suppliers who have demonstrated a commitment to delivering the highest quality products. In December 2008, we opened an office in Dongguan, China, which enables us to increase our control over the manufacturing and supply chain process and monitor compliance with our quality standards. In April 2016, we plan to open an office in Hong Kong to lead the global supply chain in Asia, including the oversight of sourcing and procurement.</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majority of our finished goods products, not sourced through licenses or strategic partners, are manufactured overseas by a variety of global manufacturers located primarily in China; however, we are diversifying our manufacturing to include other countries such as Vietnam and Cambodia. We are not dependent upon any single manufacturer for our products. When determining the size of orders placed with our manufacturers, we take into account forward-looking demand, lead times for specific products, current inventory levels, and minimum order quantity requirements. Overseas production has resulted in substantial cost savings and a reduction of capital investment. With the oversight of our office in China and our independent contractors, we believe these financial benefits have been realized without sacrificing the level of quality inherent in our products or service to our customers.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Center</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2007, we consolidated our warehousing and shipping functions into one distribution center, located in Roanoke, Indiana. In fiscal 2013 and fiscal 2015, we expanded the facility by 200,000 and 10,000 square-feet, respectively, which resulted in a total distribution center space of 428,500 square-feet. This automated, computerized facility allows Vera Bradley employees to receive information directly from the order-collection center and quickly identify the products and quantities necessary for a</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particular order. The expansion resulted in capacity gains in the areas of inbound receiving, inventory storage, order fulfillment, value-add processing and shipping. The facility’s advanced technology enables us to more accurately process and pack orders, as well as track shipments and inventory. We believe that our systems for the processing and shipment of orders from our distribution center have enabled us to improve our overall customer service through enhanced order accuracy and reduced turnaround time.</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products are shipped primarily via FedEx and common carriers to our stores, our Indirect retailers and department stores, and directly to our customers who purchase through our website. We believe we are positioned well to support the order fulfillment requirements of our business, including business generated through our website.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Information Systems</w:t>
      </w:r>
    </w:p>
    <w:p>
      <w:pPr>
        <w:spacing w:after="0" w:line="9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believe that high levels of automation and technology are essential to maintain our competitive position. We maintain computer hardware, systems applications, and networks to enhance and accelerate the design process, to support the sale and distribution of our products to our customers, and to improve the integration and efficiency of our operations. Our management information systems are designed to provide, among other things, comprehensive order processing, production, accounting, and management information for the product development, retail, sales, marketing, distribution, finance, and human resources functions of our business. We use several systems, including MICROS-Retail, SAP, JDA, and SCALE for our information technology requirements.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face strong competition in each of the product lines and markets in which we compete. We believe that all of our products are in similar competitive positions with respect to the number of competitors they face and the level of competition within each product line. Due to the number of different products we offer, it is not practicable for us to quantify the number of competitors we face. Our products compete with other branded products within their product categories and with private label products sold by retailers. In our Indirect business, we compete with numerous manufacturers, importers, and distributors of handbags, accessories, and other products for the limited space available for the display of such products to the consumer. Moreover, the general availability of contract manufacturing allows new entrants access to the markets in which we compete, which may increase the number of competitors and adversely affect our competitive position and our business. In our Direct business, we compete against other independent retailers, department stores, catalog retailers, gift retailers, and Internet businesses that engage in the retail sale of similar products.</w:t>
      </w:r>
    </w:p>
    <w:p>
      <w:pPr>
        <w:spacing w:after="0" w:line="13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market for handbags, in particular, is highly competitive. Our competitors include not only established companies that are expanding their production and marketing of handbags, but also frequent new entrants to the market. We directly compete with wholesalers and direct sellers of branded handbags and accessories, such as Coach, Michael Kors, Nine West, Dooney &amp; Bourke, Kate Spade, Fossil, Brahmin, and Tory Burch.</w:t>
      </w:r>
    </w:p>
    <w:p>
      <w:pPr>
        <w:spacing w:after="0" w:line="122"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In varying degrees, depending on the product category involved, we compete on the basis of design (aesthetic appeal), quality (construction), function, price point, distribution, and brand positioning. We believe that our primary competitive advantages are consumer recognition of our brand, customer loyalty, product development expertise, and our widespread presence through our multi-channel distribution model. Some of our competitors have achieved significant recognition for their brand names or have substantially greater financial, distribution, marketing, and other resources than we do. Further, we may face new competitors and increased competition from existing competitors as we expand into new markets and increase our presence in existing markets.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Copyrights and Trademarks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development of new patterns includes the design of primary and secondary prints. Once developed, we generally copyright our patterns as appropriate.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approximately 780 copyrights.</w:t>
      </w:r>
    </w:p>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also own all of the material trademark rights used in connection with the production, marketing, and distribution of all of our products, both in the United States and in the other countries in which our products are principally sold. Our trademarks include “Vera Bradley.” We aggressively police our trademarks and copyrights and pursue infringers and counterfeiters both domestically and internationally. Our trademarks will remain in existence for as long as we continue to use and renew them in advance of their expiration dates. We have no material patents.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17"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January 30, 2016, we had approximately 2,950 employees. Of the total, 2,330 were engaged in retail selling positions, 300 were engaged in distribution, sourcing and quality functions, 35 were engaged in product design, and 285 were engaged in corporate support and administrative functions. None of our employees are represented by a union. We believe that our relations with our employees are good, and we have never encountered a significant work stoppage.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Many of our imported products are subject to existing or potential duties, tariffs, or quotas that may limit the quantity of products that we may import into the United States and other countries or impact the cost of such products. To date, we have not been restricted by quotas in the operation of our business, and customs duties have not comprised a material portion of the total cost of a majority of our products. In addition, we are subject to foreign governmental regulation and trade restrictions, including U.S. retaliation against prohibited foreign practices, with respect to our product sourcing and international sales operations.</w:t>
      </w:r>
    </w:p>
    <w:p>
      <w:pPr>
        <w:spacing w:after="0" w:line="13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subject to federal, state, local, and foreign laws and regulations governing environmental matters, including the handling, transportation, and disposal of our products and our non-hazardous and hazardous substances and wastes, as well as emissions and discharges into the environment, including discharges to air, surface water, and groundwater. Failure to comply with such laws and regulations could result in costs for corrective action, penalties, or the imposition of other liabilities. Compliance with environmental laws and regulations has not had a material effect upon our earnings or financial position. If we violate any laws or regulations, however, it could have a material adverse effect on our business or financial performance.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each of our executive officers: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6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0" w:type="dxa"/>
            <w:vAlign w:val="bottom"/>
          </w:tcPr>
          <w:p>
            <w:pPr>
              <w:spacing w:after="0"/>
              <w:rPr>
                <w:sz w:val="1"/>
                <w:szCs w:val="1"/>
                <w:color w:val="auto"/>
              </w:rPr>
            </w:pPr>
          </w:p>
        </w:tc>
      </w:tr>
      <w:tr>
        <w:trPr>
          <w:trHeight w:val="242"/>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Robert Wallstrom</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Barbara Bradley Baekgaard</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Co-Founder, Chief Creative Officer, and Director</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Kevin J. Sierks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Sue Fuller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 Chief Merchandising Officer</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Kimberly F. Colby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 Design</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 Roddy Mann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 Strategy &amp; Business Development</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Theresa Palermo</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 Chief Marketing Officer</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Anastacia S. Knapper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23"/>
                <w:szCs w:val="23"/>
                <w:color w:val="auto"/>
              </w:rPr>
            </w:pPr>
          </w:p>
        </w:tc>
        <w:tc>
          <w:tcPr>
            <w:tcW w:w="6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Senior Vice President – General Counsel and Corporate Secretary</w:t>
            </w: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Robert Wallstrom </w:t>
      </w:r>
      <w:r>
        <w:rPr>
          <w:rFonts w:ascii="Times New Roman" w:cs="Times New Roman" w:eastAsia="Times New Roman" w:hAnsi="Times New Roman"/>
          <w:sz w:val="18"/>
          <w:szCs w:val="18"/>
          <w:color w:val="auto"/>
        </w:rPr>
        <w:t>has served as our Chief Executive Officer, President and Director since November 2013. Prior to joining Vera Bradley, Mr. Wallstrom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President of Saks Fifth Avenue’s OFF 5TH division from 2007 until November 2013. Previously, he was Group Senior Vice President and General Manager of Saks’ flagship New York store from 2002 to 2007, where he articulated a vision to return the store to its luxury heritage and dramatically improve merchandising, service and the in-store experience.</w:t>
      </w:r>
    </w:p>
    <w:p>
      <w:pPr>
        <w:spacing w:after="0" w:line="12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Barbara Bradley Baekgaard </w:t>
      </w:r>
      <w:r>
        <w:rPr>
          <w:rFonts w:ascii="Times New Roman" w:cs="Times New Roman" w:eastAsia="Times New Roman" w:hAnsi="Times New Roman"/>
          <w:sz w:val="18"/>
          <w:szCs w:val="18"/>
          <w:color w:val="auto"/>
        </w:rPr>
        <w:t>co-founded Vera Bradley in 1982 and has served as a director since then. From 1982 through June 2010, she also served as Co-President. From the outset, Ms. Bradley Baekgaard has provided leadership and strategic direction in our brand’s development by providing creative vision to areas such as marketing, product design, assortment planning, and the design and visual merchandising of our stores. In May 2010, she was appointed Chief Creative Officer. She currently serves as a member of the Indiana University Simon Cancer Center Development Board and as a member of the board of directors of the Vera Bradley Foundation for Breast Cancer.</w:t>
      </w:r>
    </w:p>
    <w:p>
      <w:pPr>
        <w:spacing w:after="0" w:line="128" w:lineRule="exact"/>
        <w:rPr>
          <w:sz w:val="20"/>
          <w:szCs w:val="20"/>
          <w:color w:val="auto"/>
        </w:rPr>
      </w:pPr>
    </w:p>
    <w:p>
      <w:pPr>
        <w:ind w:right="220"/>
        <w:spacing w:after="0" w:line="313" w:lineRule="auto"/>
        <w:rPr>
          <w:sz w:val="20"/>
          <w:szCs w:val="20"/>
          <w:color w:val="auto"/>
        </w:rPr>
      </w:pPr>
      <w:r>
        <w:rPr>
          <w:rFonts w:ascii="Times New Roman" w:cs="Times New Roman" w:eastAsia="Times New Roman" w:hAnsi="Times New Roman"/>
          <w:sz w:val="17"/>
          <w:szCs w:val="17"/>
          <w:color w:val="auto"/>
        </w:rPr>
        <w:t>As Co-Founder of Vera Bradley, Ms. Bradley Baekgaard serves a key leadership role on our board of directors and provides the board with a broad array of institutional knowledge and historical perspective as well as an in-depth knowledge of business strategy, branding, product development, and store design.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Kevin J. Sierks </w:t>
      </w:r>
      <w:r>
        <w:rPr>
          <w:rFonts w:ascii="Times New Roman" w:cs="Times New Roman" w:eastAsia="Times New Roman" w:hAnsi="Times New Roman"/>
          <w:sz w:val="18"/>
          <w:szCs w:val="18"/>
          <w:color w:val="auto"/>
        </w:rPr>
        <w:t>has served as our Executive Vice President – Chief Financial Officer since February 2014. Mr. Sierks joined the Company as the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 Controller and Chief Accounting Officer in December 2011, and also served as the Interim Chief Financial Officer from January 2013 through January 2014. Prior to joining Vera Bradley, from 2007 to 2011 Mr. Sierks served as Vice President – Controller at Biomet, Inc., a large orthopedic medical device company. Mr. Sierks previously served as Director of Accounting and U.S. Shared Services at Boston Scientific Corporation from 2005 to 2007. From 2002 to 2005, Mr. Sierks served as Director of Financial Reporting and Business Development at Guidant Corporation, which was acquired by Boston Scientific Corporation in 2006. Mr. Sierks is a Certified Public Accountant.</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Sue Fuller </w:t>
      </w:r>
      <w:r>
        <w:rPr>
          <w:rFonts w:ascii="Times New Roman" w:cs="Times New Roman" w:eastAsia="Times New Roman" w:hAnsi="Times New Roman"/>
          <w:sz w:val="18"/>
          <w:szCs w:val="18"/>
          <w:color w:val="auto"/>
        </w:rPr>
        <w:t>has served as our Executive Vice President – Chief Merchandising Officer since January 2014. Prior to joining Vera Bradley, Ms. Fuller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Vice President, General Merchandise Manager of Carhartt, Inc. from July 2010 through November 2013. Between 2005 and July 2010, she served in various roles of increasing responsibility with Kohl’s Department Stores, including Director, Product Development for Juniors Private Label. She gained prior experience with L.L. Bean, Lands’ End and Polo Ralph Lauren.</w:t>
      </w:r>
    </w:p>
    <w:p>
      <w:pPr>
        <w:spacing w:after="0" w:line="12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Kimberly F. Colby </w:t>
      </w:r>
      <w:r>
        <w:rPr>
          <w:rFonts w:ascii="Times New Roman" w:cs="Times New Roman" w:eastAsia="Times New Roman" w:hAnsi="Times New Roman"/>
          <w:sz w:val="18"/>
          <w:szCs w:val="18"/>
          <w:color w:val="auto"/>
        </w:rPr>
        <w:t>has served as our Executive Vice President – Design since 2005. From 2003 through 2005, she served as our Vice President of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1989 to 2003, Ms. Colby served as our Design Director responsible for Marketing and Product Development. Ms. Colby’s professional history includes retail advertising, public relations, direct mail creative direction and management, special event planning, and interior design.</w:t>
      </w:r>
    </w:p>
    <w:p>
      <w:pPr>
        <w:spacing w:after="0" w:line="12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 Roddy Mann </w:t>
      </w:r>
      <w:r>
        <w:rPr>
          <w:rFonts w:ascii="Times New Roman" w:cs="Times New Roman" w:eastAsia="Times New Roman" w:hAnsi="Times New Roman"/>
          <w:sz w:val="18"/>
          <w:szCs w:val="18"/>
          <w:color w:val="auto"/>
        </w:rPr>
        <w:t>has served as our Executive Vice President – Strategy and Business Development since April 2015, as well as for the period of April 2010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2014. Mr. Mann is responsible for overseeing the sales organization in both our Indirect and Direct channels. From February 2014 to April 2015, Mr. Mann served as Executive Vice President – Strategy and Operations. From 2007 to April 2010, Mr. Mann served as our Vice President – Strategy, Sales and Marketing. From 2006 to 2007, he served as Vice President – Strategic Initiatives. Prior to joining Vera Bradley, Mr. Mann was a Vice President at LakeWest Group, a consulting firm based in Cleveland, Ohio, from 1999 to 2006. In 2006, in a consulting capacity, Mr. Mann assisted us with the development of our Direct retail store strategy and execution plans.</w:t>
      </w:r>
    </w:p>
    <w:p>
      <w:pPr>
        <w:spacing w:after="0" w:line="129"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Theresa Palermo </w:t>
      </w:r>
      <w:r>
        <w:rPr>
          <w:rFonts w:ascii="Times New Roman" w:cs="Times New Roman" w:eastAsia="Times New Roman" w:hAnsi="Times New Roman"/>
          <w:sz w:val="18"/>
          <w:szCs w:val="18"/>
          <w:color w:val="auto"/>
        </w:rPr>
        <w:t>has served as our Executive Vice President – Chief Marketing Officer since June 2015. Between 2013 and June 2015, Ms. Palermo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Vice President, Global Marketing and Public Relations for Fossil Group, where she successfully created and executed innovative marketing strategies and campaigns for their extensive portfolio of luxury and fashion brands across North and Central America. Ms. Palermo joined Fossil in 2011 as Global Senior Director of Marketing. Prior to joining Fossil, Ms. Palermo held key marketing roles of increasing responsibility with several well-known retailers including global footwear company Collective Brands, The Timberland Company and the J. Jill Group.</w:t>
      </w:r>
    </w:p>
    <w:p>
      <w:pPr>
        <w:spacing w:after="0" w:line="12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Anastacia S. Knapper </w:t>
      </w:r>
      <w:r>
        <w:rPr>
          <w:rFonts w:ascii="Times New Roman" w:cs="Times New Roman" w:eastAsia="Times New Roman" w:hAnsi="Times New Roman"/>
          <w:sz w:val="18"/>
          <w:szCs w:val="18"/>
          <w:color w:val="auto"/>
        </w:rPr>
        <w:t>has served as our Senior Vice President – General Counsel, Corporate Secretary since February 2014. Ms. Knapper joined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 2011 as the Vice President – General Counsel, Corporate Secretary. Prior to joining Vera Bradley, Ms. Knapper served as the Vice President – General Counsel, Corporate Secretary for CTS Corporation from January 2011 to November 2011 and the Vice President – General Counsel, Corporate Secretary for Haynes International, Inc. from August 2006 to December 2010.</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these reports filed or furnished pursuant to Section 13(a) or 15(d) of the Securities Exchange Act of 1934 are available free of charge on our website, www.verabradley.com, as soon as reasonably practicable after they are filed with or furnished to the Securities and Exchange Commission (“SEC”). No information contained on our website is intended to be included as part of, or incorporated by reference into, this Annual Report on Form 10-K.</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17"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92"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i w:val="1"/>
          <w:iCs w:val="1"/>
          <w:color w:val="auto"/>
        </w:rPr>
        <w:t>You should carefully consider all of the information in this report, including the following factors, which could materially affect our business, financial condition, and results of operations in future periods. The risks described below are not the only risks that we face. Additional risks not currently known to us, or that we currently deem to be immaterial, also may materially adversely affect our business, financial condition, and results of operations in future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implement our long-term strategic plan and growth strategies, our future operating results could suffer.</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fiscal 2015, we began to implement a long-term strategic plan focused on product, distribution and marketing strategies intended to profitably grow our business. The success of our long-term strategic plan and these growth strategies, alone or collectively, will depend on various factors, including the appeal of our product designs, retail presentation to consumers, effectiveness of our marketing initiatives, competitive conditions, and economic conditions. There is no assurance that we will be able to successfully implement our strategic plan. If we are unsuccessful in implementing some or all of our strategies or initiatives, our future operating results could be adversely impacted.</w:t>
      </w:r>
    </w:p>
    <w:p>
      <w:pPr>
        <w:spacing w:after="0" w:line="20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general economic conditions, and their impact on consumer confidence and consumer spending, could adversely impact our results of operations.</w:t>
      </w:r>
    </w:p>
    <w:p>
      <w:pPr>
        <w:spacing w:after="0" w:line="2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performance is subject to general economic conditions and their impact on levels of consumer confidence and consumer spending. Consumer confidence and consumer spending may be influenced by fluctuating interest rates and credit availability, changing fuel and other energy costs, fluctuating commodity prices, levels of unemployment and consumer debt levels, changes in net worth based on market conditions, general uncertainty regarding the overall future economic environment, and weather and weather-related phenomena. Consumer purchases of discretionary items, including our merchandise, generally decline during periods when disposable income is adversely affected or there is economic uncertainty, and this could adversely impact our results of operations. In the event that the U.S. economy worsens, or if there is a decline in consumer-spending levels or other unfavorable conditions, including inflation, we could experience lower than expected net revenues, which could force us to delay or slow the implementation of our growth strategies and adversely impact our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predict and respond in a timely manner to changes in consumer demand could adversely affect our net revenues and results of operations.</w:t>
      </w:r>
    </w:p>
    <w:p>
      <w:pPr>
        <w:spacing w:after="0" w:line="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you that we will be able to continue to develop appealing patterns and styles or meet changing consumer demands in the future. If we misjudge the market for our products, we may be faced with significant excess inventories for some products and missed opportunities for other products. In addition, changes to our product assortment and to our available fabrications, as well as the availability and breadth of pattern assortment may not gain consumer acceptance. Merchandise misjudgments could adversely impact our net revenues and results of operations.</w:t>
      </w:r>
    </w:p>
    <w:p>
      <w:pPr>
        <w:spacing w:after="0" w:line="21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continue to experience declines in comparable sales and there can be no guarantee that the strategic initiatives we are implementing to improve our results will be successful.</w:t>
      </w:r>
    </w:p>
    <w:p>
      <w:pPr>
        <w:spacing w:after="0" w:line="2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may not be able to regain the levels of comparable sales that we have experienced in the past and comparable sales may also further deteriorate. If our future comparable sales fail to meet market expectations, then the price of our common stock could decline. Also, the aggregate results of operations of our stores have fluctuated in the past and will fluctuate in the future. Numerous factors influence comparable sales, including fashion trends, competition, national and regional economic conditions, pricing, inflation, the timing of the release of new merchandise and promotional events, changes in our merchandise mix, marketing programs, changes in consumer shopping trends, site selection strategy, and weather conditions. These factors may cause our comparable sales results to be lower in the future than in recent periods or lower than expectations, either of which could result in a decline in the price of our common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multi-channel distribution model is not successful, our business and results of operations may suffer.</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currently sell into two segments: Direct to consumers through our full-line and factory outlet stores in the United States, verabradley.com, direct-to-consumer eBay sales, and our annual outlet sale in Fort Wayne, Indiana; and through our Indirect wholesale business which consists of sales to approximately 2,600 specialty retail locations, substantially all of which are located in the United States, as well as department stores, national accounts, third party e-commerce sites, the Company's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wholesale business in Japan, and third party inventory liquidators. These channels are sometimes in direct competition and sales through these channels may not be incremental to total sales.</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open new stores and/or operate new and current stores as planned, which could adversely impact our results of operations.</w:t>
      </w:r>
    </w:p>
    <w:p>
      <w:pPr>
        <w:spacing w:after="0" w:line="2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future growth will depend on our ability to successfully open and operate new and current stores. We plan to open approximately 10 new stores during fiscal 2017, and additional new stores each year thereafter. Our ability to successfully open and operate stores depends on many factors, including our ability to:</w:t>
      </w:r>
    </w:p>
    <w:p>
      <w:pPr>
        <w:spacing w:after="0" w:line="41" w:lineRule="exact"/>
        <w:rPr>
          <w:sz w:val="20"/>
          <w:szCs w:val="20"/>
          <w:color w:val="auto"/>
        </w:rPr>
      </w:pP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suitable store locations, the availability of which may be uncertain;</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acceptable lease terms, including desired tenant improvement allowances;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store personnel and management;</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assimilate new store personnel and management into our corporate culture;</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and manufacture inventory;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new stores into our existing operations and information technology systems.</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success of new store openings may also be affected by our ability to initiate marketing efforts in advance of opening our first store in a particular region. Additionally, we will incur pre-opening costs and we may encounter initial losses while new stores commence operations, which could strain our resources and adversely impact our results of operations.</w:t>
      </w:r>
    </w:p>
    <w:p>
      <w:pPr>
        <w:spacing w:after="0" w:line="19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a strong brand. If we are unable to execute our brand strategy, intended to enhance our brand, then we may be unable to sell our products, which could adversely impact our results of operations.</w:t>
      </w:r>
    </w:p>
    <w:p>
      <w:pPr>
        <w:spacing w:after="0" w:line="2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that the brand image that we have developed has contributed significantly to the success of our business. We also believe that enhancing the Vera Bradley brand through our new brand strategy is critical to maintaining and expanding our customer base. Enhancing our brand and implementing our new brand strategy may require us to make substantial investments in areas such as product design, store operations, store design, community relations, and marketing. These investments might not succeed. If we are unable to successfully execute our brand strategy, our results of operations could be adversely impacted.</w:t>
      </w:r>
    </w:p>
    <w:p>
      <w:pPr>
        <w:spacing w:after="0" w:line="20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suffer if we lose key management or design associates or are unable to attract and retain the talent required for our business.</w:t>
      </w:r>
    </w:p>
    <w:p>
      <w:pPr>
        <w:spacing w:after="0" w:line="2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performance depends largely on the efforts and abilities of our senior management and product development teams. These executives and design associates have substantial experience in our business and have made significant contributions to our growth and success. Although we have entered into an employment agreement with our Chief Executive Officer, we may not be able to retain his services or those of other key individuals in the future. The unexpected loss of services of key employees could have adverse impacts on our business and results of operations. As our business grows and we open new stores, we will need to attract and retain additional qualified employees and develop, train, and manage an increasing number of management-level, sales, and other employees. Competition for qualified employees is intense. We cannot assure you that we will be able to attract and retain employees as needed in the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quarterly fluctuations, which could adversely affect the market price of our common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quarterly results of operations may fluctuate significantly as a result of a variety of factors, including, among other things:</w:t>
      </w:r>
    </w:p>
    <w:p>
      <w:pPr>
        <w:spacing w:after="0" w:line="90" w:lineRule="exact"/>
        <w:rPr>
          <w:sz w:val="20"/>
          <w:szCs w:val="20"/>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store openings;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and profits contributed by new stores;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comparable sales;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the timing of holidays, particularly in the United States and China;</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merchandise mix;</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marketing campaigns or promotions;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sales to Indirect retailers;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pattern and collection releases and new product introductions.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117" w:right="2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Any quarterly fluctuations that we report in the future may not match the expectations of market analysts and investors. This could cause the trading price of our common stock to fluctuate significantly.</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data security or privacy breach could damage our reputation and our relationships with our customers, expose us to litigation risk and adversely affect our business.</w:t>
      </w:r>
    </w:p>
    <w:p>
      <w:pPr>
        <w:spacing w:after="0" w:line="2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dependent on information technology systems and networks, including the Internet, for a significant portion of our sales, primarily through our e-commerce operations and credit card transaction authorization and processing. We are also responsible for storing data relating to our customers and employees and rely on third parties for the operation of our e-commerce websites and for the various social media tools and websites we use as part of our marketing strategy. As part of our normal course of business, we often collect, retain, and transmit certain sensitive and confidential customer information, including credit card information, over public networks. There is a significant concern by consumers and employees over the security of personal information transmitted over the Internet, consumer identity theft and user privacy. Despite the security measures we currently have in place, our facilities and systems and those of our third party service providers may be vulnerable to security breaches, acts of vandalism, computer viruses, misplaced or lost data, programming and/or human errors, or other similar events. Any electronic or physical security breach involving the misappropriation, loss or other unauthorized disclosure of confidential or personally identifiable information, including penetration of our network security, whether by us or by a third-party, could disrupt our business, severely damage our reputation and our relationships with our customers, expose us to risks of litigation and liability and adversely affect our business and results of operations. We do not control third-party service providers and cannot guarantee that electronic or physical computer break-ins and security breaches will not occur in the future. Any perceived or actual unauthorized disclosure of personally identifiable information regarding our customers or website visitors could harm our reputation and credibility, reduce our e-commerce net sales, impair our ability to attract website visitors and reduce our ability to attract and retain customers. We may also incur significant costs in complying with the various applicable state, federal and foreign laws regarding unauthorized disclosure of personal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if our computer systems and websites are disrupted or cease to operate effectively.</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dependent on our computer systems to record and process transactions and manage and operate our business, including in designing, marketing, manufacturing, importing, tracking and distributing our products, processing payments, and accounting for and reporting results. We also utilize an automated replenishment system to facilitate the processing of basic replenishment orders, the movement of goods through distribution channels, and the collection of information for planning and forecasting. In addition, we have an e-commerce website in the U.S. Given the complexity of our business and the significant number of transactions that we engage in on an annual basis, it is imperative that we maintain constant operation of our computer hardware and software systems. Despite our preventative efforts, our systems are vulnerable from time to time to damage or interruption from, among other things, security breaches, computer viruses or power outages. Any material disruptions in our information technology systems could have a material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business risks as a result of our e-commerce operations.</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operate an e-commerce store at www.verabradley.com. Expanding our e-commerce business is one of the key objectives of our business strategy. Our e-commerce operations are subject to numerous risks, including unanticipated operating problems, reliance on third-party computer hardware and software providers, system failures and the need to invest in additional computer systems. Specific risks include: (i) diversion of sales from our stores; (ii) rapid technological change; (iii) liability for e-commerce content; (iv) risks related to the failure of the computer systems that operate the websites and their related support systems, including from computer viruses, telecommunication failures and electronic break-ins and similar disruptions; and (v) failure to properly and smoothly launch the Company’s new e-commerce platform scheduled in the fall of fiscal 2017. Internet operations involve risks which may be beyond our control that could have a direct material adverse effect on our operating results, including: (i) price competition involving the items we intend to sell; (ii) the entry of our vendors into the Internet business in direct competition with us; (iii) the level of merchandise returns experienced by us; (iv) governmental regulation; (v) e-commerce security breaches involving unauthorized access to our and/or customer information; (vi) credit card fraud; and (vii) competition and general economic conditions specific to the Internet, e-commerce and the accessories industry. Our inability to effectively address these risks and any other risks that we face in connection with our Internet operations could materially adversely affect our business, financial condition, results of operations and/or cash flows.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Closing stores could result in significant costs to us.</w:t>
      </w:r>
    </w:p>
    <w:p>
      <w:pPr>
        <w:spacing w:after="0" w:line="9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Since December 2014, we have closed two underperforming stores and could, in the future, decide to close additional stores that are producing losses or that are not as profitable as we expect. If we decide to close any stores before the expiration of their lease terms, we may incur payments to landlords to terminate or “buy out” the remaining term of the lease. We also may incur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17"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costs related to the employees at such stores, whether or not we terminate the leases early. Upon any such closure, the closing costs, including fixed assets and inventory write-downs, could adversely affect our results and could adversely affect our cash on hand.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Company's ability to attract customers to our stores depends heavily on the success of the shopping centers in which many of our stores are located.</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Substantially all of our Direct stores are located in regional mall shopping centers and many of our Indirect customers are also located in these shopping centers. Factors beyond our control impact mall traffic, such as general economic conditions and consumer spending levels. Consumer spending and mall traffic have been depressed in recent years. As a result, mall operators have been facing increasing operational and financial difficulties. The increasing inability of mall “anchor” tenants and other area attractions to generate consumer traffic around our stores, the increasing inability of mall operators to attract “anchor” tenants and maintain viable operations and the increasing departures of existing “anchor” and other mall tenants due to declines in the sales volume and in the popularity of certain malls as shopping destinations, have reduced and may continue to reduce our sales volume and, consequently, adversely affect our financial condition, results of operations and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leasing substantial amounts of space, including future increases in occupancy costs.</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lease all of our store locations. We typically occupy our stores under operating leases with terms of ten years. We have been able to negotiate favorable rental rates in recent years due in part to the state of the economy and high vacancy rates within some shopping centers, but there is no assurance that we will be able to continue to negotiate such favorable terms. Some of our leases have early cancellation clauses, which permit the lease to be terminated by us or the landlord if certain sales levels are not met in specific periods or if the shopping center does not meet specified occupancy standards. In addition to requiring future minimum lease payments, some of our store leases provide for the payment of common area maintenance charges, real property insurance, and real estate taxes. Many of our lease agreements have escalating rent provisions over the initial term and any extensions. As we expand our store base, our lease expense and our cash outlays for rent under lease agreements will increase. Our substantial operating lease obligations could have significant negative consequences, including:</w:t>
      </w:r>
    </w:p>
    <w:p>
      <w:pPr>
        <w:spacing w:after="0" w:line="50" w:lineRule="exact"/>
        <w:rPr>
          <w:sz w:val="20"/>
          <w:szCs w:val="20"/>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 substantial portion of our available cash be applied to pay our rental obligations, thus reducing cash available for other purposes;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industry;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7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Any of these consequences could place us at a disadvantage with respect to our competitors. We depend on cash flow from operating activities to pay our lease expenses and to fulfill our other cash needs. If our business does not generate sufficient cash flow from operating activities to fund these expenses and needs, we may not be able to service our lease expenses, grow our business, respond to competitive challenges, or fund our other liquidity and capital needs, which would harm our business.</w:t>
      </w:r>
    </w:p>
    <w:p>
      <w:pPr>
        <w:spacing w:after="0" w:line="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Additional sites that we lease may be subject to long-term non-cancelable leases if we are unable to negotiate our current standard lease terms. If an existing or future store is not profitable, and we decide to close it, we may nonetheless be committed to perform our obligations under the applicable lease, including paying the base rent for the balance of the lease term. Moreover, even if a lease has an early cancellation clause, we may not satisfy the contractual requirements for early cancellation under the lease. Our inability to enter new leases or renew existing leases on acceptable terms or be released from our obligations under leases for stores that we close would, in any such case, affect us adversely.</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effectively compete with other retailers for sales could have a material adverse effect on our financial condition, results of operations and cash flows.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for bags, accessories, and travel items is increasingly competitive. Our competitive challenges include:</w:t>
      </w:r>
    </w:p>
    <w:p>
      <w:pPr>
        <w:spacing w:after="0" w:line="90" w:lineRule="exact"/>
        <w:rPr>
          <w:sz w:val="20"/>
          <w:szCs w:val="20"/>
          <w:color w:val="auto"/>
        </w:rPr>
      </w:pPr>
    </w:p>
    <w:p>
      <w:pPr>
        <w:ind w:left="640" w:hanging="321"/>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consumer traffic;</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and manufacturing merchandise efficiently;</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competitively pricing our products and achieving customer perception of value;</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favorable brand recognition and effectively marketing our products to consumers in diverse market segments;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designs that appeal to a broad range of demographic and age segments;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high-quality products;</w:t>
      </w:r>
    </w:p>
    <w:p>
      <w:pPr>
        <w:spacing w:after="0" w:line="6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attractive promotional incentives while maintaining profit margins; and</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17"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good working relationships with our Indirect retailers.</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our Indirect business, we compete with numerous manufacturers, importers, and distributors of handbags, accessories, and other products for the limited space available for the display of such products to the consumer. In our Direct business, we compete against other gift and specialty retailers, department stores, catalog retailers, and Internet businesses that engage in the retail sale of similar products. Moreover, the general availability of contract manufacturing allows new entrants easy access to the markets in which we compete, which may increase the number of competitors and adversely affect our competitive position and our business.</w:t>
      </w:r>
    </w:p>
    <w:p>
      <w:pPr>
        <w:spacing w:after="0" w:line="13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in light of a continued difficult consumer environment, pricing is a significant driver of consumer choice in our industry and we regularly engage in price competition, particularly through our promotional programs. To the extent that we decrease our promotional activity, our ability to maintain sales levels may be impacted.</w:t>
      </w:r>
    </w:p>
    <w:p>
      <w:pPr>
        <w:spacing w:after="0" w:line="19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various contract manufacturers to produce all of our products and generally do not have long-term contracts with our manufacturers. Disruptions in our contract manufacturers’ systems, losses of manufacturing certifications, or other actions by these manufacturers could increase our cost of sales, adversely affect our net revenues, and injure our reputation and customer relationships, thereby harming our business.</w:t>
      </w:r>
    </w:p>
    <w:p>
      <w:pPr>
        <w:spacing w:after="0" w:line="4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various contract manufacturers produce all of our products. We generally do not enter into long-term formal written agreements with our manufacturers and instead transact business with each of them on an order-by-order basis. In the event of a disruption in our contract manufacturers’ systems, we may be unable to locate alternative manufacturers of comparable quality at an acceptable price, or at all. Identifying a suitable manufacturer is an involved process that requires us to become satisfied with the prospective manufacturer’s quality control, responsiveness and service, financial stability, labor practices and environmental compliance. Any delay, interruption, or increased cost in the manufactured products that might occur for any reason, such as the lack of long-term contracts or regulatory requirements and the loss of certifications, power interruptions, fires, hurricanes, war, or threats of terrorism, could affect our ability to meet customer demand for our products, adversely affect our net revenues, increase our cost of sales, and hurt our results of operations. In addition, manufacturing disruption could injure our reputation and customer relationships, thereby harming our business.</w:t>
      </w:r>
    </w:p>
    <w:p>
      <w:pPr>
        <w:spacing w:after="0" w:line="20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various suppliers to supply a significant majority of our raw materials. Disruption in the supply of raw materials could increase our cost of goods sold and if there are not sufficient raw materials available to meet product demand, our product revenue could decline.</w:t>
      </w:r>
    </w:p>
    <w:p>
      <w:pPr>
        <w:spacing w:after="0" w:line="2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generally do not enter into long-term formal written agreements with our suppliers and typically transact business with each of them on an order-by-order basis. In the event of a significant disruption in the supply of fabrics or raw materials from our current sources, we may not be able to locate alternative suppliers of materials of comparable quality at an acceptable price, or at all. In such a case, we could have difficulty meeting consumer demand and net revenues could be adversely impacted.</w:t>
      </w:r>
    </w:p>
    <w:p>
      <w:pPr>
        <w:spacing w:after="0" w:line="20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single distribution facility for all of the products we sell. Disruption to that facility could adversely impact our results of operations, and expansion of that facility could have unpredictable adverse effects.</w:t>
      </w:r>
    </w:p>
    <w:p>
      <w:pPr>
        <w:spacing w:after="0" w:line="2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distribution operations are currently concentrated in a single, company-owned distribution center in Fort Wayne, Indiana. Any significant disruption in the operation of the facility due to natural disaster or severe weather, or events such as fire, accidents, power outages, system failures, or other unforeseen causes, could devalue or damage a significant portion of our inventory and could adversely affect our product distribution and sales until such time as we could secure an alternative facility. If we encounter difficulties with our distribution facility or other problems or disasters arise, we cannot ensure that critical systems and operations will be restored in a timely manner or at all, and this would have a material adverse effect on our business. In addition, our growth could require us to further expand our current facility, which could affect us adversely in ways that we cannot predict.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cost of raw materials could increase our cost of sales and cause our results of operations to suffer.</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Fluctuations in the price, availability, and quality of fabrics or other raw materials used to manufacture our products, as well as the price for labor, marketing, and transportation, could have adverse impacts on our cost of sales and our ability to meet our customers’ demands. In particular, fluctuations in the price of cotton, our primary raw material, could have an adverse impact on our cost of sales. In addition, because a key component of our products is petroleum-based, the cost of oil affects the cost of our products. Upward movement in the price of oil in the global oil markets would also likely result in rising fuel and freight prices, which could increase our shipping costs. In the future, we may not be able to pass all or a portion of higher costs on to our customers.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7"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inherent in global sourcing and manufacturing activities.</w:t>
      </w:r>
    </w:p>
    <w:p>
      <w:pPr>
        <w:spacing w:after="0" w:line="9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source our fabrics primarily from manufacturers in China and South Korea and outsource the production of a significant majority of our products to companies in Asia. We are subject to the risks inherent in global sourcing and manufacturing, including, but not limited to:</w:t>
      </w:r>
    </w:p>
    <w:p>
      <w:pPr>
        <w:spacing w:after="0" w:line="27" w:lineRule="exact"/>
        <w:rPr>
          <w:sz w:val="20"/>
          <w:szCs w:val="20"/>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and trends;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raw materials;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labor laws and other foreign governmental regulations;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import and export laws and regulations;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or delays in shipments;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impairment of key manufacturing sites;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issues;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acts of war and terrorism, changing macroeconomic trends, and other external factors over which we have no control.</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Significant disruption of manufacturing for any of the above reasons could interrupt product supply and, if not remedied in a timely manner, could have an adverse impact on our results of operations. Additionally, we do not have complete oversight over our contract manufacturers. Violation of labor or other laws by those manufacturers, or the divergence of a contract manufacturer’s labor or other practices from those generally accepted as ethical in the United States or in other markets in which we may in the future do business, could also draw negative publicity for us and our brand, diminishing the value of our brand and reducing demand for our products.</w:t>
      </w:r>
    </w:p>
    <w:p>
      <w:pPr>
        <w:spacing w:after="0" w:line="20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source our products at favorable prices, or at all, could be harmed, with adverse effects on our results of operations, if new trade restrictions are imposed or if existing trade restrictions become more burdensome.</w:t>
      </w:r>
    </w:p>
    <w:p>
      <w:pPr>
        <w:spacing w:after="0" w:line="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significant majority of our products are currently manufactured for us in Asia. The United States and the countries in which our products are produced have imposed and may impose additional quotas, duties, tariffs, or other restrictions or regulations or may adversely adjust prevailing quotas, duties, or tariffs.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which include embargoes, safeguards, and customs restrictions, could increase the cost or reduce the supply of products available to us or could require us to modify supply chain organization or other current business practices, any of which could harm our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unionization, work stoppages, slowdowns or increased labor costs.</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Currently, none of our employees are represented by a union. Nevertheless, our employees have the right at any time under the National Labor Relations Act to organize or affiliate with a union. If some or all of our workforce were to become unionized, our business would be exposed to work stoppages and slowdowns as a unionized business. If, in addition, the terms of the collective bargaining agreement were significantly more favorable to union workers than our current pay-and-benefits arrangements, our costs would increase and our results of operations would suffer.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independent transportation providers for substantially all of our product shipments.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currently rely on independent transportation service providers for substantially all of our product shipments. Our utilization of these delivery services, or those of any other shipping companies that we may elect to use, is subject to risks, including increases in fuel prices, which would increase our shipping costs, employee strikes and inclement weather, which may impact the shipping company’s ability to provide delivery services sufficient to meet our shipping needs.</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for any reason we were to change shipping companies, we could face logistical difficulties that might adversely affect deliveries, and we would incur costs and expend resources in the course of making the change. Moreover, we might not be able to obtain terms as favorable as those received from the service providers that we currently use, which in turn would increase our costs. We also would face shipping and distribution risks and uncertainties associated with any expansion of our distribution facility and related systems.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or failure to protect our intellectual property or our infringement of other’s intellectual property could have a negative impact on our operating results.</w:t>
      </w:r>
    </w:p>
    <w:p>
      <w:pPr>
        <w:spacing w:after="0" w:line="2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believe that our registered copyrights, registered and common law trademarks, and other proprietary rights have significant value and are critical to our ability to create and sustain demand for our products. Although we have not been inhibited from selling our products in connection with intellectual property disputes, we cannot assure you that obstacles will not arise as we expand our product line and extend our brand as well as the geographic scope of our sales and marketing. We also cannot assure you that the actions taken by us to establish and protect our proprietary rights will be adequate to prevent imitation of our products or infringement of our rights by others. The legal regimes of some foreign countries, particularly China, may not protect proprietary rights to the same extent as the laws of the United States, and it may be more difficult for us to successfully challenge the use of our proprietary rights by others in these countries. The loss of copyrights, trademarks, and other proprietary rights could adversely impact our results of operations. Any litigation regarding our proprietary rights could be time consuming and costly.</w:t>
      </w:r>
    </w:p>
    <w:p>
      <w:pPr>
        <w:spacing w:after="0" w:line="5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also subject to the risk that claims will be brought against us for infringement of the intellectual property rights of third parties, seeking to block the sale of our products considered to violate their intellectual property rights or payment of monetary amounts. In particular, we are subject to copyright infringement claims for which we may not be entitled to indemnification from our suppliers. In addition, in recent years, companies in the retail industry, including us, have been subject to patent infringement claims from non-practicing entities, or “patent trolls.” Any infringement or other intellectual property claim made against us, whether or not it has merit, could be time-consuming and result in costly litigation. As a result, any such claim, or the combination of multiple claims, could have a material adverse effect on our operating results. If we are required to stop using any of our registered or nonregistered trademarks, our sales could decline and, consequently, our business and results of operations could be adversely affected.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tax obligations and effective tax rate may result in volatility of our operating results and stock price.</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many U.S. and certain foreign jurisdictions. We record tax expense based on our estimates of future payments, which includes reserves for uncertain tax positions in multiple tax jurisdictions. At any one time, many tax years are subject to audit by various taxing jurisdictions. Further, possible changes in federal, state, local, and non-U.S. tax laws bearing upon our revenues, income, property, or other aspects of our operations or business would, if enacted, affect our results of operations in ways and to a degree that we cannot currently predict.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recorded asset impairment charges in the past and we may record material asset impairment charges in the future.</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Quarterly, we assess whether events or changes in circumstances have occurred that indicate the carrying value of long-lived assets may not be recoverable. If we determine that the carrying value of long-lived assets is not recoverable, we will be required to record impairment charges relating to those assets. For example, our assessments during fiscal 2016 indicated that operating losses or insufficient operating income existed at certain retail stores, with a projection that the operating losses or insufficient operating income for those locations would continue. As such, we recorded non-cash charges of $2.8 million during fiscal 2016 within asset impairment in the consolidated statements of operations to write down the carrying values of these stores' long-lived assets to their estimated fair values.</w:t>
      </w:r>
    </w:p>
    <w:p>
      <w:pPr>
        <w:spacing w:after="0" w:line="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quarterly evaluation of store assets includes consideration of current and historical performance and projections of future profitability. The profitability projections rely upon estimates made by us, including store-level sales, gross margins, and direct expenses, and, by their nature, include judgments about how current strategic initiatives will impact future performance. If we are not able to achieve the projected key financial metrics for any reason, including because any of the strategic initiatives being implemented do not result in significant improvements in our current financial performance trend, this would indicate that the value of our long-lived assets was not recoverable and we would incur additional impairment of assets in the future.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we record additional impairment charges, this could have a material adverse effect on our results of operations and financial condition.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7"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Indirect business could suffer as a result of decisions by our Indirect retailers to decrease or eliminate the amount of merchandise purchased from us.</w:t>
      </w:r>
    </w:p>
    <w:p>
      <w:pPr>
        <w:spacing w:after="0" w:line="2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do not enter into long-term agreements with any of our Indirect retailers. Instead, we enter into a number of purchase order commitments with our customers for each of our lines every season. A decision by a significant number of Indirect retailers, whether motivated by competitive conditions, operational or financial difficulties, reduced access to capital, or otherwise, to decrease or eliminate the amount of merchandise purchased from us or to change their manner of doing business with us could adversely impact our results of operations. Although we recommend retail sale prices for our products to our Indirect retailers, we do not provide dealer allowances or other economic incentives to support those prices. Possible promotional pricing or discounting by Indirect retailers in response to softening retail demand could have a negative effect on our brand image and prestige, which might be difficult to counteract as the economy improves.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Bankruptcies or other operational or financial difficulties of our Indirect retailers could adversely impact our business.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sell our Indirect merchandise primarily to specialty retail and department stores across the United States and extend trade credit based on an evaluation of each Indirect retailer’s financial condition, usually without requiring collateral. Perceived or actual financial difficulties of a customer could cause us to curtail or eliminate business with that customer or could decrease demand for our products by that customer. Pending the resolution of a relationship with a financially troubled Indirect retailer, we might assume credit risk that we would otherwise avoid relating to our receivables from that customer. Inability to collect on accounts receivable from our Indirect retailers would adversely impact our results of operations.</w:t>
      </w:r>
    </w:p>
    <w:p>
      <w:pPr>
        <w:spacing w:after="0" w:line="20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claims made against us from time to time that can result in litigation or regulatory proceedings, which could distract management from our business activities and result in significant liability or damage to our brand image.</w:t>
      </w:r>
    </w:p>
    <w:p>
      <w:pPr>
        <w:spacing w:after="0" w:line="2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growing company with expanding operations, we increasingly face the risk of litigation and other claims against us. Litigation and other claims may arise in the ordinary course of our business and include employee claims, custom and duty claims, commercial disputes, intellectual property issues, product-oriented allegations, and slip and fall claims. Often these cases raise complex factual and legal issues, which are subject to risks and uncertainties and which could require significant management time. Litigation and other claims against us could result in unexpected expenses and liability, as well as materially adversely affect our operations and our reputation.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suffer negative publicity and our business may be harmed if we need to recall any products we sell.</w:t>
      </w:r>
    </w:p>
    <w:p>
      <w:pPr>
        <w:spacing w:after="0" w:line="9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We have in the past needed to, and may in the future need to, recall products that we determine may present safety issues. If products we sell have safety problems of which we are not aware, or if we or the Consumer Product Safety Commission recall a product sold in our stores, we may suffer negative publicity and, potentially, product liability lawsuits, which could have a material adverse impact on our reputation, financial condition and results of operations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Securities Markets and Ownership of Our Common Stock</w:t>
      </w:r>
    </w:p>
    <w:p>
      <w:pPr>
        <w:spacing w:after="0" w:line="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be volatile or may decline regardless of our operating performance, and you may not be able to resell shares at or above the price at which you purchase them.</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may fluctuate significantly in response to a number of factors, most of which we cannot control, including:</w:t>
      </w:r>
    </w:p>
    <w:p>
      <w:pPr>
        <w:spacing w:after="0" w:line="90" w:lineRule="exact"/>
        <w:rPr>
          <w:sz w:val="20"/>
          <w:szCs w:val="20"/>
          <w:color w:val="auto"/>
        </w:rPr>
      </w:pPr>
    </w:p>
    <w:p>
      <w:pPr>
        <w:ind w:left="640" w:hanging="321"/>
        <w:spacing w:after="0"/>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other shopping mall or lifestyle center tenants;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particularly during the holiday shopping period;</w:t>
      </w:r>
    </w:p>
    <w:p>
      <w:pPr>
        <w:spacing w:after="0" w:line="6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departure of key executives;</w:t>
      </w:r>
    </w:p>
    <w:p>
      <w:pPr>
        <w:spacing w:after="0" w:line="130" w:lineRule="exact"/>
        <w:rPr>
          <w:rFonts w:ascii="Times New Roman" w:cs="Times New Roman" w:eastAsia="Times New Roman" w:hAnsi="Times New Roman"/>
          <w:sz w:val="18"/>
          <w:szCs w:val="18"/>
          <w:color w:val="auto"/>
        </w:rPr>
      </w:pPr>
    </w:p>
    <w:p>
      <w:pPr>
        <w:ind w:left="640" w:right="580" w:hanging="321"/>
        <w:spacing w:after="0" w:line="282" w:lineRule="auto"/>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 that we may choose to provide to the public, any changes in these projections or our failure for any reason to meet these projections;</w:t>
      </w:r>
    </w:p>
    <w:p>
      <w:pPr>
        <w:spacing w:after="0" w:line="26" w:lineRule="exact"/>
        <w:rPr>
          <w:rFonts w:ascii="Times New Roman" w:cs="Times New Roman" w:eastAsia="Times New Roman" w:hAnsi="Times New Roman"/>
          <w:sz w:val="18"/>
          <w:szCs w:val="18"/>
          <w:color w:val="auto"/>
        </w:rPr>
      </w:pPr>
    </w:p>
    <w:p>
      <w:pPr>
        <w:ind w:left="640" w:right="80" w:hanging="321"/>
        <w:spacing w:after="0" w:line="282" w:lineRule="auto"/>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public’s response to press releases or other public announcements by us or others, including our filings with the SEC and announcements relating to litigation and other matters;</w:t>
      </w:r>
    </w:p>
    <w:p>
      <w:pPr>
        <w:spacing w:after="0" w:line="26"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about our business in the press or the investment community;</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our significant shareholders, officers and directors;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entry into new markets;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117" w:right="2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and other factors may result in a lower market price of our common stock, regardless of our actual operating performance.</w:t>
      </w:r>
    </w:p>
    <w:p>
      <w:pPr>
        <w:spacing w:after="0" w:line="17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addition, the stock markets, including The Nasdaq Global Select Market, have experienced extreme price and volume fluctuations that have affected and continue to affect the market prices of equity securities of many retail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the actions of activist stockholders.</w:t>
      </w:r>
    </w:p>
    <w:p>
      <w:pPr>
        <w:spacing w:after="0" w:line="9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Over the last few years, proxy contests and other forms of stockholder activism have been directed against numerous public companies in retail businesses. We could become engaged in a consent solicitation, or proxy contest, or experience other stockholder activism, in the future. Activist shareholders may advocate for certain governance and strategic changes at our company. In the event of stockholder activism, particularly with respect to matters which our Board of Directors, in exercising their fiduciary duties, disagree with or have determined not to pursue, our business could be adversely affected because responding to actions by activist stockholders can be costly and time-consuming, disrupting our operations and diverting the attention of management, and perceived uncertainties as to our future direction may result in the loss of potential business opportunities and may make it more difficult to attract and retain qualified personnel, business partners and customers.</w:t>
      </w:r>
    </w:p>
    <w:p>
      <w:pPr>
        <w:spacing w:after="0" w:line="13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if faced with a consent solicitation or proxy contest, we may not be able to respond successfully to the contest or dispute, which would be disruptive to our business. If individuals are elected to our Board with a differing agenda, our ability to effectively and timely implement our strategic plan and create additional value for our stockholders may be adversely affected.</w:t>
      </w:r>
    </w:p>
    <w:p>
      <w:pPr>
        <w:spacing w:after="0" w:line="19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limited number of shareholders control a large percentage of the voting power of our common stock, and therefore investors may have limited ability to determine the outcome of shareholder votes.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Ray (our former CEO and Ms. Bradley Baekgaard's son in-law), Robert Hall, Barbara Bradley Baekgaard, Joan Hall (Mr. Hall’s wife and</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Ms. Bradley Baekgaard’s daughter), Patricia R. Miller and P. Michael Miller, directly or indirectly, beneficially own and have the ability to exercise voting control over, in the aggregate, 43.9% of our outstanding shares of common stock as of January 30, 2016. As a result, these shareholders are able to exercise significant influence over all matters requiring shareholder approval, including the election of directors, any amendments to our second amended and restated articles of incorporation and significant corporate transactions. This concentrated ownership of outstanding common stock may limit your ability to influence corporate matters, and the interests of these shareholders may not coincide with our interests or your interests. As a result, we may take actions that you do not believe to be in our interests or your interests and that could depress our stock price. 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our guidance.</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we provide guidance regarding our future performance that represents our management’s estimates as of the date of release. This guidance, which consists of forward-looking statements, is prepared by our management and is qualified by, and subject to, the assumptions and the other information contained or referred to in the release. Our guidance is not prepared with a view toward compliance with published guidelines of the American Institute of Certified Public Accountants, and neither our independent registered public accounting firm nor any other independent expert or outside party compiles or examines the guidance and, accordingly, no such person expresses any opinion or any other form of assurance with respect thereto.</w:t>
      </w:r>
    </w:p>
    <w:p>
      <w:pPr>
        <w:spacing w:after="0" w:line="13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Guidance is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13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and the variations may be material. Investors should also recognize that the reliability of any forecasted financial data diminishes the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farther in the future that the data are forecast. In light of the foregoing, investors are urged to put the guidance in context and not to place undue reliance on it.</w:t>
      </w:r>
    </w:p>
    <w:p>
      <w:pPr>
        <w:spacing w:after="0" w:line="24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Indiana law may discourage or prevent a change in control, even if a sale of the Company would be beneficial to our shareholders, which could cause our stock price to decline and prevent attempts by shareholders to replace or remove our current management.</w:t>
      </w:r>
    </w:p>
    <w:p>
      <w:pPr>
        <w:spacing w:after="0" w:line="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second amended and restated articles of incorporation and amended and restated bylaws contain provisions that may delay or prevent a change in control, discourage bids at a premium over the market price of our common stock, harm the market price of our common stock and diminish the voting and other rights of the holders of our common stock. These provisions include:</w:t>
      </w:r>
    </w:p>
    <w:p>
      <w:pPr>
        <w:spacing w:after="0" w:line="41" w:lineRule="exact"/>
        <w:rPr>
          <w:sz w:val="20"/>
          <w:szCs w:val="20"/>
          <w:color w:val="auto"/>
        </w:rPr>
      </w:pPr>
    </w:p>
    <w:p>
      <w:pPr>
        <w:ind w:left="640" w:hanging="321"/>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dividing our board of directors into three classes serving staggered three-year terms;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preferred stock and additional shares of our common stock without shareholder approval;</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shareholder action by written consent</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our shareholders from calling a special meeting of shareholders;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our shareholders from amending our amended and restated bylaws;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for raising business matters or nominating directors at shareholders’ meetings.</w:t>
      </w:r>
    </w:p>
    <w:p>
      <w:pPr>
        <w:spacing w:after="0" w:line="17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permitted by our second amended and restated articles of incorporation and amended and restated bylaws, our board of directors also has the ability, should they so determine, to adopt a shareholder rights agreement, sometimes called a “poison pill,” providing for the issuance of a new series of preferred stock to holders of common stock. In the event of a takeover attempt, this preferred stock would give rights to holders of common stock (other than the potential acquirer) to buy additional shares of common stock at a discount, leading to the dilution of the potential acquirer’s stake. The adoption of a poison pill, or the board’s ability to do so, can have negative effects such as those described above.</w:t>
      </w:r>
    </w:p>
    <w:p>
      <w:pPr>
        <w:spacing w:after="0" w:line="13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As an Indiana corporation, we are governed by the Indiana Business Corporation Law (as amended from time to time, the “IBCL”). Under specified circumstances, certain provisions of the IBCL related to control share acquisitions, business combinations and constituent interests may delay, prevent or make more difficult unsolicited acquisitions or changes of control of us. These provisions also may have the effect of preventing changes in our management. It is possible that these provisions could make it more difficult to accomplish transactions that shareholders might deem to be in their best interest.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17"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9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location, use, and size of our distribution, corporate facilities, and showrooms as of January 30, 2016. The leases on the leased properties expire at various times through 2026, subject to renewal options.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680" w:type="dxa"/>
            <w:vAlign w:val="bottom"/>
          </w:tcPr>
          <w:p>
            <w:pPr>
              <w:ind w:left="2100"/>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246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266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Leased /Owned</w:t>
            </w:r>
          </w:p>
        </w:tc>
      </w:tr>
      <w:tr>
        <w:trPr>
          <w:trHeight w:val="230"/>
        </w:trPr>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Roanoke, Indiana</w:t>
            </w:r>
          </w:p>
        </w:tc>
        <w:tc>
          <w:tcPr>
            <w:tcW w:w="36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Corporate headquarters, design</w:t>
            </w:r>
          </w:p>
        </w:tc>
        <w:tc>
          <w:tcPr>
            <w:tcW w:w="246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r>
      <w:tr>
        <w:trPr>
          <w:trHeight w:val="241"/>
        </w:trPr>
        <w:tc>
          <w:tcPr>
            <w:tcW w:w="262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center and showroom</w:t>
            </w:r>
          </w:p>
        </w:tc>
        <w:tc>
          <w:tcPr>
            <w:tcW w:w="24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188,269</w:t>
            </w:r>
          </w:p>
        </w:tc>
        <w:tc>
          <w:tcPr>
            <w:tcW w:w="26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Owned*</w:t>
            </w:r>
          </w:p>
        </w:tc>
      </w:tr>
      <w:tr>
        <w:trPr>
          <w:trHeight w:val="243"/>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Roanoke, Indiana</w:t>
            </w:r>
          </w:p>
        </w:tc>
        <w:tc>
          <w:tcPr>
            <w:tcW w:w="36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Warehouse and distribution</w:t>
            </w:r>
          </w:p>
        </w:tc>
        <w:tc>
          <w:tcPr>
            <w:tcW w:w="2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428,500</w:t>
            </w:r>
          </w:p>
        </w:tc>
        <w:tc>
          <w:tcPr>
            <w:tcW w:w="2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6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York, New York</w:t>
            </w:r>
          </w:p>
        </w:tc>
        <w:tc>
          <w:tcPr>
            <w:tcW w:w="368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Office and showroom</w:t>
            </w:r>
          </w:p>
        </w:tc>
        <w:tc>
          <w:tcPr>
            <w:tcW w:w="24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3,695</w:t>
            </w:r>
          </w:p>
        </w:tc>
        <w:tc>
          <w:tcPr>
            <w:tcW w:w="26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Leased***</w:t>
            </w:r>
          </w:p>
        </w:tc>
      </w:tr>
      <w:tr>
        <w:trPr>
          <w:trHeight w:val="243"/>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Dongguan City, China</w:t>
            </w:r>
          </w:p>
        </w:tc>
        <w:tc>
          <w:tcPr>
            <w:tcW w:w="36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China office</w:t>
            </w:r>
          </w:p>
        </w:tc>
        <w:tc>
          <w:tcPr>
            <w:tcW w:w="2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6,962</w:t>
            </w:r>
          </w:p>
        </w:tc>
        <w:tc>
          <w:tcPr>
            <w:tcW w:w="2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Leased</w:t>
            </w:r>
          </w:p>
        </w:tc>
      </w:tr>
      <w:tr>
        <w:trPr>
          <w:trHeight w:val="27"/>
        </w:trPr>
        <w:tc>
          <w:tcPr>
            <w:tcW w:w="26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Atlanta, Georgia</w:t>
            </w:r>
          </w:p>
        </w:tc>
        <w:tc>
          <w:tcPr>
            <w:tcW w:w="368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Showroom</w:t>
            </w:r>
          </w:p>
        </w:tc>
        <w:tc>
          <w:tcPr>
            <w:tcW w:w="24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5,172</w:t>
            </w:r>
          </w:p>
        </w:tc>
        <w:tc>
          <w:tcPr>
            <w:tcW w:w="26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Leased</w:t>
            </w:r>
          </w:p>
        </w:tc>
      </w:tr>
      <w:tr>
        <w:trPr>
          <w:trHeight w:val="243"/>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Dallas, Texas</w:t>
            </w:r>
          </w:p>
        </w:tc>
        <w:tc>
          <w:tcPr>
            <w:tcW w:w="36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Showroom</w:t>
            </w:r>
          </w:p>
        </w:tc>
        <w:tc>
          <w:tcPr>
            <w:tcW w:w="2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1,782</w:t>
            </w:r>
          </w:p>
        </w:tc>
        <w:tc>
          <w:tcPr>
            <w:tcW w:w="2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Leased</w:t>
            </w:r>
          </w:p>
        </w:tc>
      </w:tr>
      <w:tr>
        <w:trPr>
          <w:trHeight w:val="27"/>
        </w:trPr>
        <w:tc>
          <w:tcPr>
            <w:tcW w:w="26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43"/>
        </w:trPr>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Las Vegas, Nevada</w:t>
            </w:r>
          </w:p>
        </w:tc>
        <w:tc>
          <w:tcPr>
            <w:tcW w:w="36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Showroom</w:t>
            </w:r>
          </w:p>
        </w:tc>
        <w:tc>
          <w:tcPr>
            <w:tcW w:w="2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2,221</w:t>
            </w:r>
          </w:p>
        </w:tc>
        <w:tc>
          <w:tcPr>
            <w:tcW w:w="2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Leased</w:t>
            </w:r>
          </w:p>
        </w:tc>
      </w:tr>
      <w:tr>
        <w:trPr>
          <w:trHeight w:val="27"/>
        </w:trPr>
        <w:tc>
          <w:tcPr>
            <w:tcW w:w="262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r>
    </w:tbl>
    <w:p>
      <w:pPr>
        <w:ind w:left="660" w:right="580" w:hanging="652"/>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this property during fiscal 2015, added approximately 149,000 square feet to the existing building, which now serves as the Company's corporate headquarters.</w:t>
      </w:r>
    </w:p>
    <w:p>
      <w:pPr>
        <w:spacing w:after="0" w:line="1"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10,000 square feet of office space was added to this facility in fiscal 2015.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showroom and office space was relocated in December 2015.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fiscal year end, we entered into an arrangement to lease 5,079 square feet of office space in Hong Kong.</w:t>
      </w:r>
    </w:p>
    <w:p>
      <w:pPr>
        <w:spacing w:after="0" w:line="13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January 30, 2016, we also leased 155 store locations in the United States, including 5 store locations opened or to be opened in fiscal 2017. See below for more information regarding the locations of our open stores as of January 30, 2016.</w:t>
      </w:r>
    </w:p>
    <w:p>
      <w:pPr>
        <w:spacing w:after="0" w:line="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consider these properties to be in good condition generally and believe that our facilities are adequate for our operations and provide sufficient capacity to meet our anticipated requirements. The properties in the above table are used by both the Direct segment and Indirect segment, excluding the three showrooms which are used exclusively by the Indirect segment.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7"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Locations</w:t>
      </w:r>
    </w:p>
    <w:p>
      <w:pPr>
        <w:spacing w:after="0" w:line="9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Our full-line stores are located primarily in high-traffic regional malls, lifestyle centers, and mixed-use shopping centers across the United States. The following table shows the number of full-line and factory outlet stores we operated in each state as of January 30, 2016:</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20" w:type="dxa"/>
            <w:vAlign w:val="bottom"/>
            <w:vMerge w:val="restart"/>
          </w:tcPr>
          <w:p>
            <w:pPr>
              <w:spacing w:after="0"/>
              <w:rPr>
                <w:sz w:val="13"/>
                <w:szCs w:val="13"/>
                <w:color w:val="auto"/>
              </w:rPr>
            </w:pPr>
          </w:p>
        </w:tc>
        <w:tc>
          <w:tcPr>
            <w:tcW w:w="128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00" w:type="dxa"/>
            <w:vAlign w:val="bottom"/>
            <w:vMerge w:val="restart"/>
          </w:tcPr>
          <w:p>
            <w:pPr>
              <w:spacing w:after="0"/>
              <w:rPr>
                <w:sz w:val="13"/>
                <w:szCs w:val="13"/>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Full-Line Stores</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Factory Outlet Stores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Full-Line Stores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Factory Outlet Stores</w:t>
            </w: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Alabama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Minnesota</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Arizona</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Missouri</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California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Nebraska</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Colorado</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Nevada</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Connecticut</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Jersey</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New York</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Florida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Carolina</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Georgia</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Ohio</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Hawaii</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Oklahoma</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Illinois</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Pennsylvania</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Indiana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Rhode Island</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Iowa</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Tennessee</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Kansas</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Texas</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Kentucky</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Virginia</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Louisiana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Washington</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Maryland</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Wisconsin</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Massachusetts</w:t>
            </w:r>
          </w:p>
        </w:tc>
        <w:tc>
          <w:tcPr>
            <w:tcW w:w="1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Totals</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Michigan</w:t>
            </w:r>
          </w:p>
        </w:tc>
        <w:tc>
          <w:tcPr>
            <w:tcW w:w="1280" w:type="dxa"/>
            <w:vAlign w:val="bottom"/>
          </w:tcPr>
          <w:p>
            <w:pPr>
              <w:spacing w:after="0" w:line="20" w:lineRule="exact"/>
              <w:rPr>
                <w:sz w:val="1"/>
                <w:szCs w:val="1"/>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line="20" w:lineRule="exact"/>
              <w:rPr>
                <w:sz w:val="1"/>
                <w:szCs w:val="1"/>
                <w:color w:val="auto"/>
              </w:rPr>
            </w:pP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gridSpan w:val="2"/>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lease all of our stores. Lease terms generally range from five to ten years with options to renew for varying terms. The leases generally provide for a fixed minimum rental plus contingent rent, which is determined as a percentage of sales in excess of specified levels.</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be involved from time to time, as a plaintiff or a defendant, in various routine legal proceedings incident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 We believe that the outcome of all pending legal proceedings in the aggregate will not have a material adverse effect on our business or financial condition.</w:t>
      </w:r>
    </w:p>
    <w:p>
      <w:pPr>
        <w:spacing w:after="0" w:line="18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7"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“VRA”. The following table sets forth the high and low sales prices of our common stock, as reported by the NASDAQ Global Select Market, for each quarterly period in our two most recent fiscal years: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2016 Quarter ended:</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January 30, 2016</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10.54</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31, 2015</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9.58</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1, 2015</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10.70</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2, 2015</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13.94</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2015 Quarter ended:</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31, 2015</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18.14</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1, 2014</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18.75</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2, 2014</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19.19</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3, 2014</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23.26</w:t>
            </w:r>
          </w:p>
        </w:tc>
      </w:tr>
    </w:tbl>
    <w:p>
      <w:pPr>
        <w:spacing w:after="0" w:line="1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March 25, 2016, we had approximately 30 registered shareholders of record. The number of shareholders of record is based upon the actual number of shareholders registered at such date and does not include holders of shares in “street name” or persons, partnerships, associations, corporations, or other entities identified in security position listings maintained by depositories.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On September 9, 2014, the Company’s board of directors approved a share repurchase program (the “2014 Share Repurchase Program”) authorizing up to $40.0 million of repurchases of shares of the Company's common stock through October 2016. The 2014 Share Repurchase Program was completed in August 2015. On December 8, 2015, the Company’s board of directors approved another share repurchase program (the “2015 Share Repurchase Program”) authorizing up to $50.0 million of repurchases of shares of the Company’s common stock. The 2015 Share Repurchase Program expires in December 2017.</w:t>
      </w:r>
    </w:p>
    <w:p>
      <w:pPr>
        <w:spacing w:after="0" w:line="3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purchased and held 2,481,367 shares at an average price of $12.57 per share, excluding commissions, for an aggregate amount of $31.2 million during the fiscal year ended January 30, 2016. Of these purchases, 283,354 shares at an average price of $14.64 per share, for an aggregate amount of $4.1 million, were purchased under the 2015 Share Repurchase Plan. As of January 30, 2016, there was $45.9 million remaining available to repurchase shares of the Company’s common stock under the 2015 Share Repurchase Program.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on the shares repurchased under the program during the thirteen weeks ended January 30, 2016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 or Program</w:t>
            </w: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1, 2015 - November 28, 2015</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29, 2015 - January 2, 2016</w:t>
            </w:r>
          </w:p>
        </w:tc>
        <w:tc>
          <w:tcPr>
            <w:tcW w:w="1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37,500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37,500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49,071,072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3, 2016 - January 30, 2016</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245,854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245,854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45,852,895</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8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283,354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283,354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began trading on October 21, 2010, following our initial public offering. Since that time, we have not declared any cash dividends, and we do not anticipate declaring any cash dividends in the foreseeable future.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7"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graph set forth below compares the cumulative shareholder return on our common stock between January 29, 2011, and January 30, 2016, to the cumulative return of (i) the S&amp;P 500 Index and (ii) the S&amp;P 500 Apparel, Accessories, and Luxury Goods Index over the same period. This graph assumes an initial investment of $100 on January 29, 2011, in our common stock, the S&amp;P 500 Index, and the S&amp;P 500 Apparel, Accessories, and Luxury Goods Index and assumes the reinvestment of dividends, if any.</w:t>
      </w:r>
    </w:p>
    <w:p>
      <w:pPr>
        <w:spacing w:after="0" w:line="12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comparisons shown in the graph below are based on historical data. We caution that the stock price performance presented in the graph below is not necessarily indicative of, nor is it intended to forecast, the potential future performance of our common stock. Information used in the graph was obtained from The NASDAQ Stock Market website; we do not assume responsibility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106045</wp:posOffset>
            </wp:positionV>
            <wp:extent cx="5797550" cy="4116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755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Company/Market/Peer Group</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1/29/2011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1/28/2012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2/2/2013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2/1/2014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1/31/2015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1/30/2016</w:t>
            </w:r>
          </w:p>
        </w:tc>
      </w:tr>
      <w:tr>
        <w:trPr>
          <w:trHeight w:val="249"/>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Vera Bradley,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43.66</w:t>
            </w:r>
          </w:p>
        </w:tc>
      </w:tr>
      <w:tr>
        <w:trPr>
          <w:trHeight w:val="243"/>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S&amp;P 500</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105.33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123.87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149.02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170.22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169.09</w:t>
            </w:r>
          </w:p>
        </w:tc>
      </w:tr>
      <w:tr>
        <w:trPr>
          <w:trHeight w:val="27"/>
        </w:trPr>
        <w:tc>
          <w:tcPr>
            <w:tcW w:w="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S&amp;P 500</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Apparel, Accessories, and Luxury Goods Index</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159.53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133.66</w:t>
            </w:r>
          </w:p>
        </w:tc>
      </w:tr>
      <w:tr>
        <w:trPr>
          <w:trHeight w:val="459"/>
        </w:trPr>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following tables present selected consolidated financial and other data as of and for the years indicated. The selected income statement data for the most recent three fiscal years presented and the selected balance sheet data as of January 30, 2016 and January 31, 2015 are derived from our audited consolidated financial statements included in Item 8 of this report. The selected income statement data for the fiscal years ended February 2, 2013, and January 28, 2012, and selected balance sheet data as of February 1, 2014, February 2, 2013, and January 28, 2012, are derived from our audited consolidated financial statements that are not included elsewhere in this report. These results include adjustments necessary for comparability, including discontinued operations which is discussed further in Note 14 to the Consolidated Financial Statements. The historical results presented below are not necessarily indicative of the results to be expected for any future period. You should read this selected consolidated financial and other data in conjunction with the consolidated financial statements and related notes and the information under “Management’s Discussion and Analysis of Financial Condition and Results of Operations” appearing elsewhere in this report.</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117" w:right="2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Fiscal Year Ended </w:t>
            </w:r>
            <w:r>
              <w:rPr>
                <w:rFonts w:ascii="Times New Roman" w:cs="Times New Roman" w:eastAsia="Times New Roman" w:hAnsi="Times New Roman"/>
                <w:sz w:val="12"/>
                <w:szCs w:val="12"/>
                <w:b w:val="1"/>
                <w:bCs w:val="1"/>
                <w:color w:val="auto"/>
              </w:rPr>
              <w:t>(1)</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34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i w:val="1"/>
                <w:iCs w:val="1"/>
                <w:color w:val="auto"/>
              </w:rPr>
              <w:t>($ in thousands, except per share data and as</w:t>
            </w:r>
          </w:p>
        </w:tc>
        <w:tc>
          <w:tcPr>
            <w:tcW w:w="240" w:type="dxa"/>
            <w:vAlign w:val="bottom"/>
          </w:tcPr>
          <w:p>
            <w:pPr>
              <w:spacing w:after="0"/>
              <w:rPr>
                <w:sz w:val="13"/>
                <w:szCs w:val="13"/>
                <w:color w:val="auto"/>
              </w:rPr>
            </w:pPr>
          </w:p>
        </w:tc>
        <w:tc>
          <w:tcPr>
            <w:tcW w:w="142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240" w:type="dxa"/>
            <w:vAlign w:val="bottom"/>
          </w:tcPr>
          <w:p>
            <w:pPr>
              <w:spacing w:after="0"/>
              <w:rPr>
                <w:sz w:val="13"/>
                <w:szCs w:val="13"/>
                <w:color w:val="auto"/>
              </w:rPr>
            </w:pPr>
          </w:p>
        </w:tc>
        <w:tc>
          <w:tcPr>
            <w:tcW w:w="142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40" w:type="dxa"/>
            <w:vAlign w:val="bottom"/>
          </w:tcPr>
          <w:p>
            <w:pPr>
              <w:spacing w:after="0"/>
              <w:rPr>
                <w:sz w:val="13"/>
                <w:szCs w:val="13"/>
                <w:color w:val="auto"/>
              </w:rPr>
            </w:pPr>
          </w:p>
        </w:tc>
        <w:tc>
          <w:tcPr>
            <w:tcW w:w="142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40" w:type="dxa"/>
            <w:vAlign w:val="bottom"/>
          </w:tcPr>
          <w:p>
            <w:pPr>
              <w:spacing w:after="0"/>
              <w:rPr>
                <w:sz w:val="13"/>
                <w:szCs w:val="13"/>
                <w:color w:val="auto"/>
              </w:rPr>
            </w:pPr>
          </w:p>
        </w:tc>
        <w:tc>
          <w:tcPr>
            <w:tcW w:w="136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240" w:type="dxa"/>
            <w:vAlign w:val="bottom"/>
          </w:tcPr>
          <w:p>
            <w:pPr>
              <w:spacing w:after="0"/>
              <w:rPr>
                <w:sz w:val="13"/>
                <w:szCs w:val="13"/>
                <w:color w:val="auto"/>
              </w:rPr>
            </w:pPr>
          </w:p>
        </w:tc>
        <w:tc>
          <w:tcPr>
            <w:tcW w:w="1260" w:type="dxa"/>
            <w:vAlign w:val="bottom"/>
          </w:tcPr>
          <w:p>
            <w:pPr>
              <w:jc w:val="right"/>
              <w:ind w:right="311"/>
              <w:spacing w:after="0" w:line="15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otherwise indicated)</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06"/>
        </w:trPr>
        <w:tc>
          <w:tcPr>
            <w:tcW w:w="3340" w:type="dxa"/>
            <w:vAlign w:val="bottom"/>
            <w:shd w:val="clear" w:color="auto" w:fill="CCEEFF"/>
          </w:tcPr>
          <w:p>
            <w:pPr>
              <w:ind w:left="40"/>
              <w:spacing w:after="0" w:line="206" w:lineRule="exact"/>
              <w:rPr>
                <w:sz w:val="20"/>
                <w:szCs w:val="20"/>
                <w:color w:val="auto"/>
              </w:rPr>
            </w:pPr>
            <w:r>
              <w:rPr>
                <w:rFonts w:ascii="Times New Roman" w:cs="Times New Roman" w:eastAsia="Times New Roman" w:hAnsi="Times New Roman"/>
                <w:sz w:val="18"/>
                <w:szCs w:val="18"/>
                <w:b w:val="1"/>
                <w:bCs w:val="1"/>
                <w:color w:val="auto"/>
              </w:rPr>
              <w:t>Consolidated Statement of Income</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340" w:type="dxa"/>
            <w:vAlign w:val="bottom"/>
            <w:shd w:val="clear" w:color="auto" w:fill="CCEEFF"/>
          </w:tcPr>
          <w:p>
            <w:pPr>
              <w:ind w:left="40"/>
              <w:spacing w:after="0" w:line="265" w:lineRule="exact"/>
              <w:rPr>
                <w:sz w:val="20"/>
                <w:szCs w:val="20"/>
                <w:color w:val="auto"/>
              </w:rPr>
            </w:pPr>
            <w:r>
              <w:rPr>
                <w:rFonts w:ascii="Times New Roman" w:cs="Times New Roman" w:eastAsia="Times New Roman" w:hAnsi="Times New Roman"/>
                <w:sz w:val="18"/>
                <w:szCs w:val="18"/>
                <w:b w:val="1"/>
                <w:bCs w:val="1"/>
                <w:color w:val="auto"/>
              </w:rPr>
              <w:t xml:space="preserve">Data </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502,598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508,990</w:t>
            </w:r>
          </w:p>
        </w:tc>
        <w:tc>
          <w:tcPr>
            <w:tcW w:w="12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530,896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535,667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458,724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221,409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239,981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238,684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231,135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202,317</w:t>
            </w: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281,189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269,009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292,212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304,532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256,407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236,836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208,675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201,231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197,139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164,240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2,369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3,736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4,776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6,277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7,975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46,722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64,070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95,757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113,670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100,142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340" w:type="dxa"/>
            <w:vAlign w:val="bottom"/>
            <w:shd w:val="clear" w:color="auto" w:fill="CCEEFF"/>
          </w:tcPr>
          <w:p>
            <w:pPr>
              <w:ind w:left="280"/>
              <w:spacing w:after="0" w:line="205" w:lineRule="exact"/>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46,459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63,663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95,186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112,991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98,995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18,901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22,828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35,057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40,597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37,103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27,558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40,835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60,129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72,394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61,892</w:t>
            </w: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24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(3,971)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27,558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38,449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58,812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68,870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57,921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4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38,795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40,568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40,599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40,536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40,507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weighted-average shares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38,861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40,632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40,648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40,571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40,542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Pr>
          <w:p>
            <w:pPr>
              <w:spacing w:after="0"/>
              <w:rPr>
                <w:sz w:val="21"/>
                <w:szCs w:val="21"/>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Pr>
          <w:p>
            <w:pPr>
              <w:spacing w:after="0"/>
              <w:rPr>
                <w:sz w:val="21"/>
                <w:szCs w:val="21"/>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Net Revenues by Segment </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8"/>
                <w:szCs w:val="18"/>
                <w:b w:val="1"/>
                <w:bCs w:val="1"/>
                <w:color w:val="auto"/>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351,286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335,602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321,092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287,083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223,168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24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151,312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173,388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209,804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248,584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235,556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502,598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508,990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530,896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535,667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458,724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Store Data </w:t>
            </w:r>
            <w:r>
              <w:rPr>
                <w:rFonts w:ascii="Times New Roman" w:cs="Times New Roman" w:eastAsia="Times New Roman" w:hAnsi="Times New Roman"/>
                <w:sz w:val="25"/>
                <w:szCs w:val="25"/>
                <w:b w:val="1"/>
                <w:bCs w:val="1"/>
                <w:color w:val="auto"/>
                <w:vertAlign w:val="superscript"/>
              </w:rPr>
              <w:t>(3)</w:t>
            </w:r>
            <w:r>
              <w:rPr>
                <w:rFonts w:ascii="Times New Roman" w:cs="Times New Roman" w:eastAsia="Times New Roman" w:hAnsi="Times New Roman"/>
                <w:sz w:val="18"/>
                <w:szCs w:val="18"/>
                <w:b w:val="1"/>
                <w:bCs w:val="1"/>
                <w:color w:val="auto"/>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stores open at end of year</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Comparable sales (including e-commerce)</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340" w:type="dxa"/>
            <w:vAlign w:val="bottom"/>
          </w:tcPr>
          <w:p>
            <w:pPr>
              <w:ind w:left="40"/>
              <w:spacing w:after="0" w:line="262" w:lineRule="exact"/>
              <w:rPr>
                <w:sz w:val="20"/>
                <w:szCs w:val="20"/>
                <w:color w:val="auto"/>
              </w:rPr>
            </w:pPr>
            <w:r>
              <w:rPr>
                <w:rFonts w:ascii="Times New Roman" w:cs="Times New Roman" w:eastAsia="Times New Roman" w:hAnsi="Times New Roman"/>
                <w:sz w:val="18"/>
                <w:szCs w:val="18"/>
                <w:color w:val="auto"/>
              </w:rPr>
              <w:t xml:space="preserve">(decrease) increase </w:t>
            </w:r>
            <w:r>
              <w:rPr>
                <w:rFonts w:ascii="Times New Roman" w:cs="Times New Roman" w:eastAsia="Times New Roman" w:hAnsi="Times New Roman"/>
                <w:sz w:val="25"/>
                <w:szCs w:val="25"/>
                <w:color w:val="auto"/>
                <w:vertAlign w:val="superscript"/>
              </w:rPr>
              <w:t>(4)</w:t>
            </w: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gross square footage at end of year</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342,362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278,779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207,096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156,310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113,504</w:t>
            </w: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net revenues per gross square</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foot </w:t>
            </w:r>
            <w:r>
              <w:rPr>
                <w:rFonts w:ascii="Times New Roman" w:cs="Times New Roman" w:eastAsia="Times New Roman" w:hAnsi="Times New Roman"/>
                <w:sz w:val="25"/>
                <w:szCs w:val="25"/>
                <w:color w:val="auto"/>
                <w:vertAlign w:val="superscript"/>
              </w:rPr>
              <w:t>(5)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577"/>
        </w:trPr>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12"/>
                <w:szCs w:val="12"/>
                <w:color w:val="auto"/>
              </w:rPr>
            </w:pPr>
          </w:p>
        </w:tc>
        <w:tc>
          <w:tcPr>
            <w:tcW w:w="1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240" w:type="dxa"/>
            <w:vAlign w:val="bottom"/>
          </w:tcPr>
          <w:p>
            <w:pPr>
              <w:spacing w:after="0"/>
              <w:rPr>
                <w:sz w:val="12"/>
                <w:szCs w:val="12"/>
                <w:color w:val="auto"/>
              </w:rPr>
            </w:pPr>
          </w:p>
        </w:tc>
        <w:tc>
          <w:tcPr>
            <w:tcW w:w="13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4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40" w:type="dxa"/>
            <w:vAlign w:val="bottom"/>
          </w:tcPr>
          <w:p>
            <w:pPr>
              <w:spacing w:after="0"/>
              <w:rPr>
                <w:sz w:val="12"/>
                <w:szCs w:val="12"/>
                <w:color w:val="auto"/>
              </w:rPr>
            </w:pPr>
          </w:p>
        </w:tc>
        <w:tc>
          <w:tcPr>
            <w:tcW w:w="13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240" w:type="dxa"/>
            <w:vAlign w:val="bottom"/>
          </w:tcPr>
          <w:p>
            <w:pPr>
              <w:spacing w:after="0"/>
              <w:rPr>
                <w:sz w:val="12"/>
                <w:szCs w:val="12"/>
                <w:color w:val="auto"/>
              </w:rPr>
            </w:pPr>
          </w:p>
        </w:tc>
        <w:tc>
          <w:tcPr>
            <w:tcW w:w="1240" w:type="dxa"/>
            <w:vAlign w:val="bottom"/>
          </w:tcPr>
          <w:p>
            <w:pPr>
              <w:jc w:val="right"/>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95"/>
        </w:trPr>
        <w:tc>
          <w:tcPr>
            <w:tcW w:w="35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97,681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112,292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59,215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9,603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4,922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187,090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204,648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193,511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151,107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110,323</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380,679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377,284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334,383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279,462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221,320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15,095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25,184</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285,255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284,471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255,147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194,225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124,007</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80" w:right="460" w:hanging="572"/>
        <w:spacing w:after="0" w:line="261"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utilizes a 52-53 week fiscal year. Fiscal years 2016, 2015, 2014 and 2012 consisted of 52 weeks. Fiscal year 2013 consisted of 53 weeks.</w:t>
      </w:r>
    </w:p>
    <w:p>
      <w:pPr>
        <w:ind w:left="580" w:right="640" w:hanging="572"/>
        <w:spacing w:after="0" w:line="250"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data recasts Japan results of operations as discontinued operations for all years presented. Japan was formerly included in the Direct segment results. Refer to Note 14 of the Notes to the Consolidated Financial Statements for additional information.</w:t>
      </w:r>
    </w:p>
    <w:p>
      <w:pPr>
        <w:ind w:left="580" w:right="260" w:hanging="572"/>
        <w:spacing w:after="0" w:line="250"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full-line and factory outlet stores. Our first full-line store opened in September 2007 and our first factory outlet store opened in November 2009.</w:t>
      </w:r>
    </w:p>
    <w:p>
      <w:pPr>
        <w:jc w:val="both"/>
        <w:ind w:left="580" w:right="80" w:hanging="572"/>
        <w:spacing w:after="0" w:line="228"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(including e-commerce) are calculated based upon our stores that have been open for at least 12 full fiscal months and net revenues from our e-commerce operations. Increase or decrease is reported as a percentage of the comparable sales for the same period in the prior fiscal year. Remodeled stores are included in comparable sales unless the store was closed for a portion of the current or comparable prior period or the remodel resulted in a significant change in square footage. Calculation excludes sales for the 53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8"/>
          <w:szCs w:val="18"/>
          <w:color w:val="auto"/>
        </w:rPr>
        <w:t xml:space="preserve"> week in fiscal 2013.</w:t>
      </w:r>
    </w:p>
    <w:p>
      <w:pPr>
        <w:spacing w:after="0" w:line="2" w:lineRule="exact"/>
        <w:rPr>
          <w:rFonts w:ascii="Times New Roman" w:cs="Times New Roman" w:eastAsia="Times New Roman" w:hAnsi="Times New Roman"/>
          <w:sz w:val="18"/>
          <w:szCs w:val="18"/>
          <w:color w:val="auto"/>
        </w:rPr>
      </w:pPr>
    </w:p>
    <w:p>
      <w:pPr>
        <w:ind w:left="580" w:right="20" w:hanging="572"/>
        <w:spacing w:after="0" w:line="259"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7"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the consolidated financial statements and accompanying notes and the information contained in other sections of this report, particularly under the headings “Risk Factors,” “Selected Financial Data”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Fiscal 2016 was the second year of our multi-year turnaround, and we made significant progress against key elements of our long-term strategic plan, laid out in March 2014, focusing on the key planks of product, distribution, and marketing. Specifically:</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Strategic Progress</w:t>
      </w:r>
    </w:p>
    <w:p>
      <w:pPr>
        <w:spacing w:after="0" w:line="94" w:lineRule="exact"/>
        <w:rPr>
          <w:sz w:val="20"/>
          <w:szCs w:val="20"/>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progress on our product strategies, including:</w:t>
      </w:r>
    </w:p>
    <w:p>
      <w:pPr>
        <w:spacing w:after="0" w:line="90" w:lineRule="exact"/>
        <w:rPr>
          <w:rFonts w:ascii="Times New Roman" w:cs="Times New Roman" w:eastAsia="Times New Roman" w:hAnsi="Times New Roman"/>
          <w:sz w:val="18"/>
          <w:szCs w:val="18"/>
          <w:color w:val="auto"/>
        </w:rPr>
      </w:pPr>
    </w:p>
    <w:p>
      <w:pPr>
        <w:ind w:left="1140" w:right="660" w:hanging="322"/>
        <w:spacing w:after="0" w:line="282"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innovation, newness, and diversification through the introduction of several new fabrications, the launch of our Collegiate Collection, and partnering with industry experts to launch our fragrance collection and expand our jewelry collection;</w:t>
      </w:r>
    </w:p>
    <w:p>
      <w:pPr>
        <w:spacing w:after="0" w:line="2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segment our offerings by channel; and</w:t>
      </w:r>
    </w:p>
    <w:p>
      <w:pPr>
        <w:spacing w:after="0" w:line="90" w:lineRule="exact"/>
        <w:rPr>
          <w:rFonts w:ascii="Times New Roman" w:cs="Times New Roman" w:eastAsia="Times New Roman" w:hAnsi="Times New Roman"/>
          <w:sz w:val="18"/>
          <w:szCs w:val="18"/>
          <w:color w:val="auto"/>
        </w:rPr>
      </w:pPr>
    </w:p>
    <w:p>
      <w:pPr>
        <w:ind w:left="1140" w:right="600" w:hanging="322"/>
        <w:spacing w:after="0" w:line="282"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enhancing our gross profit percentage through sourcing efficiencies, higher penetration of our Made for Outlet (“MFO”) product, and meaningfully reducing our promotional activity.</w:t>
      </w:r>
    </w:p>
    <w:p>
      <w:pPr>
        <w:spacing w:after="0" w:line="2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progress on our distribution strategies, including:</w:t>
      </w:r>
    </w:p>
    <w:p>
      <w:pPr>
        <w:spacing w:after="0" w:line="90"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15 full-line stores, all in our new modern store design;</w:t>
      </w:r>
    </w:p>
    <w:p>
      <w:pPr>
        <w:spacing w:after="0" w:line="90"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11 factory outlet stores and successfully transitioning to a MFO model;</w:t>
      </w:r>
    </w:p>
    <w:p>
      <w:pPr>
        <w:spacing w:after="0" w:line="90"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key enhancements to verabradley.com, including enhanced search, which improved conversion; and</w:t>
      </w:r>
    </w:p>
    <w:p>
      <w:pPr>
        <w:spacing w:after="0" w:line="90" w:lineRule="exact"/>
        <w:rPr>
          <w:rFonts w:ascii="Times New Roman" w:cs="Times New Roman" w:eastAsia="Times New Roman" w:hAnsi="Times New Roman"/>
          <w:sz w:val="18"/>
          <w:szCs w:val="18"/>
          <w:color w:val="auto"/>
        </w:rPr>
      </w:pPr>
    </w:p>
    <w:p>
      <w:pPr>
        <w:ind w:left="1140" w:right="140" w:hanging="322"/>
        <w:spacing w:after="0" w:line="282"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Nearly doubling our department store presence at Macy’s, adding distribution at select Belk and Bon-Ton stores, and beginning our Amazon partnership.</w:t>
      </w:r>
    </w:p>
    <w:p>
      <w:pPr>
        <w:spacing w:after="0" w:line="2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began to modernize our marketing and increase brand and product awareness through:</w:t>
      </w:r>
    </w:p>
    <w:p>
      <w:pPr>
        <w:spacing w:after="0" w:line="90"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our multi-media national ad campaign;</w:t>
      </w:r>
    </w:p>
    <w:p>
      <w:pPr>
        <w:spacing w:after="0" w:line="90" w:lineRule="exact"/>
        <w:rPr>
          <w:rFonts w:ascii="Times New Roman" w:cs="Times New Roman" w:eastAsia="Times New Roman" w:hAnsi="Times New Roman"/>
          <w:sz w:val="18"/>
          <w:szCs w:val="18"/>
          <w:color w:val="auto"/>
        </w:rPr>
      </w:pPr>
    </w:p>
    <w:p>
      <w:pPr>
        <w:ind w:left="1140" w:right="280" w:hanging="322"/>
        <w:spacing w:after="0" w:line="282"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investment in social media, which resulted in a significant increase in the size of our social community as well as coverage by a broader range of fashion and lifestyle bloggers;</w:t>
      </w:r>
    </w:p>
    <w:p>
      <w:pPr>
        <w:spacing w:after="0" w:line="24" w:lineRule="exact"/>
        <w:rPr>
          <w:rFonts w:ascii="Times New Roman" w:cs="Times New Roman" w:eastAsia="Times New Roman" w:hAnsi="Times New Roman"/>
          <w:sz w:val="18"/>
          <w:szCs w:val="18"/>
          <w:color w:val="auto"/>
        </w:rPr>
      </w:pPr>
    </w:p>
    <w:p>
      <w:pPr>
        <w:ind w:left="1140" w:right="240" w:hanging="322"/>
        <w:spacing w:after="0" w:line="284"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Securing editorial and media attention in such fashion publications as </w:t>
      </w:r>
      <w:r>
        <w:rPr>
          <w:rFonts w:ascii="Times New Roman" w:cs="Times New Roman" w:eastAsia="Times New Roman" w:hAnsi="Times New Roman"/>
          <w:sz w:val="18"/>
          <w:szCs w:val="18"/>
          <w:i w:val="1"/>
          <w:iCs w:val="1"/>
          <w:color w:val="auto"/>
        </w:rPr>
        <w:t>Elle, In Style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Teen Vogue,</w:t>
      </w:r>
      <w:r>
        <w:rPr>
          <w:rFonts w:ascii="Times New Roman" w:cs="Times New Roman" w:eastAsia="Times New Roman" w:hAnsi="Times New Roman"/>
          <w:sz w:val="18"/>
          <w:szCs w:val="18"/>
          <w:color w:val="auto"/>
        </w:rPr>
        <w:t xml:space="preserve"> as well as from online partners such as </w:t>
      </w:r>
      <w:r>
        <w:rPr>
          <w:rFonts w:ascii="Times New Roman" w:cs="Times New Roman" w:eastAsia="Times New Roman" w:hAnsi="Times New Roman"/>
          <w:sz w:val="18"/>
          <w:szCs w:val="18"/>
          <w:i w:val="1"/>
          <w:iCs w:val="1"/>
          <w:color w:val="auto"/>
        </w:rPr>
        <w:t xml:space="preserve">Pandora, SheKnows, Polyvore,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Spotify</w:t>
      </w:r>
      <w:r>
        <w:rPr>
          <w:rFonts w:ascii="Times New Roman" w:cs="Times New Roman" w:eastAsia="Times New Roman" w:hAnsi="Times New Roman"/>
          <w:sz w:val="18"/>
          <w:szCs w:val="18"/>
          <w:color w:val="auto"/>
        </w:rPr>
        <w:t>; and</w:t>
      </w:r>
    </w:p>
    <w:p>
      <w:pPr>
        <w:spacing w:after="0" w:line="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our Campus Ambassador program on several college campuses.</w:t>
      </w:r>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94" w:lineRule="exact"/>
        <w:rPr>
          <w:sz w:val="20"/>
          <w:szCs w:val="20"/>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decreased 1.3% to $502.6 million in fiscal 2016 compared to $509.0 million in fiscal 2015.</w:t>
      </w:r>
    </w:p>
    <w:p>
      <w:pPr>
        <w:spacing w:after="0" w:line="90" w:lineRule="exact"/>
        <w:rPr>
          <w:rFonts w:ascii="Times New Roman" w:cs="Times New Roman" w:eastAsia="Times New Roman" w:hAnsi="Times New Roman"/>
          <w:sz w:val="18"/>
          <w:szCs w:val="18"/>
          <w:color w:val="auto"/>
        </w:rPr>
      </w:pPr>
    </w:p>
    <w:p>
      <w:pPr>
        <w:ind w:left="1140" w:right="100" w:hanging="322"/>
        <w:spacing w:after="0" w:line="282"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segment sales increased 4.7% to $351.3 million in fiscal 2016 compared to $335.6 million in fiscal 2015. Comparable sales (including e-commerce) for fiscal 2016 decreased 10.6%.</w:t>
      </w:r>
    </w:p>
    <w:p>
      <w:pPr>
        <w:spacing w:after="0" w:line="2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segment sales decreased 12.7% to $151.3 million in fiscal 2016 compared to $173.4 million in fiscal 2015.</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$281.2 million (55.9% of net revenue) in fiscal 2016 compared to $269.0 million (52.9% of net revenue) in fiscal 2015.</w:t>
      </w:r>
    </w:p>
    <w:p>
      <w:pPr>
        <w:spacing w:after="0" w:line="90" w:lineRule="exact"/>
        <w:rPr>
          <w:rFonts w:ascii="Times New Roman" w:cs="Times New Roman" w:eastAsia="Times New Roman" w:hAnsi="Times New Roman"/>
          <w:sz w:val="18"/>
          <w:szCs w:val="18"/>
          <w:color w:val="auto"/>
        </w:rPr>
      </w:pPr>
    </w:p>
    <w:p>
      <w:pPr>
        <w:ind w:left="820" w:right="80" w:hanging="326"/>
        <w:spacing w:after="0" w:line="282"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were $236.8 million (47.1% of net revenue) in fiscal 2016 compared to $208.7 million (41.0% of net revenue) in fiscal 2015.</w:t>
      </w:r>
    </w:p>
    <w:p>
      <w:pPr>
        <w:spacing w:after="0" w:line="2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$46.7 million (9.3% of net revenue) in fiscal 2016 compared to $64.1 million (12.6% of net revenue) in fiscal 2015.</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17"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continuing operations was $27.6 million in fiscal 2016 compared to $40.8 million in fiscal 2015.</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income from continuing operations per share decreased 29.0% to $0.71 in fiscal 2016 from $1.00 in fiscal 2015.</w:t>
      </w:r>
    </w:p>
    <w:p>
      <w:pPr>
        <w:spacing w:after="0" w:line="90"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were $3.4 million ($2.1 million after the associated tax benefit) in fiscal 2016 compared to $3.0 million ($1.9 million after the associated tax benefit) in fiscal 2015.</w:t>
      </w:r>
    </w:p>
    <w:p>
      <w:pPr>
        <w:spacing w:after="0" w:line="2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charges affecting comparability were $3.1 million ($2.1 million after the associated tax benefit) in fiscal 2016.</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$97.7 million at January 30, 2016.</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fiscal 2016 totaled $26.3 million, which were funded from cash generated from operations of $43.3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2014, we entered into a five-year agreement with Mitsubishi Corporation Fashion Company and Look Inc. for the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importation and distribution of Vera Bradley products in Japan. As a result of moving to this wholesale business model, we exited our direct business in Japan during the third quarter of fiscal 2015 and have accounted for it as a discontinued operation. Consolidated income statement and Direct segment results for the current and prior periods presented are reported on a continuing operations basis unless otherwise stated.</w:t>
      </w:r>
    </w:p>
    <w:p>
      <w:pPr>
        <w:spacing w:after="0" w:line="209" w:lineRule="exact"/>
        <w:rPr>
          <w:sz w:val="20"/>
          <w:szCs w:val="20"/>
          <w:color w:val="auto"/>
        </w:rPr>
      </w:pPr>
    </w:p>
    <w:p>
      <w:pPr>
        <w:ind w:right="114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Restructuring and Other Charges Affecting Comparability of the Year-to-Date Periods ended January 30, 2016, and January 31, 2015 </w:t>
      </w:r>
      <w:r>
        <w:rPr>
          <w:rFonts w:ascii="Times New Roman" w:cs="Times New Roman" w:eastAsia="Times New Roman" w:hAnsi="Times New Roman"/>
          <w:sz w:val="18"/>
          <w:szCs w:val="18"/>
          <w:color w:val="auto"/>
        </w:rPr>
        <w:t>In the first quarter of fiscal 2016, the Company closed its manufacturing facility located in New Haven, Indiana.</w:t>
      </w:r>
    </w:p>
    <w:p>
      <w:pPr>
        <w:spacing w:after="0" w:line="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incurred restructuring and other charges during the first quarter of fiscal 2016 of approximately $3.4 million ($2.1 million after the associated tax benefit), related to the facility closing, as compared to $3.0 million ($1.9 million after the associated tax benefit), primarily related to raw materials inventory write-downs, in the fourth quarter of fiscal 2015. The fiscal 2016 charges include severance and benefit costs of approximately $1.7 million, lease termination costs of approximately $0.7 million, inventory-related charges of approximately $0.6 million, and other associated net costs, which include accelerated depreciation related to fixed assets, of approximately $0.4 million. These charges are reflected in cost of sales in the Company's Consolidated Financial Statements.</w:t>
      </w:r>
    </w:p>
    <w:p>
      <w:pPr>
        <w:spacing w:after="0" w:line="5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Management expects that the facility closure will reduce operating costs by approximately $12.0 million annually beginning in the fourth quarter of fiscal 2016. All production from the facility will be absorbed by the Company’s third party manufacturing suppliers.</w:t>
      </w:r>
    </w:p>
    <w:p>
      <w:pPr>
        <w:spacing w:after="0" w:line="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 charges affecting comparability of the financial results for the fifty-two weeks ended January 30, 2016 and January 31, 2015 totaled approximately $3.1 million ($2.1 million after the associated tax benefit) consisting of charges in the first quarter of fiscal 2016 of $1.3 million in employee severance (reflected in selling, general, and administrative expenses), $1.2 million due to a retail store early lease termination agreement (reflected in selling, general, and administrative expenses), and $0.6 million related to an increase in income tax reserves for uncertain federal and state tax positions related to research and development tax credits (reflected in income tax expense).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to the Notes to the Consolidated Financial Statements, herein, for additional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revenues reflect revenues from the sale of our merchandise and from distribution and shipping and handling fees, less returns and discounts. Revenues for the Direct segment reflect sales through our full-line and factory outlet stores, verabradley.com, direct-to-consumer eBay sales, and our annual outlet sale in Fort Wayne, Indiana. Revenues for the Indirect segment reflect sales to specialty retail partners, department stores, national accounts, third party e-commerce sites, our wholesale business in Japan, and third party inventory liquidators. As of January 30, 2016, our specialty retail locations have decreased to approximately 2,600 locations from their peak during fiscal 2013 of approximately 3,600 locations.</w:t>
      </w:r>
    </w:p>
    <w:p>
      <w:pPr>
        <w:spacing w:after="0" w:line="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believe hyper-promotional activity, which we define as discounts of 60% or more, has been damaging to our brand. Accordingly, we strategically reduced our use of this type of promotion both in our Direct stores and on verabradley.com during fiscal 2016.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7"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Comparable sales (including e-commerce) are calculated based upon our stores that have been open for at least 12 full fiscal months and net revenues from our e-commerce operations. Comparable store sales are calculated based solely upon our stores that have been open for at least 12 full fiscal months. Remodeled stores are included in comparable sales and comparable 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5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comparable sales allows us to evaluate how our store base and e-commerce operations are performing. Various factors affect our comparable sales, including:</w:t>
      </w:r>
    </w:p>
    <w:p>
      <w:pPr>
        <w:spacing w:after="0" w:line="27" w:lineRule="exact"/>
        <w:rPr>
          <w:sz w:val="20"/>
          <w:szCs w:val="20"/>
          <w:color w:val="auto"/>
        </w:rPr>
      </w:pPr>
    </w:p>
    <w:p>
      <w:pPr>
        <w:ind w:left="640" w:hanging="32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our releases of new patterns and collections;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level of promotions;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customer service that we provide in stores;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stores we open and close in any period;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success of promotional and advertising efforts.</w:t>
      </w:r>
    </w:p>
    <w:p>
      <w:pPr>
        <w:spacing w:after="0" w:line="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recent years, comparable store sales have declined. With that in mind, we are slowing our full-line store opening plan in fiscal 2017 to four new stores from an average of approximately 20 new stores in prior years. We will continue to evaluate our plans for store openings in future years in light of demand and store performance.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Gross profit can be impacted by changes in volume; fluctuations in sales price; operational efficiencies, such as leveraging of fixed costs; promotional activities, such as free shipping; commodity prices, such as cotton prices; and labor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117"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Operating income is equal to gross profit less SG&amp;A expenses plus other income. Operating income excludes interest income, interest expense, and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Continuing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continuing operations is equal to operating income less net interest expense and income taxes.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Discontinued Operations, Net of Taxes</w:t>
      </w:r>
    </w:p>
    <w:p>
      <w:pPr>
        <w:spacing w:after="0" w:line="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Loss from discontinued operations, net of taxes, is equal to the loss from the results of operations related to the direct Japan business, which was exited in the third quarter of fiscal 2015, adjusted for the associated tax benefit.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is equal to the sum of income from continuing operations and loss from discontinued operations, net of taxes.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consolidated results of operations for the last three fiscal years, both in dollars and as a percentage of our net revenues.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Fiscal Year Ended </w:t>
            </w:r>
            <w:r>
              <w:rPr>
                <w:rFonts w:ascii="Times New Roman" w:cs="Times New Roman" w:eastAsia="Times New Roman" w:hAnsi="Times New Roman"/>
                <w:sz w:val="12"/>
                <w:szCs w:val="12"/>
                <w:b w:val="1"/>
                <w:bCs w:val="1"/>
                <w:color w:val="auto"/>
              </w:rPr>
              <w:t>(1)</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12"/>
                <w:szCs w:val="12"/>
                <w:color w:val="auto"/>
              </w:rPr>
            </w:pPr>
          </w:p>
        </w:tc>
        <w:tc>
          <w:tcPr>
            <w:tcW w:w="1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160" w:type="dxa"/>
            <w:vAlign w:val="bottom"/>
          </w:tcPr>
          <w:p>
            <w:pPr>
              <w:spacing w:after="0"/>
              <w:rPr>
                <w:sz w:val="12"/>
                <w:szCs w:val="12"/>
                <w:color w:val="auto"/>
              </w:rPr>
            </w:pPr>
          </w:p>
        </w:tc>
        <w:tc>
          <w:tcPr>
            <w:tcW w:w="15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60" w:type="dxa"/>
            <w:vAlign w:val="bottom"/>
          </w:tcPr>
          <w:p>
            <w:pPr>
              <w:spacing w:after="0"/>
              <w:rPr>
                <w:sz w:val="12"/>
                <w:szCs w:val="12"/>
                <w:color w:val="auto"/>
              </w:rPr>
            </w:pPr>
          </w:p>
        </w:tc>
        <w:tc>
          <w:tcPr>
            <w:tcW w:w="1320" w:type="dxa"/>
            <w:vAlign w:val="bottom"/>
          </w:tcPr>
          <w:p>
            <w:pPr>
              <w:jc w:val="right"/>
              <w:ind w:right="351"/>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95"/>
        </w:trPr>
        <w:tc>
          <w:tcPr>
            <w:tcW w:w="65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69"/>
        </w:trPr>
        <w:tc>
          <w:tcPr>
            <w:tcW w:w="650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b w:val="1"/>
                <w:bCs w:val="1"/>
                <w:color w:val="auto"/>
              </w:rPr>
              <w:t xml:space="preserve">Statement of Income Data </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502,598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508,990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530,896</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221,409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239,981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238,684</w:t>
            </w:r>
          </w:p>
        </w:tc>
        <w:tc>
          <w:tcPr>
            <w:tcW w:w="0" w:type="dxa"/>
            <w:vAlign w:val="bottom"/>
          </w:tcPr>
          <w:p>
            <w:pPr>
              <w:spacing w:after="0"/>
              <w:rPr>
                <w:sz w:val="1"/>
                <w:szCs w:val="1"/>
                <w:color w:val="auto"/>
              </w:rPr>
            </w:pPr>
          </w:p>
        </w:tc>
      </w:tr>
      <w:tr>
        <w:trPr>
          <w:trHeight w:val="237"/>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281,189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269,009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292,212</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236,836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208,675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201,231</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3,736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4,776</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46,722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64,070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95,757</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46,459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63,663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95,186</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18,901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22,828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35,057</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27,558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40,835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60,129</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24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27,558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38,449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58,812</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37"/>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7"/>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37"/>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7"/>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7" w:right="259" w:bottom="1440"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17" w:right="25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by operating segment, both in dollars and as a percentage of our net revenues, and full-line and factory outlet store data for the last three fiscal years: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Fiscal Year Ended </w:t>
            </w:r>
            <w:r>
              <w:rPr>
                <w:rFonts w:ascii="Times New Roman" w:cs="Times New Roman" w:eastAsia="Times New Roman" w:hAnsi="Times New Roman"/>
                <w:sz w:val="12"/>
                <w:szCs w:val="12"/>
                <w:b w:val="1"/>
                <w:bCs w:val="1"/>
                <w:color w:val="auto"/>
              </w:rPr>
              <w:t>(1)</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 in thousands, except as otherwise indicated)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95"/>
        </w:trPr>
        <w:tc>
          <w:tcPr>
            <w:tcW w:w="64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69"/>
        </w:trPr>
        <w:tc>
          <w:tcPr>
            <w:tcW w:w="646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b w:val="1"/>
                <w:bCs w:val="1"/>
                <w:color w:val="auto"/>
              </w:rPr>
              <w:t xml:space="preserve">Net Revenues by Segment </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351,286</w:t>
            </w:r>
          </w:p>
        </w:tc>
        <w:tc>
          <w:tcPr>
            <w:tcW w:w="8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335,602</w:t>
            </w:r>
          </w:p>
        </w:tc>
        <w:tc>
          <w:tcPr>
            <w:tcW w:w="40" w:type="dxa"/>
            <w:vAlign w:val="bottom"/>
          </w:tcPr>
          <w:p>
            <w:pPr>
              <w:spacing w:after="0"/>
              <w:rPr>
                <w:sz w:val="21"/>
                <w:szCs w:val="21"/>
                <w:color w:val="auto"/>
              </w:rPr>
            </w:pPr>
          </w:p>
        </w:tc>
        <w:tc>
          <w:tcPr>
            <w:tcW w:w="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321,092</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151,312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173,388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209,804</w:t>
            </w:r>
          </w:p>
        </w:tc>
        <w:tc>
          <w:tcPr>
            <w:tcW w:w="0" w:type="dxa"/>
            <w:vAlign w:val="bottom"/>
          </w:tcPr>
          <w:p>
            <w:pPr>
              <w:spacing w:after="0"/>
              <w:rPr>
                <w:sz w:val="1"/>
                <w:szCs w:val="1"/>
                <w:color w:val="auto"/>
              </w:rPr>
            </w:pPr>
          </w:p>
        </w:tc>
      </w:tr>
      <w:tr>
        <w:trPr>
          <w:trHeight w:val="237"/>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502,598</w:t>
            </w:r>
          </w:p>
        </w:tc>
        <w:tc>
          <w:tcPr>
            <w:tcW w:w="8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508,990</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530,896</w:t>
            </w:r>
          </w:p>
        </w:tc>
        <w:tc>
          <w:tcPr>
            <w:tcW w:w="0" w:type="dxa"/>
            <w:vAlign w:val="bottom"/>
          </w:tcPr>
          <w:p>
            <w:pPr>
              <w:spacing w:after="0"/>
              <w:rPr>
                <w:sz w:val="1"/>
                <w:szCs w:val="1"/>
                <w:color w:val="auto"/>
              </w:rPr>
            </w:pPr>
          </w:p>
        </w:tc>
      </w:tr>
      <w:tr>
        <w:trPr>
          <w:trHeight w:val="67"/>
        </w:trPr>
        <w:tc>
          <w:tcPr>
            <w:tcW w:w="64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37"/>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95"/>
        </w:trPr>
        <w:tc>
          <w:tcPr>
            <w:tcW w:w="64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69"/>
        </w:trPr>
        <w:tc>
          <w:tcPr>
            <w:tcW w:w="646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b w:val="1"/>
                <w:bCs w:val="1"/>
                <w:color w:val="auto"/>
              </w:rPr>
              <w:t xml:space="preserve">Store Data </w:t>
            </w:r>
            <w:r>
              <w:rPr>
                <w:rFonts w:ascii="Times New Roman" w:cs="Times New Roman" w:eastAsia="Times New Roman" w:hAnsi="Times New Roman"/>
                <w:sz w:val="25"/>
                <w:szCs w:val="25"/>
                <w:b w:val="1"/>
                <w:bCs w:val="1"/>
                <w:color w:val="auto"/>
                <w:vertAlign w:val="superscript"/>
              </w:rPr>
              <w:t>(3)</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Comparable sales (including e-commerce) (decrease) increase </w:t>
            </w:r>
            <w:r>
              <w:rPr>
                <w:rFonts w:ascii="Times New Roman" w:cs="Times New Roman" w:eastAsia="Times New Roman" w:hAnsi="Times New Roman"/>
                <w:sz w:val="25"/>
                <w:szCs w:val="25"/>
                <w:color w:val="auto"/>
                <w:vertAlign w:val="superscript"/>
              </w:rPr>
              <w:t>(4)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gross square footage at end of period</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342,362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278,779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207,096</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5"/>
                <w:szCs w:val="25"/>
                <w:color w:val="auto"/>
                <w:vertAlign w:val="superscript"/>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shd w:val="clear" w:color="auto" w:fill="CCEEFF"/>
          </w:tcPr>
          <w:p>
            <w:pPr>
              <w:spacing w:after="0"/>
              <w:rPr>
                <w:sz w:val="23"/>
                <w:szCs w:val="23"/>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760</w:t>
            </w:r>
          </w:p>
        </w:tc>
        <w:tc>
          <w:tcPr>
            <w:tcW w:w="4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right="480" w:hanging="572"/>
        <w:spacing w:after="0" w:line="261" w:lineRule="auto"/>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utilizes a 52-53 week fiscal year ending on the Saturday closest to January 31. Fiscal years 2016, 2015, and 2014 consisted of 52 weeks.</w:t>
      </w:r>
    </w:p>
    <w:p>
      <w:pPr>
        <w:ind w:left="580" w:right="620" w:hanging="572"/>
        <w:spacing w:after="0" w:line="250" w:lineRule="auto"/>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data recasts Japan results of operations as discontinued operations for all years presented. Japan was formerly included in the Direct segment results. Refer to Note 14 of the Notes to the Consolidated Financial Statements for additional information.</w:t>
      </w:r>
    </w:p>
    <w:p>
      <w:pPr>
        <w:ind w:left="580" w:hanging="572"/>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full-line and factory outlet stores.</w:t>
      </w:r>
    </w:p>
    <w:p>
      <w:pPr>
        <w:spacing w:after="0" w:line="9" w:lineRule="exact"/>
        <w:rPr>
          <w:rFonts w:ascii="Times New Roman" w:cs="Times New Roman" w:eastAsia="Times New Roman" w:hAnsi="Times New Roman"/>
          <w:sz w:val="18"/>
          <w:szCs w:val="18"/>
          <w:color w:val="auto"/>
        </w:rPr>
      </w:pPr>
    </w:p>
    <w:p>
      <w:pPr>
        <w:jc w:val="both"/>
        <w:ind w:left="580" w:right="60" w:hanging="572"/>
        <w:spacing w:after="0" w:line="250" w:lineRule="auto"/>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(including e-commerce) are calculated based upon our stores that have been open for at least 12 full fiscal months and net revenues from our e-commerce operations. Increase or decrease is reported as a percentage of the comparable sales for the same period in the prior fiscal year. Remodeled stores are included in comparable sales unless the store was closed for a portion of the current or comparable prior period or the remodel resulted in a significant change in square footage.</w:t>
      </w:r>
    </w:p>
    <w:p>
      <w:pPr>
        <w:spacing w:after="0" w:line="1" w:lineRule="exact"/>
        <w:rPr>
          <w:rFonts w:ascii="Times New Roman" w:cs="Times New Roman" w:eastAsia="Times New Roman" w:hAnsi="Times New Roman"/>
          <w:sz w:val="18"/>
          <w:szCs w:val="18"/>
          <w:color w:val="auto"/>
        </w:rPr>
      </w:pPr>
    </w:p>
    <w:p>
      <w:pPr>
        <w:ind w:left="580" w:hanging="572"/>
        <w:spacing w:after="0" w:line="261" w:lineRule="auto"/>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2016 Compared to Fiscal 2015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2016, net revenues decreased $6.4 million, or 1.3%, to $502.6 million, from $509.0 million for fiscal 2015.</w:t>
      </w:r>
    </w:p>
    <w:p>
      <w:pPr>
        <w:spacing w:after="0" w:line="16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Direct. </w:t>
      </w:r>
      <w:r>
        <w:rPr>
          <w:rFonts w:ascii="Times New Roman" w:cs="Times New Roman" w:eastAsia="Times New Roman" w:hAnsi="Times New Roman"/>
          <w:sz w:val="18"/>
          <w:szCs w:val="18"/>
          <w:color w:val="auto"/>
        </w:rPr>
        <w:t>For fiscal 2016, net revenues increased $15.7 million, or 4.7%, to $351.3 million, from $335.6 million for fiscal 2015. This change resulted from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$51.3 million contribution of revenue from our non-comparable stores, which included 26 additional stores in the current year, partially offset by a comparable sales (including e-commerce) decrease of $33.7 million, or 10.6% and a gift card breakage revenue decrease of $1.1 million. Fiscal 2015 was the first year gift card breakage revenue was recognized; refer to Note 2, herein, for additional information. The decrease in comparable sales (including e-commerce) includes a 13.2% decrease in e-commerce sales and an 8.6% decrease in comparable store sales, primarily as a result of reduced traffic. There was also a decrease in sales at our annual outlet sale compared to the prior fiscal year. We believe the year-over-year traffic declines in e-commerce and stores are due, at least in part, to our intentional reduction of promotional activity. The aggregate number of full-line and factory outlet stores grew from 125 at the end of fiscal 2015, to 150 at the end of fiscal 2016, which includes the closure of one full-line store in fiscal 2016.</w:t>
      </w:r>
    </w:p>
    <w:p>
      <w:pPr>
        <w:spacing w:after="0" w:line="50"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Indirect. </w:t>
      </w:r>
      <w:r>
        <w:rPr>
          <w:rFonts w:ascii="Times New Roman" w:cs="Times New Roman" w:eastAsia="Times New Roman" w:hAnsi="Times New Roman"/>
          <w:sz w:val="18"/>
          <w:szCs w:val="18"/>
          <w:color w:val="auto"/>
        </w:rPr>
        <w:t>For fiscal 2016, net revenues decreased $22.1 million, or 12.7%, to $151.3 million, from $173.4 million for fiscal 2015, primarily due to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orders from specialty retail accounts, as well as a reduction in the number of specialty retailers.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17"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For fiscal 2016, gross profit increased $12.2 million, or 4.5%, to $281.2 million, from $269.0 million for fiscal 2015. As a percentage of net revenues, gross profit increased to 55.9% for fiscal 2016, from 52.9% for fiscal 2015. The year-over-year increase in the gross margin rate was primarily related to sourcing efficiencies (lower product costs combined with Fall 2014 cost reductions at the Company’s domestic manufacturing facility as well as leverage of overhead costs resulting from an increase in units manufactured), increased sales penetration of higher-margin MFO products, reduced promotional activity and lower levels of liquidation sales. Gross profit during fiscal 2016 was impacted by restructuring charges of $3.4 million related to the closure of our manufacturing facility in the first quarter of fiscal 2016, as discussed in more detail in Note 15 to the Notes to the Consolidated Financial Statements herein.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fiscal 2016, SG&amp;A expenses increased $28.1 million, or 13.5%, to $236.8 million, from $208.7 million for fiscal 2015. As a percentage of net revenues, SG&amp;A expenses were 47.1% and 41.0% for fiscal 2016 and fiscal 2015, respectively. The increase in SG&amp;A expenses for fiscal 2016 included $1.3 million in employee severance expense and $1.2 million in expense related to a retail store early termination agreement that did not occur in the comparable prior year period. The remaining increase was primarily due to investments in new stores, $6.0 million in incremental marketing and advertising, $2.7 million in additional incentive compensation, as well as $2.3 million in incremental store impairment charges. SG&amp;A expenses as a percentage of net revenues increased primarily due to the aforementioned items, as well as fixed expenses being spread over lower revenues and deleveraging of store operating expenses as a result of lower comparable store sales.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For fiscal 2016, other income decreased $1.3 million, or 36.6%, to $2.4 million, from $3.7 million for fiscal 2015, primarily due to a decrease in reimbursement of co-op mailer expense from Indirect retailers.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9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For fiscal 2016, operating income decreased $17.4 million, or 27.1%, to $46.7 million, from $64.1 million for fiscal 2015. As a percentage of net revenues, operating income was 9.3% and 12.6% for fiscal 2016 and fiscal 2015, respectively. Operating income for fiscal 2016 was negatively impacted by the $5.9 million in restructuring and other charges described above under “Gross Profit” and “Selling, General, and Administrative Expenses.” The remaining decrease in operating income was due to an increase in selling, general, and administrative expenses and a decrease in other income, partially offset by an increase in gross profit, as described above.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our operating income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51"/>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220" w:type="dxa"/>
            <w:vAlign w:val="bottom"/>
          </w:tcPr>
          <w:p>
            <w:pPr>
              <w:spacing w:after="0"/>
              <w:rPr>
                <w:sz w:val="13"/>
                <w:szCs w:val="13"/>
                <w:color w:val="auto"/>
              </w:rPr>
            </w:pPr>
          </w:p>
        </w:tc>
        <w:tc>
          <w:tcPr>
            <w:tcW w:w="136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300" w:type="dxa"/>
            <w:vAlign w:val="bottom"/>
          </w:tcPr>
          <w:p>
            <w:pPr>
              <w:spacing w:after="0"/>
              <w:rPr>
                <w:sz w:val="13"/>
                <w:szCs w:val="13"/>
                <w:color w:val="auto"/>
              </w:rPr>
            </w:pPr>
          </w:p>
        </w:tc>
        <w:tc>
          <w:tcPr>
            <w:tcW w:w="1160" w:type="dxa"/>
            <w:vAlign w:val="bottom"/>
          </w:tcPr>
          <w:p>
            <w:pPr>
              <w:jc w:val="right"/>
              <w:ind w:right="616"/>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gridSpan w:val="2"/>
          </w:tcPr>
          <w:p>
            <w:pPr>
              <w:jc w:val="right"/>
              <w:ind w:right="659"/>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95"/>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74,114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74,099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60,409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66,213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Unallocated corporate expenses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46,722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64,070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Direct</w:t>
      </w:r>
      <w:r>
        <w:rPr>
          <w:rFonts w:ascii="Times New Roman" w:cs="Times New Roman" w:eastAsia="Times New Roman" w:hAnsi="Times New Roman"/>
          <w:sz w:val="18"/>
          <w:szCs w:val="18"/>
          <w:color w:val="auto"/>
        </w:rPr>
        <w:t>. For fiscal 2016, the change in operating income was essentially flat. As a percentage of Direct segment net revenues, operating income in the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was 21.1% and 22.1% for fiscal 2016 and 2015, respectively. Operating income for fiscal 2016 was negatively impacted by the $3.5 million, or 1.0% as a percentage of Direct segment net revenues, in restructuring and other charges related to the closure of our manufacturing facility in the first quarter of fiscal 2016 and a retail store early termination agreement.</w:t>
      </w:r>
    </w:p>
    <w:p>
      <w:pPr>
        <w:spacing w:after="0" w:line="126"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8"/>
          <w:szCs w:val="18"/>
          <w:i w:val="1"/>
          <w:iCs w:val="1"/>
          <w:color w:val="auto"/>
        </w:rPr>
        <w:t>Indirect</w:t>
      </w:r>
      <w:r>
        <w:rPr>
          <w:rFonts w:ascii="Times New Roman" w:cs="Times New Roman" w:eastAsia="Times New Roman" w:hAnsi="Times New Roman"/>
          <w:sz w:val="18"/>
          <w:szCs w:val="18"/>
          <w:color w:val="auto"/>
        </w:rPr>
        <w:t>. For fiscal 2016, operating income decreased $5.8 million, or 8.8%. As a percentage of Indirect segment net revenues, operating income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 segment was 39.9% and 38.2% for fiscal 2016 and 2015, respectively. The increase in operating income as a percentage of Indirect segment net revenues was primarily due to an increase in gross profit as a percentage of net revenues, as described above. This increase was partially offset by $1.1 million, or 0.8% as a percentage of Indirect segment net revenues, in restructuring charges related to the closure of our manufacturing facility in the first quarter of fiscal 2016.</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7"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fiscal 2016, unallocated expenses increased $11.6 million, or 15.2%. The increase in unallocated expenses included $1.3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employee severance expense. The remaining increase was primarily due to incremental marketing and advertising investments, an increase in incentive compensation due to Company performance, as well as an increase in depreciation expense primarily as a result of the campus consolidation.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For fiscal 2016, net interest expense decreased $0.1 million, or 35.4%, to $0.3 million, from $0.4 million in fiscal 2015.</w:t>
      </w:r>
    </w:p>
    <w:p>
      <w:pPr>
        <w:spacing w:after="0" w:line="2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fiscal 2016, we recorded income tax expense of $18.9 million at an effective tax rate of 40.7%, compared to 35.9% for fiscal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in the effective tax rate was primarily due to one-time decreases to tax expense in fiscal 2015 that did not occur in fiscal 2016, as well as increases in permanent tax exclusions in fiscal 2016 including an increase in income tax reserves for uncertain federal and state tax positions related to research and development tax credits from prior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Continuing Operations</w:t>
      </w:r>
    </w:p>
    <w:p>
      <w:pPr>
        <w:spacing w:after="0" w:line="9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For fiscal 2016, income from continuing operations decreased $13.2 million, or 32.5%, to $27.6 million from $40.8 million in fiscal 2015. Included in this decrease were restructuring and other charges of $6.5 million ($4.2 million after the associated tax benefit), as described in Note 15 to the Notes to the Consolidated Financial Statements herein.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Discontinued Operations, Net of Taxes</w:t>
      </w:r>
    </w:p>
    <w:p>
      <w:pPr>
        <w:spacing w:after="0" w:line="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fiscal 2015, loss from discontinued operations, net of taxes was $2.4 million reflecting the exit of the direct Japan business in the third quarter of fiscal 2015.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fiscal 2016, net income decreased $10.8 million, or 28.3%, to $27.6 million from $38.4 million in fiscal 2015. Included in this decrease were restructuring and other charges of $6.5 million ($4.2 million after the associated tax benefit), as described in Note 15 to the Consolidated Financial Statements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2015 Compared to Fiscal 2014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2015, net revenues decreased $21.9 million, or 4.1%, to $509.0 million, from $530.9 million for fiscal 2014.</w:t>
      </w:r>
    </w:p>
    <w:p>
      <w:pPr>
        <w:spacing w:after="0" w:line="16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Direct. </w:t>
      </w:r>
      <w:r>
        <w:rPr>
          <w:rFonts w:ascii="Times New Roman" w:cs="Times New Roman" w:eastAsia="Times New Roman" w:hAnsi="Times New Roman"/>
          <w:sz w:val="18"/>
          <w:szCs w:val="18"/>
          <w:color w:val="auto"/>
        </w:rPr>
        <w:t>For fiscal 2015, net revenues increased $14.5 million, or 4.5%, to $335.6 million, from $321.1 million for fiscal 2014. This change resulted from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$39.8 million increase in revenues at our non-comparable stores which included 27 additional full-line and factory outlet stores and gift card breakage revenue of $1.4 million along with a comparable sales (including e-commerce) decrease of $23.1 million, or 7.6% (which includes a 3.9% increase in e-commerce sales). Our comparable store sales decreased 16.1%. Comparable sales (including e-commerce) and comparable store sales were negatively impacted by year-over-year declines in store traffic. The aggregate number of full-line and factory outlet stores grew from 99 at the end of fiscal 2014, to 125 at the end of fiscal 2015, which includes the closure of one full-line store in fiscal 2015.</w:t>
      </w:r>
    </w:p>
    <w:p>
      <w:pPr>
        <w:spacing w:after="0" w:line="48"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Indirect. </w:t>
      </w:r>
      <w:r>
        <w:rPr>
          <w:rFonts w:ascii="Times New Roman" w:cs="Times New Roman" w:eastAsia="Times New Roman" w:hAnsi="Times New Roman"/>
          <w:sz w:val="18"/>
          <w:szCs w:val="18"/>
          <w:color w:val="auto"/>
        </w:rPr>
        <w:t>For fiscal 2015, net revenues decreased $36.4 million, or 17.4%, to $173.4 million, from $209.8 million for fiscal 2014, primarily due to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orders from the Company's specialty retail accounts, as well as a reduction in the number of specialty retailers.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fiscal 2015, gross profit decreased $23.2 million, or 7.9%, to $269.0 million, from $292.2 million for fiscal 2014. As a percentage of net revenues, gross profit decreased to 52.9% for fiscal 2015, from 55.0% for fiscal 2014. The year-over-year decline in gross margin rate was primarily related to increased year-over-year promotional activity.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9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fiscal 2015, SG&amp;A expenses increased $7.5 million, or 3.7%, to $208.7 million, from $201.2 million for fiscal 2014. As a percentage of net revenues, SG&amp;A expenses were 41.0% and 37.9% for fiscal 2015 and fiscal 2014, respectively. The increase in SG&amp;A expenses as a percent of net revenues was primarily due to strategic investments which include new store expenses, key management additions and marketing and e-commerce initiatives.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7"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fiscal 2015, other income decreased $1.1 million, or 21.8%, to $3.7 million, from $4.8 million for fiscal 2014. The decrease in other income was in line with a decrease in associated advertising costs related to mailers for our specialty retailers.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fiscal 2015, operating income decreased $31.7 million, or 33.1%, to $64.1 million, from $95.8 million for fiscal 2014. As a percentage of net revenues, operating income was 12.6% and 18.0% for fiscal 2015 and fiscal 2014, respectively. The following table provides additional information about our operating income (in thousands).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51"/>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3"/>
                <w:szCs w:val="13"/>
                <w:color w:val="auto"/>
              </w:rPr>
            </w:pPr>
          </w:p>
        </w:tc>
        <w:tc>
          <w:tcPr>
            <w:tcW w:w="136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300" w:type="dxa"/>
            <w:vAlign w:val="bottom"/>
          </w:tcPr>
          <w:p>
            <w:pPr>
              <w:spacing w:after="0"/>
              <w:rPr>
                <w:sz w:val="13"/>
                <w:szCs w:val="13"/>
                <w:color w:val="auto"/>
              </w:rPr>
            </w:pPr>
          </w:p>
        </w:tc>
        <w:tc>
          <w:tcPr>
            <w:tcW w:w="1160" w:type="dxa"/>
            <w:vAlign w:val="bottom"/>
          </w:tcPr>
          <w:p>
            <w:pPr>
              <w:jc w:val="right"/>
              <w:ind w:right="616"/>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gridSpan w:val="2"/>
          </w:tcPr>
          <w:p>
            <w:pPr>
              <w:jc w:val="right"/>
              <w:ind w:right="668"/>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95"/>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74,099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81,194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66,213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84,130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Unallocated corporate expenses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64,070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95,757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2"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Direct</w:t>
      </w:r>
      <w:r>
        <w:rPr>
          <w:rFonts w:ascii="Times New Roman" w:cs="Times New Roman" w:eastAsia="Times New Roman" w:hAnsi="Times New Roman"/>
          <w:sz w:val="18"/>
          <w:szCs w:val="18"/>
          <w:color w:val="auto"/>
        </w:rPr>
        <w:t>. For fiscal 2015, operating income decreased $7.1 million, or 8.7%. As a percentage of Direct segment net revenues, operating income in the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was 22.1% and 25.3% for fiscal 2015 and 2014, respectively.</w:t>
      </w:r>
    </w:p>
    <w:p>
      <w:pPr>
        <w:spacing w:after="0" w:line="104"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Indirect</w:t>
      </w:r>
      <w:r>
        <w:rPr>
          <w:rFonts w:ascii="Times New Roman" w:cs="Times New Roman" w:eastAsia="Times New Roman" w:hAnsi="Times New Roman"/>
          <w:sz w:val="18"/>
          <w:szCs w:val="18"/>
          <w:color w:val="auto"/>
        </w:rPr>
        <w:t>. For fiscal 2015, operating income decreased $17.9 million, or 21.3%. As a percentage of Indirect segment net revenues, operating income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 segment was 38.2% and 40.1% for fiscal 2015 and 2014, respectively.</w:t>
      </w:r>
    </w:p>
    <w:p>
      <w:pPr>
        <w:spacing w:after="0" w:line="185"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fiscal 2015, unallocated expenses increased $6.7 million, or 9.6%, primarily due to key management additions and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initiatives.</w:t>
      </w:r>
    </w:p>
    <w:p>
      <w:pPr>
        <w:spacing w:after="0" w:line="185"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For fiscal 2015, net interest expense decreased $0.2 million, or 28.7%, to $0.4 million, from $0.6 million in fiscal 2014. The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due primarily to no borrowings occurring during fiscal 2015 as compared to fiscal 2014.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fiscal 2015, we recorded income tax expense of $22.8 million at an effective tax rate of 35.9%, compared to 36.8% for fiscal 2014.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Continuing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2015, income from continuing operations decreased $19.3 million, or 32.1%, to $40.8 million from $60.1 million in fiscal 2014.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Discontinued Operations, Net of Taxes</w:t>
      </w:r>
    </w:p>
    <w:p>
      <w:pPr>
        <w:spacing w:after="0" w:line="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fiscal 2015, loss from discontinued operations, net of taxes increased $1.1 million to $2.4 million from $1.3 million in fiscal 2014, reflecting the exit of the direct Japan business in the third quarter of fiscal 2015. The year-over-year increase is primarily due to the write-off of cumulative foreign currency translation adjustments.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2015, net income decreased $20.4 million, or 34.6%, to $38.4 million from $58.8 million in fiscal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primary source of liquidity is cash flow from operations. We also have access to additional liquidity, if needed, through borrowings under our $125.0 million second amended and restated credit agreement. Historically, our primary cash needs have been for merchandise inventories; payroll; store rent; capital expenditures associated with operational equipment, buildings, information technology, and opening new stores; and debt repayments. The most significant components of our working capital are cash and cash equivalents, merchandise inventories, accounts receivable, accounts payable, and other current liabilities.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7"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believe that cash flows from operating activities and the availability of borrowings under our second amended and restated credit agreement will be sufficient to meet working capital requirements, anticipated capital expenditures, share repurchases, and debt payments for the foreseeable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49"/>
        </w:trPr>
        <w:tc>
          <w:tcPr>
            <w:tcW w:w="6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16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40" w:type="dxa"/>
            <w:vAlign w:val="bottom"/>
          </w:tcPr>
          <w:p>
            <w:pPr>
              <w:spacing w:after="0"/>
              <w:rPr>
                <w:sz w:val="12"/>
                <w:szCs w:val="12"/>
                <w:color w:val="auto"/>
              </w:rPr>
            </w:pPr>
          </w:p>
        </w:tc>
        <w:tc>
          <w:tcPr>
            <w:tcW w:w="1240" w:type="dxa"/>
            <w:vAlign w:val="bottom"/>
          </w:tcPr>
          <w:p>
            <w:pPr>
              <w:jc w:val="right"/>
              <w:ind w:right="317"/>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5"/>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43,270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103,812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87,864</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(22,862)</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(15,313)</w:t>
            </w:r>
          </w:p>
        </w:tc>
      </w:tr>
      <w:tr>
        <w:trPr>
          <w:trHeight w:val="27"/>
        </w:trPr>
        <w:tc>
          <w:tcPr>
            <w:tcW w:w="6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consists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$43.3 million during fiscal 2016, as compared to $103.8 million during fiscal 2015. The decrease was primarily due to a reduction in net income of $10.9 million and changes in assets and liabilities which provided an $8.8 million use of cash as compared to a $45.3 million source of cash in the prior year, primarily as a result of inventories, accounts payable and income taxes.</w:t>
      </w:r>
    </w:p>
    <w:p>
      <w:pPr>
        <w:spacing w:after="0" w:line="4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increased to $103.8 million during fiscal 2015, as compared to $87.9 million during fiscal 2014. The increase was primarily due to a reduction in inventory of $44.2 million, partially offset by a decrease in net income and accounts payable of $20.4 million and $10.0 million,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9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capital expenditures for growth related to new store openings, buildings, operational equipment, and information technology investments.</w:t>
      </w:r>
    </w:p>
    <w:p>
      <w:pPr>
        <w:spacing w:after="0" w:line="10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$26.3 million in fiscal 2016, compared to $37.1 million in fiscal 2015. The $10.8 million decrease in capital expenditures was driven primarily by the campus consolidation which was substantially completed in fiscal 2015.</w:t>
      </w:r>
    </w:p>
    <w:p>
      <w:pPr>
        <w:spacing w:after="0" w:line="27"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$37.1 million in fiscal 2015, compared to $22.9 million in fiscal 2014. The $14.2 million increase in capital expenditures was driven primarily by the campus consolidation and the cost associated with the opening of four additional stores during fiscal 2015 as compared to fiscal 2014.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for fiscal 2017 are expected to be approximately $20.0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9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$31.5 million in fiscal 2016 compared to $13.6 million in fiscal 2015. The $17.9 million increase in financing activities was primarily due to the completion of purchases of shares of the Company's common stock made under the 2014 Share Repurchase Program, as well as purchases under the 2015 Share Repurchase Program.</w:t>
      </w:r>
    </w:p>
    <w:p>
      <w:pPr>
        <w:spacing w:after="0" w:line="4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$13.6 million in fiscal 2015 which was primarily related to purchases of shares of the Company's common stock made under the 2014 Share Repurchase Program. This compares to net cash used in financing activities of $15.3 million in fiscal 2014, primarily resulting from $15.0 million net payments under our amended and restated credit agreement.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Amended and Restated Credit Agreement</w:t>
      </w:r>
    </w:p>
    <w:p>
      <w:pPr>
        <w:spacing w:after="0" w:line="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our prior credit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7"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agreement. The Credit Agreement provides for certain credit facilities to VBD in an aggregate principal amount not to initially exceed $125.0 million, the proceeds of which will be used for general corporate purposes of VBD and its subsidiaries, including but not limited to Vera Bradley International, LLC and Vera Bradley Sales, LLC (collectively, the “Named Subsidiaries”).</w:t>
      </w:r>
    </w:p>
    <w:p>
      <w:pPr>
        <w:spacing w:after="0" w:line="4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 As of January 30, 2016, the Company had borrowing availability of $125.0 million under the agreement.</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4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 The Company was in compliance with these covenants as of January 30, 2016.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 into long-term contractual obligations and commitments in the normal course of business, primarily non-cancellable operating leases.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30, 2016, our contractual cash obligations over the next several periods are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Payments Due by Period </w:t>
            </w:r>
            <w:r>
              <w:rPr>
                <w:rFonts w:ascii="Times New Roman" w:cs="Times New Roman" w:eastAsia="Times New Roman" w:hAnsi="Times New Roman"/>
                <w:sz w:val="12"/>
                <w:szCs w:val="12"/>
                <w:b w:val="1"/>
                <w:bCs w:val="1"/>
                <w:color w:val="auto"/>
              </w:rPr>
              <w:t>(3)</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Pr>
          <w:p>
            <w:pPr>
              <w:spacing w:after="0"/>
              <w:rPr>
                <w:sz w:val="12"/>
                <w:szCs w:val="12"/>
                <w:color w:val="auto"/>
              </w:rPr>
            </w:pPr>
          </w:p>
        </w:tc>
        <w:tc>
          <w:tcPr>
            <w:tcW w:w="116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ind w:right="277"/>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297"/>
              <w:spacing w:after="0" w:line="14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35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69"/>
        </w:trPr>
        <w:tc>
          <w:tcPr>
            <w:tcW w:w="356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221,047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30,585</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59,621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54,220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76,621</w:t>
            </w:r>
          </w:p>
        </w:tc>
        <w:tc>
          <w:tcPr>
            <w:tcW w:w="0" w:type="dxa"/>
            <w:vAlign w:val="bottom"/>
          </w:tcPr>
          <w:p>
            <w:pPr>
              <w:spacing w:after="0"/>
              <w:rPr>
                <w:sz w:val="1"/>
                <w:szCs w:val="1"/>
                <w:color w:val="auto"/>
              </w:rPr>
            </w:pPr>
          </w:p>
        </w:tc>
      </w:tr>
      <w:tr>
        <w:trPr>
          <w:trHeight w:val="270"/>
        </w:trPr>
        <w:tc>
          <w:tcPr>
            <w:tcW w:w="356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42,373</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42,373</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263,420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72,958</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59,621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54,220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76,621</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right="120" w:hanging="572"/>
        <w:spacing w:after="0" w:line="261" w:lineRule="auto"/>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store leases generally range from five to ten years with varying renewal options. Our future operating lease obligations would change if we were to extend these leases, or if we were to enter into new operating leases.</w:t>
      </w:r>
    </w:p>
    <w:p>
      <w:pPr>
        <w:ind w:left="580" w:hanging="572"/>
        <w:spacing w:after="0"/>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consist primarily of inventory purchases.</w:t>
      </w:r>
    </w:p>
    <w:p>
      <w:pPr>
        <w:spacing w:after="0" w:line="9" w:lineRule="exact"/>
        <w:rPr>
          <w:rFonts w:ascii="Times New Roman" w:cs="Times New Roman" w:eastAsia="Times New Roman" w:hAnsi="Times New Roman"/>
          <w:sz w:val="18"/>
          <w:szCs w:val="18"/>
          <w:color w:val="auto"/>
        </w:rPr>
      </w:pPr>
    </w:p>
    <w:p>
      <w:pPr>
        <w:ind w:left="580" w:right="40" w:hanging="572"/>
        <w:spacing w:after="0" w:line="255" w:lineRule="auto"/>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uncertainty with respect to the timing of future cash flows associated with our uncertain tax positions at January 30, 2016, we are unable to make reasonably reliable estimates of the period of cash settlement with the respective taxing authorities. Therefore, $3.1 million of uncertain tax positions have been excluded from the contractual obligations table above.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financing or unconsolidated special purpose entities.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(“GAAP”) requires management to make estimates and assumptions that affect the reported amounts of our assets, liabilities, revenues, and expenses, as well as the disclosures relating to contingent assets and liabilities at the date of the consolidated financial statements. We evaluate our accounting policies, estimates, and judgments on an on-going basis. We base our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7"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estimates and judgments on historical experience and various other factors that we believe to be reasonable under the circumstances. Actual results may differ from these estimates under different assumptions and conditions.</w:t>
      </w:r>
    </w:p>
    <w:p>
      <w:pPr>
        <w:spacing w:after="0" w:line="10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evaluate the development and selection of our critical accounting policies and estimates and believe that the following policies and estimates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historical results for the periods presented in the consolidated financial statements, however, have not been materially impacted by such variances. More information on all of our significant accounting policies can be found in Note 2, “Summary of Significant Accounting Policies,” to the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9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Revenue from the sale of our products is recognized upon customer receipt of the product when collection of the associated receivables is reasonably assured, persuasive evidence of an arrangement exists, the sales price is fixed and determinable, and ownership and risk of loss have been transferred to the customer, which, for e-commerce and most Indirect sales, reflects an estimate of shipments that customers have not yet received. The adjustment of these shipments is based on actual delivery dates to the customer. Significant changes in shipping terms or delivery times could materially impact our revenues in a given period.</w:t>
      </w:r>
    </w:p>
    <w:p>
      <w:pPr>
        <w:spacing w:after="0" w:line="11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reserve for projected merchandise returns based on historical experience and other assumptions that we believe to be reasonable. In the Direct business returns are refunded by issuing the same payment tender of the original purchase and in the Indirect business the customer is issued a credit to its account to apply to outstanding invoices. Merchandise exchanges of the same product at the same price are not considered merchandise returns. Product returns are often resalable through our annual outlet sale or other channels. Additionally, we reserve for other potential product credits and for customer shipments not yet received. The balance of the reserve for returns, customer shipments not yet received, and general credits was $3.3 million and $3.7 million as of January 30, 2016, and January 31, 2015, respectively.</w:t>
      </w:r>
    </w:p>
    <w:p>
      <w:pPr>
        <w:spacing w:after="0" w:line="1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sell gift cards with no expiration dates to customers and do not charge administrative fees on unused gift cards. Gift cards that we issue are recorded as a liability until they are redeemed, at which point revenue is recognized. In addition, we recognize revenue on unredeemed gift cards when the likelihood of the gift card being redeemed is remote and there is no legal obligation to remit the value of unredeemed gift cards to the relevant jurisdictions. We determine the gift card breakage rate based on historical redemption patterns.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or market. Cost is determined using the first-in, first-out (“FIFO”) method. Market is determined based on net realizable value, which includes costs to dispose. Appropriate consideration is given to obsolescence, excess quantities, and other factors, including the popularity of a pattern or product, in evaluating net realizable value. We record valuation adjustments to our inventories, which are reflected in cost of sales, if the cost of specific inventory items on hand exceeds the amount we expect to realize from the ultimate sale or disposal of the inventory. This adjustment calculation requires us to make assumptions and estimates, which are based on factors such as merchandise seasonality, historical trends, and estimated sales and inventory levels, including sell-through of remaining units. In addition, as part of inventory adjustments, we provide for inventory shrinkage based on historical trends from our physical inventory counts. We perform physical inventory counts throughout the year and adjust the shrinkage provision accordingly.</w:t>
      </w:r>
    </w:p>
    <w:p>
      <w:pPr>
        <w:spacing w:after="0" w:line="13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balance of inventory adjustments was $5.5 million and $9.7 million for these matters as of the fiscal years ended January 30, 2016, and January 31, 2015, respectively. These adjustments related primarily to raw materials of retired patterns and styles and merchandise from the baby gift category, which was discontinued by the Company, and technology accessories. Fiscal 2015 included a raw materials reserve related to the closure of our domestic manufacturing facility. We have the ability to move retired finished goods through a number of channels, including the annual outlet sale, our website and factory outlet stores, and through third-party liquidators as needed.</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7"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effective tax rate is based on our pre-tax income, statutory tax rates, tax laws and regulations, and tax planning opportunities available in the jurisdictions in which we operate. Significant judgment is required in determining our annual tax expense and in evaluating our tax positions. We establish reserves to remove some or all of the tax benefit of any of our tax positions at the time we determine that the positions become uncertain based upon one of the following: (1) the tax position is not “more likely than not” to be sustained; (2) the tax position is “more likely than not” to be sustained, but for a lesser amount; or (3) the tax position is “more likely than not” to be sustained, but not in the financial period in which the tax position was originally taken. Taxing authorities periodically audit our income tax returns. We believe that our tax filing positions are reasonable and legally supportable. Taxing authorities, however, may take a contrary position. Our results of operations and effective tax rate in a given period could be impacted if, upon final resolution with taxing authorities, we prevail in positions for which we have established reserves, or are required to pay amounts in excess of established reserves.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Long-lived Assets</w:t>
      </w:r>
    </w:p>
    <w:p>
      <w:pPr>
        <w:spacing w:after="0" w:line="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Property, plant, and equipment assets are reviewed for impairment whenever events or changes in circumstances indicate that the carrying amount of an asset may not be recoverable. In evaluating an asset for recoverability, we estimate the future cash flows expected to result from the use of the asset at the store level, the lowest identifiable level of cash flow, if applicable. If the sum of the estimated undiscounted future cash flows related to the asset is less than the carrying value, we recognize a loss equal to the difference between the carrying value and the fair value, usually determined by an estimated discounted cash flow analysis of the asset. Factors used in the valuation of long-lived assets include, but are not limited to, our plans for future operations, brand initiatives, recent operating results, and projected future cash flows. With respect to our stores, we analyze store economics, location within the shopping center, the size and shape of the space, and desirable co-tenancies in our selection process. Impairment charges are classified in SG&amp;A expenses and were $2.8 million and $0.4 million for the periods ended January 30, 2016 and January 31, 2015, respectively.</w:t>
      </w:r>
    </w:p>
    <w:p>
      <w:pPr>
        <w:spacing w:after="0" w:line="131"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and (2) discount rates used to derive the present value factors used in determining the fair values. These and other estimates and assumptions are impacted by economic conditions and our expectations and may change in the future based on period-specific facts and circumstances. If economic conditions were to deteriorate, future impairment charges may be required.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See Item 13, “Certain Relationships and Related Transactions, and Director Independence,” of this report for information regarding transactions with related parties.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7"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subject to interest rate risk in connection with borrowings under our second amended and restated credit agreement, which bear interest at variable rates. The second amended and restated credit agreement allows for a revolving credit commitment of $125.0 million, bearing interest at a variable rate, based on (A) the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Assuming borrowings available under the second amended and restated credit agreement are fully extended, each quarter point increase or decrease in the interest rate would change our annual interest expense by approximately $0.3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Inflation</w:t>
      </w:r>
    </w:p>
    <w:p>
      <w:pPr>
        <w:spacing w:after="0" w:line="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Although it is difficult to accurately measure the impact of inflation due to the imprecise nature of the estimates required, we believe the effects of inflation, if any, on our results of operations and financial condition have been immaterial.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Rate Risk</w:t>
      </w:r>
    </w:p>
    <w:p>
      <w:pPr>
        <w:spacing w:after="0" w:line="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source a majority of our materials from various suppliers in China and South Korea. Substantially all purchases and sales involving foreign persons are denominated in U.S. dollars, and therefore we do not hedge using any derivative instruments. Historically, we have not been impacted materially by changes in exchange rates.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117" w:right="2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0540" w:type="dxa"/>
            <w:vAlign w:val="bottom"/>
            <w:gridSpan w:val="10"/>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860" w:type="dxa"/>
            <w:vAlign w:val="bottom"/>
          </w:tcPr>
          <w:p>
            <w:pPr>
              <w:spacing w:after="0"/>
              <w:rPr>
                <w:sz w:val="17"/>
                <w:szCs w:val="17"/>
                <w:color w:val="auto"/>
              </w:rPr>
            </w:pPr>
          </w:p>
        </w:tc>
      </w:tr>
      <w:tr>
        <w:trPr>
          <w:trHeight w:val="20"/>
        </w:trPr>
        <w:tc>
          <w:tcPr>
            <w:tcW w:w="6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80"/>
        </w:trPr>
        <w:tc>
          <w:tcPr>
            <w:tcW w:w="105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860" w:type="dxa"/>
            <w:vAlign w:val="bottom"/>
          </w:tcPr>
          <w:p>
            <w:pPr>
              <w:spacing w:after="0"/>
              <w:rPr>
                <w:sz w:val="24"/>
                <w:szCs w:val="24"/>
                <w:color w:val="auto"/>
              </w:rPr>
            </w:pPr>
          </w:p>
        </w:tc>
      </w:tr>
      <w:tr>
        <w:trPr>
          <w:trHeight w:val="437"/>
        </w:trPr>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80" w:type="dxa"/>
            <w:vAlign w:val="bottom"/>
            <w:gridSpan w:val="6"/>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c>
          <w:tcPr>
            <w:tcW w:w="86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360" w:type="dxa"/>
            <w:vAlign w:val="bottom"/>
            <w:gridSpan w:val="7"/>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860" w:type="dxa"/>
            <w:vAlign w:val="bottom"/>
          </w:tcPr>
          <w:p>
            <w:pPr>
              <w:spacing w:after="0"/>
              <w:rPr>
                <w:sz w:val="20"/>
                <w:szCs w:val="20"/>
                <w:color w:val="auto"/>
              </w:rPr>
            </w:pPr>
          </w:p>
        </w:tc>
      </w:tr>
      <w:tr>
        <w:trPr>
          <w:trHeight w:val="527"/>
        </w:trPr>
        <w:tc>
          <w:tcPr>
            <w:tcW w:w="60" w:type="dxa"/>
            <w:vAlign w:val="bottom"/>
          </w:tcPr>
          <w:p>
            <w:pPr>
              <w:spacing w:after="0"/>
              <w:rPr>
                <w:sz w:val="24"/>
                <w:szCs w:val="24"/>
                <w:color w:val="auto"/>
              </w:rPr>
            </w:pPr>
          </w:p>
        </w:tc>
        <w:tc>
          <w:tcPr>
            <w:tcW w:w="42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46">
              <w:r>
                <w:rPr>
                  <w:rFonts w:ascii="Times New Roman" w:cs="Times New Roman" w:eastAsia="Times New Roman" w:hAnsi="Times New Roman"/>
                  <w:sz w:val="18"/>
                  <w:szCs w:val="18"/>
                  <w:color w:val="0000FF"/>
                  <w:w w:val="99"/>
                </w:rPr>
                <w:t>Report of Independent Registered Public Accounting Firm</w:t>
              </w:r>
            </w:hyperlink>
          </w:p>
        </w:tc>
        <w:tc>
          <w:tcPr>
            <w:tcW w:w="6280" w:type="dxa"/>
            <w:vAlign w:val="bottom"/>
            <w:gridSpan w:val="6"/>
          </w:tcPr>
          <w:p>
            <w:pPr>
              <w:spacing w:after="0"/>
              <w:rPr>
                <w:sz w:val="24"/>
                <w:szCs w:val="24"/>
                <w:color w:val="auto"/>
              </w:rPr>
            </w:pPr>
          </w:p>
        </w:tc>
        <w:tc>
          <w:tcPr>
            <w:tcW w:w="860" w:type="dxa"/>
            <w:vAlign w:val="bottom"/>
          </w:tcPr>
          <w:p>
            <w:pPr>
              <w:jc w:val="right"/>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46</w:t>
              </w:r>
            </w:hyperlink>
          </w:p>
        </w:tc>
      </w:tr>
      <w:tr>
        <w:trPr>
          <w:trHeight w:val="250"/>
        </w:trPr>
        <w:tc>
          <w:tcPr>
            <w:tcW w:w="60" w:type="dxa"/>
            <w:vAlign w:val="bottom"/>
          </w:tcPr>
          <w:p>
            <w:pPr>
              <w:spacing w:after="0"/>
              <w:rPr>
                <w:sz w:val="21"/>
                <w:szCs w:val="21"/>
                <w:color w:val="auto"/>
              </w:rPr>
            </w:pPr>
          </w:p>
        </w:tc>
        <w:tc>
          <w:tcPr>
            <w:tcW w:w="10480" w:type="dxa"/>
            <w:vAlign w:val="bottom"/>
            <w:gridSpan w:val="9"/>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Consolidated Balance Sheets as of January 30, 2016, and January 31, 2015</w:t>
              </w:r>
            </w:hyperlink>
          </w:p>
        </w:tc>
        <w:tc>
          <w:tcPr>
            <w:tcW w:w="860" w:type="dxa"/>
            <w:vAlign w:val="bottom"/>
          </w:tcPr>
          <w:p>
            <w:pPr>
              <w:jc w:val="right"/>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48</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480" w:type="dxa"/>
            <w:vAlign w:val="bottom"/>
            <w:gridSpan w:val="9"/>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Consolidated Statements of Income for the fiscal years ended January 30, 2016, January 31, 2015, and February 1, 2014</w:t>
              </w:r>
            </w:hyperlink>
          </w:p>
        </w:tc>
        <w:tc>
          <w:tcPr>
            <w:tcW w:w="860" w:type="dxa"/>
            <w:vAlign w:val="bottom"/>
          </w:tcPr>
          <w:p>
            <w:pPr>
              <w:jc w:val="right"/>
              <w:spacing w:after="0"/>
              <w:rPr>
                <w:rFonts w:ascii="Times New Roman" w:cs="Times New Roman" w:eastAsia="Times New Roman" w:hAnsi="Times New Roman"/>
                <w:sz w:val="18"/>
                <w:szCs w:val="18"/>
                <w:color w:val="auto"/>
              </w:rPr>
            </w:pPr>
            <w:hyperlink w:anchor="page49">
              <w:r>
                <w:rPr>
                  <w:rFonts w:ascii="Times New Roman" w:cs="Times New Roman" w:eastAsia="Times New Roman" w:hAnsi="Times New Roman"/>
                  <w:sz w:val="18"/>
                  <w:szCs w:val="18"/>
                  <w:color w:val="auto"/>
                </w:rPr>
                <w:t>49</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55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480" w:type="dxa"/>
            <w:vAlign w:val="bottom"/>
            <w:gridSpan w:val="9"/>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Consolidated Statements of Comprehensive Income for the fiscal years ended January 30, 2016, January 31, 2015, and February 1, 2014</w:t>
              </w:r>
            </w:hyperlink>
          </w:p>
        </w:tc>
        <w:tc>
          <w:tcPr>
            <w:tcW w:w="860" w:type="dxa"/>
            <w:vAlign w:val="bottom"/>
          </w:tcPr>
          <w:p>
            <w:pPr>
              <w:jc w:val="right"/>
              <w:spacing w:after="0"/>
              <w:rPr>
                <w:rFonts w:ascii="Times New Roman" w:cs="Times New Roman" w:eastAsia="Times New Roman" w:hAnsi="Times New Roman"/>
                <w:sz w:val="18"/>
                <w:szCs w:val="18"/>
                <w:color w:val="auto"/>
              </w:rPr>
            </w:pPr>
            <w:hyperlink w:anchor="page50">
              <w:r>
                <w:rPr>
                  <w:rFonts w:ascii="Times New Roman" w:cs="Times New Roman" w:eastAsia="Times New Roman" w:hAnsi="Times New Roman"/>
                  <w:sz w:val="18"/>
                  <w:szCs w:val="18"/>
                  <w:color w:val="auto"/>
                </w:rPr>
                <w:t>50</w:t>
              </w:r>
            </w:hyperlink>
          </w:p>
        </w:tc>
      </w:tr>
      <w:tr>
        <w:trPr>
          <w:trHeight w:val="250"/>
        </w:trPr>
        <w:tc>
          <w:tcPr>
            <w:tcW w:w="60" w:type="dxa"/>
            <w:vAlign w:val="bottom"/>
          </w:tcPr>
          <w:p>
            <w:pPr>
              <w:spacing w:after="0"/>
              <w:rPr>
                <w:sz w:val="21"/>
                <w:szCs w:val="21"/>
                <w:color w:val="auto"/>
              </w:rPr>
            </w:pPr>
          </w:p>
        </w:tc>
        <w:tc>
          <w:tcPr>
            <w:tcW w:w="962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Consolidated Statements of Shareholders’ Equity for the fiscal years ended January 30, 2016, January 31, 2015, and February 1, 2014</w:t>
              </w:r>
            </w:hyperlink>
          </w:p>
        </w:tc>
        <w:tc>
          <w:tcPr>
            <w:tcW w:w="180" w:type="dxa"/>
            <w:vAlign w:val="bottom"/>
            <w:tcBorders>
              <w:top w:val="single" w:sz="8" w:color="0000EE"/>
            </w:tcBorders>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jc w:val="right"/>
              <w:spacing w:after="0"/>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51</w:t>
              </w:r>
            </w:hyperlink>
          </w:p>
        </w:tc>
      </w:tr>
      <w:tr>
        <w:trPr>
          <w:trHeight w:val="250"/>
        </w:trPr>
        <w:tc>
          <w:tcPr>
            <w:tcW w:w="60" w:type="dxa"/>
            <w:vAlign w:val="bottom"/>
          </w:tcPr>
          <w:p>
            <w:pPr>
              <w:spacing w:after="0"/>
              <w:rPr>
                <w:sz w:val="21"/>
                <w:szCs w:val="21"/>
                <w:color w:val="auto"/>
              </w:rPr>
            </w:pPr>
          </w:p>
        </w:tc>
        <w:tc>
          <w:tcPr>
            <w:tcW w:w="89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Consolidated Statements of Cash Flows for the fiscal years ended January 30, 2016, January 31, 2015, and February 1, 2014</w:t>
              </w:r>
            </w:hyperlink>
          </w:p>
        </w:tc>
        <w:tc>
          <w:tcPr>
            <w:tcW w:w="1540" w:type="dxa"/>
            <w:vAlign w:val="bottom"/>
            <w:gridSpan w:val="3"/>
          </w:tcPr>
          <w:p>
            <w:pPr>
              <w:spacing w:after="0"/>
              <w:rPr>
                <w:sz w:val="21"/>
                <w:szCs w:val="21"/>
                <w:color w:val="auto"/>
              </w:rPr>
            </w:pPr>
          </w:p>
        </w:tc>
        <w:tc>
          <w:tcPr>
            <w:tcW w:w="860" w:type="dxa"/>
            <w:vAlign w:val="bottom"/>
          </w:tcPr>
          <w:p>
            <w:pPr>
              <w:jc w:val="right"/>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52</w:t>
              </w:r>
            </w:hyperlink>
          </w:p>
        </w:tc>
      </w:tr>
      <w:tr>
        <w:trPr>
          <w:trHeight w:val="250"/>
        </w:trPr>
        <w:tc>
          <w:tcPr>
            <w:tcW w:w="60" w:type="dxa"/>
            <w:vAlign w:val="bottom"/>
          </w:tcPr>
          <w:p>
            <w:pPr>
              <w:spacing w:after="0"/>
              <w:rPr>
                <w:sz w:val="21"/>
                <w:szCs w:val="21"/>
                <w:color w:val="auto"/>
              </w:rPr>
            </w:pPr>
          </w:p>
        </w:tc>
        <w:tc>
          <w:tcPr>
            <w:tcW w:w="10480" w:type="dxa"/>
            <w:vAlign w:val="bottom"/>
            <w:gridSpan w:val="9"/>
          </w:tcPr>
          <w:p>
            <w:pPr>
              <w:spacing w:after="0"/>
              <w:rPr>
                <w:rFonts w:ascii="Times New Roman" w:cs="Times New Roman" w:eastAsia="Times New Roman" w:hAnsi="Times New Roman"/>
                <w:sz w:val="18"/>
                <w:szCs w:val="18"/>
                <w:color w:val="0000FF"/>
              </w:rPr>
            </w:pPr>
            <w:hyperlink w:anchor="page53">
              <w:r>
                <w:rPr>
                  <w:rFonts w:ascii="Times New Roman" w:cs="Times New Roman" w:eastAsia="Times New Roman" w:hAnsi="Times New Roman"/>
                  <w:sz w:val="18"/>
                  <w:szCs w:val="18"/>
                  <w:color w:val="0000FF"/>
                </w:rPr>
                <w:t>Notes to Consolidated Financial Statements</w:t>
              </w:r>
            </w:hyperlink>
          </w:p>
        </w:tc>
        <w:tc>
          <w:tcPr>
            <w:tcW w:w="860" w:type="dxa"/>
            <w:vAlign w:val="bottom"/>
          </w:tcPr>
          <w:p>
            <w:pPr>
              <w:jc w:val="right"/>
              <w:spacing w:after="0"/>
              <w:rPr>
                <w:rFonts w:ascii="Times New Roman" w:cs="Times New Roman" w:eastAsia="Times New Roman" w:hAnsi="Times New Roman"/>
                <w:sz w:val="18"/>
                <w:szCs w:val="18"/>
                <w:color w:val="auto"/>
              </w:rPr>
            </w:pPr>
            <w:hyperlink w:anchor="page53">
              <w:r>
                <w:rPr>
                  <w:rFonts w:ascii="Times New Roman" w:cs="Times New Roman" w:eastAsia="Times New Roman" w:hAnsi="Times New Roman"/>
                  <w:sz w:val="18"/>
                  <w:szCs w:val="18"/>
                  <w:color w:val="auto"/>
                </w:rPr>
                <w:t>53</w:t>
              </w:r>
            </w:hyperlink>
          </w:p>
        </w:tc>
      </w:tr>
      <w:tr>
        <w:trPr>
          <w:trHeight w:val="507"/>
        </w:trPr>
        <w:tc>
          <w:tcPr>
            <w:tcW w:w="60" w:type="dxa"/>
            <w:vAlign w:val="bottom"/>
          </w:tcPr>
          <w:p>
            <w:pPr>
              <w:spacing w:after="0"/>
              <w:rPr>
                <w:sz w:val="24"/>
                <w:szCs w:val="24"/>
                <w:color w:val="auto"/>
              </w:rPr>
            </w:pPr>
          </w:p>
        </w:tc>
        <w:tc>
          <w:tcPr>
            <w:tcW w:w="3120" w:type="dxa"/>
            <w:vAlign w:val="bottom"/>
            <w:tcBorders>
              <w:top w:val="single" w:sz="8" w:color="0000FF"/>
            </w:tcBorders>
            <w:gridSpan w:val="2"/>
          </w:tcPr>
          <w:p>
            <w:pPr>
              <w:spacing w:after="0"/>
              <w:rPr>
                <w:sz w:val="24"/>
                <w:szCs w:val="24"/>
                <w:color w:val="auto"/>
              </w:rPr>
            </w:pPr>
          </w:p>
        </w:tc>
        <w:tc>
          <w:tcPr>
            <w:tcW w:w="5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45</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 Bradley, Inc.</w:t>
      </w:r>
    </w:p>
    <w:p>
      <w:pPr>
        <w:spacing w:after="0" w:line="3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Vera Bradley, Inc. and subsidiaries as of January 30, 2016 and January 31, 2015, and the related consolidated statements of income, comprehensive income, shareholders' equity and cash flows for each of the three years in the period ended January 30, 2016. These financial statements are the responsibility of the Company's management. Our responsibility is to express an opinion on these financial statements based on our audits.</w:t>
      </w:r>
    </w:p>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Vera Bradley, Inc. and subsidiaries at January 30, 2016 and January 31, 2015, and the consolidated results of their operations and their cash flows for each of the three years in the period ended January 30, 2016, in conformity with U.S. generally accepted accounting principles.</w:t>
      </w:r>
    </w:p>
    <w:p>
      <w:pPr>
        <w:spacing w:after="0" w:line="13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Vera Bradley, Inc. and subsidiaries’ internal control over financial reporting as of January 30, 2016, based on criteria established in Internal Control-Integrated Framework issued by the Committee of Sponsoring Organizations of the Treadway Commission (2013 framework) and our report dated March 29, 2016 expressed an unqualified opinion thereon.</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2016</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7"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 Bradley, Inc.</w:t>
      </w:r>
    </w:p>
    <w:p>
      <w:pPr>
        <w:spacing w:after="0" w:line="3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audited Vera Bradley, Inc. and subsidiaries’ internal control over financial reporting as of January 30, 2016, based on criteria established in Internal Control-Integrated Framework issued by the Committee of Sponsoring Organizations of the Treadway Commission (2013 framework) (the COSO criteria). Vera Bradley, Inc.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our opinion, Vera Bradley, Inc. and subsidiaries maintained, in all material respects, effective internal control over financial reporting as of January 30, 2016, based on the COSO criteria.</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Vera Bradley, Inc. and subsidiaries as of January 30, 2016 and January 31, 2015, and the related consolidated statements of income, comprehensive income, shareholders’ equity, and cash flows for each of the three years in the period ended January 30, 2016 of Vera Bradley, Inc. and subsidiaries and our report dated March 29, 2016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2016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7"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240" w:type="dxa"/>
            <w:vAlign w:val="bottom"/>
          </w:tcPr>
          <w:p>
            <w:pPr>
              <w:spacing w:after="0"/>
              <w:rPr>
                <w:sz w:val="13"/>
                <w:szCs w:val="13"/>
                <w:color w:val="auto"/>
              </w:rPr>
            </w:pPr>
          </w:p>
        </w:tc>
        <w:tc>
          <w:tcPr>
            <w:tcW w:w="12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5"/>
        </w:trPr>
        <w:tc>
          <w:tcPr>
            <w:tcW w:w="8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97,681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112,292</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31,294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31,374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113,590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98,403</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taxes receivable</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3,208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9,100</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13,320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253,642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267,697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113,711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109,003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380,679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377,284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24,606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32,906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employment costs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14,595</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15,548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66,552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63,049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5,297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24,467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95,424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92,813</w:t>
            </w:r>
          </w:p>
        </w:tc>
        <w:tc>
          <w:tcPr>
            <w:tcW w:w="0" w:type="dxa"/>
            <w:vAlign w:val="bottom"/>
          </w:tcPr>
          <w:p>
            <w:pPr>
              <w:spacing w:after="0"/>
              <w:rPr>
                <w:sz w:val="1"/>
                <w:szCs w:val="1"/>
                <w:color w:val="auto"/>
              </w:rPr>
            </w:pPr>
          </w:p>
        </w:tc>
      </w:tr>
      <w:tr>
        <w:trPr>
          <w:trHeight w:val="22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Preferred stock; 5,000 shares authorized, no shares issued or outstanding</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 without par value; 200,000 shares authorized, 40,804 and 40,695 shares issued and 37,701</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and 40,074 outstanding,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85,436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80,992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244,009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216,451</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Treasury stock</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285,255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284,471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380,679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377,284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840" w:type="dxa"/>
            <w:vAlign w:val="bottom"/>
            <w:gridSpan w:val="3"/>
          </w:tcPr>
          <w:p>
            <w:pPr>
              <w:ind w:left="2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836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6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16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40" w:type="dxa"/>
            <w:vAlign w:val="bottom"/>
          </w:tcPr>
          <w:p>
            <w:pPr>
              <w:spacing w:after="0"/>
              <w:rPr>
                <w:sz w:val="12"/>
                <w:szCs w:val="12"/>
                <w:color w:val="auto"/>
              </w:rPr>
            </w:pPr>
          </w:p>
        </w:tc>
        <w:tc>
          <w:tcPr>
            <w:tcW w:w="1240" w:type="dxa"/>
            <w:vAlign w:val="bottom"/>
          </w:tcPr>
          <w:p>
            <w:pPr>
              <w:jc w:val="right"/>
              <w:ind w:right="312"/>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95"/>
        </w:trPr>
        <w:tc>
          <w:tcPr>
            <w:tcW w:w="498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502,598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508,990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530,896</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221,409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239,981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238,684</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1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281,189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269,009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292,212</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236,836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208,675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201,231</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17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4,776</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17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46,722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64,070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95,757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17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7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46,459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63,663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95,186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7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18,901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22,828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35,057</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7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27,558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40,835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60,129</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17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17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27,558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38,449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58,812</w:t>
            </w:r>
          </w:p>
        </w:tc>
        <w:tc>
          <w:tcPr>
            <w:tcW w:w="0" w:type="dxa"/>
            <w:vAlign w:val="bottom"/>
          </w:tcPr>
          <w:p>
            <w:pPr>
              <w:spacing w:after="0"/>
              <w:rPr>
                <w:sz w:val="1"/>
                <w:szCs w:val="1"/>
                <w:color w:val="auto"/>
              </w:rPr>
            </w:pPr>
          </w:p>
        </w:tc>
      </w:tr>
      <w:tr>
        <w:trPr>
          <w:trHeight w:val="67"/>
        </w:trPr>
        <w:tc>
          <w:tcPr>
            <w:tcW w:w="4980" w:type="dxa"/>
            <w:vAlign w:val="bottom"/>
            <w:tcBorders>
              <w:bottom w:val="single" w:sz="8" w:color="CCEEFF"/>
            </w:tcBorders>
          </w:tcPr>
          <w:p>
            <w:pPr>
              <w:spacing w:after="0"/>
              <w:rPr>
                <w:sz w:val="5"/>
                <w:szCs w:val="5"/>
                <w:color w:val="auto"/>
              </w:rPr>
            </w:pPr>
          </w:p>
        </w:tc>
        <w:tc>
          <w:tcPr>
            <w:tcW w:w="17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Basic weighted-average shares outstanding</w:t>
            </w:r>
          </w:p>
        </w:tc>
        <w:tc>
          <w:tcPr>
            <w:tcW w:w="17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38,795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40,568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40,599</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38,861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40,632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40,648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1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Continuing operations</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7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17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67"/>
        </w:trPr>
        <w:tc>
          <w:tcPr>
            <w:tcW w:w="4980" w:type="dxa"/>
            <w:vAlign w:val="bottom"/>
            <w:tcBorders>
              <w:bottom w:val="single" w:sz="8" w:color="CCEEFF"/>
            </w:tcBorders>
          </w:tcPr>
          <w:p>
            <w:pPr>
              <w:spacing w:after="0"/>
              <w:rPr>
                <w:sz w:val="5"/>
                <w:szCs w:val="5"/>
                <w:color w:val="auto"/>
              </w:rPr>
            </w:pPr>
          </w:p>
        </w:tc>
        <w:tc>
          <w:tcPr>
            <w:tcW w:w="17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income (loss) per share - diluted</w:t>
            </w:r>
          </w:p>
        </w:tc>
        <w:tc>
          <w:tcPr>
            <w:tcW w:w="17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Continuing operations</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7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7"/>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17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840" w:type="dxa"/>
            <w:vAlign w:val="bottom"/>
            <w:gridSpan w:val="7"/>
          </w:tcPr>
          <w:p>
            <w:pPr>
              <w:jc w:val="center"/>
              <w:ind w:left="151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4980" w:type="dxa"/>
            <w:vAlign w:val="bottom"/>
          </w:tcPr>
          <w:p>
            <w:pPr>
              <w:spacing w:after="0"/>
              <w:rPr>
                <w:sz w:val="24"/>
                <w:szCs w:val="24"/>
                <w:color w:val="auto"/>
              </w:rPr>
            </w:pPr>
          </w:p>
        </w:tc>
        <w:tc>
          <w:tcPr>
            <w:tcW w:w="17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25"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24765</wp:posOffset>
            </wp:positionV>
            <wp:extent cx="2958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5" w:lineRule="exact"/>
        <w:rPr>
          <w:sz w:val="20"/>
          <w:szCs w:val="20"/>
          <w:color w:val="auto"/>
        </w:rPr>
      </w:pPr>
    </w:p>
    <w:p>
      <w:pPr>
        <w:jc w:val="right"/>
        <w:ind w:right="400"/>
        <w:spacing w:after="0"/>
        <w:tabs>
          <w:tab w:leader="none" w:pos="2280" w:val="left"/>
          <w:tab w:leader="none" w:pos="700" w:val="left"/>
        </w:tabs>
        <w:rPr>
          <w:sz w:val="20"/>
          <w:szCs w:val="20"/>
          <w:color w:val="auto"/>
        </w:rPr>
      </w:pPr>
      <w:r>
        <w:rPr>
          <w:rFonts w:ascii="Times New Roman" w:cs="Times New Roman" w:eastAsia="Times New Roman" w:hAnsi="Times New Roman"/>
          <w:sz w:val="14"/>
          <w:szCs w:val="14"/>
          <w:b w:val="1"/>
          <w:bCs w:val="1"/>
          <w:color w:val="auto"/>
        </w:rPr>
        <w:t>January 30,</w:t>
      </w:r>
      <w:r>
        <w:rPr>
          <w:sz w:val="20"/>
          <w:szCs w:val="20"/>
          <w:color w:val="auto"/>
        </w:rPr>
        <w:tab/>
      </w:r>
      <w:r>
        <w:rPr>
          <w:rFonts w:ascii="Times New Roman" w:cs="Times New Roman" w:eastAsia="Times New Roman" w:hAnsi="Times New Roman"/>
          <w:sz w:val="14"/>
          <w:szCs w:val="14"/>
          <w:b w:val="1"/>
          <w:bCs w:val="1"/>
          <w:color w:val="auto"/>
        </w:rPr>
        <w:t>January 31,</w:t>
      </w:r>
      <w:r>
        <w:rPr>
          <w:sz w:val="20"/>
          <w:szCs w:val="20"/>
          <w:color w:val="auto"/>
        </w:rPr>
        <w:tab/>
      </w:r>
      <w:r>
        <w:rPr>
          <w:rFonts w:ascii="Times New Roman" w:cs="Times New Roman" w:eastAsia="Times New Roman" w:hAnsi="Times New Roman"/>
          <w:sz w:val="14"/>
          <w:szCs w:val="14"/>
          <w:b w:val="1"/>
          <w:bCs w:val="1"/>
          <w:color w:val="auto"/>
        </w:rPr>
        <w:t>February 1,</w:t>
      </w:r>
    </w:p>
    <w:p>
      <w:pPr>
        <w:spacing w:after="0" w:line="6" w:lineRule="exact"/>
        <w:rPr>
          <w:sz w:val="20"/>
          <w:szCs w:val="20"/>
          <w:color w:val="auto"/>
        </w:rPr>
      </w:pPr>
    </w:p>
    <w:p>
      <w:pPr>
        <w:ind w:left="7360"/>
        <w:spacing w:after="0"/>
        <w:tabs>
          <w:tab w:leader="none" w:pos="8940" w:val="left"/>
          <w:tab w:leader="none" w:pos="1052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income</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Cumulative translation adjustment</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Comprehensive income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4180" w:type="dxa"/>
        <w:tblCellMar>
          <w:top w:w="0" w:type="dxa"/>
          <w:left w:w="0" w:type="dxa"/>
          <w:bottom w:w="0" w:type="dxa"/>
          <w:right w:w="0" w:type="dxa"/>
        </w:tblCellMar>
      </w:tblPr>
      <w:tr>
        <w:trPr>
          <w:trHeight w:val="234"/>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27,558</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38,449</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58,812</w:t>
            </w:r>
          </w:p>
        </w:tc>
      </w:tr>
      <w:tr>
        <w:trPr>
          <w:trHeight w:val="270"/>
        </w:trPr>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7"/>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27,530</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38,446</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-162560</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9" w:lineRule="exact"/>
        <w:rPr>
          <w:sz w:val="20"/>
          <w:szCs w:val="20"/>
          <w:color w:val="auto"/>
        </w:rPr>
      </w:pPr>
    </w:p>
    <w:p>
      <w:pPr>
        <w:jc w:val="center"/>
        <w:ind w:right="256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-120650</wp:posOffset>
            </wp:positionV>
            <wp:extent cx="2958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2">
            <w:col w:w="2520" w:space="60"/>
            <w:col w:w="8840"/>
          </w:cols>
          <w:pgMar w:left="240" w:top="117" w:right="23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share data)</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340" w:type="dxa"/>
            <w:vAlign w:val="bottom"/>
          </w:tcPr>
          <w:p>
            <w:pPr>
              <w:spacing w:after="0"/>
              <w:rPr>
                <w:sz w:val="17"/>
                <w:szCs w:val="17"/>
                <w:color w:val="auto"/>
              </w:rPr>
            </w:pPr>
          </w:p>
        </w:tc>
        <w:tc>
          <w:tcPr>
            <w:tcW w:w="2400" w:type="dxa"/>
            <w:vAlign w:val="bottom"/>
            <w:tcBorders>
              <w:bottom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340" w:type="dxa"/>
            <w:vAlign w:val="bottom"/>
          </w:tcPr>
          <w:p>
            <w:pPr>
              <w:spacing w:after="0"/>
              <w:rPr>
                <w:sz w:val="11"/>
                <w:szCs w:val="11"/>
                <w:color w:val="auto"/>
              </w:rPr>
            </w:pPr>
          </w:p>
        </w:tc>
        <w:tc>
          <w:tcPr>
            <w:tcW w:w="12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9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1"/>
                <w:szCs w:val="11"/>
                <w:color w:val="auto"/>
              </w:rPr>
            </w:pPr>
          </w:p>
        </w:tc>
        <w:tc>
          <w:tcPr>
            <w:tcW w:w="9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0" w:type="dxa"/>
            <w:vAlign w:val="bottom"/>
          </w:tcPr>
          <w:p>
            <w:pPr>
              <w:spacing w:after="0"/>
              <w:rPr>
                <w:sz w:val="11"/>
                <w:szCs w:val="11"/>
                <w:color w:val="auto"/>
              </w:rPr>
            </w:pPr>
          </w:p>
        </w:tc>
        <w:tc>
          <w:tcPr>
            <w:tcW w:w="8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3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February 2, 2013</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40,563,056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75,675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119,190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194,255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58,812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58,812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shares vested, net of repurchase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taxes</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43,675</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related benefit of restricted stock units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February 1, 2014</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40,606,731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78,153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178,002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255,147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38,449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38,449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shares vested, net of repurchase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taxes</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88,564</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3,513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Treasury stock purchased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(620,985)</w:t>
            </w: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620,985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January 31, 2015</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40,074,310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620,985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80,992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216,451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284,471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27,558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27,558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shares vested, net of repurchase</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 taxes</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108,228</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Treasury stock purchased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(2,481,367)</w:t>
            </w: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2,481,367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January 30, 2016</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37,701,171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3,102,352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85,436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244,009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285,255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7"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120" w:type="dxa"/>
            <w:vAlign w:val="bottom"/>
          </w:tcPr>
          <w:p>
            <w:pPr>
              <w:spacing w:after="0"/>
              <w:rPr>
                <w:sz w:val="12"/>
                <w:szCs w:val="12"/>
                <w:color w:val="auto"/>
              </w:rPr>
            </w:pPr>
          </w:p>
        </w:tc>
        <w:tc>
          <w:tcPr>
            <w:tcW w:w="13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2"/>
                <w:szCs w:val="12"/>
                <w:color w:val="auto"/>
              </w:rPr>
            </w:pPr>
          </w:p>
        </w:tc>
        <w:tc>
          <w:tcPr>
            <w:tcW w:w="1160" w:type="dxa"/>
            <w:vAlign w:val="bottom"/>
          </w:tcPr>
          <w:p>
            <w:pPr>
              <w:jc w:val="right"/>
              <w:ind w:right="251"/>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95"/>
        </w:trPr>
        <w:tc>
          <w:tcPr>
            <w:tcW w:w="7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27,558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38,449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58,812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22,173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15,104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7,933</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38,520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12,892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43,270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103,812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87,864</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(22,862)</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on financial-institution debt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Borrowings on financial-institution debt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withholdings for equity compensation</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(15,313)</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53,077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49,612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112,292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9,603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97,681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112,292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59,215</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 paid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25,957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42,287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Interest paid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activity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operating, investing, and financing activities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Repurchase of common stock incurred but not yet paid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0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As of January 30, 2016, January 31, 2015 and February 1, 2014</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As of January 31, 2015, February 1, 2014 and February 2, 2013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Purchases of property, plant, and equipment incurred but not yet paid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As of January 30, 2016, January 31, 2015 and February 1, 2014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of January 31, 2015, February 1, 2014 and February 2, 2013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8890</wp:posOffset>
            </wp:positionV>
            <wp:extent cx="2735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-127635</wp:posOffset>
            </wp:positionV>
            <wp:extent cx="2735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117" w:right="259" w:bottom="1440" w:gutter="0" w:footer="0" w:header="0"/>
          <w:type w:val="continuous"/>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Company</w:t>
      </w:r>
    </w:p>
    <w:p>
      <w:pPr>
        <w:spacing w:after="0" w:line="94" w:lineRule="exact"/>
        <w:rPr>
          <w:rFonts w:ascii="Times New Roman" w:cs="Times New Roman" w:eastAsia="Times New Roman" w:hAnsi="Times New Roman"/>
          <w:sz w:val="18"/>
          <w:szCs w:val="18"/>
          <w:b w:val="1"/>
          <w:bCs w:val="1"/>
          <w:color w:val="auto"/>
        </w:rPr>
      </w:pPr>
    </w:p>
    <w:p>
      <w:pPr>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is a leading designer of women’s handbags and accessories, luggage and travel items, eyewear, and stationery and gifts. Founded in 1982 by friends Barbara Bradley Baekgaard and Patricia R. Miller, the brand’s innovative designs, iconic patterns, and versatile styles offer women of all ages a colorful way to accessorize every look.</w:t>
      </w:r>
    </w:p>
    <w:p>
      <w:pPr>
        <w:spacing w:after="0" w:line="41" w:lineRule="exact"/>
        <w:rPr>
          <w:rFonts w:ascii="Times New Roman" w:cs="Times New Roman" w:eastAsia="Times New Roman" w:hAnsi="Times New Roman"/>
          <w:sz w:val="18"/>
          <w:szCs w:val="18"/>
          <w:b w:val="1"/>
          <w:bCs w:val="1"/>
          <w:color w:val="auto"/>
        </w:rPr>
      </w:pPr>
    </w:p>
    <w:p>
      <w:pPr>
        <w:ind w:left="34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direct-to-consumer eBay sales, and the Company's annual outlet sale in Fort Wayne, Indiana. As of January 30, 2016, the Company operated 110 full-line stores and 40 factory outlet stores. The Indirect business consists of sales of Vera Bradley products to approximately 2,600 specialty retail locations, substantially all of which are located in the United States, as well as department stores, national accounts, third party e-commerce sites, the Company's wholesale business in Japan, and third party inventory liquidators.</w:t>
      </w:r>
    </w:p>
    <w:p>
      <w:pPr>
        <w:spacing w:after="0" w:line="210"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w:t>
      </w:r>
    </w:p>
    <w:p>
      <w:pPr>
        <w:spacing w:after="0" w:line="94" w:lineRule="exact"/>
        <w:rPr>
          <w:rFonts w:ascii="Times New Roman" w:cs="Times New Roman" w:eastAsia="Times New Roman" w:hAnsi="Times New Roman"/>
          <w:sz w:val="18"/>
          <w:szCs w:val="18"/>
          <w:b w:val="1"/>
          <w:bCs w:val="1"/>
          <w:color w:val="auto"/>
        </w:rPr>
      </w:pPr>
    </w:p>
    <w:p>
      <w:pPr>
        <w:ind w:left="340" w:right="9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The Company has eliminated intercompany balances and transactions in consolidation.</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Fiscal Periods</w:t>
      </w:r>
    </w:p>
    <w:p>
      <w:pPr>
        <w:spacing w:after="0" w:line="94" w:lineRule="exact"/>
        <w:rPr>
          <w:rFonts w:ascii="Times New Roman" w:cs="Times New Roman" w:eastAsia="Times New Roman" w:hAnsi="Times New Roman"/>
          <w:sz w:val="18"/>
          <w:szCs w:val="18"/>
          <w:b w:val="1"/>
          <w:bCs w:val="1"/>
          <w:color w:val="auto"/>
        </w:rPr>
      </w:pPr>
    </w:p>
    <w:p>
      <w:pPr>
        <w:ind w:left="340" w:right="6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utilizes a 52-53 week fiscal year ending on the Saturday closest to January 31. As such, fiscal year 2016, 2015 and 2014 ending on January 30, 2016, January 31, 2015 and February 1, 2014, respectively, each reflected a 52-week period.</w:t>
      </w:r>
    </w:p>
    <w:p>
      <w:pPr>
        <w:spacing w:after="0" w:line="157" w:lineRule="exact"/>
        <w:rPr>
          <w:rFonts w:ascii="Times New Roman" w:cs="Times New Roman" w:eastAsia="Times New Roman" w:hAnsi="Times New Roman"/>
          <w:sz w:val="18"/>
          <w:szCs w:val="18"/>
          <w:b w:val="1"/>
          <w:bCs w:val="1"/>
          <w:color w:val="auto"/>
        </w:rPr>
      </w:pPr>
    </w:p>
    <w:p>
      <w:pPr>
        <w:ind w:left="340" w:right="7700" w:hanging="332"/>
        <w:spacing w:after="0" w:line="346" w:lineRule="auto"/>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Significant Estimates</w:t>
      </w:r>
    </w:p>
    <w:p>
      <w:pPr>
        <w:spacing w:after="0" w:line="1" w:lineRule="exact"/>
        <w:rPr>
          <w:rFonts w:ascii="Times New Roman" w:cs="Times New Roman" w:eastAsia="Times New Roman" w:hAnsi="Times New Roman"/>
          <w:sz w:val="18"/>
          <w:szCs w:val="18"/>
          <w:b w:val="1"/>
          <w:bCs w:val="1"/>
          <w:color w:val="auto"/>
        </w:rPr>
      </w:pPr>
    </w:p>
    <w:p>
      <w:pPr>
        <w:ind w:left="340" w:right="1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reported amounts of the Company’s assets, liabilities, revenues, and expenses, as well as the disclosures relating to contingent assets and liabilities at the date of the consolidated financial statements. Significant areas requiring the use of management estimates include the valuation of inventories, accounts receivable valuation allowances, sales return allowances, and the useful lives of assets for depreciation or amortization. Actual results could differ from these estimates. The Company revises its estimates and assumptions as new information becomes available.</w:t>
      </w:r>
    </w:p>
    <w:p>
      <w:pPr>
        <w:spacing w:after="0" w:line="52"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prior period amounts have been reclassified to conform to the current year presentation.</w:t>
      </w:r>
    </w:p>
    <w:p>
      <w:pPr>
        <w:spacing w:after="0" w:line="24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9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represent cash on hand, deposits with financial institutions, and investments with an original maturity of three months or less.</w:t>
      </w:r>
    </w:p>
    <w:p>
      <w:pPr>
        <w:spacing w:after="0" w:line="24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Credit Risk</w:t>
      </w:r>
    </w:p>
    <w:p>
      <w:pPr>
        <w:spacing w:after="0" w:line="94" w:lineRule="exact"/>
        <w:rPr>
          <w:rFonts w:ascii="Times New Roman" w:cs="Times New Roman" w:eastAsia="Times New Roman" w:hAnsi="Times New Roman"/>
          <w:sz w:val="18"/>
          <w:szCs w:val="18"/>
          <w:b w:val="1"/>
          <w:bCs w:val="1"/>
          <w:color w:val="auto"/>
        </w:rPr>
      </w:pPr>
    </w:p>
    <w:p>
      <w:pPr>
        <w:ind w:left="340" w:righ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maintains nearly all of its cash and cash equivalents with one financial institution. The Company monitors the credit standing of this financial institution on a regular basis.</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94" w:lineRule="exact"/>
        <w:rPr>
          <w:rFonts w:ascii="Times New Roman" w:cs="Times New Roman" w:eastAsia="Times New Roman" w:hAnsi="Times New Roman"/>
          <w:sz w:val="18"/>
          <w:szCs w:val="18"/>
          <w:b w:val="1"/>
          <w:bCs w:val="1"/>
          <w:color w:val="auto"/>
        </w:rPr>
      </w:pPr>
    </w:p>
    <w:p>
      <w:pPr>
        <w:jc w:val="both"/>
        <w:ind w:left="34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are stated at the lower of cost or market. Cost is determined using the first-in, first-out (“FIFO”) method. Market is determined based on net realizable value, which includes costs to dispose. Appropriate consideration is given to obsolescence, excess quantities, and other factors, including the popularity of a pattern or product, in evaluating net realizable value.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7"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plant, and equipment are carried at cost and depreciated or amortized over the following estimated useful lives using the straight-line method:</w:t>
      </w:r>
    </w:p>
    <w:p>
      <w:pPr>
        <w:spacing w:after="0" w:line="360"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years</w:t>
            </w: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15 years</w:t>
            </w: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 and leasehold improvements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Equipment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Vehicles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Leasehold improvements are amortized over the shorter of the life of the asset or the lease term. Lease terms typically range from five to ten years.</w:t>
      </w:r>
    </w:p>
    <w:p>
      <w:pPr>
        <w:spacing w:after="0" w:line="90"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8"/>
          <w:szCs w:val="18"/>
          <w:color w:val="auto"/>
        </w:rPr>
        <w:t>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is included in the Consolidated Statements of Income.</w:t>
      </w:r>
    </w:p>
    <w:p>
      <w:pPr>
        <w:spacing w:after="0" w:line="45" w:lineRule="exact"/>
        <w:rPr>
          <w:sz w:val="20"/>
          <w:szCs w:val="20"/>
          <w:color w:val="auto"/>
        </w:rPr>
      </w:pPr>
    </w:p>
    <w:p>
      <w:pPr>
        <w:jc w:val="both"/>
        <w:ind w:left="340" w:right="20"/>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as further defined below in “Fair Value of Financial Instruments.”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Routine maintenance and repair costs are expensed as incurred.</w:t>
      </w:r>
    </w:p>
    <w:p>
      <w:pPr>
        <w:spacing w:after="0" w:line="90" w:lineRule="exact"/>
        <w:rPr>
          <w:sz w:val="20"/>
          <w:szCs w:val="20"/>
          <w:color w:val="auto"/>
        </w:rPr>
      </w:pPr>
    </w:p>
    <w:p>
      <w:pPr>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capitalizes certain costs incurred in connection with acquiring, modifying, and installing internal-use software. Capitalized costs are included in property, plant, and equipment and are amortized over three to five years. Software costs that do not meet capitalization criteria are expensed as incurred.</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Revenue Recognition and Accounts Receivable</w:t>
      </w:r>
    </w:p>
    <w:p>
      <w:pPr>
        <w:spacing w:after="0" w:line="94" w:lineRule="exact"/>
        <w:rPr>
          <w:sz w:val="20"/>
          <w:szCs w:val="20"/>
          <w:color w:val="auto"/>
        </w:rPr>
      </w:pPr>
    </w:p>
    <w:p>
      <w:pPr>
        <w:jc w:val="both"/>
        <w:ind w:left="340" w:right="200"/>
        <w:spacing w:after="0" w:line="261" w:lineRule="auto"/>
        <w:rPr>
          <w:sz w:val="20"/>
          <w:szCs w:val="20"/>
          <w:color w:val="auto"/>
        </w:rPr>
      </w:pPr>
      <w:r>
        <w:rPr>
          <w:rFonts w:ascii="Times New Roman" w:cs="Times New Roman" w:eastAsia="Times New Roman" w:hAnsi="Times New Roman"/>
          <w:sz w:val="18"/>
          <w:szCs w:val="18"/>
          <w:color w:val="auto"/>
        </w:rPr>
        <w:t>Revenue from the sale of the Company’s products is recognized upon customer receipt of the product when collection of the associated receivables is reasonably assured, persuasive evidence of an arrangement exists, the sales price is fixed and determinable, and ownership and risk of loss have been transferred to the customer, which, for e-commerce and most Indirect sales, reflects an adjustment for shipments that customers have not yet received. The adjustment of these shipments is based on actual delivery dates to the customer.</w:t>
      </w:r>
    </w:p>
    <w:p>
      <w:pPr>
        <w:spacing w:after="0" w:line="45"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8"/>
          <w:szCs w:val="18"/>
          <w:color w:val="auto"/>
        </w:rPr>
        <w:t>Included in net revenues are product sales to Direct and Indirect customers, including amounts billed to customers for shipping fees. Costs related to shipping of product are classified in cost of sales in the Consolidated Statements of Income. Net revenues exclude sales taxes collected from customers and remitted to governmental authorities.</w:t>
      </w:r>
    </w:p>
    <w:p>
      <w:pPr>
        <w:spacing w:after="0" w:line="41"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Historical experience provides the Company the ability to reasonably estimate the amount of product sales that customers will return. Product returns are often resalable through the Company’s annual outlet sale or other channels. Additionally, the Company reserves for other potential product credits granted to Indirect retailers. The returns and credits reserve and the related activity for each fiscal year presented were as follows (in thousands):</w:t>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4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60" w:type="dxa"/>
            <w:vAlign w:val="bottom"/>
          </w:tcPr>
          <w:p>
            <w:pPr>
              <w:spacing w:after="0"/>
              <w:rPr>
                <w:sz w:val="13"/>
                <w:szCs w:val="13"/>
                <w:color w:val="auto"/>
              </w:rPr>
            </w:pPr>
          </w:p>
        </w:tc>
        <w:tc>
          <w:tcPr>
            <w:tcW w:w="122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Balance at End</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Beginning of Year</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24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Taken</w:t>
            </w:r>
          </w:p>
        </w:tc>
        <w:tc>
          <w:tcPr>
            <w:tcW w:w="160" w:type="dxa"/>
            <w:vAlign w:val="bottom"/>
          </w:tcPr>
          <w:p>
            <w:pPr>
              <w:spacing w:after="0"/>
              <w:rPr>
                <w:sz w:val="16"/>
                <w:szCs w:val="16"/>
                <w:color w:val="auto"/>
              </w:rPr>
            </w:pPr>
          </w:p>
        </w:tc>
        <w:tc>
          <w:tcPr>
            <w:tcW w:w="12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0" w:type="dxa"/>
            <w:vAlign w:val="bottom"/>
          </w:tcPr>
          <w:p>
            <w:pPr>
              <w:spacing w:after="0"/>
              <w:rPr>
                <w:sz w:val="1"/>
                <w:szCs w:val="1"/>
                <w:color w:val="auto"/>
              </w:rPr>
            </w:pPr>
          </w:p>
        </w:tc>
      </w:tr>
      <w:tr>
        <w:trPr>
          <w:trHeight w:val="249"/>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30, 2016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25,707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January 31, 2015</w:t>
            </w:r>
          </w:p>
        </w:tc>
        <w:tc>
          <w:tcPr>
            <w:tcW w:w="1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30,140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1, 2014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30,335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459"/>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17" w:right="31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color w:val="auto"/>
        </w:rPr>
        <w:t>The Company establishes an allowance for doubtful accounts based on historical experience and customer-specific identification and believes that collections of receivables, net of the allowance for doubtful accounts, are reasonably assured. The allowance for doubtful accounts was approximately $0.5 million and $0.3 million as of January 30, 2016, and January 31, 2015, respectively.</w:t>
      </w:r>
    </w:p>
    <w:p>
      <w:pPr>
        <w:spacing w:after="0" w:line="41"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The Company sells gift cards with no expiration dates to customers and does not charge administrative fees on unused gift cards. Gift cards issued by the Company are recorded as a liability until they are redeemed, at which point revenue is recognized. In addition, the Company recognizes revenue on unredeemed gift cards when the likelihood of the gift card being redeemed is remote and there is no legal obligation to remit the value of unredeemed gift cards to the relevant jurisdictions. The Company determines the gift card breakage rate based on historical redemption patterns. During the fiscal years ended January 30, 2016 and January 31, 2015, the Company recorded $0.3 million and $1.4 million of revenue related to gift card breakage, respectively. Fiscal 2015 was the first year in which gift card breakage revenue was recognized. Gift card breakage is included in net sales in the Consolidated Statements of Income, as well as Direct segment sales; however, it is not included in the comparable sales figures.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94"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Cost of sales includes material and labor costs, freight, inventory shrinkage, operating lease costs, duty, and other operating expenses, including depreciation of the Company’s distribution center and equipment. Costs and related expenses to purchase and distribute the products are recorded as cost of sales when the related revenues are recognized.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Operating Leases and Tenant-Improvement Allowances</w:t>
      </w:r>
    </w:p>
    <w:p>
      <w:pPr>
        <w:spacing w:after="0" w:line="94"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rent liability. As of January 30, 2016 and January 31, 2015, deferred rent liability was $11.5 million and $8.9 million, respectively, and is included within other long-term liabilities on the Consolidated Balance Sheets.</w:t>
      </w:r>
    </w:p>
    <w:p>
      <w:pPr>
        <w:spacing w:after="0" w:line="49" w:lineRule="exact"/>
        <w:rPr>
          <w:sz w:val="20"/>
          <w:szCs w:val="20"/>
          <w:color w:val="auto"/>
        </w:rPr>
      </w:pPr>
    </w:p>
    <w:p>
      <w:pPr>
        <w:ind w:left="340" w:right="20"/>
        <w:spacing w:after="0" w:line="256" w:lineRule="auto"/>
        <w:rPr>
          <w:sz w:val="20"/>
          <w:szCs w:val="20"/>
          <w:color w:val="auto"/>
        </w:rPr>
      </w:pPr>
      <w:r>
        <w:rPr>
          <w:rFonts w:ascii="Times New Roman" w:cs="Times New Roman" w:eastAsia="Times New Roman" w:hAnsi="Times New Roman"/>
          <w:sz w:val="18"/>
          <w:szCs w:val="18"/>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January 30, 2016 and January 31, 2015, the deferred lease credit liability was $16.2 million and $13.8 million, respectively. Of this, $2.3 million and $1.8 million is included within other accrued liabilities and $13.9 million and $12.0 million is included within other long-term liabilities on the Consolidated Balance Sheets as of January 30, 2016 and January 31, 2015, respectively.</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Store Pre-Opening, Occupancy, and Operating Costs</w:t>
      </w:r>
    </w:p>
    <w:p>
      <w:pPr>
        <w:spacing w:after="0" w:line="94"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color w:val="auto"/>
        </w:rPr>
        <w:t>The Company charges costs associated with the opening of new stores to selling, general, and administrative expenses as incurred. Selling, general, and administrative expenses also include store operating costs, store employee compensation, and store occupancy and supply costs.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92" w:lineRule="exact"/>
        <w:rPr>
          <w:sz w:val="20"/>
          <w:szCs w:val="20"/>
          <w:color w:val="auto"/>
        </w:rPr>
      </w:pPr>
    </w:p>
    <w:p>
      <w:pPr>
        <w:ind w:left="340" w:right="22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using the fair-value recognition provisions of Accounting Standards Codification 718,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Under these provisions, for its awards of restricted stock and restricted-stock units, the Company recognizes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in an amount equal to the fair market value of the underlying stock on the grant date of the respective award. The Company recognizes this expense, net of estimated forfeitures, on a straight-line basis over the requisite service period.</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Income and Advertising Costs</w:t>
      </w:r>
    </w:p>
    <w:p>
      <w:pPr>
        <w:spacing w:after="0" w:line="94"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color w:val="auto"/>
        </w:rPr>
        <w:t>The Company expenses advertising costs at the time the promotion first appears in media, in stores, or on the website, and includes those costs in selling, general, and administrative expenses in the Consolidated Statements of Income. The Company classifies the related recovery of a portion of such costs from Indirect retailers as other income in the Consolidated Statements of Income. During fiscal 2015, the Company began classifying other costs included within selling, general, and administrative expenses in the Consolidated Statements of Income as advertising expense.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117" w:right="2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8520" w:type="dxa"/>
            <w:vAlign w:val="bottom"/>
            <w:gridSpan w:val="3"/>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15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30"/>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71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8"/>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1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5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40"/>
        </w:trPr>
        <w:tc>
          <w:tcPr>
            <w:tcW w:w="340" w:type="dxa"/>
            <w:vAlign w:val="bottom"/>
          </w:tcPr>
          <w:p>
            <w:pPr>
              <w:spacing w:after="0"/>
              <w:rPr>
                <w:sz w:val="24"/>
                <w:szCs w:val="24"/>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advertising expense was as follows (in thousands):</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340" w:type="dxa"/>
            <w:vAlign w:val="bottom"/>
          </w:tcPr>
          <w:p>
            <w:pPr>
              <w:spacing w:after="0"/>
              <w:rPr>
                <w:sz w:val="21"/>
                <w:szCs w:val="21"/>
                <w:color w:val="auto"/>
              </w:rPr>
            </w:pPr>
          </w:p>
        </w:tc>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30, 2016</w:t>
            </w:r>
          </w:p>
        </w:tc>
        <w:tc>
          <w:tcPr>
            <w:tcW w:w="158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33,392</w:t>
            </w:r>
          </w:p>
        </w:tc>
      </w:tr>
      <w:tr>
        <w:trPr>
          <w:trHeight w:val="243"/>
        </w:trPr>
        <w:tc>
          <w:tcPr>
            <w:tcW w:w="340" w:type="dxa"/>
            <w:vAlign w:val="bottom"/>
          </w:tcPr>
          <w:p>
            <w:pPr>
              <w:spacing w:after="0"/>
              <w:rPr>
                <w:sz w:val="21"/>
                <w:szCs w:val="21"/>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year ended January 31, 2015</w:t>
            </w:r>
          </w:p>
        </w:tc>
        <w:tc>
          <w:tcPr>
            <w:tcW w:w="1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28,936</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1, 2014</w:t>
            </w:r>
          </w:p>
        </w:tc>
        <w:tc>
          <w:tcPr>
            <w:tcW w:w="1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29,722</w:t>
            </w:r>
          </w:p>
        </w:tc>
      </w:tr>
      <w:tr>
        <w:trPr>
          <w:trHeight w:val="378"/>
        </w:trPr>
        <w:tc>
          <w:tcPr>
            <w:tcW w:w="340" w:type="dxa"/>
            <w:vAlign w:val="bottom"/>
          </w:tcPr>
          <w:p>
            <w:pPr>
              <w:spacing w:after="0"/>
              <w:rPr>
                <w:sz w:val="24"/>
                <w:szCs w:val="24"/>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recovery from Indirect retailers was as follows (in thousands):</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340" w:type="dxa"/>
            <w:vAlign w:val="bottom"/>
          </w:tcPr>
          <w:p>
            <w:pPr>
              <w:spacing w:after="0"/>
              <w:rPr>
                <w:sz w:val="21"/>
                <w:szCs w:val="21"/>
                <w:color w:val="auto"/>
              </w:rPr>
            </w:pPr>
          </w:p>
        </w:tc>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30, 2016</w:t>
            </w:r>
          </w:p>
        </w:tc>
        <w:tc>
          <w:tcPr>
            <w:tcW w:w="158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r>
      <w:tr>
        <w:trPr>
          <w:trHeight w:val="243"/>
        </w:trPr>
        <w:tc>
          <w:tcPr>
            <w:tcW w:w="340" w:type="dxa"/>
            <w:vAlign w:val="bottom"/>
          </w:tcPr>
          <w:p>
            <w:pPr>
              <w:spacing w:after="0"/>
              <w:rPr>
                <w:sz w:val="21"/>
                <w:szCs w:val="21"/>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year ended January 31, 2015</w:t>
            </w:r>
          </w:p>
        </w:tc>
        <w:tc>
          <w:tcPr>
            <w:tcW w:w="1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40" w:type="dxa"/>
            <w:vAlign w:val="bottom"/>
          </w:tcPr>
          <w:p>
            <w:pPr>
              <w:spacing w:after="0"/>
              <w:rPr>
                <w:sz w:val="21"/>
                <w:szCs w:val="21"/>
                <w:color w:val="auto"/>
              </w:rPr>
            </w:pPr>
          </w:p>
        </w:tc>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1, 2014</w:t>
            </w:r>
          </w:p>
        </w:tc>
        <w:tc>
          <w:tcPr>
            <w:tcW w:w="15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r>
      <w:tr>
        <w:trPr>
          <w:trHeight w:val="27"/>
        </w:trPr>
        <w:tc>
          <w:tcPr>
            <w:tcW w:w="340" w:type="dxa"/>
            <w:vAlign w:val="bottom"/>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1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Debt-Issuance Costs</w:t>
      </w:r>
    </w:p>
    <w:p>
      <w:pPr>
        <w:spacing w:after="0" w:line="94" w:lineRule="exact"/>
        <w:rPr>
          <w:sz w:val="20"/>
          <w:szCs w:val="20"/>
          <w:color w:val="auto"/>
        </w:rPr>
      </w:pPr>
    </w:p>
    <w:p>
      <w:pPr>
        <w:ind w:left="340" w:right="100"/>
        <w:spacing w:after="0" w:line="256" w:lineRule="auto"/>
        <w:rPr>
          <w:sz w:val="20"/>
          <w:szCs w:val="20"/>
          <w:color w:val="auto"/>
        </w:rPr>
      </w:pPr>
      <w:r>
        <w:rPr>
          <w:rFonts w:ascii="Times New Roman" w:cs="Times New Roman" w:eastAsia="Times New Roman" w:hAnsi="Times New Roman"/>
          <w:sz w:val="18"/>
          <w:szCs w:val="18"/>
          <w:color w:val="auto"/>
        </w:rPr>
        <w:t>During the fiscal year ended January 30, 2016, in connection with the second amendment and restatement of the credit agreement (see Note 5), the Company incurred additional debt-issuance costs of $0.5 million. The Company is amortizing the remaining debt-issuance costs to interest expense over the five-year term of the second amended and restated credit agreement. Debt-issuance costs, net of accumulated amortization, totaled $0.8 million at January 30, 2016, and $0.5 million at January 31, 2015, and are included in other assets on the Consolidated Balance Sheets. Amortization expense of $0.2 million is included in interest expense in the Consolidated Statements of Income for each of the fiscal years ended January 30, 2016, January 31, 2015, and February 1, 2014.</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94"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68" w:lineRule="exact"/>
        <w:rPr>
          <w:sz w:val="20"/>
          <w:szCs w:val="20"/>
          <w:color w:val="auto"/>
        </w:rPr>
      </w:pPr>
    </w:p>
    <w:p>
      <w:pPr>
        <w:ind w:left="720" w:hanging="38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130"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90" w:lineRule="exact"/>
        <w:rPr>
          <w:sz w:val="20"/>
          <w:szCs w:val="20"/>
          <w:color w:val="auto"/>
        </w:rPr>
      </w:pPr>
    </w:p>
    <w:p>
      <w:pPr>
        <w:ind w:left="340" w:right="26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Consolidated Balance Sheets for cash and cash equivalents, receivables, other current assets, and payables as of January 30, 2016, and January 31, 2015, approximated their fair values.</w:t>
      </w:r>
    </w:p>
    <w:p>
      <w:pPr>
        <w:spacing w:after="0" w:line="27" w:lineRule="exact"/>
        <w:rPr>
          <w:sz w:val="20"/>
          <w:szCs w:val="20"/>
          <w:color w:val="auto"/>
        </w:rPr>
      </w:pPr>
    </w:p>
    <w:p>
      <w:pPr>
        <w:ind w:left="340" w:right="40"/>
        <w:spacing w:after="0" w:line="282" w:lineRule="auto"/>
        <w:rPr>
          <w:sz w:val="20"/>
          <w:szCs w:val="20"/>
          <w:color w:val="auto"/>
        </w:rPr>
      </w:pPr>
      <w:r>
        <w:rPr>
          <w:rFonts w:ascii="Times New Roman" w:cs="Times New Roman" w:eastAsia="Times New Roman" w:hAnsi="Times New Roman"/>
          <w:sz w:val="18"/>
          <w:szCs w:val="18"/>
          <w:color w:val="auto"/>
        </w:rPr>
        <w:t>The carrying amount for the credit agreement approximates fair value at January 30, 2016, and January 31, 2015, as the interest rates of these borrowings fluctuate with the market. The credit agreement falls within Level 2 of the fair value hierarchy.</w:t>
      </w:r>
    </w:p>
    <w:p>
      <w:pPr>
        <w:spacing w:after="0" w:line="2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Company has certain assets that are measured on a non-recurring basis under circumstances and events described in Note 4. The categorization of the framework to price these assets are level 3 due to subjective nature of unobservable inputs.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4" w:lineRule="exact"/>
        <w:rPr>
          <w:sz w:val="20"/>
          <w:szCs w:val="20"/>
          <w:color w:val="auto"/>
        </w:rPr>
      </w:pPr>
    </w:p>
    <w:p>
      <w:pPr>
        <w:ind w:left="340" w:right="220"/>
        <w:spacing w:after="0" w:line="266" w:lineRule="auto"/>
        <w:rPr>
          <w:sz w:val="20"/>
          <w:szCs w:val="20"/>
          <w:color w:val="auto"/>
        </w:rPr>
      </w:pPr>
      <w:r>
        <w:rPr>
          <w:rFonts w:ascii="Times New Roman" w:cs="Times New Roman" w:eastAsia="Times New Roman" w:hAnsi="Times New Roman"/>
          <w:sz w:val="18"/>
          <w:szCs w:val="18"/>
          <w:color w:val="auto"/>
        </w:rPr>
        <w:t>The Company accrues income taxes payable or refundable and recognizes deferred tax assets and liabilities based on differences between the book and tax bases of assets and liabilities. The Company measures deferred tax assets and liabilities using enacted rates in effect for the years in which the differences are expected to reverse, and recognizes the effect of a change in enacted rates in the period of enactment.</w:t>
      </w:r>
    </w:p>
    <w:p>
      <w:pPr>
        <w:spacing w:after="0" w:line="41" w:lineRule="exact"/>
        <w:rPr>
          <w:sz w:val="20"/>
          <w:szCs w:val="20"/>
          <w:color w:val="auto"/>
        </w:rPr>
      </w:pPr>
    </w:p>
    <w:p>
      <w:pPr>
        <w:ind w:left="340" w:right="120"/>
        <w:spacing w:after="0" w:line="282" w:lineRule="auto"/>
        <w:rPr>
          <w:sz w:val="20"/>
          <w:szCs w:val="20"/>
          <w:color w:val="auto"/>
        </w:rPr>
      </w:pPr>
      <w:r>
        <w:rPr>
          <w:rFonts w:ascii="Times New Roman" w:cs="Times New Roman" w:eastAsia="Times New Roman" w:hAnsi="Times New Roman"/>
          <w:sz w:val="18"/>
          <w:szCs w:val="18"/>
          <w:color w:val="auto"/>
        </w:rPr>
        <w:t>The Company establishes liabilities for uncertain positions taken or expected to be taken in income tax returns, using a more-likely-than-not recognition threshold. The Company includes in income tax expense any interest and penalties related to uncertain tax positions.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08"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2" w:lineRule="exact"/>
        <w:rPr>
          <w:sz w:val="20"/>
          <w:szCs w:val="20"/>
          <w:color w:val="auto"/>
        </w:rPr>
      </w:pPr>
    </w:p>
    <w:p>
      <w:pPr>
        <w:ind w:left="340"/>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This guidance requires companies to recognize revenue in a manner that depicts the transfer of promised goods or services to customers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standard allows for either a full retrospective or a modified retrospective transition method. In August 2015, the FASB issued ASU 2015-14 to defer the effective date of ASU 2014-09 for all entities by one year to annual periods beginning after December 15, 2017, including interim periods within that reporting period, which for the Company is fiscal 2019. Earlier application is permitted as of the original effective date, annual reporting periods beginning after December 2016, including interim periods within that reporting period. The Company is currently evaluating the impact of this standard, including the transition method, on its consolidated results of operations, financial position and cash flows.</w:t>
      </w:r>
    </w:p>
    <w:p>
      <w:pPr>
        <w:spacing w:after="0" w:line="54" w:lineRule="exact"/>
        <w:rPr>
          <w:sz w:val="20"/>
          <w:szCs w:val="20"/>
          <w:color w:val="auto"/>
        </w:rPr>
      </w:pPr>
    </w:p>
    <w:p>
      <w:pPr>
        <w:ind w:left="340" w:right="60"/>
        <w:spacing w:after="0" w:line="259" w:lineRule="auto"/>
        <w:rPr>
          <w:sz w:val="20"/>
          <w:szCs w:val="20"/>
          <w:color w:val="auto"/>
        </w:rPr>
      </w:pPr>
      <w:r>
        <w:rPr>
          <w:rFonts w:ascii="Times New Roman" w:cs="Times New Roman" w:eastAsia="Times New Roman" w:hAnsi="Times New Roman"/>
          <w:sz w:val="18"/>
          <w:szCs w:val="18"/>
          <w:color w:val="auto"/>
        </w:rPr>
        <w:t xml:space="preserve">In August 2014, the FASB issued ASU 2014-15,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xml:space="preserve"> which requires management to evaluate whether there is substantial doubt about an entity’s ability to continue as a going concern and provide related footnote disclosures. The guidance is effective for annual or interim reporting periods beginning on or after December 15, 2016. Early adoption is permitted for financial statements that have not been previously issued. The standard allows for either a full retrospective or modified retrospective transition method. The Company does not expect this standard to have an impact on the Company’s Consolidated Financial Statements upon adoption.</w:t>
      </w:r>
    </w:p>
    <w:p>
      <w:pPr>
        <w:spacing w:after="0" w:line="45" w:lineRule="exact"/>
        <w:rPr>
          <w:sz w:val="20"/>
          <w:szCs w:val="20"/>
          <w:color w:val="auto"/>
        </w:rPr>
      </w:pPr>
    </w:p>
    <w:p>
      <w:pPr>
        <w:ind w:left="340" w:right="20"/>
        <w:spacing w:after="0" w:line="257" w:lineRule="auto"/>
        <w:rPr>
          <w:sz w:val="20"/>
          <w:szCs w:val="20"/>
          <w:color w:val="auto"/>
        </w:rPr>
      </w:pPr>
      <w:r>
        <w:rPr>
          <w:rFonts w:ascii="Times New Roman" w:cs="Times New Roman" w:eastAsia="Times New Roman" w:hAnsi="Times New Roman"/>
          <w:sz w:val="18"/>
          <w:szCs w:val="18"/>
          <w:color w:val="auto"/>
        </w:rPr>
        <w:t xml:space="preserve">In April 2015, the FASB issued ASU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which modifies the presentation of debt issuance costs in financial statements. Under this new guidance, the Company will be required to present these costs in its condensed consolidated balance sheets as a direct deduction from the related debt liability. The requirements of the new standard will become effective for fiscal years, and interim periods within those fiscal years (including retrospective application), beginning after December 15, 2015; early adoption is permitted. The Company is currently evaluating this guidance and does not expect the application of this standard to have a material impact on the Company’s Consolidated Financial Statements upon adoption.</w:t>
      </w:r>
    </w:p>
    <w:p>
      <w:pPr>
        <w:spacing w:after="0" w:line="48" w:lineRule="exact"/>
        <w:rPr>
          <w:sz w:val="20"/>
          <w:szCs w:val="20"/>
          <w:color w:val="auto"/>
        </w:rPr>
      </w:pPr>
    </w:p>
    <w:p>
      <w:pPr>
        <w:jc w:val="both"/>
        <w:ind w:left="340" w:right="200"/>
        <w:spacing w:after="0" w:line="290" w:lineRule="auto"/>
        <w:rPr>
          <w:sz w:val="20"/>
          <w:szCs w:val="20"/>
          <w:color w:val="auto"/>
        </w:rPr>
      </w:pPr>
      <w:r>
        <w:rPr>
          <w:rFonts w:ascii="Times New Roman" w:cs="Times New Roman" w:eastAsia="Times New Roman" w:hAnsi="Times New Roman"/>
          <w:sz w:val="17"/>
          <w:szCs w:val="17"/>
          <w:color w:val="auto"/>
        </w:rPr>
        <w:t xml:space="preserve">In July 2015, the FASB issued ASU 2015-11, </w:t>
      </w:r>
      <w:r>
        <w:rPr>
          <w:rFonts w:ascii="Times New Roman" w:cs="Times New Roman" w:eastAsia="Times New Roman" w:hAnsi="Times New Roman"/>
          <w:sz w:val="17"/>
          <w:szCs w:val="17"/>
          <w:i w:val="1"/>
          <w:iCs w:val="1"/>
          <w:color w:val="auto"/>
        </w:rPr>
        <w:t>Inventory</w:t>
      </w:r>
      <w:r>
        <w:rPr>
          <w:rFonts w:ascii="Times New Roman" w:cs="Times New Roman" w:eastAsia="Times New Roman" w:hAnsi="Times New Roman"/>
          <w:sz w:val="17"/>
          <w:szCs w:val="17"/>
          <w:color w:val="auto"/>
        </w:rPr>
        <w:t>, which requires entities to measure inventory at the lower of cost and net realizable value. This guidance is effective for interim and annual periods beginning on or after December 15, 2016. The Company is currently evaluating this guidance and does not expect the application of this standard to have a material impact on the Company’s Consolidated Financial Statements upon adoption.</w:t>
      </w:r>
    </w:p>
    <w:p>
      <w:pPr>
        <w:spacing w:after="0" w:line="196" w:lineRule="exact"/>
        <w:rPr>
          <w:sz w:val="20"/>
          <w:szCs w:val="20"/>
          <w:color w:val="auto"/>
        </w:rPr>
      </w:pPr>
    </w:p>
    <w:p>
      <w:pPr>
        <w:ind w:left="3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2015, the FASB issued ASU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which simplifies the presentation of deferred income taxes and requires that deferred tax assets and liabilities be classified as noncurrent in a classified statement of financial position. The amendments are effective for annual periods beginning after December 15, 2016, and interim periods within those annual periods. Early application is permitted as of the beginning of an interim or annual reporting period and can be applied either prospectively or retrospectively. The Company adopted this standard for the annual period ending January 30, 2016. This standard was adopted prospectively; accordingly, the Company did not recast the prior year deferred tax assets and liabilities.</w:t>
      </w:r>
    </w:p>
    <w:p>
      <w:pPr>
        <w:spacing w:after="0" w:line="223" w:lineRule="exact"/>
        <w:rPr>
          <w:sz w:val="20"/>
          <w:szCs w:val="20"/>
          <w:color w:val="auto"/>
        </w:rPr>
      </w:pPr>
    </w:p>
    <w:p>
      <w:pPr>
        <w:ind w:left="340" w:right="140"/>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increases transparency and comparability among organizations by requiring lessees to recognize assets and liabilities on the balance sheet for the rights and obligations created by leases and disclosing key information about leasing arrangements. This guidance is effective for interim and annual periods beginning on or after December 15, 2018. The Company is currently evaluating the impact of the standard on its Consolidated Financial Statements.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117"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inventories were as follows (in thousands):</w:t>
      </w:r>
    </w:p>
    <w:p>
      <w:pPr>
        <w:spacing w:after="0" w:line="200" w:lineRule="exact"/>
        <w:rPr>
          <w:sz w:val="20"/>
          <w:szCs w:val="20"/>
          <w:color w:val="auto"/>
        </w:rPr>
      </w:pPr>
    </w:p>
    <w:p>
      <w:pPr>
        <w:spacing w:after="0" w:line="24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200" w:type="dxa"/>
            <w:vAlign w:val="bottom"/>
          </w:tcPr>
          <w:p>
            <w:pPr>
              <w:spacing w:after="0"/>
              <w:rPr>
                <w:sz w:val="13"/>
                <w:szCs w:val="13"/>
                <w:color w:val="auto"/>
              </w:rPr>
            </w:pPr>
          </w:p>
        </w:tc>
        <w:tc>
          <w:tcPr>
            <w:tcW w:w="11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95"/>
        </w:trPr>
        <w:tc>
          <w:tcPr>
            <w:tcW w:w="77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69"/>
        </w:trPr>
        <w:tc>
          <w:tcPr>
            <w:tcW w:w="774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Raw materials</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5,542</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470</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92,391</w:t>
            </w:r>
          </w:p>
        </w:tc>
      </w:tr>
      <w:tr>
        <w:trPr>
          <w:trHeight w:val="237"/>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inventories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113,590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98,403</w:t>
            </w:r>
          </w:p>
        </w:tc>
      </w:tr>
      <w:tr>
        <w:trPr>
          <w:trHeight w:val="27"/>
        </w:trPr>
        <w:tc>
          <w:tcPr>
            <w:tcW w:w="7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860" w:hanging="258"/>
        <w:spacing w:after="0"/>
        <w:tabs>
          <w:tab w:leader="none" w:pos="8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raw materials was primarily a result of the Company's finished goods suppliers purchasing and taking ownership of fabric.</w:t>
      </w:r>
    </w:p>
    <w:p>
      <w:pPr>
        <w:spacing w:after="0" w:line="24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9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34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220" w:type="dxa"/>
            <w:vAlign w:val="bottom"/>
          </w:tcPr>
          <w:p>
            <w:pPr>
              <w:spacing w:after="0"/>
              <w:rPr>
                <w:sz w:val="13"/>
                <w:szCs w:val="13"/>
                <w:color w:val="auto"/>
              </w:rPr>
            </w:pPr>
          </w:p>
        </w:tc>
        <w:tc>
          <w:tcPr>
            <w:tcW w:w="11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95"/>
        </w:trPr>
        <w:tc>
          <w:tcPr>
            <w:tcW w:w="7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45,423</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leasehold improvements and computer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109,087</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vehicles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20,850</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w:t>
            </w:r>
          </w:p>
        </w:tc>
      </w:tr>
      <w:tr>
        <w:trPr>
          <w:trHeight w:val="237"/>
        </w:trPr>
        <w:tc>
          <w:tcPr>
            <w:tcW w:w="78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208,004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188,281</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(79,278)</w:t>
            </w:r>
          </w:p>
        </w:tc>
      </w:tr>
      <w:tr>
        <w:trPr>
          <w:trHeight w:val="237"/>
        </w:trPr>
        <w:tc>
          <w:tcPr>
            <w:tcW w:w="7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113,711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109,003</w:t>
            </w:r>
          </w:p>
        </w:tc>
      </w:tr>
      <w:tr>
        <w:trPr>
          <w:trHeight w:val="27"/>
        </w:trPr>
        <w:tc>
          <w:tcPr>
            <w:tcW w:w="7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as further defined in Note 2. An impairment charge of $2.8 million, $0.4 million and $1.2 million was recognized, using level 3 inputs, in the fiscal years ended January 30, 2016, January 31, 2015 and February 1, 2014, respectively, for assets related to underperforming stores and is included in selling, general, and administrative expenses in the Consolidated Statements of Income and in depreciation and amortization of property, plant, and equipment in the Consolidated Statements of Cash Flows. The impairment charges are included in the Direct segment.</w:t>
      </w:r>
    </w:p>
    <w:p>
      <w:pPr>
        <w:spacing w:after="0" w:line="54" w:lineRule="exact"/>
        <w:rPr>
          <w:sz w:val="20"/>
          <w:szCs w:val="20"/>
          <w:color w:val="auto"/>
        </w:rPr>
      </w:pPr>
    </w:p>
    <w:p>
      <w:pPr>
        <w:ind w:left="340" w:right="26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associated with property, plant, and equipment, excluding impairment charges and discontinued operations (in thousands):</w:t>
      </w:r>
    </w:p>
    <w:p>
      <w:pPr>
        <w:spacing w:after="0" w:line="288"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30, 2016</w:t>
            </w:r>
          </w:p>
        </w:tc>
        <w:tc>
          <w:tcPr>
            <w:tcW w:w="37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19,418</w:t>
            </w: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January 31, 2015</w:t>
            </w:r>
          </w:p>
        </w:tc>
        <w:tc>
          <w:tcPr>
            <w:tcW w:w="37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14,425</w:t>
            </w:r>
          </w:p>
        </w:tc>
      </w:tr>
      <w:tr>
        <w:trPr>
          <w:trHeight w:val="27"/>
        </w:trPr>
        <w:tc>
          <w:tcPr>
            <w:tcW w:w="59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1, 2014</w:t>
            </w:r>
          </w:p>
        </w:tc>
        <w:tc>
          <w:tcPr>
            <w:tcW w:w="37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13,242</w:t>
            </w:r>
          </w:p>
        </w:tc>
      </w:tr>
      <w:tr>
        <w:trPr>
          <w:trHeight w:val="27"/>
        </w:trPr>
        <w:tc>
          <w:tcPr>
            <w:tcW w:w="59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94" w:lineRule="exact"/>
        <w:rPr>
          <w:rFonts w:ascii="Times New Roman" w:cs="Times New Roman" w:eastAsia="Times New Roman" w:hAnsi="Times New Roman"/>
          <w:sz w:val="18"/>
          <w:szCs w:val="18"/>
          <w:b w:val="1"/>
          <w:bCs w:val="1"/>
          <w:color w:val="auto"/>
        </w:rPr>
      </w:pPr>
    </w:p>
    <w:p>
      <w:pPr>
        <w:ind w:left="340" w:right="7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January 30, 2016 and January 31, 2015, the Company had borrowing availability of $125.0 million under the amended and restated credit agreement.</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Second Amended and Restated Credit Agreement</w:t>
      </w:r>
    </w:p>
    <w:p>
      <w:pPr>
        <w:spacing w:after="0" w:line="9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On July 15, 2015, Vera Bradley Designs, Inc. (“VBD”), a wholly-owned subsidiary of the Company, entered into a Second Amended and Restated Credit Agreement among VBD, the lenders from time to time party thereto, JPMorgan Chase Bank,</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80"/>
          </w:cols>
          <w:pgMar w:left="240" w:top="117" w:right="2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left="340" w:right="100"/>
        <w:spacing w:after="0" w:line="258" w:lineRule="auto"/>
        <w:rPr>
          <w:sz w:val="20"/>
          <w:szCs w:val="20"/>
          <w:color w:val="auto"/>
        </w:rPr>
      </w:pPr>
      <w:r>
        <w:rPr>
          <w:rFonts w:ascii="Times New Roman" w:cs="Times New Roman" w:eastAsia="Times New Roman" w:hAnsi="Times New Roman"/>
          <w:sz w:val="18"/>
          <w:szCs w:val="18"/>
          <w:color w:val="auto"/>
        </w:rPr>
        <w:t>National Association, as administrative agent, Wells Fargo Bank, National Association, as syndication agent, and KeyBank National Association, as documentation agent (the “Credit Agreement”), which amended and restated the Company's prior credit agreement. The Credit Agreement provides for certain credit facilities to VBD in an aggregate principal amount not to initially exceed $125.0 million, the proceeds of which will be used for general corporate purposes of VBD and its subsidiaries, including but not limited to Vera Bradley International, LLC and Vera Bradley Sales, LLC (collectively, the “Named Subsidiaries”).</w:t>
      </w:r>
    </w:p>
    <w:p>
      <w:pPr>
        <w:spacing w:after="0" w:line="49" w:lineRule="exact"/>
        <w:rPr>
          <w:sz w:val="20"/>
          <w:szCs w:val="20"/>
          <w:color w:val="auto"/>
        </w:rPr>
      </w:pPr>
    </w:p>
    <w:p>
      <w:pPr>
        <w:ind w:left="340"/>
        <w:spacing w:after="0" w:line="272" w:lineRule="auto"/>
        <w:rPr>
          <w:sz w:val="20"/>
          <w:szCs w:val="20"/>
          <w:color w:val="auto"/>
        </w:rPr>
      </w:pPr>
      <w:r>
        <w:rPr>
          <w:rFonts w:ascii="Times New Roman" w:cs="Times New Roman" w:eastAsia="Times New Roman" w:hAnsi="Times New Roman"/>
          <w:sz w:val="17"/>
          <w:szCs w:val="17"/>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w:t>
      </w:r>
    </w:p>
    <w:p>
      <w:pPr>
        <w:spacing w:after="0" w:line="2" w:lineRule="exact"/>
        <w:rPr>
          <w:sz w:val="20"/>
          <w:szCs w:val="20"/>
          <w:color w:val="auto"/>
        </w:rPr>
      </w:pPr>
    </w:p>
    <w:p>
      <w:pPr>
        <w:jc w:val="both"/>
        <w:ind w:left="340" w:hanging="8"/>
        <w:spacing w:after="0" w:line="255" w:lineRule="auto"/>
        <w:tabs>
          <w:tab w:leader="none" w:pos="6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w:t>
      </w:r>
    </w:p>
    <w:p>
      <w:pPr>
        <w:spacing w:after="0" w:line="51" w:lineRule="exact"/>
        <w:rPr>
          <w:sz w:val="20"/>
          <w:szCs w:val="20"/>
          <w:color w:val="auto"/>
        </w:rPr>
      </w:pPr>
    </w:p>
    <w:p>
      <w:pPr>
        <w:jc w:val="both"/>
        <w:ind w:left="340" w:right="180"/>
        <w:spacing w:after="0" w:line="266" w:lineRule="auto"/>
        <w:rPr>
          <w:sz w:val="20"/>
          <w:szCs w:val="20"/>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41" w:lineRule="exact"/>
        <w:rPr>
          <w:sz w:val="20"/>
          <w:szCs w:val="20"/>
          <w:color w:val="auto"/>
        </w:rPr>
      </w:pPr>
    </w:p>
    <w:p>
      <w:pPr>
        <w:ind w:left="340" w:right="20"/>
        <w:spacing w:after="0" w:line="255" w:lineRule="auto"/>
        <w:rPr>
          <w:sz w:val="20"/>
          <w:szCs w:val="20"/>
          <w:color w:val="auto"/>
        </w:rPr>
      </w:pPr>
      <w:r>
        <w:rPr>
          <w:rFonts w:ascii="Times New Roman" w:cs="Times New Roman" w:eastAsia="Times New Roman" w:hAnsi="Times New Roman"/>
          <w:sz w:val="18"/>
          <w:szCs w:val="18"/>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w:t>
      </w:r>
    </w:p>
    <w:p>
      <w:pPr>
        <w:spacing w:after="0" w:line="181"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9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income tax expense were as follows (in thousands):</w:t>
      </w:r>
    </w:p>
    <w:p>
      <w:pPr>
        <w:spacing w:after="0" w:line="34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20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00" w:type="dxa"/>
            <w:vAlign w:val="bottom"/>
          </w:tcPr>
          <w:p>
            <w:pPr>
              <w:spacing w:after="0"/>
              <w:rPr>
                <w:sz w:val="13"/>
                <w:szCs w:val="13"/>
                <w:color w:val="auto"/>
              </w:rPr>
            </w:pPr>
          </w:p>
        </w:tc>
        <w:tc>
          <w:tcPr>
            <w:tcW w:w="11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5"/>
        </w:trPr>
        <w:tc>
          <w:tcPr>
            <w:tcW w:w="6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19,823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34,578</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3,643</w:t>
            </w:r>
          </w:p>
        </w:tc>
      </w:tr>
      <w:tr>
        <w:trPr>
          <w:trHeight w:val="27"/>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22,241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38,298</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r>
      <w:tr>
        <w:trPr>
          <w:trHeight w:val="243"/>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7"/>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r>
      <w:tr>
        <w:trPr>
          <w:trHeight w:val="23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18,901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35,057</w:t>
            </w:r>
          </w:p>
        </w:tc>
      </w:tr>
      <w:tr>
        <w:trPr>
          <w:trHeight w:val="27"/>
        </w:trPr>
        <w:tc>
          <w:tcPr>
            <w:tcW w:w="6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breakdown of the Company’s income from continuing operations before income taxes is as follows (in thousands):</w:t>
      </w:r>
    </w:p>
    <w:p>
      <w:pPr>
        <w:spacing w:after="0" w:line="34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2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3"/>
                <w:szCs w:val="13"/>
                <w:color w:val="auto"/>
              </w:rPr>
            </w:pPr>
          </w:p>
        </w:tc>
        <w:tc>
          <w:tcPr>
            <w:tcW w:w="11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95"/>
        </w:trPr>
        <w:tc>
          <w:tcPr>
            <w:tcW w:w="488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46,386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94,877</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from continuing operations before income taxes</w:t>
            </w: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46,459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95,186</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7"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income tax expense to the amount computed at the federal statutory rate is as follows for the fiscal years ended January 30, 2016,</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January 31, 2015, and February 1, 2014 (in thousands):</w:t>
      </w:r>
    </w:p>
    <w:p>
      <w:pPr>
        <w:spacing w:after="0" w:line="32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3"/>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gridSpan w:val="3"/>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gridSpan w:val="3"/>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720" w:type="dxa"/>
            <w:vAlign w:val="bottom"/>
          </w:tcPr>
          <w:p>
            <w:pPr>
              <w:spacing w:after="0"/>
              <w:rPr>
                <w:sz w:val="13"/>
                <w:szCs w:val="13"/>
                <w:color w:val="auto"/>
              </w:rPr>
            </w:pPr>
          </w:p>
        </w:tc>
      </w:tr>
      <w:tr>
        <w:trPr>
          <w:trHeight w:val="195"/>
        </w:trPr>
        <w:tc>
          <w:tcPr>
            <w:tcW w:w="29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2015</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2014</w:t>
            </w:r>
          </w:p>
        </w:tc>
        <w:tc>
          <w:tcPr>
            <w:tcW w:w="720" w:type="dxa"/>
            <w:vAlign w:val="bottom"/>
            <w:tcBorders>
              <w:bottom w:val="single" w:sz="8" w:color="auto"/>
            </w:tcBorders>
          </w:tcPr>
          <w:p>
            <w:pPr>
              <w:spacing w:after="0"/>
              <w:rPr>
                <w:sz w:val="16"/>
                <w:szCs w:val="16"/>
                <w:color w:val="auto"/>
              </w:rPr>
            </w:pPr>
          </w:p>
        </w:tc>
      </w:tr>
      <w:tr>
        <w:trPr>
          <w:trHeight w:val="249"/>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taxes at statutory rate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16,261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22,282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33,315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25"/>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benefit</w:t>
            </w:r>
          </w:p>
        </w:tc>
        <w:tc>
          <w:tcPr>
            <w:tcW w:w="34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18,901</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22,828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35,057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36.8 %</w:t>
            </w:r>
          </w:p>
        </w:tc>
      </w:tr>
      <w:tr>
        <w:trPr>
          <w:trHeight w:val="27"/>
        </w:trPr>
        <w:tc>
          <w:tcPr>
            <w:tcW w:w="2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2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right="80"/>
        <w:spacing w:after="0" w:line="289" w:lineRule="auto"/>
        <w:rPr>
          <w:sz w:val="20"/>
          <w:szCs w:val="20"/>
          <w:color w:val="auto"/>
        </w:rPr>
      </w:pPr>
      <w:r>
        <w:rPr>
          <w:rFonts w:ascii="Times New Roman" w:cs="Times New Roman" w:eastAsia="Times New Roman" w:hAnsi="Times New Roman"/>
          <w:sz w:val="17"/>
          <w:szCs w:val="17"/>
          <w:color w:val="auto"/>
        </w:rPr>
        <w:t>During the third quarter of fiscal 2015, the Company discontinued retail operations in Japan. The above information consists of continuing operations only. At the beginning of fiscal 2015, the Company made an election for tax purposes to treat the Japan operations as a branch thereby causing the Japan activity to be taxed in the United States. The final tax accounting regarding Japan was recognized upon the sale of all Japan inventory in fiscal 2016.</w:t>
      </w:r>
    </w:p>
    <w:p>
      <w:pPr>
        <w:spacing w:after="0" w:line="104"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book and tax bases of assets and liabilities. Significant components of deferred tax assets and liabilities were as follows (in thousands):</w:t>
      </w:r>
    </w:p>
    <w:p>
      <w:pPr>
        <w:spacing w:after="0" w:line="27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220" w:type="dxa"/>
            <w:vAlign w:val="bottom"/>
          </w:tcPr>
          <w:p>
            <w:pPr>
              <w:spacing w:after="0"/>
              <w:rPr>
                <w:sz w:val="13"/>
                <w:szCs w:val="13"/>
                <w:color w:val="auto"/>
              </w:rPr>
            </w:pPr>
          </w:p>
        </w:tc>
        <w:tc>
          <w:tcPr>
            <w:tcW w:w="11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95"/>
        </w:trPr>
        <w:tc>
          <w:tcPr>
            <w:tcW w:w="7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r>
      <w:tr>
        <w:trPr>
          <w:trHeight w:val="243"/>
        </w:trPr>
        <w:tc>
          <w:tcPr>
            <w:tcW w:w="7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credits from landlords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r>
      <w:tr>
        <w:trPr>
          <w:trHeight w:val="237"/>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Subtotal deferred tax assets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22,459</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valuation allowances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7"/>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22,265</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(12,085)</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r>
      <w:tr>
        <w:trPr>
          <w:trHeight w:val="237"/>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(14,242)</w:t>
            </w:r>
          </w:p>
        </w:tc>
      </w:tr>
      <w:tr>
        <w:trPr>
          <w:trHeight w:val="27"/>
        </w:trPr>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beginning and ending gross amount of unrecognized tax benefits (excluding interest and penalties) for the fiscal years ended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January 30, 2016, and January 31, 2015, is as follows (in thousands):</w:t>
      </w:r>
    </w:p>
    <w:p>
      <w:pPr>
        <w:spacing w:after="0" w:line="32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220" w:type="dxa"/>
            <w:vAlign w:val="bottom"/>
          </w:tcPr>
          <w:p>
            <w:pPr>
              <w:spacing w:after="0"/>
              <w:rPr>
                <w:sz w:val="13"/>
                <w:szCs w:val="13"/>
                <w:color w:val="auto"/>
              </w:rPr>
            </w:pPr>
          </w:p>
        </w:tc>
        <w:tc>
          <w:tcPr>
            <w:tcW w:w="11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95"/>
        </w:trPr>
        <w:tc>
          <w:tcPr>
            <w:tcW w:w="76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3,115</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(decreases) increases in unrecognized tax benefits as a result of current year activity</w:t>
            </w: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7"/>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3,018</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right="140"/>
        <w:spacing w:after="0" w:line="266" w:lineRule="auto"/>
        <w:rPr>
          <w:sz w:val="20"/>
          <w:szCs w:val="20"/>
          <w:color w:val="auto"/>
        </w:rPr>
      </w:pPr>
      <w:r>
        <w:rPr>
          <w:rFonts w:ascii="Times New Roman" w:cs="Times New Roman" w:eastAsia="Times New Roman" w:hAnsi="Times New Roman"/>
          <w:sz w:val="18"/>
          <w:szCs w:val="18"/>
          <w:color w:val="auto"/>
        </w:rPr>
        <w:t>As of January 30, 2016, of the $3.1 million of total unrecognized tax benefits, $2.6 million, which is net of federal benefit, would, if recognized, favorably affect the effective tax rate in future periods. Total unrecognized tax benefits are currently not expected to decrease by a significant amount in the next twelve months. The Company recognized an immaterial</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117"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amount of interest only, no penalties, related to unrecognized tax benefits in the fiscal years ended January 30, 2016, and January 31, 2015.</w:t>
      </w:r>
    </w:p>
    <w:p>
      <w:pPr>
        <w:spacing w:after="0" w:line="90" w:lineRule="exact"/>
        <w:rPr>
          <w:sz w:val="20"/>
          <w:szCs w:val="20"/>
          <w:color w:val="auto"/>
        </w:rPr>
      </w:pPr>
    </w:p>
    <w:p>
      <w:pPr>
        <w:jc w:val="both"/>
        <w:ind w:left="340" w:right="120"/>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in various state and foreign jurisdictions. Income tax returns for calendar year 2012 to present are open for examination in the federal jurisdiction and in significant state jurisdictions. Taxable income/loss in foreign jurisdictions are not material.</w:t>
      </w:r>
    </w:p>
    <w:p>
      <w:pPr>
        <w:spacing w:after="0" w:line="172"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94" w:lineRule="exact"/>
        <w:rPr>
          <w:rFonts w:ascii="Times New Roman" w:cs="Times New Roman" w:eastAsia="Times New Roman" w:hAnsi="Times New Roman"/>
          <w:sz w:val="18"/>
          <w:szCs w:val="18"/>
          <w:b w:val="1"/>
          <w:bCs w:val="1"/>
          <w:color w:val="auto"/>
        </w:rPr>
      </w:pPr>
    </w:p>
    <w:p>
      <w:pPr>
        <w:ind w:left="340" w:right="7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party to non-cancellable operating leases. Future minimum lease payments under the non-cancellable operating leases through expiration are as follows (in thousands and by fiscal year):</w:t>
      </w:r>
    </w:p>
    <w:p>
      <w:pPr>
        <w:spacing w:after="0" w:line="358"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248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7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30,585</w:t>
            </w: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6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30,922</w:t>
            </w:r>
          </w:p>
        </w:tc>
      </w:tr>
      <w:tr>
        <w:trPr>
          <w:trHeight w:val="27"/>
        </w:trPr>
        <w:tc>
          <w:tcPr>
            <w:tcW w:w="24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6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28,699</w:t>
            </w: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6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27,492</w:t>
            </w:r>
          </w:p>
        </w:tc>
      </w:tr>
      <w:tr>
        <w:trPr>
          <w:trHeight w:val="27"/>
        </w:trPr>
        <w:tc>
          <w:tcPr>
            <w:tcW w:w="24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6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26,728</w:t>
            </w: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76,621</w:t>
            </w:r>
          </w:p>
        </w:tc>
      </w:tr>
      <w:tr>
        <w:trPr>
          <w:trHeight w:val="27"/>
        </w:trPr>
        <w:tc>
          <w:tcPr>
            <w:tcW w:w="24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248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221,047</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Rental expense for all leases, excluding discontinued operations, was as follows (in thousands):</w:t>
      </w:r>
    </w:p>
    <w:p>
      <w:pPr>
        <w:spacing w:after="0" w:line="352"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30, 2016</w:t>
            </w:r>
          </w:p>
        </w:tc>
        <w:tc>
          <w:tcPr>
            <w:tcW w:w="37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32,456</w:t>
            </w:r>
          </w:p>
        </w:tc>
      </w:tr>
      <w:tr>
        <w:trPr>
          <w:trHeight w:val="24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January 31, 2015</w:t>
            </w:r>
          </w:p>
        </w:tc>
        <w:tc>
          <w:tcPr>
            <w:tcW w:w="37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25,198</w:t>
            </w:r>
          </w:p>
        </w:tc>
      </w:tr>
      <w:tr>
        <w:trPr>
          <w:trHeight w:val="27"/>
        </w:trPr>
        <w:tc>
          <w:tcPr>
            <w:tcW w:w="58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1, 2014</w:t>
            </w:r>
          </w:p>
        </w:tc>
        <w:tc>
          <w:tcPr>
            <w:tcW w:w="37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22,563</w:t>
            </w:r>
          </w:p>
        </w:tc>
      </w:tr>
      <w:tr>
        <w:trPr>
          <w:trHeight w:val="27"/>
        </w:trPr>
        <w:tc>
          <w:tcPr>
            <w:tcW w:w="588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8"/>
          <w:szCs w:val="18"/>
          <w:color w:val="auto"/>
        </w:rPr>
        <w:t>Lease terms generally range from five to ten years with options to renew for varying terms. Future minimum lease payments relate primarily to the lease of retail space. Additionally, several lease agreements contain a provision for payments based on a percentage of sales in addition to the stated lease payments. Percentage rent expense was $2.4 million, $1.9 million and $2.5 million for fiscal years ended January 30, 2016, January 31, 2015, and February 1, 2014, respectively.</w:t>
      </w:r>
    </w:p>
    <w:p>
      <w:pPr>
        <w:spacing w:after="0" w:line="45"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During fiscal 2015 and fiscal 2014, the Company leased one of its facilities from leasing companies owned by certain shareholders and directors. Lease expense related to this arrangement was $0.1 million for fiscal year ended January 31, 2015, and $0.2 million for fiscal year ended February 1, 2014. The Company was also under a lease agreement during fiscal 2014 with Great Dane Realty, LLC, a company owned by Barbara Bradley Baekgaard. Lease expense for the fiscal year ended February 1, 2014, related to this arrangement was $0.3 million.</w:t>
      </w:r>
    </w:p>
    <w:p>
      <w:pPr>
        <w:spacing w:after="0" w:line="176"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94" w:lineRule="exact"/>
        <w:rPr>
          <w:rFonts w:ascii="Times New Roman" w:cs="Times New Roman" w:eastAsia="Times New Roman" w:hAnsi="Times New Roman"/>
          <w:sz w:val="18"/>
          <w:szCs w:val="18"/>
          <w:b w:val="1"/>
          <w:bCs w:val="1"/>
          <w:color w:val="auto"/>
        </w:rPr>
      </w:pPr>
    </w:p>
    <w:p>
      <w:pPr>
        <w:ind w:left="34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stock-based compensation consists of awards of restricted stock and restricted stock units. The Company recognized stock-based compensation expense of $5.0 million, $3.5 million and $3.0 million in the fiscal years ended January 30, 2016, January 31, 2015, and February 1, 2014, respectively.</w:t>
      </w:r>
    </w:p>
    <w:p>
      <w:pPr>
        <w:spacing w:after="0" w:line="20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Awards of Restricted-Stock Units</w:t>
      </w:r>
    </w:p>
    <w:p>
      <w:pPr>
        <w:spacing w:after="0" w:line="92" w:lineRule="exact"/>
        <w:rPr>
          <w:rFonts w:ascii="Times New Roman" w:cs="Times New Roman" w:eastAsia="Times New Roman" w:hAnsi="Times New Roman"/>
          <w:sz w:val="18"/>
          <w:szCs w:val="18"/>
          <w:b w:val="1"/>
          <w:bCs w:val="1"/>
          <w:color w:val="auto"/>
        </w:rPr>
      </w:pPr>
    </w:p>
    <w:p>
      <w:pPr>
        <w:ind w:left="34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reserved 6,076,001 shares of common stock for issuance or transfer under the 2010 Equity and Incentive Plan, which allows for grants of restricted stock units, as well as other equity awards. As of January 30, 2016, there were 5,100,762 of shares remaining in that program.</w:t>
      </w:r>
    </w:p>
    <w:p>
      <w:pPr>
        <w:spacing w:after="0" w:line="26" w:lineRule="exact"/>
        <w:rPr>
          <w:rFonts w:ascii="Times New Roman" w:cs="Times New Roman" w:eastAsia="Times New Roman" w:hAnsi="Times New Roman"/>
          <w:sz w:val="18"/>
          <w:szCs w:val="18"/>
          <w:b w:val="1"/>
          <w:bCs w:val="1"/>
          <w:color w:val="auto"/>
        </w:rPr>
      </w:pPr>
    </w:p>
    <w:p>
      <w:pPr>
        <w:ind w:left="340" w:right="3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fiscal year ended January 30, 2016, the Company granted a total of 606,785 time-based and performance-based restricted stock units to certain employees and non-employee directors under the 2010 Equity and Incentive Plan with an aggregate fair value of $9.6 million. The Company determined the fair value of the units based on the closing price of the Company’s common stock on the grant date.</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80"/>
          </w:cols>
          <w:pgMar w:left="240" w:top="117" w:right="2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The majority of time-based restricted stock units vest and settle in shares of the Company’s common stock, on a one-for-one basis, in equal installments on each of the first three anniversaries of the grant date. Beginning in fiscal 2014, all restricted stock awards issued to non-employee directors vest after a one-year period from grant date. The Company is recognizing the expense relating to these awards, net of estimated forfeitures, on a straight-line basis over the vesting period.</w:t>
      </w:r>
    </w:p>
    <w:p>
      <w:pPr>
        <w:spacing w:after="0" w:line="45"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The majority of performance-based restricted stock units vest upon the completion of a three-year period of time (cliff vesting), subject to the employee’s continuing employment throughout the three-year performance period and the Company’s achievement of annual net income or earnings per share targets during the three-year performance period. The Company is recognizing the expense relating to these units, net of estimated forfeitures and based on the probable outcome of achievement of the financial targets, on a straight-line basis over the vesting period.</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restricted-stock units as of and for the year ended January 30, 2016 (units in thousands):</w:t>
      </w:r>
    </w:p>
    <w:p>
      <w:pPr>
        <w:spacing w:after="0" w:line="34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6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vMerge w:val="restart"/>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36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49"/>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January 31, 2015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15.85</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January 30, 2016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18.05</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8"/>
          <w:szCs w:val="18"/>
          <w:color w:val="auto"/>
        </w:rPr>
        <w:t>As of January 30, 2016, there was $6.8 million of total unrecognized compensation cost, net of estimated forfeitures, related to nonvested restricted stock units. That cost is expected to be recognized over a weighted average period of 1.7 years. The total fair value of restricted stock units for which restrictions lapsed (vested) during fiscal 2016 was $2.3 million. No restricted-stock awards were granted, vested, or forfeited for the year ended January 30, 2016.</w:t>
      </w:r>
    </w:p>
    <w:p>
      <w:pPr>
        <w:spacing w:after="0" w:line="176"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94" w:lineRule="exact"/>
        <w:rPr>
          <w:rFonts w:ascii="Times New Roman" w:cs="Times New Roman" w:eastAsia="Times New Roman" w:hAnsi="Times New Roman"/>
          <w:sz w:val="18"/>
          <w:szCs w:val="18"/>
          <w:b w:val="1"/>
          <w:bCs w:val="1"/>
          <w:color w:val="auto"/>
        </w:rPr>
      </w:pPr>
    </w:p>
    <w:p>
      <w:pPr>
        <w:ind w:left="34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claims and contingencies arising in the normal course of business, including those relating to product liability, legal, employee benefit, regulatory, environmental, and other matters. Management believes that it is not reasonably possible that any of these claims will have a material adverse effect on the Company’s financial condition, results of operations, or cash flows.</w:t>
      </w:r>
    </w:p>
    <w:p>
      <w:pPr>
        <w:spacing w:after="0" w:line="172"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401(k) Profit Sharing Plan and Trust</w:t>
      </w:r>
    </w:p>
    <w:p>
      <w:pPr>
        <w:spacing w:after="0" w:line="94" w:lineRule="exact"/>
        <w:rPr>
          <w:rFonts w:ascii="Times New Roman" w:cs="Times New Roman" w:eastAsia="Times New Roman" w:hAnsi="Times New Roman"/>
          <w:sz w:val="18"/>
          <w:szCs w:val="18"/>
          <w:b w:val="1"/>
          <w:bCs w:val="1"/>
          <w:color w:val="auto"/>
        </w:rPr>
      </w:pPr>
    </w:p>
    <w:p>
      <w:pPr>
        <w:ind w:left="340" w:right="1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 401(k) profit sharing plan and trust for all qualified employees and provides a 100% match for the first 3% of employee contributions and a 50% match for the next 2% of employee contributions, for a maximum Company match of 4% of employee contributions, limited to the annual legal allowable limit. Additionally, the Company has the option of making discretionary profit sharing payments to the plan as approved by the board of directors. As of January 30, 2016, and January 31, 2015, no discretionary profit sharing payments had been approved. Total Company contributions to the plan, excluding discontinued operations, were as follows (in thousands):</w:t>
      </w:r>
    </w:p>
    <w:p>
      <w:pPr>
        <w:spacing w:after="0" w:line="310"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30, 2016</w:t>
            </w:r>
          </w:p>
        </w:tc>
        <w:tc>
          <w:tcPr>
            <w:tcW w:w="58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1,965</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January 31, 2015</w:t>
            </w:r>
          </w:p>
        </w:tc>
        <w:tc>
          <w:tcPr>
            <w:tcW w:w="58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2,394</w:t>
            </w:r>
          </w:p>
        </w:tc>
      </w:tr>
      <w:tr>
        <w:trPr>
          <w:trHeight w:val="27"/>
        </w:trPr>
        <w:tc>
          <w:tcPr>
            <w:tcW w:w="39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1, 2014</w:t>
            </w:r>
          </w:p>
        </w:tc>
        <w:tc>
          <w:tcPr>
            <w:tcW w:w="58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1,505</w:t>
            </w:r>
          </w:p>
        </w:tc>
      </w:tr>
      <w:tr>
        <w:trPr>
          <w:trHeight w:val="675"/>
        </w:trPr>
        <w:tc>
          <w:tcPr>
            <w:tcW w:w="3920" w:type="dxa"/>
            <w:vAlign w:val="bottom"/>
          </w:tcPr>
          <w:p>
            <w:pPr>
              <w:spacing w:after="0"/>
              <w:rPr>
                <w:sz w:val="24"/>
                <w:szCs w:val="24"/>
                <w:color w:val="auto"/>
              </w:rPr>
            </w:pPr>
          </w:p>
        </w:tc>
        <w:tc>
          <w:tcPr>
            <w:tcW w:w="5860" w:type="dxa"/>
            <w:vAlign w:val="bottom"/>
          </w:tcPr>
          <w:p>
            <w:pPr>
              <w:jc w:val="right"/>
              <w:ind w:right="4230"/>
              <w:spacing w:after="0"/>
              <w:rPr>
                <w:sz w:val="20"/>
                <w:szCs w:val="20"/>
                <w:color w:val="auto"/>
              </w:rPr>
            </w:pPr>
            <w:r>
              <w:rPr>
                <w:rFonts w:ascii="Times New Roman" w:cs="Times New Roman" w:eastAsia="Times New Roman" w:hAnsi="Times New Roman"/>
                <w:sz w:val="18"/>
                <w:szCs w:val="18"/>
                <w:color w:val="auto"/>
              </w:rPr>
              <w:t>62</w:t>
            </w:r>
          </w:p>
        </w:tc>
        <w:tc>
          <w:tcPr>
            <w:tcW w:w="880" w:type="dxa"/>
            <w:vAlign w:val="bottom"/>
          </w:tcPr>
          <w:p>
            <w:pPr>
              <w:spacing w:after="0"/>
              <w:rPr>
                <w:sz w:val="24"/>
                <w:szCs w:val="24"/>
                <w:color w:val="auto"/>
              </w:rPr>
            </w:pPr>
          </w:p>
        </w:tc>
      </w:tr>
    </w:tbl>
    <w:p>
      <w:pPr>
        <w:sectPr>
          <w:pgSz w:w="11900" w:h="16838" w:orient="portrait"/>
          <w:cols w:equalWidth="0" w:num="1">
            <w:col w:w="11400"/>
          </w:cols>
          <w:pgMar w:left="240" w:top="117"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94" w:lineRule="exact"/>
        <w:rPr>
          <w:rFonts w:ascii="Times New Roman" w:cs="Times New Roman" w:eastAsia="Times New Roman" w:hAnsi="Times New Roman"/>
          <w:sz w:val="18"/>
          <w:szCs w:val="18"/>
          <w:b w:val="1"/>
          <w:bCs w:val="1"/>
          <w:color w:val="auto"/>
        </w:rPr>
      </w:pPr>
    </w:p>
    <w:p>
      <w:pPr>
        <w:ind w:left="34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leased its former corporate headquarters in fiscal 2015 from leasing companies owned by certain shareholders and directors, as described further in Note 7.</w:t>
      </w:r>
    </w:p>
    <w:p>
      <w:pPr>
        <w:spacing w:after="0" w:line="26" w:lineRule="exact"/>
        <w:rPr>
          <w:rFonts w:ascii="Times New Roman" w:cs="Times New Roman" w:eastAsia="Times New Roman" w:hAnsi="Times New Roman"/>
          <w:sz w:val="18"/>
          <w:szCs w:val="18"/>
          <w:b w:val="1"/>
          <w:bCs w:val="1"/>
          <w:color w:val="auto"/>
        </w:rPr>
      </w:pPr>
    </w:p>
    <w:p>
      <w:pPr>
        <w:ind w:left="3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2013, the Company purchased land and a building, that was previously leased, from Great Dane Realty, LLC, a company owned by Barbara Bradley Baekgaard. The Board of Directors, along with independent real estate appraisers, determined the purchase price of the property, which totaled $2.4 million. This building is adjacent to the distribution center in Roanoke, Indiana.</w:t>
      </w:r>
    </w:p>
    <w:p>
      <w:pPr>
        <w:spacing w:after="0" w:line="41" w:lineRule="exact"/>
        <w:rPr>
          <w:rFonts w:ascii="Times New Roman" w:cs="Times New Roman" w:eastAsia="Times New Roman" w:hAnsi="Times New Roman"/>
          <w:sz w:val="18"/>
          <w:szCs w:val="18"/>
          <w:b w:val="1"/>
          <w:bCs w:val="1"/>
          <w:color w:val="auto"/>
        </w:rPr>
      </w:pPr>
    </w:p>
    <w:p>
      <w:pPr>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fiscal year ended January 31, 2015 and February 1, 2014, the Company made charitable contributions of approximately $0.8 million and $1.0 million, respectively, to the Vera Bradley Foundation for Breast Cancer (the “Foundation”). The Foundation was founded by two of the Company’s directors, who are also on the board of directors of the Foundation. The liability associated with commitments to the Foundation was approximately $0.4 million and $0.1 million as of January 30, 2016 and January 31, 2015, respectively. For fiscal 2016, the liability consisted of pass-through donations. This liability is included in other accrued liabilities in the Consolidated Balance Sheets.</w:t>
      </w:r>
    </w:p>
    <w:p>
      <w:pPr>
        <w:spacing w:after="0" w:line="48" w:lineRule="exact"/>
        <w:rPr>
          <w:rFonts w:ascii="Times New Roman" w:cs="Times New Roman" w:eastAsia="Times New Roman" w:hAnsi="Times New Roman"/>
          <w:sz w:val="18"/>
          <w:szCs w:val="18"/>
          <w:b w:val="1"/>
          <w:bCs w:val="1"/>
          <w:color w:val="auto"/>
        </w:rPr>
      </w:pPr>
    </w:p>
    <w:p>
      <w:pPr>
        <w:ind w:left="340" w:right="6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associated expense for contributions to the Foundation, which is included in selling, general, and administrative expenses, was as follows (in thousands):</w:t>
      </w:r>
    </w:p>
    <w:p>
      <w:pPr>
        <w:spacing w:after="0" w:line="288"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30, 2016</w:t>
            </w:r>
          </w:p>
        </w:tc>
        <w:tc>
          <w:tcPr>
            <w:tcW w:w="38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January 31, 2015</w:t>
            </w:r>
          </w:p>
        </w:tc>
        <w:tc>
          <w:tcPr>
            <w:tcW w:w="38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r>
      <w:tr>
        <w:trPr>
          <w:trHeight w:val="27"/>
        </w:trPr>
        <w:tc>
          <w:tcPr>
            <w:tcW w:w="59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1, 2014</w:t>
            </w:r>
          </w:p>
        </w:tc>
        <w:tc>
          <w:tcPr>
            <w:tcW w:w="38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982</w:t>
            </w:r>
          </w:p>
        </w:tc>
      </w:tr>
      <w:tr>
        <w:trPr>
          <w:trHeight w:val="27"/>
        </w:trPr>
        <w:tc>
          <w:tcPr>
            <w:tcW w:w="592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94" w:lineRule="exact"/>
        <w:rPr>
          <w:rFonts w:ascii="Times New Roman" w:cs="Times New Roman" w:eastAsia="Times New Roman" w:hAnsi="Times New Roman"/>
          <w:sz w:val="18"/>
          <w:szCs w:val="18"/>
          <w:b w:val="1"/>
          <w:bCs w:val="1"/>
          <w:color w:val="auto"/>
        </w:rPr>
      </w:pPr>
    </w:p>
    <w:p>
      <w:pPr>
        <w:ind w:left="34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net income per share is computed based on the weighted-average number of common shares outstanding during the period. Diluted net income per share is computed based on the weighted-average number of shares of common stock plus the effect of dilutive potential common shares outstanding during the period using the treasury stock method. Dilutive potential common shares include outstanding restricted stock and restricted-stock units. The components of basic and diluted net income per share are as follows (in thousands, except per share data):</w:t>
      </w:r>
    </w:p>
    <w:p>
      <w:pPr>
        <w:spacing w:after="0" w:line="376"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120" w:type="dxa"/>
            <w:vAlign w:val="bottom"/>
          </w:tcPr>
          <w:p>
            <w:pPr>
              <w:spacing w:after="0"/>
              <w:rPr>
                <w:sz w:val="12"/>
                <w:szCs w:val="12"/>
                <w:color w:val="auto"/>
              </w:rPr>
            </w:pPr>
          </w:p>
        </w:tc>
        <w:tc>
          <w:tcPr>
            <w:tcW w:w="13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00" w:type="dxa"/>
            <w:vAlign w:val="bottom"/>
          </w:tcPr>
          <w:p>
            <w:pPr>
              <w:spacing w:after="0"/>
              <w:rPr>
                <w:sz w:val="12"/>
                <w:szCs w:val="12"/>
                <w:color w:val="auto"/>
              </w:rPr>
            </w:pPr>
          </w:p>
        </w:tc>
        <w:tc>
          <w:tcPr>
            <w:tcW w:w="1180" w:type="dxa"/>
            <w:vAlign w:val="bottom"/>
          </w:tcPr>
          <w:p>
            <w:pPr>
              <w:jc w:val="right"/>
              <w:ind w:right="253"/>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95"/>
        </w:trPr>
        <w:tc>
          <w:tcPr>
            <w:tcW w:w="462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27,558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60,129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1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27,558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38,449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58,812</w:t>
            </w:r>
          </w:p>
        </w:tc>
        <w:tc>
          <w:tcPr>
            <w:tcW w:w="0" w:type="dxa"/>
            <w:vAlign w:val="bottom"/>
          </w:tcPr>
          <w:p>
            <w:pPr>
              <w:spacing w:after="0"/>
              <w:rPr>
                <w:sz w:val="1"/>
                <w:szCs w:val="1"/>
                <w:color w:val="auto"/>
              </w:rPr>
            </w:pPr>
          </w:p>
        </w:tc>
      </w:tr>
      <w:tr>
        <w:trPr>
          <w:trHeight w:val="67"/>
        </w:trPr>
        <w:tc>
          <w:tcPr>
            <w:tcW w:w="462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Denominator:</w:t>
            </w:r>
          </w:p>
        </w:tc>
        <w:tc>
          <w:tcPr>
            <w:tcW w:w="15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38,795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40,599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1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1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38,861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40,648</w:t>
            </w:r>
          </w:p>
        </w:tc>
        <w:tc>
          <w:tcPr>
            <w:tcW w:w="0" w:type="dxa"/>
            <w:vAlign w:val="bottom"/>
          </w:tcPr>
          <w:p>
            <w:pPr>
              <w:spacing w:after="0"/>
              <w:rPr>
                <w:sz w:val="1"/>
                <w:szCs w:val="1"/>
                <w:color w:val="auto"/>
              </w:rPr>
            </w:pPr>
          </w:p>
        </w:tc>
      </w:tr>
      <w:tr>
        <w:trPr>
          <w:trHeight w:val="67"/>
        </w:trPr>
        <w:tc>
          <w:tcPr>
            <w:tcW w:w="462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Earnings per share - basic:</w:t>
            </w:r>
          </w:p>
        </w:tc>
        <w:tc>
          <w:tcPr>
            <w:tcW w:w="15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1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67"/>
        </w:trPr>
        <w:tc>
          <w:tcPr>
            <w:tcW w:w="462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Earnings per share - diluted:</w:t>
            </w:r>
          </w:p>
        </w:tc>
        <w:tc>
          <w:tcPr>
            <w:tcW w:w="15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1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8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left="340" w:right="80"/>
        <w:spacing w:after="0" w:line="266" w:lineRule="auto"/>
        <w:rPr>
          <w:sz w:val="20"/>
          <w:szCs w:val="20"/>
          <w:color w:val="auto"/>
        </w:rPr>
      </w:pPr>
      <w:r>
        <w:rPr>
          <w:rFonts w:ascii="Times New Roman" w:cs="Times New Roman" w:eastAsia="Times New Roman" w:hAnsi="Times New Roman"/>
          <w:sz w:val="18"/>
          <w:szCs w:val="18"/>
          <w:color w:val="auto"/>
        </w:rPr>
        <w:t>As of January 30, 2016, there were an immaterial number of additional shares issuable upon the vesting of restricted stock units that were excluded from the diluted share calculations because they were anti-dilutive. As of January 30, 2016, there were no additional shares issuable upon the vesting of restricted stock units that were excluded from the diluted share calculations.</w:t>
      </w:r>
    </w:p>
    <w:p>
      <w:pPr>
        <w:spacing w:after="0" w:line="172"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94" w:lineRule="exact"/>
        <w:rPr>
          <w:rFonts w:ascii="Times New Roman" w:cs="Times New Roman" w:eastAsia="Times New Roman" w:hAnsi="Times New Roman"/>
          <w:sz w:val="18"/>
          <w:szCs w:val="18"/>
          <w:b w:val="1"/>
          <w:bCs w:val="1"/>
          <w:color w:val="auto"/>
        </w:rPr>
      </w:pPr>
    </w:p>
    <w:p>
      <w:pPr>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9, 2014, the Company’s board of directors approved a share repurchase program (the “2014 Share Repurchase Program”) authorizing up to $40.0 million of repurchases of shares of the Company's common stock through October 2016. The 2014 Share Repurchase Program was completed in August 2015. On December 8, 2015, the Company's board of directors approved another share repurchase program (the “2015 Share Repurchase Program”) authorizing up to $50.0 million of repurchases of shares of the Company's common stock. The 2015 Share Repurchase Program expires in December 2017.</w:t>
      </w:r>
    </w:p>
    <w:p>
      <w:pPr>
        <w:spacing w:after="0" w:line="48" w:lineRule="exact"/>
        <w:rPr>
          <w:rFonts w:ascii="Times New Roman" w:cs="Times New Roman" w:eastAsia="Times New Roman" w:hAnsi="Times New Roman"/>
          <w:sz w:val="18"/>
          <w:szCs w:val="18"/>
          <w:b w:val="1"/>
          <w:bCs w:val="1"/>
          <w:color w:val="auto"/>
        </w:rPr>
      </w:pPr>
    </w:p>
    <w:p>
      <w:pPr>
        <w:ind w:left="340"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purchased and held 2,481,367 shares at an average price of $12.57 per share, excluding commissions, for an aggregate amount of $31.2 million during the fiscal year ended January 30, 2016. Of these purchases, 283,354 shares at an average price of $14.64 per share, for an aggregate amount of $4.1 million, were purchased under the 2015 Share Repurchase Plan. As of January 30, 2016, there was $45.9 million remaining available to repurchase shares of the Company's common stock under the 2015 Share Repurchase Program.</w:t>
      </w:r>
    </w:p>
    <w:p>
      <w:pPr>
        <w:spacing w:after="0" w:line="126" w:lineRule="exact"/>
        <w:rPr>
          <w:rFonts w:ascii="Times New Roman" w:cs="Times New Roman" w:eastAsia="Times New Roman" w:hAnsi="Times New Roman"/>
          <w:sz w:val="18"/>
          <w:szCs w:val="18"/>
          <w:b w:val="1"/>
          <w:bCs w:val="1"/>
          <w:color w:val="auto"/>
        </w:rPr>
      </w:pPr>
    </w:p>
    <w:p>
      <w:pPr>
        <w:ind w:left="34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January 30, 2016, the Company held as treasury shares 3,102,352 shares of its common stock at an average price of $14.23 per share, excluding commissions, for an aggregate carrying amount of $44.1 million. The Company’s treasury shares may be issued under the 2010 Equity and Incentive Plan or for other corporate purposes.</w:t>
      </w:r>
    </w:p>
    <w:p>
      <w:pPr>
        <w:spacing w:after="0" w:line="253"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94" w:lineRule="exact"/>
        <w:rPr>
          <w:rFonts w:ascii="Times New Roman" w:cs="Times New Roman" w:eastAsia="Times New Roman" w:hAnsi="Times New Roman"/>
          <w:sz w:val="18"/>
          <w:szCs w:val="18"/>
          <w:b w:val="1"/>
          <w:bCs w:val="1"/>
          <w:color w:val="auto"/>
        </w:rPr>
      </w:pPr>
    </w:p>
    <w:p>
      <w:pPr>
        <w:ind w:left="34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4, 2014, the Company entered into a five-year agreement with Mitsubishi Corporation Fashion Company and Look Inc. to import and distribute Vera Bradley products in Japan. As a result of moving to this wholesale business model, the Company exited its direct business in Japan during the third quarter of fiscal 2015 and the results of operations are reported as discontinued operations. Japan results were previously reported in the Direct segment, which has been restated to exclude the results of the discontinued operations for the periods presented. Following are the Japan results of operations (in thousands):</w:t>
      </w:r>
    </w:p>
    <w:p>
      <w:pPr>
        <w:spacing w:after="0" w:line="272"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494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49"/>
        </w:trPr>
        <w:tc>
          <w:tcPr>
            <w:tcW w:w="4940" w:type="dxa"/>
            <w:vAlign w:val="bottom"/>
          </w:tcPr>
          <w:p>
            <w:pPr>
              <w:spacing w:after="0"/>
              <w:rPr>
                <w:sz w:val="12"/>
                <w:szCs w:val="12"/>
                <w:color w:val="auto"/>
              </w:rPr>
            </w:pPr>
          </w:p>
        </w:tc>
        <w:tc>
          <w:tcPr>
            <w:tcW w:w="1380" w:type="dxa"/>
            <w:vAlign w:val="bottom"/>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80" w:type="dxa"/>
            <w:vAlign w:val="bottom"/>
          </w:tcPr>
          <w:p>
            <w:pPr>
              <w:spacing w:after="0"/>
              <w:rPr>
                <w:sz w:val="12"/>
                <w:szCs w:val="12"/>
                <w:color w:val="auto"/>
              </w:rPr>
            </w:pPr>
          </w:p>
        </w:tc>
        <w:tc>
          <w:tcPr>
            <w:tcW w:w="1380" w:type="dxa"/>
            <w:vAlign w:val="bottom"/>
          </w:tcPr>
          <w:p>
            <w:pPr>
              <w:jc w:val="right"/>
              <w:ind w:right="393"/>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5"/>
        </w:trPr>
        <w:tc>
          <w:tcPr>
            <w:tcW w:w="49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380" w:type="dxa"/>
            <w:vAlign w:val="bottom"/>
            <w:tcBorders>
              <w:bottom w:val="single" w:sz="8" w:color="CCEEFF"/>
            </w:tcBorders>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5,125</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3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1,905</w:t>
            </w:r>
          </w:p>
        </w:tc>
      </w:tr>
      <w:tr>
        <w:trPr>
          <w:trHeight w:val="27"/>
        </w:trPr>
        <w:tc>
          <w:tcPr>
            <w:tcW w:w="49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1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3,220</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4,537</w:t>
            </w:r>
          </w:p>
        </w:tc>
      </w:tr>
      <w:tr>
        <w:trPr>
          <w:trHeight w:val="27"/>
        </w:trPr>
        <w:tc>
          <w:tcPr>
            <w:tcW w:w="49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loss</w:t>
            </w:r>
          </w:p>
        </w:tc>
        <w:tc>
          <w:tcPr>
            <w:tcW w:w="1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r>
      <w:tr>
        <w:trPr>
          <w:trHeight w:val="270"/>
        </w:trPr>
        <w:tc>
          <w:tcPr>
            <w:tcW w:w="494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Loss on disposal from discontinued operations</w:t>
            </w:r>
            <w:r>
              <w:rPr>
                <w:rFonts w:ascii="Times New Roman" w:cs="Times New Roman" w:eastAsia="Times New Roman" w:hAnsi="Times New Roman"/>
                <w:sz w:val="25"/>
                <w:szCs w:val="25"/>
                <w:color w:val="auto"/>
                <w:vertAlign w:val="superscript"/>
              </w:rPr>
              <w:t>(1)</w:t>
            </w:r>
          </w:p>
        </w:tc>
        <w:tc>
          <w:tcPr>
            <w:tcW w:w="13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49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3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380" w:type="dxa"/>
            <w:vAlign w:val="bottom"/>
            <w:tcBorders>
              <w:bottom w:val="single" w:sz="8" w:color="CCEEFF"/>
            </w:tcBorders>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40" w:hanging="281"/>
        <w:spacing w:after="0"/>
        <w:tabs>
          <w:tab w:leader="none" w:pos="6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 from discontinued operations primarily relates to cumulative foreign currency translation adjustments.</w:t>
      </w:r>
    </w:p>
    <w:p>
      <w:pPr>
        <w:spacing w:after="0" w:line="3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Other Charges</w:t>
      </w:r>
    </w:p>
    <w:p>
      <w:pPr>
        <w:spacing w:after="0" w:line="9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first quarter of fiscal 2016, the Company closed its manufacturing facility located in New Haven, Indiana.</w:t>
      </w:r>
    </w:p>
    <w:p>
      <w:pPr>
        <w:spacing w:after="0" w:line="90" w:lineRule="exact"/>
        <w:rPr>
          <w:rFonts w:ascii="Times New Roman" w:cs="Times New Roman" w:eastAsia="Times New Roman" w:hAnsi="Times New Roman"/>
          <w:sz w:val="18"/>
          <w:szCs w:val="18"/>
          <w:b w:val="1"/>
          <w:bCs w:val="1"/>
          <w:color w:val="auto"/>
        </w:rPr>
      </w:pPr>
    </w:p>
    <w:p>
      <w:pPr>
        <w:ind w:left="34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incurred restructuring and other charges during the first quarter of fiscal 2016 of approximately $3.4 million ($2.1 million after the associated tax benefit) relating to the facility closing, as compared to $3.0 million ($1.9 million after the associated tax benefit), primarily related to raw materials inventory write-downs, in the fourth quarter of fiscal 2015. The fiscal 2016 charges include severance and benefit costs of approximately $1.7 million, lease termination costs of</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117"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8"/>
          <w:szCs w:val="18"/>
          <w:color w:val="auto"/>
        </w:rPr>
        <w:t>approximately $0.7 million, inventory-related charges of approximately $0.6 million, and other associated net costs, which include accelerated depreciation related to fixed assets, of approximately $0.4 million. These charges are reflected in cost of sales in the Company's Consolidated Financial Statements. Management expects that the facility closure will reduce operating costs by approximately $12.0 million annually beginning in the fourth quarter of fiscal 2016. All production from the facility will be absorbed by the Company’s third party manufacturing suppliers.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charges and related liabilities, associated with the plant closure, are as follows (in thousands):</w:t>
      </w:r>
    </w:p>
    <w:p>
      <w:pPr>
        <w:spacing w:after="0" w:line="31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Inventory-Related</w:t>
            </w:r>
          </w:p>
        </w:tc>
        <w:tc>
          <w:tcPr>
            <w:tcW w:w="160" w:type="dxa"/>
            <w:vAlign w:val="bottom"/>
          </w:tcPr>
          <w:p>
            <w:pPr>
              <w:spacing w:after="0"/>
              <w:rPr>
                <w:sz w:val="13"/>
                <w:szCs w:val="13"/>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 Termination</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Severance and Benefits</w:t>
            </w:r>
          </w:p>
        </w:tc>
        <w:tc>
          <w:tcPr>
            <w:tcW w:w="340" w:type="dxa"/>
            <w:vAlign w:val="bottom"/>
          </w:tcPr>
          <w:p>
            <w:pPr>
              <w:spacing w:after="0"/>
              <w:rPr>
                <w:sz w:val="13"/>
                <w:szCs w:val="13"/>
                <w:color w:val="auto"/>
              </w:rPr>
            </w:pPr>
          </w:p>
        </w:tc>
        <w:tc>
          <w:tcPr>
            <w:tcW w:w="114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2015 charges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charges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Liability as of January 31, 2015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2016 charges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charges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57"/>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as of January 30, 2016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40" w:right="120"/>
        <w:spacing w:after="0" w:line="258" w:lineRule="auto"/>
        <w:rPr>
          <w:sz w:val="20"/>
          <w:szCs w:val="20"/>
          <w:color w:val="auto"/>
        </w:rPr>
      </w:pPr>
      <w:r>
        <w:rPr>
          <w:rFonts w:ascii="Times New Roman" w:cs="Times New Roman" w:eastAsia="Times New Roman" w:hAnsi="Times New Roman"/>
          <w:sz w:val="18"/>
          <w:szCs w:val="18"/>
          <w:color w:val="auto"/>
        </w:rPr>
        <w:t>Additional charges affecting comparability of the financial results for the fifty-two weeks ended January 30, 2016 and January 31, 2015 totaled approximately $3.1 million ($2.1 million after the associated tax benefit) consisting of charges in the first quarter of fiscal 2016 of $1.3 million in employee severance (reflected in selling, general, and administrative expenses), $1.2 million due to a retail store early lease termination agreement (reflected in selling, general, and administrative expenses), and $0.6 million related to an increase in income tax reserves for uncertain federal and state tax positions related to research and development tax credits (reflected in income tax expense).</w:t>
      </w:r>
    </w:p>
    <w:p>
      <w:pPr>
        <w:spacing w:after="0" w:line="261"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94" w:lineRule="exact"/>
        <w:rPr>
          <w:rFonts w:ascii="Times New Roman" w:cs="Times New Roman" w:eastAsia="Times New Roman" w:hAnsi="Times New Roman"/>
          <w:sz w:val="18"/>
          <w:szCs w:val="18"/>
          <w:b w:val="1"/>
          <w:bCs w:val="1"/>
          <w:color w:val="auto"/>
        </w:rPr>
      </w:pPr>
    </w:p>
    <w:p>
      <w:pPr>
        <w:ind w:left="34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41" w:lineRule="exact"/>
        <w:rPr>
          <w:rFonts w:ascii="Times New Roman" w:cs="Times New Roman" w:eastAsia="Times New Roman" w:hAnsi="Times New Roman"/>
          <w:sz w:val="18"/>
          <w:szCs w:val="18"/>
          <w:b w:val="1"/>
          <w:bCs w:val="1"/>
          <w:color w:val="auto"/>
        </w:rPr>
      </w:pPr>
    </w:p>
    <w:p>
      <w:pPr>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 segment includes the Company’s full-line and factory outlet stores, the Company’s website, verabradley.com, direct-to-consumer eBay sales, and the annual outlet sale. Revenues generated through this segment are driven through the sale of Company-branded products from Vera Bradley to end consumers. The Company exited its direct Japan operations in the third quarter of fiscal 2015. Direct segment results for the current and prior periods presented are reported on a continuing operations basis unless otherwise stated. Discontinued operations are described further in Note 14</w:t>
      </w:r>
      <w:r>
        <w:rPr>
          <w:rFonts w:ascii="Times New Roman" w:cs="Times New Roman" w:eastAsia="Times New Roman" w:hAnsi="Times New Roman"/>
          <w:sz w:val="18"/>
          <w:szCs w:val="18"/>
          <w:i w:val="1"/>
          <w:iCs w:val="1"/>
          <w:color w:val="auto"/>
        </w:rPr>
        <w:t>.</w:t>
      </w:r>
    </w:p>
    <w:p>
      <w:pPr>
        <w:spacing w:after="0" w:line="44" w:lineRule="exact"/>
        <w:rPr>
          <w:rFonts w:ascii="Times New Roman" w:cs="Times New Roman" w:eastAsia="Times New Roman" w:hAnsi="Times New Roman"/>
          <w:sz w:val="18"/>
          <w:szCs w:val="18"/>
          <w:b w:val="1"/>
          <w:bCs w:val="1"/>
          <w:color w:val="auto"/>
        </w:rPr>
      </w:pPr>
    </w:p>
    <w:p>
      <w:pPr>
        <w:ind w:left="340" w:right="1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Indirect segment represents revenues generated through the distribution of Company-branded products to specialty retailers representing approximately 2,600 locations, substantially all of which are located in the United States, as well as select department stores, national accounts, third party e-commerce sites, the Company's wholesale business in Japan, and third-party inventory liquidators. No customer accounted for 10% or more of the Company’s net revenues during fiscal years 2016, 2015 and 2014.</w:t>
      </w:r>
    </w:p>
    <w:p>
      <w:pPr>
        <w:spacing w:after="0" w:line="44" w:lineRule="exact"/>
        <w:rPr>
          <w:rFonts w:ascii="Times New Roman" w:cs="Times New Roman" w:eastAsia="Times New Roman" w:hAnsi="Times New Roman"/>
          <w:sz w:val="18"/>
          <w:szCs w:val="18"/>
          <w:b w:val="1"/>
          <w:bCs w:val="1"/>
          <w:color w:val="auto"/>
        </w:rPr>
      </w:pPr>
    </w:p>
    <w:p>
      <w:pPr>
        <w:ind w:left="34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and various other corporate-level-activity-related expenses. All intercompany-related activities are eliminated in consolidation and are excluded from the segment reporting.</w:t>
      </w:r>
    </w:p>
    <w:p>
      <w:pPr>
        <w:spacing w:after="0" w:line="41" w:lineRule="exact"/>
        <w:rPr>
          <w:rFonts w:ascii="Times New Roman" w:cs="Times New Roman" w:eastAsia="Times New Roman" w:hAnsi="Times New Roman"/>
          <w:sz w:val="18"/>
          <w:szCs w:val="18"/>
          <w:b w:val="1"/>
          <w:bCs w:val="1"/>
          <w:color w:val="auto"/>
        </w:rPr>
      </w:pPr>
    </w:p>
    <w:p>
      <w:pPr>
        <w:jc w:val="both"/>
        <w:ind w:left="3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management evaluates segment operating results based on several indicators. The primary or key performance indicators for each segment are net revenues and operating income. The table below represents key financial information for each of the Company’s operating and reportable segments, Direct and Indirect.</w:t>
      </w:r>
    </w:p>
    <w:p>
      <w:pPr>
        <w:spacing w:after="0" w:line="41" w:lineRule="exact"/>
        <w:rPr>
          <w:rFonts w:ascii="Times New Roman" w:cs="Times New Roman" w:eastAsia="Times New Roman" w:hAnsi="Times New Roman"/>
          <w:sz w:val="18"/>
          <w:szCs w:val="18"/>
          <w:b w:val="1"/>
          <w:bCs w:val="1"/>
          <w:color w:val="auto"/>
        </w:rPr>
      </w:pPr>
    </w:p>
    <w:p>
      <w:pPr>
        <w:ind w:left="34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policies of the segments are the same as those described in Note 2. The Company does not report depreciation or amortization expense, total assets, or capital expenditures by segment as such information is neither used by management nor accounted for at the segment level.</w:t>
      </w: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40"/>
          </w:cols>
          <w:pgMar w:left="240" w:top="117" w:right="31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revenues and operating income information for the Company’s reportable segments consisted of the following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49"/>
        </w:trPr>
        <w:tc>
          <w:tcPr>
            <w:tcW w:w="6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120" w:type="dxa"/>
            <w:vAlign w:val="bottom"/>
          </w:tcPr>
          <w:p>
            <w:pPr>
              <w:spacing w:after="0"/>
              <w:rPr>
                <w:sz w:val="12"/>
                <w:szCs w:val="12"/>
                <w:color w:val="auto"/>
              </w:rPr>
            </w:pPr>
          </w:p>
        </w:tc>
        <w:tc>
          <w:tcPr>
            <w:tcW w:w="13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00" w:type="dxa"/>
            <w:vAlign w:val="bottom"/>
          </w:tcPr>
          <w:p>
            <w:pPr>
              <w:spacing w:after="0"/>
              <w:rPr>
                <w:sz w:val="12"/>
                <w:szCs w:val="12"/>
                <w:color w:val="auto"/>
              </w:rPr>
            </w:pPr>
          </w:p>
        </w:tc>
        <w:tc>
          <w:tcPr>
            <w:tcW w:w="1180" w:type="dxa"/>
            <w:vAlign w:val="bottom"/>
          </w:tcPr>
          <w:p>
            <w:pPr>
              <w:jc w:val="right"/>
              <w:ind w:right="253"/>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5"/>
        </w:trPr>
        <w:tc>
          <w:tcPr>
            <w:tcW w:w="6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351,286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335,602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321,092</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Indirect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151,312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209,804</w:t>
            </w:r>
          </w:p>
        </w:tc>
      </w:tr>
      <w:tr>
        <w:trPr>
          <w:trHeight w:val="237"/>
        </w:trPr>
        <w:tc>
          <w:tcPr>
            <w:tcW w:w="6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502,598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508,990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530,896</w:t>
            </w:r>
          </w:p>
        </w:tc>
      </w:tr>
      <w:tr>
        <w:trPr>
          <w:trHeight w:val="67"/>
        </w:trPr>
        <w:tc>
          <w:tcPr>
            <w:tcW w:w="6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2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74,114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81,194</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Indirect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60,409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84,130</w:t>
            </w:r>
          </w:p>
        </w:tc>
      </w:tr>
      <w:tr>
        <w:trPr>
          <w:trHeight w:val="237"/>
        </w:trPr>
        <w:tc>
          <w:tcPr>
            <w:tcW w:w="6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134,523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140,312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165,324</w:t>
            </w:r>
          </w:p>
        </w:tc>
      </w:tr>
      <w:tr>
        <w:trPr>
          <w:trHeight w:val="67"/>
        </w:trPr>
        <w:tc>
          <w:tcPr>
            <w:tcW w:w="6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2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134,523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140,312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165,324</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(69,567)</w:t>
            </w:r>
          </w:p>
        </w:tc>
      </w:tr>
      <w:tr>
        <w:trPr>
          <w:trHeight w:val="27"/>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46,722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95,757</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Sales outside of the United States were excluded from the Direct segment, for all periods presented, due to the Japan operations being discontinued in the third quarter of fiscal 2015.</w:t>
      </w:r>
    </w:p>
    <w:p>
      <w:pPr>
        <w:spacing w:after="0" w:line="27" w:lineRule="exact"/>
        <w:rPr>
          <w:sz w:val="20"/>
          <w:szCs w:val="20"/>
          <w:color w:val="auto"/>
        </w:rPr>
      </w:pPr>
    </w:p>
    <w:p>
      <w:pPr>
        <w:ind w:left="340" w:right="160"/>
        <w:spacing w:after="0" w:line="282" w:lineRule="auto"/>
        <w:rPr>
          <w:sz w:val="20"/>
          <w:szCs w:val="20"/>
          <w:color w:val="auto"/>
        </w:rPr>
      </w:pPr>
      <w:r>
        <w:rPr>
          <w:rFonts w:ascii="Times New Roman" w:cs="Times New Roman" w:eastAsia="Times New Roman" w:hAnsi="Times New Roman"/>
          <w:sz w:val="18"/>
          <w:szCs w:val="18"/>
          <w:color w:val="auto"/>
        </w:rPr>
        <w:t>Revenues to external customers for Vera Bradley brand products are attributable to sales of bags, accessories, travel and home items. Other revenues to external customers primarily include revenues from our apparel/footwear, stationery, merchandising, freight, licensing, and gift card breakage.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revenues by product categories are as follows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49"/>
        </w:trPr>
        <w:tc>
          <w:tcPr>
            <w:tcW w:w="6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120" w:type="dxa"/>
            <w:vAlign w:val="bottom"/>
          </w:tcPr>
          <w:p>
            <w:pPr>
              <w:spacing w:after="0"/>
              <w:rPr>
                <w:sz w:val="12"/>
                <w:szCs w:val="12"/>
                <w:color w:val="auto"/>
              </w:rPr>
            </w:pPr>
          </w:p>
        </w:tc>
        <w:tc>
          <w:tcPr>
            <w:tcW w:w="13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2"/>
                <w:szCs w:val="12"/>
                <w:color w:val="auto"/>
              </w:rPr>
            </w:pPr>
          </w:p>
        </w:tc>
        <w:tc>
          <w:tcPr>
            <w:tcW w:w="1160" w:type="dxa"/>
            <w:vAlign w:val="bottom"/>
          </w:tcPr>
          <w:p>
            <w:pPr>
              <w:jc w:val="right"/>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5"/>
        </w:trPr>
        <w:tc>
          <w:tcPr>
            <w:tcW w:w="6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215,835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230,978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223,699</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116,031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133,605</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109,112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116,251</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17,721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20,270</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37,071</w:t>
            </w:r>
          </w:p>
        </w:tc>
      </w:tr>
      <w:tr>
        <w:trPr>
          <w:trHeight w:val="27"/>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502,598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508,990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530,896</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January 30, 2016 and January 31, 2015, substantially all of the Company’s long-lived assets were located in the United States.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80"/>
          </w:cols>
          <w:pgMar w:left="240" w:top="117" w:right="2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Financial Information (Unaudited)</w:t>
      </w:r>
    </w:p>
    <w:p>
      <w:pPr>
        <w:spacing w:after="0" w:line="94"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 below sets forth selected quarterly financial data for each of the last two fiscal years (in thousands, except per share data). Each of the quarters presented was thirteen weeks in duration.</w:t>
      </w:r>
    </w:p>
    <w:p>
      <w:pPr>
        <w:spacing w:after="0" w:line="358"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 Ended January 30, 2016</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49"/>
        </w:trPr>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Second</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Third</w:t>
            </w:r>
          </w:p>
        </w:tc>
        <w:tc>
          <w:tcPr>
            <w:tcW w:w="220" w:type="dxa"/>
            <w:vAlign w:val="bottom"/>
          </w:tcPr>
          <w:p>
            <w:pPr>
              <w:spacing w:after="0"/>
              <w:rPr>
                <w:sz w:val="12"/>
                <w:szCs w:val="12"/>
                <w:color w:val="auto"/>
              </w:rPr>
            </w:pPr>
          </w:p>
        </w:tc>
        <w:tc>
          <w:tcPr>
            <w:tcW w:w="116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Fourth</w:t>
            </w:r>
          </w:p>
        </w:tc>
      </w:tr>
      <w:tr>
        <w:trPr>
          <w:trHeight w:val="195"/>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Quarter</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Quarter</w:t>
            </w:r>
            <w:r>
              <w:rPr>
                <w:rFonts w:ascii="Times New Roman" w:cs="Times New Roman" w:eastAsia="Times New Roman" w:hAnsi="Times New Roman"/>
                <w:sz w:val="8"/>
                <w:szCs w:val="8"/>
                <w:b w:val="1"/>
                <w:bCs w:val="1"/>
                <w:color w:val="auto"/>
              </w:rPr>
              <w:t>(2)</w:t>
            </w:r>
          </w:p>
        </w:tc>
      </w:tr>
      <w:tr>
        <w:trPr>
          <w:trHeight w:val="250"/>
        </w:trPr>
        <w:tc>
          <w:tcPr>
            <w:tcW w:w="4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21"/>
                <w:szCs w:val="21"/>
                <w:color w:val="auto"/>
              </w:rPr>
            </w:pPr>
          </w:p>
        </w:tc>
        <w:tc>
          <w:tcPr>
            <w:tcW w:w="11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55"/>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101,104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120,724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154,096</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51,694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66,554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89,643</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25,418</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15,711</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15,711</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share - basic</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0.41</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0.41</w:t>
            </w:r>
          </w:p>
        </w:tc>
      </w:tr>
      <w:tr>
        <w:trPr>
          <w:trHeight w:val="67"/>
        </w:trPr>
        <w:tc>
          <w:tcPr>
            <w:tcW w:w="47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47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income per share - diluted</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4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0.41</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0.41</w:t>
            </w:r>
          </w:p>
        </w:tc>
      </w:tr>
      <w:tr>
        <w:trPr>
          <w:trHeight w:val="27"/>
        </w:trPr>
        <w:tc>
          <w:tcPr>
            <w:tcW w:w="4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20" w:hanging="388"/>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restructuring and other charges described in Note 15.</w:t>
      </w:r>
    </w:p>
    <w:p>
      <w:pPr>
        <w:spacing w:after="0" w:line="2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gift card breakage revenue of $0.3 million. See Note 2 for additional information.</w:t>
      </w:r>
    </w:p>
    <w:p>
      <w:pPr>
        <w:spacing w:after="0" w:line="200" w:lineRule="exact"/>
        <w:rPr>
          <w:sz w:val="20"/>
          <w:szCs w:val="20"/>
          <w:color w:val="auto"/>
        </w:rPr>
      </w:pP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 Ended January 31, 2015</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49"/>
        </w:trPr>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Second</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Third</w:t>
            </w:r>
          </w:p>
        </w:tc>
        <w:tc>
          <w:tcPr>
            <w:tcW w:w="220" w:type="dxa"/>
            <w:vAlign w:val="bottom"/>
          </w:tcPr>
          <w:p>
            <w:pPr>
              <w:spacing w:after="0"/>
              <w:rPr>
                <w:sz w:val="12"/>
                <w:szCs w:val="12"/>
                <w:color w:val="auto"/>
              </w:rPr>
            </w:pPr>
          </w:p>
        </w:tc>
        <w:tc>
          <w:tcPr>
            <w:tcW w:w="116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Fourth</w:t>
            </w:r>
          </w:p>
        </w:tc>
      </w:tr>
      <w:tr>
        <w:trPr>
          <w:trHeight w:val="195"/>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Quarter</w:t>
            </w:r>
            <w:r>
              <w:rPr>
                <w:rFonts w:ascii="Times New Roman" w:cs="Times New Roman" w:eastAsia="Times New Roman" w:hAnsi="Times New Roman"/>
                <w:sz w:val="8"/>
                <w:szCs w:val="8"/>
                <w:b w:val="1"/>
                <w:bCs w:val="1"/>
                <w:color w:val="auto"/>
              </w:rPr>
              <w:t>(1)</w:t>
            </w:r>
          </w:p>
        </w:tc>
      </w:tr>
      <w:tr>
        <w:trPr>
          <w:trHeight w:val="250"/>
        </w:trPr>
        <w:tc>
          <w:tcPr>
            <w:tcW w:w="4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21"/>
                <w:szCs w:val="21"/>
                <w:color w:val="auto"/>
              </w:rPr>
            </w:pPr>
          </w:p>
        </w:tc>
        <w:tc>
          <w:tcPr>
            <w:tcW w:w="11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55"/>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112,197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118,960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152,629</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59,755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63,444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80,042</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25,933</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17,343</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17,343</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0.43</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0.43</w:t>
            </w:r>
          </w:p>
        </w:tc>
      </w:tr>
      <w:tr>
        <w:trPr>
          <w:trHeight w:val="67"/>
        </w:trPr>
        <w:tc>
          <w:tcPr>
            <w:tcW w:w="47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47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 - diluted</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4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0.43</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0.43</w:t>
            </w:r>
          </w:p>
        </w:tc>
      </w:tr>
      <w:tr>
        <w:trPr>
          <w:trHeight w:val="27"/>
        </w:trPr>
        <w:tc>
          <w:tcPr>
            <w:tcW w:w="4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Includes gift card breakage revenue of $1.4 million. See Note 2 for additional information.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in any one Quarterly period should not be considered indicative of annual results due to the effect of seasonality of the business.</w:t>
      </w:r>
    </w:p>
    <w:p>
      <w:pPr>
        <w:sectPr>
          <w:pgSz w:w="11900" w:h="16838" w:orient="portrait"/>
          <w:cols w:equalWidth="0" w:num="1">
            <w:col w:w="11300"/>
          </w:cols>
          <w:pgMar w:left="240" w:top="117" w:right="359" w:bottom="1440" w:gutter="0" w:footer="0" w:header="0"/>
        </w:sectPr>
      </w:pP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00"/>
          </w:cols>
          <w:pgMar w:left="240" w:top="117" w:right="359" w:bottom="1440" w:gutter="0" w:footer="0" w:header="0"/>
          <w:type w:val="continuous"/>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right="362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7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Based on the evaluation of the Company’s disclosure controls and procedures, as that term is defined in Rule 13a-15(e) under the Securities Exchange Act of 1934, as amended (the “Exchange Act”), each of Robert Wallstrom, the Chief Executive Officer of the Company, and Kevin J. Sierks, the Executive Vice President – Chief Financial Officer of the Company, has concluded that the Company’s disclosure controls and procedures are effective as of January 30,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9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reporting purposes in accordance with generally accepted accounting principles. Management, under the supervision and with the participation of the Company’s Chief Executive Officer and Chief Financial Officer, has evaluated the effectiveness of the Company’s internal control over financial reporting using the criteria set forth by the Committee of Sponsoring Organizations (COSO) of the Treadway Commission (2013 framework)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Based on the results of that evaluation, management has concluded that such internal control over financial reporting was effective as of January 30, 2016.</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January 30, 2016, has been audited by Ernst &amp; Young, LLP, an independent registered public accounting firm, as stated in their report which appears in Item 8.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that occurred during the fourth fiscal quarter that have materially affected, or are reasonably likely to materially affect, the Company’s internal control over financial reporting.</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17"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2016 Annual Meeting of Shareholders under the headings “Board of Directors Information,” “Family Relationships,” “Section 16(a) Beneficial Ownership Reporting Compliance,” “Corporate Governance Guidelines, Committee Charters and Code of Ethics,” and “Committees – Audit Committee” is incorporated herein by reference. The Proxy Statement will be filed with the Commission within 120 days after the end of the fiscal year covered by this Form 10-K pursuant to Regulation 14A under the Securities Exchange Act of 1934, as amended. In addition, the information set forth under the heading “Item 1: Business – Executive Officers of the Company” in this Form 10-K is incorporated herein by reference.</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2016 Annual Meeting of Shareholders under the headings “Executive Compensation Discussion and Analysis,” “Compensation Committee Interlocks and Insider Participation” and “Compensation Committee Report”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9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2016 Annual Meeting of Shareholders under the heading “Share Ownership by Certain Beneficial Owners and Management”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equity securities authorized for issuance under our equity compensation plans as of January 30, 2016:</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212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Equity</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vMerge w:val="restart"/>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95"/>
        </w:trPr>
        <w:tc>
          <w:tcPr>
            <w:tcW w:w="5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 (a)</w:t>
            </w:r>
            <w:r>
              <w:rPr>
                <w:rFonts w:ascii="Times New Roman" w:cs="Times New Roman" w:eastAsia="Times New Roman" w:hAnsi="Times New Roman"/>
                <w:sz w:val="8"/>
                <w:szCs w:val="8"/>
                <w:b w:val="1"/>
                <w:bCs w:val="1"/>
                <w:color w:val="auto"/>
              </w:rPr>
              <w:t>(2)</w:t>
            </w:r>
          </w:p>
        </w:tc>
        <w:tc>
          <w:tcPr>
            <w:tcW w:w="12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 (b) ($)</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 (c)</w:t>
            </w:r>
          </w:p>
        </w:tc>
        <w:tc>
          <w:tcPr>
            <w:tcW w:w="0" w:type="dxa"/>
            <w:vAlign w:val="bottom"/>
          </w:tcPr>
          <w:p>
            <w:pPr>
              <w:spacing w:after="0"/>
              <w:rPr>
                <w:sz w:val="1"/>
                <w:szCs w:val="1"/>
                <w:color w:val="auto"/>
              </w:rPr>
            </w:pPr>
          </w:p>
        </w:tc>
      </w:tr>
      <w:tr>
        <w:trPr>
          <w:trHeight w:val="269"/>
        </w:trPr>
        <w:tc>
          <w:tcPr>
            <w:tcW w:w="5120" w:type="dxa"/>
            <w:vAlign w:val="bottom"/>
            <w:gridSpan w:val="2"/>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 xml:space="preserve">Equity compensation plans approved by security holders </w:t>
            </w:r>
            <w:r>
              <w:rPr>
                <w:rFonts w:ascii="Times New Roman" w:cs="Times New Roman" w:eastAsia="Times New Roman" w:hAnsi="Times New Roman"/>
                <w:sz w:val="25"/>
                <w:szCs w:val="25"/>
                <w:color w:val="auto"/>
                <w:vertAlign w:val="superscript"/>
              </w:rPr>
              <w:t>(1)</w:t>
            </w:r>
          </w:p>
        </w:tc>
        <w:tc>
          <w:tcPr>
            <w:tcW w:w="1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975,239</w:t>
            </w:r>
          </w:p>
        </w:tc>
        <w:tc>
          <w:tcPr>
            <w:tcW w:w="120" w:type="dxa"/>
            <w:vAlign w:val="bottom"/>
            <w:shd w:val="clear" w:color="auto" w:fill="CCEEFF"/>
          </w:tcPr>
          <w:p>
            <w:pPr>
              <w:spacing w:after="0"/>
              <w:rPr>
                <w:sz w:val="23"/>
                <w:szCs w:val="23"/>
                <w:color w:val="auto"/>
              </w:rPr>
            </w:pPr>
          </w:p>
        </w:tc>
        <w:tc>
          <w:tcPr>
            <w:tcW w:w="212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5,100,762</w:t>
            </w:r>
          </w:p>
        </w:tc>
        <w:tc>
          <w:tcPr>
            <w:tcW w:w="0" w:type="dxa"/>
            <w:vAlign w:val="bottom"/>
          </w:tcPr>
          <w:p>
            <w:pPr>
              <w:spacing w:after="0"/>
              <w:rPr>
                <w:sz w:val="1"/>
                <w:szCs w:val="1"/>
                <w:color w:val="auto"/>
              </w:rPr>
            </w:pPr>
          </w:p>
        </w:tc>
      </w:tr>
      <w:tr>
        <w:trPr>
          <w:trHeight w:val="24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b w:val="1"/>
                <w:bCs w:val="1"/>
                <w:color w:val="auto"/>
              </w:rPr>
              <w:t>975,239</w:t>
            </w:r>
          </w:p>
        </w:tc>
        <w:tc>
          <w:tcPr>
            <w:tcW w:w="1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b w:val="1"/>
                <w:bCs w:val="1"/>
                <w:color w:val="auto"/>
              </w:rPr>
              <w:t>5,100,762</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316"/>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before our initial public offering.</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maximum performance requirements will be achieved for performance shares with incomplete performance periods.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117"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2016 Annual Meeting of Shareholders under the headings “Certain Relationships and Related Party Transactions” and “Board Independence”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7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9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2016 Proxy Statement under the caption “Principal Accounting Fees and Services.” The Proxy Statement will be filed with the Commission within 120 days after the end of the fiscal year covered by this Form 10-K pursuant to Regulation 14A under the Securities Exchange Act of 1934, as amended.</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240" w:top="117" w:right="41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Vera Bradley, Inc. are filed as part of this report under Item 8. Financial Statements and Supplementary Data:</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46">
              <w:r>
                <w:rPr>
                  <w:rFonts w:ascii="Times New Roman" w:cs="Times New Roman" w:eastAsia="Times New Roman" w:hAnsi="Times New Roman"/>
                  <w:sz w:val="18"/>
                  <w:szCs w:val="18"/>
                  <w:color w:val="0000FF"/>
                  <w:w w:val="99"/>
                </w:rPr>
                <w:t>Report of Independent Registered Public Accounting Firm</w:t>
              </w:r>
            </w:hyperlink>
          </w:p>
        </w:tc>
        <w:tc>
          <w:tcPr>
            <w:tcW w:w="6280" w:type="dxa"/>
            <w:vAlign w:val="bottom"/>
            <w:gridSpan w:val="6"/>
          </w:tcPr>
          <w:p>
            <w:pPr>
              <w:spacing w:after="0"/>
              <w:rPr>
                <w:sz w:val="17"/>
                <w:szCs w:val="17"/>
                <w:color w:val="auto"/>
              </w:rPr>
            </w:pPr>
          </w:p>
        </w:tc>
        <w:tc>
          <w:tcPr>
            <w:tcW w:w="860" w:type="dxa"/>
            <w:vAlign w:val="bottom"/>
          </w:tcPr>
          <w:p>
            <w:pPr>
              <w:jc w:val="right"/>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46</w:t>
              </w:r>
            </w:hyperlink>
          </w:p>
        </w:tc>
      </w:tr>
      <w:tr>
        <w:trPr>
          <w:trHeight w:val="250"/>
        </w:trPr>
        <w:tc>
          <w:tcPr>
            <w:tcW w:w="10500" w:type="dxa"/>
            <w:vAlign w:val="bottom"/>
            <w:gridSpan w:val="8"/>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Consolidated Balance Sheets as of January 30, 2016, and January 31, 2015</w:t>
              </w:r>
            </w:hyperlink>
          </w:p>
        </w:tc>
        <w:tc>
          <w:tcPr>
            <w:tcW w:w="860" w:type="dxa"/>
            <w:vAlign w:val="bottom"/>
          </w:tcPr>
          <w:p>
            <w:pPr>
              <w:jc w:val="right"/>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48</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10500" w:type="dxa"/>
            <w:vAlign w:val="bottom"/>
            <w:gridSpan w:val="8"/>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Consolidated Statements of Income for the fiscal years ended January 30, 2016, January 31, 2015, and February 1, 2014</w:t>
              </w:r>
            </w:hyperlink>
          </w:p>
        </w:tc>
        <w:tc>
          <w:tcPr>
            <w:tcW w:w="860" w:type="dxa"/>
            <w:vAlign w:val="bottom"/>
          </w:tcPr>
          <w:p>
            <w:pPr>
              <w:jc w:val="right"/>
              <w:spacing w:after="0"/>
              <w:rPr>
                <w:rFonts w:ascii="Times New Roman" w:cs="Times New Roman" w:eastAsia="Times New Roman" w:hAnsi="Times New Roman"/>
                <w:sz w:val="18"/>
                <w:szCs w:val="18"/>
                <w:color w:val="auto"/>
              </w:rPr>
            </w:pPr>
            <w:hyperlink w:anchor="page49">
              <w:r>
                <w:rPr>
                  <w:rFonts w:ascii="Times New Roman" w:cs="Times New Roman" w:eastAsia="Times New Roman" w:hAnsi="Times New Roman"/>
                  <w:sz w:val="18"/>
                  <w:szCs w:val="18"/>
                  <w:color w:val="auto"/>
                </w:rPr>
                <w:t>49</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55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10500" w:type="dxa"/>
            <w:vAlign w:val="bottom"/>
            <w:gridSpan w:val="8"/>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Consolidated Statements of Comprehensive Income for the fiscal years ended January 30, 2016, January 31, 2015, and February 1, 2014</w:t>
              </w:r>
            </w:hyperlink>
          </w:p>
        </w:tc>
        <w:tc>
          <w:tcPr>
            <w:tcW w:w="860" w:type="dxa"/>
            <w:vAlign w:val="bottom"/>
          </w:tcPr>
          <w:p>
            <w:pPr>
              <w:jc w:val="right"/>
              <w:spacing w:after="0"/>
              <w:rPr>
                <w:rFonts w:ascii="Times New Roman" w:cs="Times New Roman" w:eastAsia="Times New Roman" w:hAnsi="Times New Roman"/>
                <w:sz w:val="18"/>
                <w:szCs w:val="18"/>
                <w:color w:val="auto"/>
              </w:rPr>
            </w:pPr>
            <w:hyperlink w:anchor="page50">
              <w:r>
                <w:rPr>
                  <w:rFonts w:ascii="Times New Roman" w:cs="Times New Roman" w:eastAsia="Times New Roman" w:hAnsi="Times New Roman"/>
                  <w:sz w:val="18"/>
                  <w:szCs w:val="18"/>
                  <w:color w:val="auto"/>
                </w:rPr>
                <w:t>50</w:t>
              </w:r>
            </w:hyperlink>
          </w:p>
        </w:tc>
      </w:tr>
      <w:tr>
        <w:trPr>
          <w:trHeight w:val="250"/>
        </w:trPr>
        <w:tc>
          <w:tcPr>
            <w:tcW w:w="964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Consolidated Statements of Shareholders’ Equity for the fiscal years ended January 30, 2016, January 31, 2015, and February 1, 2014</w:t>
              </w:r>
            </w:hyperlink>
          </w:p>
        </w:tc>
        <w:tc>
          <w:tcPr>
            <w:tcW w:w="180" w:type="dxa"/>
            <w:vAlign w:val="bottom"/>
            <w:tcBorders>
              <w:top w:val="single" w:sz="8" w:color="0000EE"/>
            </w:tcBorders>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jc w:val="right"/>
              <w:spacing w:after="0"/>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51</w:t>
              </w:r>
            </w:hyperlink>
          </w:p>
        </w:tc>
      </w:tr>
      <w:tr>
        <w:trPr>
          <w:trHeight w:val="250"/>
        </w:trPr>
        <w:tc>
          <w:tcPr>
            <w:tcW w:w="89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Consolidated Statements of Cash Flows for the fiscal years ended January 30, 2016, January 31, 2015, and February 1, 2014</w:t>
              </w:r>
            </w:hyperlink>
          </w:p>
        </w:tc>
        <w:tc>
          <w:tcPr>
            <w:tcW w:w="1540" w:type="dxa"/>
            <w:vAlign w:val="bottom"/>
            <w:gridSpan w:val="3"/>
          </w:tcPr>
          <w:p>
            <w:pPr>
              <w:spacing w:after="0"/>
              <w:rPr>
                <w:sz w:val="21"/>
                <w:szCs w:val="21"/>
                <w:color w:val="auto"/>
              </w:rPr>
            </w:pPr>
          </w:p>
        </w:tc>
        <w:tc>
          <w:tcPr>
            <w:tcW w:w="860" w:type="dxa"/>
            <w:vAlign w:val="bottom"/>
          </w:tcPr>
          <w:p>
            <w:pPr>
              <w:jc w:val="right"/>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52</w:t>
              </w:r>
            </w:hyperlink>
          </w:p>
        </w:tc>
      </w:tr>
      <w:tr>
        <w:trPr>
          <w:trHeight w:val="250"/>
        </w:trPr>
        <w:tc>
          <w:tcPr>
            <w:tcW w:w="10500" w:type="dxa"/>
            <w:vAlign w:val="bottom"/>
            <w:gridSpan w:val="8"/>
          </w:tcPr>
          <w:p>
            <w:pPr>
              <w:spacing w:after="0"/>
              <w:rPr>
                <w:rFonts w:ascii="Times New Roman" w:cs="Times New Roman" w:eastAsia="Times New Roman" w:hAnsi="Times New Roman"/>
                <w:sz w:val="18"/>
                <w:szCs w:val="18"/>
                <w:color w:val="0000FF"/>
              </w:rPr>
            </w:pPr>
            <w:hyperlink w:anchor="page53">
              <w:r>
                <w:rPr>
                  <w:rFonts w:ascii="Times New Roman" w:cs="Times New Roman" w:eastAsia="Times New Roman" w:hAnsi="Times New Roman"/>
                  <w:sz w:val="18"/>
                  <w:szCs w:val="18"/>
                  <w:color w:val="0000FF"/>
                </w:rPr>
                <w:t>Notes to Consolidated Financial Statements</w:t>
              </w:r>
            </w:hyperlink>
          </w:p>
        </w:tc>
        <w:tc>
          <w:tcPr>
            <w:tcW w:w="860" w:type="dxa"/>
            <w:vAlign w:val="bottom"/>
          </w:tcPr>
          <w:p>
            <w:pPr>
              <w:jc w:val="right"/>
              <w:spacing w:after="0"/>
              <w:rPr>
                <w:rFonts w:ascii="Times New Roman" w:cs="Times New Roman" w:eastAsia="Times New Roman" w:hAnsi="Times New Roman"/>
                <w:sz w:val="18"/>
                <w:szCs w:val="18"/>
                <w:color w:val="auto"/>
              </w:rPr>
            </w:pPr>
            <w:hyperlink w:anchor="page53">
              <w:r>
                <w:rPr>
                  <w:rFonts w:ascii="Times New Roman" w:cs="Times New Roman" w:eastAsia="Times New Roman" w:hAnsi="Times New Roman"/>
                  <w:sz w:val="18"/>
                  <w:szCs w:val="18"/>
                  <w:color w:val="auto"/>
                </w:rPr>
                <w:t>53</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List of 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index to exhibits are filed or incorporated by reference as part of this Form 10-K.</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117"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on March 29, 2016.</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Vera Bradley, Inc.</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Kevin J. Sierks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Kevin J. Sierks and Robert Wallstrom,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Registrant and in the capacities indicated on March 29, 2016.</w:t>
      </w:r>
    </w:p>
    <w:p>
      <w:pPr>
        <w:sectPr>
          <w:pgSz w:w="11900" w:h="16838" w:orient="portrait"/>
          <w:cols w:equalWidth="0" w:num="1">
            <w:col w:w="11420"/>
          </w:cols>
          <w:pgMar w:left="240" w:top="117" w:right="239" w:bottom="1440" w:gutter="0" w:footer="0" w:header="0"/>
        </w:sectPr>
      </w:pPr>
    </w:p>
    <w:p>
      <w:pPr>
        <w:spacing w:after="0" w:line="3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Kevin J. Sierks</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Barbara Bradley Baekgaard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559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Barbara Bradley Baekgaard</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Richard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Richard Baum</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Robert J.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Robert J. Hall</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Mary Lou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Mary Lou Kelley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E. Kyees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E. Kyees</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and Chief Executive Officer (principal executive officer)</w:t>
      </w:r>
    </w:p>
    <w:p>
      <w:pPr>
        <w:spacing w:after="0" w:line="200" w:lineRule="exact"/>
        <w:rPr>
          <w:sz w:val="20"/>
          <w:szCs w:val="20"/>
          <w:color w:val="auto"/>
        </w:rPr>
      </w:pPr>
    </w:p>
    <w:p>
      <w:pPr>
        <w:spacing w:after="0" w:line="363" w:lineRule="exact"/>
        <w:rPr>
          <w:sz w:val="20"/>
          <w:szCs w:val="20"/>
          <w:color w:val="auto"/>
        </w:rPr>
      </w:pPr>
    </w:p>
    <w:p>
      <w:pPr>
        <w:ind w:left="160" w:right="420" w:hanging="161"/>
        <w:spacing w:after="0" w:line="282" w:lineRule="auto"/>
        <w:rPr>
          <w:sz w:val="20"/>
          <w:szCs w:val="20"/>
          <w:color w:val="auto"/>
        </w:rPr>
      </w:pPr>
      <w:r>
        <w:rPr>
          <w:rFonts w:ascii="Times New Roman" w:cs="Times New Roman" w:eastAsia="Times New Roman" w:hAnsi="Times New Roman"/>
          <w:sz w:val="18"/>
          <w:szCs w:val="18"/>
          <w:color w:val="auto"/>
        </w:rPr>
        <w:t>Executive Vice President – Chief Financial Officer (principal accounting officer)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8" w:lineRule="exact"/>
        <w:rPr>
          <w:sz w:val="20"/>
          <w:szCs w:val="20"/>
          <w:color w:val="auto"/>
        </w:rPr>
      </w:pPr>
    </w:p>
    <w:p>
      <w:pPr>
        <w:sectPr>
          <w:pgSz w:w="11900" w:h="16838" w:orient="portrait"/>
          <w:cols w:equalWidth="0" w:num="2">
            <w:col w:w="5020" w:space="720"/>
            <w:col w:w="5680"/>
          </w:cols>
          <w:pgMar w:left="240" w:top="117"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17" w:right="23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Matthew McEvoy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Matthew McEvoy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P. Michael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 Michael Miller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Patricia R.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Patricia R. Miller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Frances P.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Frances P. Philip</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Edward M. Schmults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5591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Edward M. Schmults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59"/>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372" w:lineRule="exact"/>
        <w:rPr>
          <w:sz w:val="20"/>
          <w:szCs w:val="20"/>
          <w:color w:val="auto"/>
        </w:rPr>
      </w:pPr>
    </w:p>
    <w:p>
      <w:pPr>
        <w:jc w:val="center"/>
        <w:ind w:right="3759"/>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759"/>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759"/>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759"/>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759"/>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2">
            <w:col w:w="4900" w:space="720"/>
            <w:col w:w="4599"/>
          </w:cols>
          <w:pgMar w:left="240" w:top="117" w:right="1440"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160" w:type="dxa"/>
            <w:vAlign w:val="bottom"/>
          </w:tcPr>
          <w:p>
            <w:pPr>
              <w:ind w:left="47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53"/>
        </w:trPr>
        <w:tc>
          <w:tcPr>
            <w:tcW w:w="1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Second Amended and Restated Articles of Incorporation (Incorporated by reference to Exhibit 3.1 to the Registration Statement on Form S-</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 Registration No. 333-167934)</w:t>
            </w:r>
          </w:p>
        </w:tc>
      </w:tr>
      <w:tr>
        <w:trPr>
          <w:trHeight w:val="481"/>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Bylaws (Incorporated by reference to Exhibit 3.2 to the Registration Statement on Form S-1, Registration No. 333-</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167934)</w:t>
            </w:r>
          </w:p>
        </w:tc>
      </w:tr>
      <w:tr>
        <w:trPr>
          <w:trHeight w:val="481"/>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Specimen Common Stock Certificate (Incorporated by reference to Exhibit 4.1 to the Registration Statement on Form S-1, Registration No.</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333-167934)</w:t>
            </w:r>
          </w:p>
        </w:tc>
      </w:tr>
      <w:tr>
        <w:trPr>
          <w:trHeight w:val="481"/>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Vera Bradley, Inc. 2010 Equity and Incentive Plan (Incorporated by reference to Exhibit 10.1 to the Registration Statement on Form S-1,</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Registration No. 333-167934)</w:t>
            </w:r>
          </w:p>
        </w:tc>
      </w:tr>
      <w:tr>
        <w:trPr>
          <w:trHeight w:val="481"/>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Vera Bradley Designs, Inc. 2010 Restricted Stock Plan (Incorporated by reference to Exhibit 10.3 to the Registration Statement on Form S-</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 Registration No. 333-167934)</w:t>
            </w:r>
          </w:p>
        </w:tc>
      </w:tr>
      <w:tr>
        <w:trPr>
          <w:trHeight w:val="481"/>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Stock Award Agreement under Vera Bradley Designs, Inc. 2010 Restricted Stock Plan (Incorporated by reference to</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10.4 to the Registration Statement on Form S-1, Registration No. 333-167934)</w:t>
            </w:r>
          </w:p>
        </w:tc>
      </w:tr>
      <w:tr>
        <w:trPr>
          <w:trHeight w:val="481"/>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Indemnification Agreement (Incorporated by reference to Exhibit 10.5 to the Registration Statement on Form S-1, Registration No.</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333-167934)</w:t>
            </w:r>
          </w:p>
        </w:tc>
      </w:tr>
      <w:tr>
        <w:trPr>
          <w:trHeight w:val="481"/>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Credit Agreement dated as of October 4, 2010 among Vera Bradley Designs, Inc. and JPMorgan Chase Bank, N.A.</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10.6 to the Registration Statement on Form S-1, Registration No. 333-167934)</w:t>
            </w:r>
          </w:p>
        </w:tc>
      </w:tr>
      <w:tr>
        <w:trPr>
          <w:trHeight w:val="481"/>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Parent Guaranty dated as of October 4, 2010 made by Vera Bradley, Inc. in favor of JPMorgan Chase Bank, N.A. (Incorporated by</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 to Exhibit 10.7 to the Registration Statement on Form S-1, Registration No. 333-167934)</w:t>
            </w:r>
          </w:p>
        </w:tc>
      </w:tr>
      <w:tr>
        <w:trPr>
          <w:trHeight w:val="481"/>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Reaffirmation of Guaranty and Security Documents dated as of October 4, 2010 by Vera Bradley Designs, Inc., Vera Bradley Retail Stores,</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LLC and Vera Bradley International, LLC for the benefit of JPMorgan Chase Bank, N.A. (Incorporated by reference to Exhibit 10.13 to the</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Registration Statement on Form S-1, Registration No. 333-167934)</w:t>
            </w:r>
          </w:p>
        </w:tc>
      </w:tr>
      <w:tr>
        <w:trPr>
          <w:trHeight w:val="481"/>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Extension, dated April 19, 2011, by and between Vera Bradley, Inc., as tenant, and Milburn, LLC, as landlord (Incorporated by</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 to Exhibit 10.5 to the Quarterly Report on Form 10-Q for the fiscal quarter ended April 30, 2011)</w:t>
            </w:r>
          </w:p>
        </w:tc>
      </w:tr>
      <w:tr>
        <w:trPr>
          <w:trHeight w:val="481"/>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2013 Restricted Stock Unit/Performance Unit Terms and Conditions (Incorporated by reference to Exhibit 10.1 to the Quarterly</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10-Q for the fiscal quarter ended April 28, 2012)</w:t>
            </w:r>
          </w:p>
        </w:tc>
      </w:tr>
      <w:tr>
        <w:trPr>
          <w:trHeight w:val="481"/>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2013 Outside Director Restricted Stock Unit Terms and Conditions (Incorporated by reference to Exhibit 10.2 to the Quarterly</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10-Q for the fiscal quarter ended April 28, 2012)</w:t>
            </w:r>
          </w:p>
        </w:tc>
      </w:tr>
      <w:tr>
        <w:trPr>
          <w:trHeight w:val="481"/>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2013 Annual Incentive Compensation Plan (Incorporated by reference to Exhibit 10.3 to the Quarterly Report on Form 10-Q for the</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quarter ended April 28, 2012)</w:t>
            </w:r>
          </w:p>
        </w:tc>
      </w:tr>
      <w:tr>
        <w:trPr>
          <w:trHeight w:val="481"/>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Time-Based Award Agreement under the 2010 Equity and Incentive Plan (Incorporated by reference to Exhibit 10.4 to the</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Report on Form 10-Q for the fiscal quarter ended April 28, 2012)</w:t>
            </w:r>
          </w:p>
        </w:tc>
      </w:tr>
      <w:tr>
        <w:trPr>
          <w:trHeight w:val="481"/>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Performance-Based Award Agreement under the 2010 Equity and Incentive Plan (Incorporated by reference to Exhibit 10.5 to the</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Report on Form 10-Q for the fiscal quarter ended April 28, 2012)</w:t>
            </w: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17" w:right="239" w:bottom="1440" w:gutter="0" w:footer="0" w:header="0"/>
          <w:type w:val="continuous"/>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160" w:type="dxa"/>
            <w:vAlign w:val="bottom"/>
          </w:tcPr>
          <w:p>
            <w:pPr>
              <w:ind w:left="47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53"/>
        </w:trPr>
        <w:tc>
          <w:tcPr>
            <w:tcW w:w="116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Amendment No. 3 to Amended and Restated Credit Agreement, dated as of June 1, 2012, among Vera Bradley Designs, Inc., JPMorgan</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Chase Bank N.A. and the lenders party thereto (Incorporated by reference to Exhibit 10.6 to the Quarterly Report on Form 10-Q for the</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quarter ended April 28, 2012)</w:t>
            </w:r>
          </w:p>
        </w:tc>
      </w:tr>
      <w:tr>
        <w:trPr>
          <w:trHeight w:val="481"/>
        </w:trPr>
        <w:tc>
          <w:tcPr>
            <w:tcW w:w="116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Letter of Agreement with Kevin J. Sierks (Incorporated by reference to Exhibit 10.23 to the Annual Report on Form 10-K for the fiscal year</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ended February 2, 2013)</w:t>
            </w:r>
          </w:p>
        </w:tc>
      </w:tr>
      <w:tr>
        <w:trPr>
          <w:trHeight w:val="481"/>
        </w:trPr>
        <w:tc>
          <w:tcPr>
            <w:tcW w:w="116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Letter of Agreement with Sue Fuller (Incorporated by reference to Exhibit 10.19 to the Annual Report on Form 10-K for the fiscal year</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ended February 1, 2014)</w:t>
            </w:r>
          </w:p>
        </w:tc>
      </w:tr>
      <w:tr>
        <w:trPr>
          <w:trHeight w:val="481"/>
        </w:trPr>
        <w:tc>
          <w:tcPr>
            <w:tcW w:w="116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No. 1 to Amended and Restated Credit Agreement, dated as of November 18, 2010, among Vera Bradley Designs, Inc.,</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JPMorgan Chase Bank N.A. and the lenders party thereto (Incorporated by reference to Exhibit 10.20 to the Annual Report on Form 10-K</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the fiscal year ended February 1, 2014)</w:t>
            </w:r>
          </w:p>
        </w:tc>
      </w:tr>
      <w:tr>
        <w:trPr>
          <w:trHeight w:val="481"/>
        </w:trPr>
        <w:tc>
          <w:tcPr>
            <w:tcW w:w="116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No. 2 to Amended and Restated Credit Agreement, dated as of March 10, 2011, among Vera Bradley Designs, Inc., JPMorgan</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Chase Bank N.A. and the lenders party thereto (Incorporated by reference to Exhibit 10.21 to the Annual Report on Form 10-K for the</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year ended February 1, 2014)</w:t>
            </w:r>
          </w:p>
        </w:tc>
      </w:tr>
      <w:tr>
        <w:trPr>
          <w:trHeight w:val="481"/>
        </w:trPr>
        <w:tc>
          <w:tcPr>
            <w:tcW w:w="116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2015 Restricted Stock Unit/Performance Unit Terms and Conditions (Incorporated by reference to Exhibit 10.1 to the Quarterly</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10-Q for the quarter ended May 3, 2014)</w:t>
            </w:r>
          </w:p>
        </w:tc>
      </w:tr>
      <w:tr>
        <w:trPr>
          <w:trHeight w:val="481"/>
        </w:trPr>
        <w:tc>
          <w:tcPr>
            <w:tcW w:w="116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2015 Outside Director Restricted Stock Unit Terms and Conditions (Incorporated by reference to Exhibit 10.2 to the Quarterly</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10-Q for the quarter ended May 3, 2014)</w:t>
            </w:r>
          </w:p>
        </w:tc>
      </w:tr>
      <w:tr>
        <w:trPr>
          <w:trHeight w:val="481"/>
        </w:trPr>
        <w:tc>
          <w:tcPr>
            <w:tcW w:w="116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2015 Annual Incentive Compensation Plan (Executives) (Incorporated by reference to Exhibit 10.3 to the Quarterly Report on Form</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10-Q for the quarter ended May 3, 2014)</w:t>
            </w:r>
          </w:p>
        </w:tc>
      </w:tr>
      <w:tr>
        <w:trPr>
          <w:trHeight w:val="481"/>
        </w:trPr>
        <w:tc>
          <w:tcPr>
            <w:tcW w:w="116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Letter of Agreement with Karen Peters dated as of May 12, 2014 (Incorporated by reference to Exhibit 10.4 to the Quarterly Report on</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10-Q for the quarter ended May 3, 2014)</w:t>
            </w:r>
          </w:p>
        </w:tc>
      </w:tr>
      <w:tr>
        <w:trPr>
          <w:trHeight w:val="481"/>
        </w:trPr>
        <w:tc>
          <w:tcPr>
            <w:tcW w:w="116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Vera Bradley, Inc. 2014 Executive Severance Plan (Incorporated by reference to Exhibit 10.5 to the Quarterly Report on Form 10-Q for the</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 ended May 3, 2014)</w:t>
            </w:r>
          </w:p>
        </w:tc>
      </w:tr>
      <w:tr>
        <w:trPr>
          <w:trHeight w:val="481"/>
        </w:trPr>
        <w:tc>
          <w:tcPr>
            <w:tcW w:w="116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Performance-Based Award Agreement under the 2010 Equity and Incentive Plan (Incorporated by reference to Exhibit 10.6 to the</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Report on Form 10-Q for the quarter ended May 3, 2014)</w:t>
            </w:r>
          </w:p>
        </w:tc>
      </w:tr>
      <w:tr>
        <w:trPr>
          <w:trHeight w:val="481"/>
        </w:trPr>
        <w:tc>
          <w:tcPr>
            <w:tcW w:w="116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Letter of Agreement with Angel Ilagan dated as of May 21, 2014 (Incorporated by reference to Exhibit 10.3 to the Quarterly Report on</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10-Q for the quarter ended August 2, 2014)</w:t>
            </w:r>
          </w:p>
        </w:tc>
      </w:tr>
      <w:tr>
        <w:trPr>
          <w:trHeight w:val="481"/>
        </w:trPr>
        <w:tc>
          <w:tcPr>
            <w:tcW w:w="116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No. 5 to Amended and Restated Credit Agreement, dated as of September 9, 2014, among Vera Bradley Designs, Inc.,</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JPMorgan Chase Bank N.A. and the lenders party thereto (Incorporated by reference to Exhibit 10.4 to the Quarterly Report on Form 10-Q</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the quarter ended August 2, 2014)</w:t>
            </w:r>
          </w:p>
        </w:tc>
      </w:tr>
      <w:tr>
        <w:trPr>
          <w:trHeight w:val="481"/>
        </w:trPr>
        <w:tc>
          <w:tcPr>
            <w:tcW w:w="116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2014 Restricted Stock Unit/Performance Unit Terms and Conditions (Incorporated by reference to Exhibit 10.1 to the Quarterly</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10-Q for the quarter ended May 3, 2014)</w:t>
            </w:r>
          </w:p>
        </w:tc>
      </w:tr>
      <w:tr>
        <w:trPr>
          <w:trHeight w:val="481"/>
        </w:trPr>
        <w:tc>
          <w:tcPr>
            <w:tcW w:w="116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2014 Outside Director Restricted Stock Unit Terms and Conditions (Incorporated by reference to Exhibit 10.2 to the Quarterly</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10-Q for the quarter ended May 3, 2014)</w:t>
            </w:r>
          </w:p>
        </w:tc>
      </w:tr>
      <w:tr>
        <w:trPr>
          <w:trHeight w:val="481"/>
        </w:trPr>
        <w:tc>
          <w:tcPr>
            <w:tcW w:w="116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2014 Annual Incentive Compensation Plan (Executives) (Incorporated by reference to Exhibit 10.3 to the Quarterly Report on Form</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10-Q for the quarter ended May 3, 2014)</w:t>
            </w:r>
          </w:p>
        </w:tc>
      </w:tr>
      <w:tr>
        <w:trPr>
          <w:trHeight w:val="481"/>
        </w:trPr>
        <w:tc>
          <w:tcPr>
            <w:tcW w:w="116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2016 Restricted Stock Unit/Performance Unit Terms and Conditions (Incorporated by reference to Exhibit 10.1 to the Quarterly</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10-Q for the quarter ended May 2, 2015)</w:t>
            </w:r>
          </w:p>
        </w:tc>
      </w:tr>
      <w:tr>
        <w:trPr>
          <w:trHeight w:val="481"/>
        </w:trPr>
        <w:tc>
          <w:tcPr>
            <w:tcW w:w="116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2016 Annual Incentive Compensation Plan (Executives) (Incorporated by reference to Exhibit 10.2 to the Quarterly Report on Form</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10-Q for the quarter ended May 2, 2015)</w:t>
            </w:r>
          </w:p>
        </w:tc>
      </w:tr>
    </w:tbl>
    <w:p>
      <w:pPr>
        <w:spacing w:after="0" w:line="200" w:lineRule="exact"/>
        <w:rPr>
          <w:sz w:val="20"/>
          <w:szCs w:val="20"/>
          <w:color w:val="auto"/>
        </w:rPr>
      </w:pPr>
    </w:p>
    <w:p>
      <w:pPr>
        <w:sectPr>
          <w:pgSz w:w="11900" w:h="16838" w:orient="portrait"/>
          <w:cols w:equalWidth="0" w:num="1">
            <w:col w:w="11420"/>
          </w:cols>
          <w:pgMar w:left="240" w:top="117" w:right="239" w:bottom="752"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17" w:right="239" w:bottom="752" w:gutter="0" w:footer="0" w:header="0"/>
          <w:type w:val="continuous"/>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160" w:type="dxa"/>
            <w:vAlign w:val="bottom"/>
          </w:tcPr>
          <w:p>
            <w:pPr>
              <w:ind w:left="47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53"/>
        </w:trPr>
        <w:tc>
          <w:tcPr>
            <w:tcW w:w="1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Form of Performance-Based Award Agreement under the 2010 Equity and Incentive Plan (Incorporated by reference to Exhibit 10.3 to the</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Report on Form 10-Q for the quarter ended May 2, 2015)</w:t>
            </w:r>
          </w:p>
        </w:tc>
      </w:tr>
      <w:tr>
        <w:trPr>
          <w:trHeight w:val="481"/>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Amended and Restated Credit Agreement dated as of July 15, 2015 among Vera Bradley Designs, Inc., JPMorgan Chase Bank,</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National Association, and the lenders party thereto (Incorporated by reference to Exhibit 10.1 to the Quarterly Report on Form 10-Q for the</w:t>
            </w: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 ended August 1, 2015)</w:t>
            </w:r>
          </w:p>
        </w:tc>
      </w:tr>
      <w:tr>
        <w:trPr>
          <w:trHeight w:val="716"/>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Letter of Agreement with Theresa Palermo dated as of May 27, 2015</w:t>
            </w:r>
          </w:p>
        </w:tc>
      </w:tr>
      <w:tr>
        <w:trPr>
          <w:trHeight w:val="500"/>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Subsidiaries of Vera Bradley, Inc.</w:t>
            </w:r>
          </w:p>
        </w:tc>
      </w:tr>
      <w:tr>
        <w:trPr>
          <w:trHeight w:val="500"/>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Consent of Ernst &amp; Young LLP</w:t>
            </w:r>
          </w:p>
        </w:tc>
      </w:tr>
      <w:tr>
        <w:trPr>
          <w:trHeight w:val="500"/>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13a-14(a)/15d-4(a) Certification of Chief Executive Officer</w:t>
            </w:r>
          </w:p>
        </w:tc>
      </w:tr>
      <w:tr>
        <w:trPr>
          <w:trHeight w:val="500"/>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13a-14(a)/15d-14(a) Certification of Chief Financial Officer</w:t>
            </w:r>
          </w:p>
        </w:tc>
      </w:tr>
      <w:tr>
        <w:trPr>
          <w:trHeight w:val="500"/>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1350 Certifications</w:t>
            </w:r>
          </w:p>
        </w:tc>
      </w:tr>
    </w:tbl>
    <w:p>
      <w:pPr>
        <w:spacing w:after="0" w:line="265" w:lineRule="exact"/>
        <w:rPr>
          <w:sz w:val="20"/>
          <w:szCs w:val="20"/>
          <w:color w:val="auto"/>
        </w:rPr>
      </w:pPr>
    </w:p>
    <w:p>
      <w:pPr>
        <w:ind w:left="1300" w:right="120" w:hanging="1265"/>
        <w:spacing w:after="0" w:line="25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Vera Bradley, Inc.’s Annual Report on Form 10-K for the year ended January 30, 2016 formatted in Extensible Business Reporting Language (XBRL): (i) Consolidated Statements of Operations and Comprehensive Income for the fiscal years ended January 30, 2016, January 31, 2015, and February 1, 2014; (ii) Consolidated Balance Sheets as of January 30, 2016, and January 31, 2015; (iii) Consolidated Statements of Shareholders’ Equity for the fiscal years ended January 30, 2016, January 31, 2015 and February 1, 2014; (iv) Consolidated Statements of Cash Flows for the fiscal years ended January 30, 2016, January 31, 2015, and February 1, 2014; and (v) related notes. **</w:t>
      </w:r>
    </w:p>
    <w:p>
      <w:pPr>
        <w:spacing w:after="0" w:line="255" w:lineRule="exact"/>
        <w:rPr>
          <w:sz w:val="20"/>
          <w:szCs w:val="20"/>
          <w:color w:val="auto"/>
        </w:rPr>
      </w:pPr>
    </w:p>
    <w:p>
      <w:pPr>
        <w:ind w:left="1300" w:hanging="1265"/>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85" w:lineRule="exact"/>
        <w:rPr>
          <w:sz w:val="20"/>
          <w:szCs w:val="20"/>
          <w:color w:val="auto"/>
        </w:rPr>
      </w:pPr>
    </w:p>
    <w:p>
      <w:pPr>
        <w:ind w:left="1300" w:right="120" w:hanging="1265"/>
        <w:spacing w:after="0" w:line="289" w:lineRule="auto"/>
        <w:tabs>
          <w:tab w:leader="none" w:pos="13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17"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10.34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2015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Theresa,</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am pleased to offer you the position of Executive Vice President - Chief Marketing Officer at Vera Bradley, Inc. and its subsidiaries effective on June 29, 2015 with duties and responsibilities commensurate with such position. You will report directly to Rob Wallstrom, President &amp; Chief Executive Officer, and your work location will be Fort Wayne, Indiana. A detailed overview of the compensation and benefits associated with this offer follows. Please note that this offer is contingent upon the successful completion of your background check and pre-employment drug screen.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acceptance of this offer, please sign a copy of this letter and return it to me, Julie North, Vice President, Human Resources. Please feel free to contact me should you have any questions regarding the offer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will be paid a base salary at the rate of Three Hundred and Fifty Thousand Dollars ($350,000) per year, payable bi-weekly and subject to regular deductions and withholdings as required by law.</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FY2016, you will be eligible for a pro-rata Annual Short-Term Incentive with a target payout level of $102,083, with actual payout based on achievement of company financial and strategic objectives, as well as a set of individual personal financial objectives that will be agreed to following your start date. This target payout is based upon a full-year target of 50% of your base salary rate, pro rated for the number of months of employment in fiscal 2016. This Short-Term Incentive is tied to performance during FY2016, which begins February 1, 2015 and ends January 30, 2016. Actual payout will be based on your eligible earnings defined as gross wages actually earned under regular employment status during the fiscal year, excluding any incentive payments and taxable fringe benefits and will increase or decrease based upon achievement of the objectives described above. The fiscal 2016 Short-Term Incentive is anticipated to be paid in March 2016. Thereafter, we currently anticipate that your Short-Term Incentive will have a target incentive set at 50% of your eligible earnings as defined above.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in FY2016, you will be awarded a Long Term Incentive grant with a value of $200,000 on the date of grant. Fifty percent (50%) of this grant will be made in time based restricted stock units which will vest in three equal annual installments on the anniversary of the grant date. Fifty percent (50%) of this grant will be made in performance based restricted stock units and these units will be earned based on earnings per share performance in each of the next three fiscal years. Earned performance stock units will vest on the third anniversary of the grant date.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Both the Short-Term Incentive and the Long-Term Incentive are subject to specific plan documents, which will be provided to you at the time awards are made. These incentives are also described in further detail in the attached Total Rewards Summary.</w:t>
      </w:r>
    </w:p>
    <w:p>
      <w:pPr>
        <w:sectPr>
          <w:pgSz w:w="11900" w:h="16838" w:orient="portrait"/>
          <w:cols w:equalWidth="0" w:num="1">
            <w:col w:w="11420"/>
          </w:cols>
          <w:pgMar w:left="240" w:top="576" w:right="239" w:bottom="1440" w:gutter="0" w:footer="0" w:header="0"/>
        </w:sectPr>
      </w:pPr>
    </w:p>
    <w:bookmarkStart w:id="78" w:name="page79"/>
    <w:bookmarkEnd w:id="78"/>
    <w:p>
      <w:pPr>
        <w:jc w:val="center"/>
        <w:ind w:right="20"/>
        <w:spacing w:after="0"/>
        <w:rPr>
          <w:sz w:val="20"/>
          <w:szCs w:val="20"/>
          <w:color w:val="auto"/>
        </w:rPr>
      </w:pPr>
      <w:r>
        <w:rPr>
          <w:rFonts w:ascii="Arial" w:cs="Arial" w:eastAsia="Arial" w:hAnsi="Arial"/>
          <w:sz w:val="22"/>
          <w:szCs w:val="22"/>
          <w:color w:val="544B4D"/>
        </w:rPr>
        <w:t>Total Rewards- Theresa Palermo, Executive Vice President, Chief Marketing Officer</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20" w:type="dxa"/>
            <w:vAlign w:val="bottom"/>
            <w:tcBorders>
              <w:top w:val="single" w:sz="8" w:color="auto"/>
              <w:bottom w:val="single" w:sz="8" w:color="auto"/>
            </w:tcBorders>
            <w:shd w:val="clear" w:color="auto" w:fill="000000"/>
          </w:tcPr>
          <w:p>
            <w:pPr>
              <w:spacing w:after="0"/>
              <w:rPr>
                <w:sz w:val="24"/>
                <w:szCs w:val="24"/>
                <w:color w:val="auto"/>
              </w:rPr>
            </w:pPr>
          </w:p>
        </w:tc>
        <w:tc>
          <w:tcPr>
            <w:tcW w:w="4460" w:type="dxa"/>
            <w:vAlign w:val="bottom"/>
            <w:tcBorders>
              <w:top w:val="single" w:sz="8" w:color="auto"/>
              <w:left w:val="single" w:sz="8" w:color="BFBFBF"/>
              <w:bottom w:val="single" w:sz="8" w:color="BFBFBF"/>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ANNUAL CASH AND AWARDS</w:t>
            </w:r>
          </w:p>
        </w:tc>
        <w:tc>
          <w:tcPr>
            <w:tcW w:w="1160" w:type="dxa"/>
            <w:vAlign w:val="bottom"/>
            <w:tcBorders>
              <w:top w:val="single" w:sz="8" w:color="auto"/>
              <w:bottom w:val="single" w:sz="8" w:color="BFBFBF"/>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5780" w:type="dxa"/>
            <w:vAlign w:val="bottom"/>
            <w:tcBorders>
              <w:top w:val="single" w:sz="8" w:color="auto"/>
              <w:bottom w:val="single" w:sz="8" w:color="BFBFBF"/>
              <w:right w:val="single" w:sz="8" w:color="BFBFBF"/>
            </w:tcBorders>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Details</w:t>
            </w:r>
          </w:p>
        </w:tc>
        <w:tc>
          <w:tcPr>
            <w:tcW w:w="20" w:type="dxa"/>
            <w:vAlign w:val="bottom"/>
            <w:tcBorders>
              <w:top w:val="single" w:sz="8" w:color="auto"/>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auto"/>
            </w:tcBorders>
            <w:shd w:val="clear" w:color="auto" w:fill="000000"/>
          </w:tcPr>
          <w:p>
            <w:pPr>
              <w:spacing w:after="0"/>
              <w:rPr>
                <w:sz w:val="18"/>
                <w:szCs w:val="18"/>
                <w:color w:val="auto"/>
              </w:rPr>
            </w:pPr>
          </w:p>
        </w:tc>
        <w:tc>
          <w:tcPr>
            <w:tcW w:w="446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Annual Base Salary</w:t>
            </w:r>
          </w:p>
        </w:tc>
        <w:tc>
          <w:tcPr>
            <w:tcW w:w="116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$350,000</w:t>
            </w:r>
          </w:p>
        </w:tc>
        <w:tc>
          <w:tcPr>
            <w:tcW w:w="5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Paid bi-weekly and subject to regular deductions and withholdings as required</w:t>
            </w:r>
          </w:p>
        </w:tc>
        <w:tc>
          <w:tcPr>
            <w:tcW w:w="20" w:type="dxa"/>
            <w:vAlign w:val="bottom"/>
            <w:tcBorders>
              <w:top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000000"/>
          </w:tcPr>
          <w:p>
            <w:pPr>
              <w:spacing w:after="0"/>
              <w:rPr>
                <w:sz w:val="10"/>
                <w:szCs w:val="10"/>
                <w:color w:val="auto"/>
              </w:rPr>
            </w:pPr>
          </w:p>
        </w:tc>
        <w:tc>
          <w:tcPr>
            <w:tcW w:w="446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by law</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000000"/>
          </w:tcPr>
          <w:p>
            <w:pPr>
              <w:spacing w:after="0"/>
              <w:rPr>
                <w:sz w:val="9"/>
                <w:szCs w:val="9"/>
                <w:color w:val="auto"/>
              </w:rPr>
            </w:pPr>
          </w:p>
        </w:tc>
        <w:tc>
          <w:tcPr>
            <w:tcW w:w="446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578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shd w:val="clear" w:color="auto" w:fill="000000"/>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000000"/>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target based on 50% of your eligible earnings defined as gross wages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4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Annual Short-Term Incentive</w:t>
            </w:r>
          </w:p>
        </w:tc>
        <w:tc>
          <w:tcPr>
            <w:tcW w:w="1160" w:type="dxa"/>
            <w:vAlign w:val="bottom"/>
            <w:tcBorders>
              <w:right w:val="single" w:sz="8" w:color="auto"/>
            </w:tcBorders>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earned under regular employment status during the fiscal year, excluding any</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4460" w:type="dxa"/>
            <w:vAlign w:val="bottom"/>
            <w:tcBorders>
              <w:right w:val="single" w:sz="8" w:color="auto"/>
            </w:tcBorders>
            <w:vMerge w:val="continue"/>
          </w:tcPr>
          <w:p>
            <w:pPr>
              <w:spacing w:after="0"/>
              <w:rPr>
                <w:sz w:val="18"/>
                <w:szCs w:val="18"/>
                <w:color w:val="auto"/>
              </w:rPr>
            </w:pPr>
          </w:p>
        </w:tc>
        <w:tc>
          <w:tcPr>
            <w:tcW w:w="1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$175,000</w:t>
            </w: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payments and taxable fringe benefits. FY2016 target is anticipated to</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 $102,083 (pro-rata based on 7 months worked in FY2016 assuming a June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000000"/>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 2015 start date).</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shd w:val="clear" w:color="auto" w:fill="000000"/>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000000"/>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FY2016 grant will be issued upon your hire date. 50% of grant is performance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4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Annual Long-Term Equity Incentive</w:t>
            </w: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$200,000</w:t>
            </w: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(vest after completion of 3 year performance cycle) and 50% of the grant</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000000"/>
          </w:tcPr>
          <w:p>
            <w:pPr>
              <w:spacing w:after="0"/>
              <w:rPr>
                <w:sz w:val="10"/>
                <w:szCs w:val="10"/>
                <w:color w:val="auto"/>
              </w:rPr>
            </w:pPr>
          </w:p>
        </w:tc>
        <w:tc>
          <w:tcPr>
            <w:tcW w:w="446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is time based (vesting ratably over three years). Thereafter, LTI grants are</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shd w:val="clear" w:color="auto" w:fill="000000"/>
          </w:tcPr>
          <w:p>
            <w:pPr>
              <w:spacing w:after="0"/>
              <w:rPr>
                <w:sz w:val="7"/>
                <w:szCs w:val="7"/>
                <w:color w:val="auto"/>
              </w:rPr>
            </w:pPr>
          </w:p>
        </w:tc>
        <w:tc>
          <w:tcPr>
            <w:tcW w:w="446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578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000000"/>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 annually in March.</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shd w:val="clear" w:color="auto" w:fill="000000"/>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auto"/>
            </w:tcBorders>
            <w:shd w:val="clear" w:color="auto" w:fill="000000"/>
          </w:tcPr>
          <w:p>
            <w:pPr>
              <w:spacing w:after="0"/>
              <w:rPr>
                <w:sz w:val="22"/>
                <w:szCs w:val="22"/>
                <w:color w:val="auto"/>
              </w:rPr>
            </w:pPr>
          </w:p>
        </w:tc>
        <w:tc>
          <w:tcPr>
            <w:tcW w:w="4460" w:type="dxa"/>
            <w:vAlign w:val="bottom"/>
            <w:tcBorders>
              <w:left w:val="single" w:sz="8" w:color="BFBFBF"/>
              <w:bottom w:val="single" w:sz="8" w:color="BFBFBF"/>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Annual Cash and Awards at Target</w:t>
            </w:r>
          </w:p>
        </w:tc>
        <w:tc>
          <w:tcPr>
            <w:tcW w:w="1160" w:type="dxa"/>
            <w:vAlign w:val="bottom"/>
            <w:tcBorders>
              <w:bottom w:val="single" w:sz="8" w:color="BFBFBF"/>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$725,000</w:t>
            </w:r>
          </w:p>
        </w:tc>
        <w:tc>
          <w:tcPr>
            <w:tcW w:w="5780" w:type="dxa"/>
            <w:vAlign w:val="bottom"/>
            <w:tcBorders>
              <w:bottom w:val="single" w:sz="8" w:color="BFBFBF"/>
              <w:right w:val="single" w:sz="8" w:color="BFBFBF"/>
            </w:tcBorders>
            <w:shd w:val="clear" w:color="auto" w:fill="BFBFBF"/>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561"/>
        </w:trPr>
        <w:tc>
          <w:tcPr>
            <w:tcW w:w="20" w:type="dxa"/>
            <w:vAlign w:val="bottom"/>
            <w:tcBorders>
              <w:top w:val="single" w:sz="8" w:color="auto"/>
            </w:tcBorders>
          </w:tcPr>
          <w:p>
            <w:pPr>
              <w:spacing w:after="0"/>
              <w:rPr>
                <w:sz w:val="24"/>
                <w:szCs w:val="24"/>
                <w:color w:val="auto"/>
              </w:rPr>
            </w:pPr>
          </w:p>
        </w:tc>
        <w:tc>
          <w:tcPr>
            <w:tcW w:w="44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57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60" w:type="dxa"/>
            <w:vAlign w:val="bottom"/>
            <w:tcBorders>
              <w:left w:val="single" w:sz="8" w:color="auto"/>
              <w:right w:val="single" w:sz="8" w:color="auto"/>
            </w:tcBorders>
            <w:vMerge w:val="restart"/>
            <w:shd w:val="clear" w:color="auto" w:fill="BFBFBF"/>
          </w:tcPr>
          <w:p>
            <w:pPr>
              <w:ind w:left="60"/>
              <w:spacing w:after="0"/>
              <w:rPr>
                <w:sz w:val="20"/>
                <w:szCs w:val="20"/>
                <w:color w:val="auto"/>
              </w:rPr>
            </w:pPr>
            <w:r>
              <w:rPr>
                <w:rFonts w:ascii="Times New Roman" w:cs="Times New Roman" w:eastAsia="Times New Roman" w:hAnsi="Times New Roman"/>
                <w:sz w:val="18"/>
                <w:szCs w:val="18"/>
                <w:b w:val="1"/>
                <w:bCs w:val="1"/>
                <w:color w:val="auto"/>
              </w:rPr>
              <w:t>OTHER CONSIDERATIONS</w:t>
            </w:r>
          </w:p>
        </w:tc>
        <w:tc>
          <w:tcPr>
            <w:tcW w:w="1160" w:type="dxa"/>
            <w:vAlign w:val="bottom"/>
            <w:tcBorders>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5780" w:type="dxa"/>
            <w:vAlign w:val="bottom"/>
            <w:tcBorders>
              <w:right w:val="single" w:sz="8" w:color="auto"/>
            </w:tcBorders>
            <w:vMerge w:val="restart"/>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Details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460" w:type="dxa"/>
            <w:vAlign w:val="bottom"/>
            <w:tcBorders>
              <w:left w:val="single" w:sz="8" w:color="auto"/>
              <w:right w:val="single" w:sz="8" w:color="auto"/>
            </w:tcBorders>
            <w:vMerge w:val="continue"/>
            <w:shd w:val="clear" w:color="auto" w:fill="BFBFBF"/>
          </w:tcPr>
          <w:p>
            <w:pPr>
              <w:spacing w:after="0"/>
              <w:rPr>
                <w:sz w:val="11"/>
                <w:szCs w:val="11"/>
                <w:color w:val="auto"/>
              </w:rPr>
            </w:pPr>
          </w:p>
        </w:tc>
        <w:tc>
          <w:tcPr>
            <w:tcW w:w="1160" w:type="dxa"/>
            <w:vAlign w:val="bottom"/>
            <w:tcBorders>
              <w:right w:val="single" w:sz="8" w:color="auto"/>
            </w:tcBorders>
            <w:vMerge w:val="restart"/>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5780" w:type="dxa"/>
            <w:vAlign w:val="bottom"/>
            <w:tcBorders>
              <w:right w:val="single" w:sz="8" w:color="auto"/>
            </w:tcBorders>
            <w:vMerge w:val="continue"/>
            <w:shd w:val="clear" w:color="auto" w:fill="BFBFB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Borders>
              <w:left w:val="single" w:sz="8" w:color="auto"/>
              <w:bottom w:val="single" w:sz="8" w:color="BFBFBF"/>
              <w:right w:val="single" w:sz="8" w:color="auto"/>
            </w:tcBorders>
            <w:shd w:val="clear" w:color="auto" w:fill="BFBFBF"/>
          </w:tcPr>
          <w:p>
            <w:pPr>
              <w:spacing w:after="0"/>
              <w:rPr>
                <w:sz w:val="11"/>
                <w:szCs w:val="11"/>
                <w:color w:val="auto"/>
              </w:rPr>
            </w:pPr>
          </w:p>
        </w:tc>
        <w:tc>
          <w:tcPr>
            <w:tcW w:w="1160" w:type="dxa"/>
            <w:vAlign w:val="bottom"/>
            <w:tcBorders>
              <w:bottom w:val="single" w:sz="8" w:color="BFBFBF"/>
              <w:right w:val="single" w:sz="8" w:color="auto"/>
            </w:tcBorders>
            <w:vMerge w:val="continue"/>
            <w:shd w:val="clear" w:color="auto" w:fill="BFBFBF"/>
          </w:tcPr>
          <w:p>
            <w:pPr>
              <w:spacing w:after="0"/>
              <w:rPr>
                <w:sz w:val="11"/>
                <w:szCs w:val="11"/>
                <w:color w:val="auto"/>
              </w:rPr>
            </w:pPr>
          </w:p>
        </w:tc>
        <w:tc>
          <w:tcPr>
            <w:tcW w:w="5780" w:type="dxa"/>
            <w:vAlign w:val="bottom"/>
            <w:tcBorders>
              <w:bottom w:val="single" w:sz="8" w:color="BFBFBF"/>
              <w:right w:val="single" w:sz="8" w:color="auto"/>
            </w:tcBorders>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Reimbursement for air travel to commute between</w:t>
            </w:r>
          </w:p>
        </w:tc>
        <w:tc>
          <w:tcPr>
            <w:tcW w:w="1160" w:type="dxa"/>
            <w:vAlign w:val="bottom"/>
            <w:tcBorders>
              <w:top w:val="single" w:sz="8" w:color="auto"/>
              <w:right w:val="single" w:sz="8" w:color="auto"/>
            </w:tcBorders>
          </w:tcPr>
          <w:p>
            <w:pPr>
              <w:spacing w:after="0"/>
              <w:rPr>
                <w:sz w:val="18"/>
                <w:szCs w:val="18"/>
                <w:color w:val="auto"/>
              </w:rPr>
            </w:pPr>
          </w:p>
        </w:tc>
        <w:tc>
          <w:tcPr>
            <w:tcW w:w="5780" w:type="dxa"/>
            <w:vAlign w:val="bottom"/>
            <w:tcBorders>
              <w:top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Dallas, Texas and Fort Wayne, Indiana for a period of</w:t>
            </w:r>
          </w:p>
        </w:tc>
        <w:tc>
          <w:tcPr>
            <w:tcW w:w="1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$24,000</w:t>
            </w:r>
          </w:p>
        </w:tc>
        <w:tc>
          <w:tcPr>
            <w:tcW w:w="5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Assumes $2,000 per month.</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4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1160" w:type="dxa"/>
            <w:vAlign w:val="bottom"/>
            <w:tcBorders>
              <w:bottom w:val="single" w:sz="8" w:color="auto"/>
              <w:right w:val="single" w:sz="8" w:color="auto"/>
            </w:tcBorders>
          </w:tcPr>
          <w:p>
            <w:pPr>
              <w:spacing w:after="0"/>
              <w:rPr>
                <w:sz w:val="23"/>
                <w:szCs w:val="23"/>
                <w:color w:val="auto"/>
              </w:rPr>
            </w:pPr>
          </w:p>
        </w:tc>
        <w:tc>
          <w:tcPr>
            <w:tcW w:w="578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House hunting</w:t>
            </w: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$2,500</w:t>
            </w:r>
          </w:p>
        </w:tc>
        <w:tc>
          <w:tcPr>
            <w:tcW w:w="5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Reimbursement of two house hunting trips for you and your spouse to secure a</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460" w:type="dxa"/>
            <w:vAlign w:val="bottom"/>
            <w:tcBorders>
              <w:left w:val="single" w:sz="8" w:color="auto"/>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5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permanent residence in Fort Wayne, Indiana (taxable income)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Borders>
              <w:left w:val="single" w:sz="8" w:color="auto"/>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5780" w:type="dxa"/>
            <w:vAlign w:val="bottom"/>
            <w:tcBorders>
              <w:right w:val="single" w:sz="8" w:color="auto"/>
            </w:tcBorders>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Moving of Household Goods</w:t>
            </w:r>
          </w:p>
        </w:tc>
        <w:tc>
          <w:tcPr>
            <w:tcW w:w="1160" w:type="dxa"/>
            <w:vAlign w:val="bottom"/>
            <w:tcBorders>
              <w:right w:val="single" w:sz="8" w:color="auto"/>
            </w:tcBorders>
          </w:tcPr>
          <w:p>
            <w:pPr>
              <w:spacing w:after="0"/>
              <w:rPr>
                <w:sz w:val="18"/>
                <w:szCs w:val="18"/>
                <w:color w:val="auto"/>
              </w:rPr>
            </w:pPr>
          </w:p>
        </w:tc>
        <w:tc>
          <w:tcPr>
            <w:tcW w:w="5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 directly costs associated with moving household and personal effects from</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left w:val="single" w:sz="8" w:color="auto"/>
              <w:right w:val="single" w:sz="8" w:color="auto"/>
            </w:tcBorders>
            <w:vMerge w:val="continue"/>
          </w:tcPr>
          <w:p>
            <w:pPr>
              <w:spacing w:after="0"/>
              <w:rPr>
                <w:sz w:val="18"/>
                <w:szCs w:val="18"/>
                <w:color w:val="auto"/>
              </w:rPr>
            </w:pPr>
          </w:p>
        </w:tc>
        <w:tc>
          <w:tcPr>
            <w:tcW w:w="1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$10,000</w:t>
            </w:r>
          </w:p>
        </w:tc>
        <w:tc>
          <w:tcPr>
            <w:tcW w:w="5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Texas to Indiana provided relocation occurs on or before October 1, 2016.</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5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(nontaxable income)</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5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$50,000 reimbursement of costs associated with sale of current home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Home Sale/Purchase Assistance</w:t>
            </w:r>
          </w:p>
        </w:tc>
        <w:tc>
          <w:tcPr>
            <w:tcW w:w="1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$50,000</w:t>
            </w:r>
          </w:p>
        </w:tc>
        <w:tc>
          <w:tcPr>
            <w:tcW w:w="5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including customary closing costs, agent fees and other miscellaneous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460" w:type="dxa"/>
            <w:vAlign w:val="bottom"/>
            <w:tcBorders>
              <w:left w:val="single" w:sz="8" w:color="auto"/>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57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expenses provided relocation occurs on or before October 1, 2016 (taxable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460" w:type="dxa"/>
            <w:vAlign w:val="bottom"/>
            <w:tcBorders>
              <w:left w:val="single" w:sz="8" w:color="auto"/>
              <w:right w:val="single" w:sz="8" w:color="auto"/>
            </w:tcBorders>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5780" w:type="dxa"/>
            <w:vAlign w:val="bottom"/>
            <w:tcBorders>
              <w:right w:val="single" w:sz="8" w:color="auto"/>
            </w:tcBorders>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5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60" w:type="dxa"/>
            <w:vAlign w:val="bottom"/>
            <w:tcBorders>
              <w:left w:val="single" w:sz="8" w:color="auto"/>
              <w:bottom w:val="single" w:sz="8" w:color="BFBFBF"/>
              <w:right w:val="single" w:sz="8" w:color="auto"/>
            </w:tcBorders>
            <w:shd w:val="clear" w:color="auto" w:fill="BFBFBF"/>
          </w:tcPr>
          <w:p>
            <w:pPr>
              <w:ind w:left="60"/>
              <w:spacing w:after="0"/>
              <w:rPr>
                <w:sz w:val="20"/>
                <w:szCs w:val="20"/>
                <w:color w:val="auto"/>
              </w:rPr>
            </w:pPr>
            <w:r>
              <w:rPr>
                <w:rFonts w:ascii="Times New Roman" w:cs="Times New Roman" w:eastAsia="Times New Roman" w:hAnsi="Times New Roman"/>
                <w:sz w:val="18"/>
                <w:szCs w:val="18"/>
                <w:b w:val="1"/>
                <w:bCs w:val="1"/>
                <w:color w:val="auto"/>
              </w:rPr>
              <w:t>Total Other Considerations</w:t>
            </w:r>
          </w:p>
        </w:tc>
        <w:tc>
          <w:tcPr>
            <w:tcW w:w="1160" w:type="dxa"/>
            <w:vAlign w:val="bottom"/>
            <w:tcBorders>
              <w:bottom w:val="single" w:sz="8" w:color="BFBFBF"/>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$86,500</w:t>
            </w:r>
          </w:p>
        </w:tc>
        <w:tc>
          <w:tcPr>
            <w:tcW w:w="5780" w:type="dxa"/>
            <w:vAlign w:val="bottom"/>
            <w:tcBorders>
              <w:bottom w:val="single" w:sz="8" w:color="BFBFBF"/>
              <w:right w:val="single" w:sz="8" w:color="auto"/>
            </w:tcBorders>
            <w:shd w:val="clear" w:color="auto" w:fill="BFBFB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57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578" w:right="2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auto"/>
        </w:rPr>
        <w:t>Benefits</w:t>
      </w:r>
    </w:p>
    <w:p>
      <w:pPr>
        <w:spacing w:after="0" w:line="31" w:lineRule="exact"/>
        <w:rPr>
          <w:sz w:val="20"/>
          <w:szCs w:val="20"/>
          <w:color w:val="auto"/>
        </w:rPr>
      </w:pPr>
    </w:p>
    <w:p>
      <w:pPr>
        <w:ind w:right="1740"/>
        <w:spacing w:after="0" w:line="250" w:lineRule="auto"/>
        <w:rPr>
          <w:sz w:val="20"/>
          <w:szCs w:val="20"/>
          <w:color w:val="auto"/>
        </w:rPr>
      </w:pPr>
      <w:r>
        <w:rPr>
          <w:rFonts w:ascii="Times New Roman" w:cs="Times New Roman" w:eastAsia="Times New Roman" w:hAnsi="Times New Roman"/>
          <w:sz w:val="18"/>
          <w:szCs w:val="18"/>
          <w:color w:val="auto"/>
        </w:rPr>
        <w:t>Listed below is information regarding our complete benefits package based on a tentative June 29, 2015 start date. Further details can be found in the attached Vera Bradley Employee Benefits Guide.</w:t>
      </w:r>
    </w:p>
    <w:p>
      <w:pPr>
        <w:spacing w:after="0" w:line="1"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 (9) paid holidays annually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days (160 hours) of paid managed time off (MTO) per calendar year. MTO provides for time away from work for any purpose.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disability insurance (one year waiting period)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disability insurance (one year waiting period)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Life insurance coverage equal to one times your annual salary with a minimum of $50,000, and a maximum of $200,000 (30 day waiting period)</w:t>
      </w:r>
    </w:p>
    <w:p>
      <w:pPr>
        <w:spacing w:after="0" w:line="20" w:lineRule="exact"/>
        <w:rPr>
          <w:rFonts w:ascii="Times New Roman" w:cs="Times New Roman" w:eastAsia="Times New Roman" w:hAnsi="Times New Roman"/>
          <w:sz w:val="17"/>
          <w:szCs w:val="17"/>
          <w:color w:val="auto"/>
        </w:rPr>
      </w:pPr>
    </w:p>
    <w:p>
      <w:pPr>
        <w:ind w:left="660" w:right="2000" w:hanging="328"/>
        <w:spacing w:after="0" w:line="25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Health/Dental insurance through Anthem. Vera Bradley pays a portion of both the employee and dependent premium after a 30 day waiting period</w:t>
      </w:r>
    </w:p>
    <w:p>
      <w:pPr>
        <w:ind w:left="660" w:right="2840" w:hanging="328"/>
        <w:spacing w:after="0" w:line="25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125 Flexible Spending Plan (30 day waiting period). You can create a non-taxable account to pay non-reimbursable medical expenses and dependent care expenses.</w:t>
      </w: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401(k) Profit Sharing Plan (one year waiting period). Your eligibility date will be July 1, 2016.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purchase on account, Vera Bradley product at discounted pricing</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Please note that this letter merely memorializes our offer to you and does not constitute a written employment contract for any specific term. Your employment with Vera Bradley will be on an "at will" basis, which means that either party may end the employment relationship at any time without notice, for any reason, and that the terms of employment (including compensation) are also subject to change by Vera Bradley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Theresa, we are thrilled you are joining Vera Bradley! Your experience, qualifications, and positive energy will be an excellent addition to our team!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North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Human Resources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Accepted by:</w:t>
            </w:r>
          </w:p>
        </w:tc>
        <w:tc>
          <w:tcPr>
            <w:tcW w:w="2280" w:type="dxa"/>
            <w:vAlign w:val="bottom"/>
          </w:tcPr>
          <w:p>
            <w:pPr>
              <w:spacing w:after="0"/>
              <w:rPr>
                <w:sz w:val="20"/>
                <w:szCs w:val="20"/>
                <w:color w:val="auto"/>
              </w:rPr>
            </w:pPr>
          </w:p>
        </w:tc>
      </w:tr>
      <w:tr>
        <w:trPr>
          <w:trHeight w:val="378"/>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Theresa Palermo</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5/27/2015</w:t>
            </w:r>
          </w:p>
        </w:tc>
      </w:tr>
      <w:tr>
        <w:trPr>
          <w:trHeight w:val="27"/>
        </w:trPr>
        <w:tc>
          <w:tcPr>
            <w:tcW w:w="230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Theresa Palermo</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bl>
    <w:p>
      <w:pPr>
        <w:sectPr>
          <w:pgSz w:w="11900" w:h="16838" w:orient="portrait"/>
          <w:cols w:equalWidth="0" w:num="1">
            <w:col w:w="11080"/>
          </w:cols>
          <w:pgMar w:left="240" w:top="576" w:right="57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7000" w:type="dxa"/>
            <w:vAlign w:val="bottom"/>
            <w:gridSpan w:val="3"/>
          </w:tcPr>
          <w:p>
            <w:pPr>
              <w:jc w:val="center"/>
              <w:ind w:right="431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r>
      <w:tr>
        <w:trPr>
          <w:trHeight w:val="270"/>
        </w:trPr>
        <w:tc>
          <w:tcPr>
            <w:tcW w:w="4420" w:type="dxa"/>
            <w:vAlign w:val="bottom"/>
          </w:tcPr>
          <w:p>
            <w:pPr>
              <w:spacing w:after="0"/>
              <w:rPr>
                <w:sz w:val="23"/>
                <w:szCs w:val="23"/>
                <w:color w:val="auto"/>
              </w:rPr>
            </w:pPr>
          </w:p>
        </w:tc>
        <w:tc>
          <w:tcPr>
            <w:tcW w:w="7000" w:type="dxa"/>
            <w:vAlign w:val="bottom"/>
            <w:gridSpan w:val="3"/>
          </w:tcPr>
          <w:p>
            <w:pPr>
              <w:jc w:val="center"/>
              <w:ind w:right="433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r>
      <w:tr>
        <w:trPr>
          <w:trHeight w:val="270"/>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State of Incorporation</w:t>
            </w:r>
          </w:p>
        </w:tc>
      </w:tr>
      <w:tr>
        <w:trPr>
          <w:trHeight w:val="27"/>
        </w:trPr>
        <w:tc>
          <w:tcPr>
            <w:tcW w:w="44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Vera Bradley Designs, Inc</w:t>
            </w: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Indiana</w:t>
            </w:r>
          </w:p>
        </w:tc>
      </w:tr>
      <w:tr>
        <w:trPr>
          <w:trHeight w:val="270"/>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Vera Bradley International, LLC</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Indiana</w:t>
            </w:r>
          </w:p>
        </w:tc>
      </w:tr>
      <w:tr>
        <w:trPr>
          <w:trHeight w:val="270"/>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Vera Bradley Sales, LLC</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Indiana</w:t>
            </w:r>
          </w:p>
        </w:tc>
      </w:tr>
      <w:tr>
        <w:trPr>
          <w:trHeight w:val="270"/>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Vera Bradley Handbag Design (Dongguan) Co., Ltd.</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People's Republic of China</w:t>
            </w:r>
          </w:p>
        </w:tc>
      </w:tr>
      <w:tr>
        <w:trPr>
          <w:trHeight w:val="270"/>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Vera Bradley Hong Kong Co., Limited</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Hong Kong</w:t>
            </w:r>
          </w:p>
        </w:tc>
      </w:tr>
    </w:tbl>
    <w:p>
      <w:pPr>
        <w:sectPr>
          <w:pgSz w:w="11900" w:h="16838" w:orient="portrait"/>
          <w:cols w:equalWidth="0" w:num="1">
            <w:col w:w="11420"/>
          </w:cols>
          <w:pgMar w:left="240" w:top="576" w:right="2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71"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 on Form S-8 (No. 333-170062) of Vera Bradley, Inc. of our report dated March 29, 2016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2016</w:t>
      </w:r>
    </w:p>
    <w:p>
      <w:pPr>
        <w:sectPr>
          <w:pgSz w:w="11900" w:h="16838" w:orient="portrait"/>
          <w:cols w:equalWidth="0" w:num="1">
            <w:col w:w="11420"/>
          </w:cols>
          <w:pgMar w:left="240" w:top="657"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Wallstrom, certify that:</w:t>
      </w:r>
    </w:p>
    <w:p>
      <w:pPr>
        <w:spacing w:after="0" w:line="90"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 Bradley, Inc.;</w:t>
      </w:r>
    </w:p>
    <w:p>
      <w:pPr>
        <w:spacing w:after="0" w:line="90"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26"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1300" w:right="300" w:firstLine="5"/>
        <w:spacing w:after="0" w:line="266" w:lineRule="auto"/>
        <w:tabs>
          <w:tab w:leader="none" w:pos="154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40" w:firstLine="5"/>
        <w:spacing w:after="0" w:line="266" w:lineRule="auto"/>
        <w:tabs>
          <w:tab w:leader="none" w:pos="155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1300" w:right="160" w:firstLine="5"/>
        <w:spacing w:after="0" w:line="313" w:lineRule="auto"/>
        <w:tabs>
          <w:tab w:leader="none" w:pos="1545"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 w:lineRule="exact"/>
        <w:rPr>
          <w:rFonts w:ascii="Times New Roman" w:cs="Times New Roman" w:eastAsia="Times New Roman" w:hAnsi="Times New Roman"/>
          <w:sz w:val="17"/>
          <w:szCs w:val="17"/>
          <w:color w:val="auto"/>
        </w:rPr>
      </w:pPr>
    </w:p>
    <w:p>
      <w:pPr>
        <w:jc w:val="both"/>
        <w:ind w:left="1300" w:right="80" w:firstLine="5"/>
        <w:spacing w:after="0" w:line="266" w:lineRule="auto"/>
        <w:tabs>
          <w:tab w:leader="none" w:pos="155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380" w:firstLine="5"/>
        <w:spacing w:after="0" w:line="282" w:lineRule="auto"/>
        <w:tabs>
          <w:tab w:leader="none" w:pos="154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60" w:firstLine="5"/>
        <w:spacing w:after="0" w:line="282" w:lineRule="auto"/>
        <w:tabs>
          <w:tab w:leader="none" w:pos="155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18"/>
          <w:szCs w:val="18"/>
          <w:color w:val="auto"/>
        </w:rPr>
        <w:t>Date: March 29, 2016</w:t>
      </w:r>
      <w:r>
        <w:rPr>
          <w:sz w:val="20"/>
          <w:szCs w:val="20"/>
          <w:color w:val="auto"/>
        </w:rPr>
        <w:tab/>
      </w:r>
      <w:r>
        <w:rPr>
          <w:rFonts w:ascii="Times New Roman" w:cs="Times New Roman" w:eastAsia="Times New Roman" w:hAnsi="Times New Roman"/>
          <w:sz w:val="17"/>
          <w:szCs w:val="17"/>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J. Sierks, certify that:</w:t>
      </w:r>
    </w:p>
    <w:p>
      <w:pPr>
        <w:spacing w:after="0" w:line="90"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 Bradley, Inc.;</w:t>
      </w:r>
    </w:p>
    <w:p>
      <w:pPr>
        <w:spacing w:after="0" w:line="90"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26"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1300" w:right="300" w:firstLine="5"/>
        <w:spacing w:after="0" w:line="266" w:lineRule="auto"/>
        <w:tabs>
          <w:tab w:leader="none" w:pos="154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40" w:firstLine="5"/>
        <w:spacing w:after="0" w:line="266" w:lineRule="auto"/>
        <w:tabs>
          <w:tab w:leader="none" w:pos="15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1300" w:right="160" w:firstLine="5"/>
        <w:spacing w:after="0" w:line="313" w:lineRule="auto"/>
        <w:tabs>
          <w:tab w:leader="none" w:pos="1545"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 w:lineRule="exact"/>
        <w:rPr>
          <w:rFonts w:ascii="Times New Roman" w:cs="Times New Roman" w:eastAsia="Times New Roman" w:hAnsi="Times New Roman"/>
          <w:sz w:val="17"/>
          <w:szCs w:val="17"/>
          <w:color w:val="auto"/>
        </w:rPr>
      </w:pPr>
    </w:p>
    <w:p>
      <w:pPr>
        <w:jc w:val="both"/>
        <w:ind w:left="1300" w:right="80" w:firstLine="5"/>
        <w:spacing w:after="0" w:line="266" w:lineRule="auto"/>
        <w:tabs>
          <w:tab w:leader="none" w:pos="15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380" w:firstLine="5"/>
        <w:spacing w:after="0" w:line="282" w:lineRule="auto"/>
        <w:tabs>
          <w:tab w:leader="none" w:pos="154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60" w:firstLine="5"/>
        <w:spacing w:after="0" w:line="282" w:lineRule="auto"/>
        <w:tabs>
          <w:tab w:leader="none" w:pos="15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18"/>
          <w:szCs w:val="18"/>
          <w:color w:val="auto"/>
        </w:rPr>
        <w:t>Date: March 29, 2016</w:t>
      </w:r>
      <w:r>
        <w:rPr>
          <w:sz w:val="20"/>
          <w:szCs w:val="20"/>
          <w:color w:val="auto"/>
        </w:rPr>
        <w:tab/>
      </w:r>
      <w:r>
        <w:rPr>
          <w:rFonts w:ascii="Times New Roman" w:cs="Times New Roman" w:eastAsia="Times New Roman" w:hAnsi="Times New Roman"/>
          <w:sz w:val="17"/>
          <w:szCs w:val="17"/>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Kevin J. Sierks</w:t>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420"/>
          </w:cols>
          <w:pgMar w:left="240" w:top="576"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 Pursuant to Section 906 of the Sarbanes - Oxley Act of 2002</w:t>
      </w:r>
    </w:p>
    <w:p>
      <w:pPr>
        <w:spacing w:after="0" w:line="94"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I, Robert Wallstrom, the Chief Executive Officer of Vera Bradley, Inc., certify that (i) the annual report on Form 10-K for the fiscal year ended January 30, 2016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2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8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March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Date</w:t>
      </w:r>
    </w:p>
    <w:p>
      <w:pPr>
        <w:spacing w:after="0" w:line="117"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I, Kevin J. Sierks, the Chief Financial Officer of Vera Bradley, Inc., certify that (i) the annual report on Form 10-K for the fiscal year ended January 30, 2016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2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Kevin J. Sierks</w:t>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8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March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lvl w:ilvl="1">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lvl w:ilvl="1">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
      <w:numFmt w:val="bullet"/>
      <w:start w:val="1"/>
    </w:lvl>
    <w:lvl w:ilvl="1">
      <w:lvlJc w:val="left"/>
      <w:lvlText w:val="•"/>
      <w:numFmt w:val="bullet"/>
      <w:start w:val="1"/>
    </w:lvl>
  </w:abstractNum>
  <w:abstractNum w:abstractNumId="18">
    <w:nsid w:val="3006C83E"/>
    <w:multiLevelType w:val="hybridMultilevel"/>
    <w:lvl w:ilvl="0">
      <w:lvlJc w:val="left"/>
      <w:lvlText w:val="•"/>
      <w:numFmt w:val="bullet"/>
      <w:start w:val="1"/>
    </w:lvl>
    <w:lvl w:ilvl="1">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decimal"/>
      <w:start w:val="1"/>
    </w:lvl>
    <w:lvl w:ilvl="1">
      <w:lvlJc w:val="left"/>
      <w:lvlText w:val="(%2)"/>
      <w:numFmt w:val="decimal"/>
      <w:start w:val="1"/>
    </w:lvl>
  </w:abstractNum>
  <w:abstractNum w:abstractNumId="26">
    <w:nsid w:val="7724C67E"/>
    <w:multiLevelType w:val="hybridMultilevel"/>
    <w:lvl w:ilvl="0">
      <w:lvlJc w:val="left"/>
      <w:lvlText w:val="%1."/>
      <w:numFmt w:val="decimal"/>
      <w:start w:val="4"/>
    </w:lvl>
    <w:lvl w:ilvl="1">
      <w:lvlJc w:val="left"/>
      <w:lvlText w:val="%2"/>
      <w:numFmt w:val="decimal"/>
      <w:start w:val="1"/>
    </w:lvl>
  </w:abstractNum>
  <w:abstractNum w:abstractNumId="27">
    <w:nsid w:val="5C482A97"/>
    <w:multiLevelType w:val="hybridMultilevel"/>
    <w:lvl w:ilvl="0">
      <w:lvlJc w:val="left"/>
      <w:lvlText w:val="%1."/>
      <w:numFmt w:val="decimal"/>
      <w:start w:val="5"/>
    </w:lvl>
  </w:abstractNum>
  <w:abstractNum w:abstractNumId="28">
    <w:nsid w:val="2463B9EA"/>
    <w:multiLevelType w:val="hybridMultilevel"/>
    <w:lvl w:ilvl="0">
      <w:lvlJc w:val="left"/>
      <w:lvlText w:val="(%1)"/>
      <w:numFmt w:val="upperLetter"/>
      <w:start w:val="2"/>
    </w:lvl>
  </w:abstractNum>
  <w:abstractNum w:abstractNumId="29">
    <w:nsid w:val="5E884ADC"/>
    <w:multiLevelType w:val="hybridMultilevel"/>
    <w:lvl w:ilvl="0">
      <w:lvlJc w:val="left"/>
      <w:lvlText w:val="%1."/>
      <w:numFmt w:val="decimal"/>
      <w:start w:val="6"/>
    </w:lvl>
  </w:abstractNum>
  <w:abstractNum w:abstractNumId="30">
    <w:nsid w:val="51EAD36B"/>
    <w:multiLevelType w:val="hybridMultilevel"/>
    <w:lvl w:ilvl="0">
      <w:lvlJc w:val="left"/>
      <w:lvlText w:val="%1."/>
      <w:numFmt w:val="decimal"/>
      <w:start w:val="7"/>
    </w:lvl>
  </w:abstractNum>
  <w:abstractNum w:abstractNumId="31">
    <w:nsid w:val="2D517796"/>
    <w:multiLevelType w:val="hybridMultilevel"/>
    <w:lvl w:ilvl="0">
      <w:lvlJc w:val="left"/>
      <w:lvlText w:val="%1."/>
      <w:numFmt w:val="decimal"/>
      <w:start w:val="8"/>
    </w:lvl>
  </w:abstractNum>
  <w:abstractNum w:abstractNumId="32">
    <w:nsid w:val="580BD78F"/>
    <w:multiLevelType w:val="hybridMultilevel"/>
    <w:lvl w:ilvl="0">
      <w:lvlJc w:val="left"/>
      <w:lvlText w:val="%1."/>
      <w:numFmt w:val="decimal"/>
      <w:start w:val="9"/>
    </w:lvl>
  </w:abstractNum>
  <w:abstractNum w:abstractNumId="33">
    <w:nsid w:val="153EA438"/>
    <w:multiLevelType w:val="hybridMultilevel"/>
    <w:lvl w:ilvl="0">
      <w:lvlJc w:val="left"/>
      <w:lvlText w:val="%1."/>
      <w:numFmt w:val="decimal"/>
      <w:start w:val="11"/>
    </w:lvl>
  </w:abstractNum>
  <w:abstractNum w:abstractNumId="34">
    <w:nsid w:val="3855585C"/>
    <w:multiLevelType w:val="hybridMultilevel"/>
    <w:lvl w:ilvl="0">
      <w:lvlJc w:val="left"/>
      <w:lvlText w:val="%1."/>
      <w:numFmt w:val="decimal"/>
      <w:start w:val="12"/>
    </w:lvl>
  </w:abstractNum>
  <w:abstractNum w:abstractNumId="35">
    <w:nsid w:val="70A64E2A"/>
    <w:multiLevelType w:val="hybridMultilevel"/>
    <w:lvl w:ilvl="0">
      <w:lvlJc w:val="left"/>
      <w:lvlText w:val="%1."/>
      <w:numFmt w:val="decimal"/>
      <w:start w:val="13"/>
    </w:lvl>
  </w:abstractNum>
  <w:abstractNum w:abstractNumId="36">
    <w:nsid w:val="6A2342EC"/>
    <w:multiLevelType w:val="hybridMultilevel"/>
    <w:lvl w:ilvl="0">
      <w:lvlJc w:val="left"/>
      <w:lvlText w:val="%1"/>
      <w:numFmt w:val="decimal"/>
      <w:start w:val="1"/>
    </w:lvl>
    <w:lvl w:ilvl="1">
      <w:lvlJc w:val="left"/>
      <w:lvlText w:val="(%2)"/>
      <w:numFmt w:val="decimal"/>
      <w:start w:val="1"/>
    </w:lvl>
  </w:abstractNum>
  <w:abstractNum w:abstractNumId="37">
    <w:nsid w:val="2A487CB0"/>
    <w:multiLevelType w:val="hybridMultilevel"/>
    <w:lvl w:ilvl="0">
      <w:lvlJc w:val="left"/>
      <w:lvlText w:val="%1."/>
      <w:numFmt w:val="decimal"/>
      <w:start w:val="15"/>
    </w:lvl>
    <w:lvl w:ilvl="1">
      <w:lvlJc w:val="left"/>
      <w:lvlText w:val="%2"/>
      <w:numFmt w:val="decimal"/>
      <w:start w:val="1"/>
    </w:lvl>
  </w:abstractNum>
  <w:abstractNum w:abstractNumId="38">
    <w:nsid w:val="1D4ED43B"/>
    <w:multiLevelType w:val="hybridMultilevel"/>
    <w:lvl w:ilvl="0">
      <w:lvlJc w:val="left"/>
      <w:lvlText w:val="%1."/>
      <w:numFmt w:val="decimal"/>
      <w:start w:val="16"/>
    </w:lvl>
  </w:abstractNum>
  <w:abstractNum w:abstractNumId="39">
    <w:nsid w:val="725A06FB"/>
    <w:multiLevelType w:val="hybridMultilevel"/>
    <w:lvl w:ilvl="0">
      <w:lvlJc w:val="left"/>
      <w:lvlText w:val="%1."/>
      <w:numFmt w:val="decimal"/>
      <w:start w:val="17"/>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0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2019-12-29T11:27:55Z</dcterms:created>
  <dcterms:modified xsi:type="dcterms:W3CDTF">2019-12-29T11:27:55Z</dcterms:modified>
</cp:coreProperties>
</file>