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 2024</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37" w:lineRule="exact"/>
        <w:rPr>
          <w:sz w:val="20"/>
          <w:szCs w:val="20"/>
          <w:color w:val="auto"/>
        </w:rPr>
      </w:pPr>
    </w:p>
    <w:p>
      <w:pPr>
        <w:jc w:val="both"/>
        <w:ind w:left="20"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28,225,770 shares of its common stock outstanding as of 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1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9"/>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August 3, 2024, and February 3, 2024</w:t>
            </w:r>
          </w:p>
        </w:tc>
        <w:tc>
          <w:tcPr>
            <w:tcW w:w="3980" w:type="dxa"/>
            <w:vAlign w:val="bottom"/>
            <w:gridSpan w:val="6"/>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Thirteen and Twenty-Six Weeks Ended August 3, 2024, and July</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5"/>
              </w:rPr>
              <w:t>29, 2023</w:t>
            </w: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Thirteen and Twenty-Six Weeks Ended August</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8"/>
              </w:rPr>
              <w:t>3, 2024, and July 29, 2023</w:t>
            </w:r>
          </w:p>
        </w:tc>
        <w:tc>
          <w:tcPr>
            <w:tcW w:w="7120" w:type="dxa"/>
            <w:vAlign w:val="bottom"/>
            <w:tcBorders>
              <w:top w:val="single" w:sz="8" w:color="0000FF"/>
            </w:tcBorders>
            <w:gridSpan w:val="10"/>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and Twenty-Six Weeks Ended August 3, 2024,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94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and July 29, 2023</w:t>
            </w:r>
          </w:p>
        </w:tc>
        <w:tc>
          <w:tcPr>
            <w:tcW w:w="1140" w:type="dxa"/>
            <w:vAlign w:val="bottom"/>
            <w:gridSpan w:val="2"/>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Twenty-Six Weeks Ended August 3, 2024, and July 29,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440" w:type="dxa"/>
            <w:vAlign w:val="bottom"/>
            <w:gridSpan w:val="4"/>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40" w:type="dxa"/>
            <w:vAlign w:val="bottom"/>
            <w:gridSpan w:val="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6"/>
          </w:tcPr>
          <w:p>
            <w:pPr>
              <w:spacing w:after="0"/>
              <w:rPr>
                <w:sz w:val="22"/>
                <w:szCs w:val="22"/>
                <w:color w:val="auto"/>
              </w:rPr>
            </w:pPr>
          </w:p>
        </w:tc>
        <w:tc>
          <w:tcPr>
            <w:tcW w:w="5740" w:type="dxa"/>
            <w:vAlign w:val="bottom"/>
            <w:gridSpan w:val="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7"/>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22"/>
                <w:szCs w:val="22"/>
                <w:color w:val="auto"/>
              </w:rPr>
            </w:pPr>
          </w:p>
        </w:tc>
        <w:tc>
          <w:tcPr>
            <w:tcW w:w="8780" w:type="dxa"/>
            <w:vAlign w:val="bottom"/>
            <w:gridSpan w:val="1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Restoration;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February 3, 2024,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118,278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379,214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380,786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18,452</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120,857</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43,466 and 43,253 shares issued and 28,705 and 30,814</w:t>
            </w:r>
          </w:p>
        </w:tc>
        <w:tc>
          <w:tcPr>
            <w:tcW w:w="2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282,467</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(135,056)</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242,534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259,929</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6"/>
                <w:szCs w:val="16"/>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222,534</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98,769</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123,765</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196"/>
        </w:trPr>
        <w:tc>
          <w:tcPr>
            <w:tcW w:w="52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9,254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4,575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30,847</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31,208</w:t>
            </w:r>
          </w:p>
        </w:tc>
      </w:tr>
      <w:tr>
        <w:trPr>
          <w:trHeight w:val="270"/>
        </w:trPr>
        <w:tc>
          <w:tcPr>
            <w:tcW w:w="5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Pr>
          <w:p>
            <w:pPr>
              <w:spacing w:after="0"/>
              <w:rPr>
                <w:sz w:val="11"/>
                <w:szCs w:val="11"/>
                <w:color w:val="auto"/>
              </w:rPr>
            </w:pPr>
          </w:p>
        </w:tc>
        <w:tc>
          <w:tcPr>
            <w:tcW w:w="112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30,813,616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12,439,244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(135,056)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194,033</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30,048,463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13,398,430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(141,404)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28,705,330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14,760,678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(150,949)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30,766,024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12,079,690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274,629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(132,864)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251,378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330,500</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 equity adjustment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30,968,424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12,207,790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(133,596)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246,992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July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30,848,293</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12,328,010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111,663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279,204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(134,279)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256,519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1"/>
                <w:szCs w:val="11"/>
                <w:color w:val="auto"/>
              </w:rPr>
            </w:pPr>
          </w:p>
        </w:tc>
        <w:tc>
          <w:tcPr>
            <w:tcW w:w="1160" w:type="dxa"/>
            <w:vAlign w:val="bottom"/>
          </w:tcPr>
          <w:p>
            <w:pPr>
              <w:jc w:val="right"/>
              <w:ind w:right="408"/>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non-cash loss, net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w:t>
            </w:r>
          </w:p>
        </w:tc>
      </w:tr>
      <w:tr>
        <w:trPr>
          <w:trHeight w:val="196"/>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15,975</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r>
      <w:tr>
        <w:trPr>
          <w:trHeight w:val="196"/>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business acquisition</w:t>
            </w:r>
          </w:p>
        </w:tc>
        <w:tc>
          <w:tcPr>
            <w:tcW w:w="2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(11,727)</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r>
      <w:tr>
        <w:trPr>
          <w:trHeight w:val="19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46,595</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8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1"/>
                <w:szCs w:val="11"/>
                <w:color w:val="auto"/>
              </w:rPr>
            </w:pPr>
          </w:p>
        </w:tc>
        <w:tc>
          <w:tcPr>
            <w:tcW w:w="1160" w:type="dxa"/>
            <w:vAlign w:val="bottom"/>
          </w:tcPr>
          <w:p>
            <w:pPr>
              <w:jc w:val="right"/>
              <w:ind w:right="408"/>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662</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8"/>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 incurred but not yet paid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segment consists of sales of Vera Bradley products through Vera Bradley full-line and outlet stores in the United States; e-commerce sites (verabradley.com, outlet.verabradley.com, and international.verabradley.com); and the Vera Bradley annual outlet sale in Fort Wayne, Indiana. As of August 3, 2024, the Company operated 40 full-line stores and 81 outlet stores.</w:t>
      </w:r>
    </w:p>
    <w:p>
      <w:pPr>
        <w:spacing w:after="0" w:line="54"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segment consists of revenues generated through the distribution of Vera Bradley-branded products to specialty retailers representing approximately 1,450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4"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through the distribution of Pura Vida-branded products to wholesale retailers, substantially all of which are located in the United States; and through its six retail stores.</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3, 2024, filed with the SEC.</w:t>
      </w:r>
    </w:p>
    <w:p>
      <w:pPr>
        <w:spacing w:after="0" w:line="66"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3, 2024,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including Pura Vida.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eliminated intercompany balances and transactions in consolidation.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August 3, 2024 and July 29, 2023 refer to the thirteen 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which became effective during the thirteen and twenty-six weeks ended August 3, 2024, which had, or are expected to have, a significant impact on the Company's Condensed Consolidated Financial Statements.</w:t>
      </w:r>
    </w:p>
    <w:p>
      <w:pPr>
        <w:spacing w:after="0" w:line="185" w:lineRule="exact"/>
        <w:rPr>
          <w:sz w:val="20"/>
          <w:szCs w:val="20"/>
          <w:color w:val="auto"/>
        </w:rPr>
      </w:pPr>
    </w:p>
    <w:p>
      <w:pPr>
        <w:ind w:left="660" w:right="7400" w:hanging="652"/>
        <w:spacing w:after="0" w:line="52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and twenty-six weeks ended August 3,</w:t>
      </w:r>
    </w:p>
    <w:p>
      <w:pPr>
        <w:spacing w:after="0" w:line="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2024 and July 29, 2023 (in thousands):</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00" w:hanging="6"/>
        <w:spacing w:after="0" w:line="245"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million of net revenues related to product sales recognized at a point in time and $0.5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35,396</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20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 million of net revenues related to product sales recognized at a point in time and $0.7 million of net revenues related to sales-based royalties recognized over time.</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55,964</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3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191,425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200" w:hanging="6"/>
        <w:spacing w:after="0" w:line="245"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 million of net revenues related to product sales recognized at a point in time and $1.0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58,297</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34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35,366</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42,024</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144,607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222,534</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 million of net revenues related to product sales recognized at a point in time and $1.4 million of net revenues related to sales-based royalties recognized over time.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Contract liabilities as of August 3, 2024 and February 3, 2024, were $2.0 million and $2.6 million, respectively. The balance as of August 3, 2024 and February 3, 2024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Condensed Consolidated Balance Sheets. Substantially all contract liabilities are recognized within one year. The Company did not have contract assets as of August 3, 2024 and February 3, 2024.</w:t>
      </w:r>
    </w:p>
    <w:p>
      <w:pPr>
        <w:spacing w:after="0" w:line="48"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August 3, 2024 and February 3, 2024, was $24.5 million and $16.4 million, respectively, which is recognized within accounts receivable, net, on the Company’s Condensed Consolidated Balance Sheets. The provision for doubtful accounts was $1.1 million as of August 3, 2024 and February 3, 2024,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August 3, 2024.</w:t>
      </w:r>
    </w:p>
    <w:p>
      <w:pPr>
        <w:spacing w:after="0" w:line="185" w:lineRule="exact"/>
        <w:rPr>
          <w:sz w:val="20"/>
          <w:szCs w:val="20"/>
          <w:color w:val="auto"/>
        </w:rPr>
      </w:pPr>
    </w:p>
    <w:p>
      <w:pPr>
        <w:ind w:left="660" w:right="9560" w:hanging="652"/>
        <w:spacing w:after="0" w:line="383" w:lineRule="auto"/>
        <w:tabs>
          <w:tab w:leader="none" w:pos="66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Discount Rate</w:t>
      </w:r>
    </w:p>
    <w:p>
      <w:pPr>
        <w:spacing w:after="0" w:line="1" w:lineRule="exact"/>
        <w:rPr>
          <w:rFonts w:ascii="Times New Roman" w:cs="Times New Roman" w:eastAsia="Times New Roman" w:hAnsi="Times New Roman"/>
          <w:sz w:val="17"/>
          <w:szCs w:val="17"/>
          <w:b w:val="1"/>
          <w:bCs w:val="1"/>
          <w:color w:val="auto"/>
        </w:rPr>
      </w:pPr>
    </w:p>
    <w:p>
      <w:pPr>
        <w:ind w:left="660" w:right="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weighted-average discount rate as of August 3, 2024, and July 29, 2023 was 4.9% and 4.7%,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108"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As of August 3, 2024, the Company had six leases which were executed but for which it did not have control of the underlying assets; therefore, the lease liabilities and right-of-use assets are not recorded on the Condensed Consolidated Balance Sheet. These leases contain undiscounted lease payments, which will be included in the determination of the lease liability, totaling approximately $5.9 million and have a term of approximately 5 years commencing in fiscal year 2025.</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twenty-six weeks ended August 3, 2024 and July 29, 2023 (in thousands):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2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00" w:type="dxa"/>
            <w:vAlign w:val="bottom"/>
          </w:tcPr>
          <w:p>
            <w:pPr>
              <w:spacing w:after="0"/>
              <w:rPr>
                <w:sz w:val="16"/>
                <w:szCs w:val="16"/>
                <w:color w:val="auto"/>
              </w:rPr>
            </w:pPr>
          </w:p>
        </w:tc>
        <w:tc>
          <w:tcPr>
            <w:tcW w:w="15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229"/>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r>
      <w:tr>
        <w:trPr>
          <w:trHeight w:val="22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2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r>
    </w:tbl>
    <w:p>
      <w:pPr>
        <w:ind w:left="68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-121920</wp:posOffset>
            </wp:positionV>
            <wp:extent cx="4766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August 3, 2024 and July 29, 2023 was 5.1 years and 5.4 years,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20" w:type="dxa"/>
            <w:vAlign w:val="bottom"/>
          </w:tcPr>
          <w:p>
            <w:pPr>
              <w:spacing w:after="0"/>
              <w:rPr>
                <w:sz w:val="16"/>
                <w:szCs w:val="16"/>
                <w:color w:val="auto"/>
              </w:rPr>
            </w:pPr>
          </w:p>
        </w:tc>
        <w:tc>
          <w:tcPr>
            <w:tcW w:w="15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r>
      <w:tr>
        <w:trPr>
          <w:trHeight w:val="184"/>
        </w:trPr>
        <w:tc>
          <w:tcPr>
            <w:tcW w:w="6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r>
    </w:tbl>
    <w:p>
      <w:pPr>
        <w:spacing w:after="0" w:line="49" w:lineRule="exact"/>
        <w:rPr>
          <w:sz w:val="20"/>
          <w:szCs w:val="20"/>
          <w:color w:val="auto"/>
        </w:rPr>
      </w:pPr>
    </w:p>
    <w:p>
      <w:pPr>
        <w:ind w:left="680" w:right="720" w:hanging="6"/>
        <w:spacing w:after="0" w:line="250" w:lineRule="auto"/>
        <w:tabs>
          <w:tab w:leader="none" w:pos="9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of lease liabilities were recorded within accounts payable on the Company's Consolidated Balance Sheets as of August 3, 2024, and were paid in the third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1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1"/>
        </w:trPr>
        <w:tc>
          <w:tcPr>
            <w:tcW w:w="4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4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196"/>
        </w:trPr>
        <w:tc>
          <w:tcPr>
            <w:tcW w:w="4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9,254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4,575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(loss)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31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2024, all potential common shares were excluded from the diluted share calculation because they were anti-dilutive due to the net loss in the period.</w:t>
      </w:r>
    </w:p>
    <w:p>
      <w:pPr>
        <w:spacing w:after="0" w:line="175" w:lineRule="exact"/>
        <w:rPr>
          <w:sz w:val="20"/>
          <w:szCs w:val="20"/>
          <w:color w:val="auto"/>
        </w:rPr>
      </w:pPr>
    </w:p>
    <w:p>
      <w:pPr>
        <w:ind w:left="660" w:right="60"/>
        <w:spacing w:after="0" w:line="242" w:lineRule="auto"/>
        <w:rPr>
          <w:sz w:val="20"/>
          <w:szCs w:val="20"/>
          <w:color w:val="auto"/>
        </w:rPr>
      </w:pPr>
      <w:r>
        <w:rPr>
          <w:rFonts w:ascii="Times New Roman" w:cs="Times New Roman" w:eastAsia="Times New Roman" w:hAnsi="Times New Roman"/>
          <w:sz w:val="18"/>
          <w:szCs w:val="18"/>
          <w:color w:val="auto"/>
        </w:rPr>
        <w:t>For the thirteen weeks ended August 3, 2024, and the thirteen and twenty-six weeks ended July 29, 2023, there were an immaterial number of additional shares issuable upon the vesting of restricted stock units that were excluded from the diluted share calculations because they were anti-dilutive.</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August 3, 2024 and February 3, 2024, approximated their fair values.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August 3, 2024 and February 3, 2024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7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1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55,262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80" w:right="980" w:hanging="6"/>
        <w:spacing w:after="0" w:line="237"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172" w:lineRule="exact"/>
        <w:rPr>
          <w:sz w:val="20"/>
          <w:szCs w:val="20"/>
          <w:color w:val="auto"/>
        </w:rPr>
      </w:pPr>
    </w:p>
    <w:p>
      <w:pPr>
        <w:ind w:left="660" w:right="120"/>
        <w:spacing w:after="0" w:line="257"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There were no long-lived asset impairment charges for the thirteen and twenty-six weeks ended August 3, 2024 or July 29, 2023.</w:t>
      </w:r>
    </w:p>
    <w:p>
      <w:pPr>
        <w:spacing w:after="0" w:line="52"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66"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 as well as intangible assets related to the Pura Vida acquisition. These assets are measured at fair value if determined to be impaired. There were no intangible asset impairment charges recorded during the thirteen and twenty-six weeks ended August 3, 2024 or July 29, 2023. Refer to Note 13 herein for additional information.</w:t>
      </w:r>
    </w:p>
    <w:p>
      <w:pPr>
        <w:spacing w:after="0" w:line="29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58"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61" w:lineRule="exact"/>
        <w:rPr>
          <w:rFonts w:ascii="Times New Roman" w:cs="Times New Roman" w:eastAsia="Times New Roman" w:hAnsi="Times New Roman"/>
          <w:sz w:val="18"/>
          <w:szCs w:val="18"/>
          <w:b w:val="1"/>
          <w:bCs w:val="1"/>
          <w:color w:val="auto"/>
        </w:rPr>
      </w:pPr>
    </w:p>
    <w:p>
      <w:pPr>
        <w:jc w:val="both"/>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54"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w:t>
      </w:r>
    </w:p>
    <w:p>
      <w:pPr>
        <w:spacing w:after="0" w:line="27"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1.00 to 1.00 during periods when borrowing availability is less than the greater of (A) $9.4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51" w:lineRule="exact"/>
        <w:rPr>
          <w:sz w:val="20"/>
          <w:szCs w:val="20"/>
          <w:color w:val="auto"/>
        </w:rPr>
      </w:pPr>
    </w:p>
    <w:p>
      <w:pPr>
        <w:ind w:left="660" w:right="100"/>
        <w:spacing w:after="0" w:line="272"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40" w:hanging="4"/>
        <w:spacing w:after="0" w:line="255" w:lineRule="auto"/>
        <w:tabs>
          <w:tab w:leader="none" w:pos="9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104"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As of August 3, 2024 and February 3, 2024, the Company had no borrowings outstanding and availability of $75.0 million under the Credit Agreement.</w:t>
      </w:r>
    </w:p>
    <w:p>
      <w:pPr>
        <w:spacing w:after="0" w:line="18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9" w:lineRule="exact"/>
        <w:rPr>
          <w:rFonts w:ascii="Times New Roman" w:cs="Times New Roman" w:eastAsia="Times New Roman" w:hAnsi="Times New Roman"/>
          <w:sz w:val="18"/>
          <w:szCs w:val="18"/>
          <w:b w:val="1"/>
          <w:bCs w:val="1"/>
          <w:color w:val="auto"/>
        </w:rPr>
      </w:pPr>
    </w:p>
    <w:p>
      <w:pPr>
        <w:ind w:left="660" w:right="60"/>
        <w:spacing w:after="0" w:line="23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64" w:lineRule="exact"/>
        <w:rPr>
          <w:rFonts w:ascii="Times New Roman" w:cs="Times New Roman" w:eastAsia="Times New Roman" w:hAnsi="Times New Roman"/>
          <w:sz w:val="18"/>
          <w:szCs w:val="18"/>
          <w:b w:val="1"/>
          <w:bCs w:val="1"/>
          <w:color w:val="auto"/>
        </w:rPr>
      </w:pPr>
    </w:p>
    <w:p>
      <w:pPr>
        <w:ind w:left="6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August 3, 2024, was (77.5)%, compared to 28.0% for the thirteen weeks ended July 29,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non-deductible executive compensation.</w:t>
      </w:r>
    </w:p>
    <w:p>
      <w:pPr>
        <w:spacing w:after="0" w:line="44" w:lineRule="exact"/>
        <w:rPr>
          <w:rFonts w:ascii="Times New Roman" w:cs="Times New Roman" w:eastAsia="Times New Roman" w:hAnsi="Times New Roman"/>
          <w:sz w:val="18"/>
          <w:szCs w:val="18"/>
          <w:b w:val="1"/>
          <w:bCs w:val="1"/>
          <w:color w:val="auto"/>
        </w:rPr>
      </w:pPr>
    </w:p>
    <w:p>
      <w:pPr>
        <w:ind w:left="660"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twenty-six weeks ended August 3, 2024, was 68.3%, compared to 29.0% for the twenty-six weeks ended July 29,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non-deductible executive compensation.</w:t>
      </w:r>
    </w:p>
    <w:p>
      <w:pPr>
        <w:spacing w:after="0" w:line="58"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12 herein for information regarding the deferred income tax adjustment associated with the purchase of the remaining 25% interest in Pura Vida on January 30,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21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9" w:lineRule="exact"/>
        <w:rPr>
          <w:rFonts w:ascii="Times New Roman" w:cs="Times New Roman" w:eastAsia="Times New Roman" w:hAnsi="Times New Roman"/>
          <w:sz w:val="18"/>
          <w:szCs w:val="18"/>
          <w:b w:val="1"/>
          <w:bCs w:val="1"/>
          <w:color w:val="auto"/>
        </w:rPr>
      </w:pPr>
    </w:p>
    <w:p>
      <w:pPr>
        <w:ind w:left="660" w:right="2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August 3, 2024, the Company granted 14,612 time-based and performance-based restricted stock units with an aggregate fair value of $0.1 million to certain employees under the 2020 Equity and Incentive Plan compared to 195,617 time-based and performance-based restricted stock units with an aggregate fair value of $1.1 million in the same period of the prior year.</w:t>
      </w:r>
    </w:p>
    <w:p>
      <w:pPr>
        <w:spacing w:after="0" w:line="212" w:lineRule="exact"/>
        <w:rPr>
          <w:rFonts w:ascii="Times New Roman" w:cs="Times New Roman" w:eastAsia="Times New Roman" w:hAnsi="Times New Roman"/>
          <w:sz w:val="18"/>
          <w:szCs w:val="18"/>
          <w:b w:val="1"/>
          <w:bCs w:val="1"/>
          <w:color w:val="auto"/>
        </w:rPr>
      </w:pPr>
    </w:p>
    <w:p>
      <w:pPr>
        <w:ind w:left="6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twenty-six weeks ended August 3, 2024, the Company granted 755,647 time-based and performance-based restricted stock units with an aggregate fair value of $5.1 million to certain employees and non-employee directors under the 2020 Equity and Incentive Plan compared to 738,187 time-based and performance-based restricted stock units with an aggregate fair value of $4.3 million in the same period of the prior year.</w:t>
      </w:r>
    </w:p>
    <w:p>
      <w:pPr>
        <w:spacing w:after="0" w:line="103"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Time-based restricted stock units vest and settle in shares of the Company’s common stock, on a one-for-one basis, with most vesting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5"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restricted stock unit activity for the twenty-six weeks ended August 3, 2024 (units in thousands):</w:t>
      </w:r>
    </w:p>
    <w:p>
      <w:pPr>
        <w:spacing w:after="0" w:line="3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2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6"/>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3,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August 3,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100"/>
        <w:spacing w:after="0" w:line="312" w:lineRule="auto"/>
        <w:rPr>
          <w:sz w:val="20"/>
          <w:szCs w:val="20"/>
          <w:color w:val="auto"/>
        </w:rPr>
      </w:pPr>
      <w:r>
        <w:rPr>
          <w:rFonts w:ascii="Times New Roman" w:cs="Times New Roman" w:eastAsia="Times New Roman" w:hAnsi="Times New Roman"/>
          <w:sz w:val="17"/>
          <w:szCs w:val="17"/>
          <w:color w:val="auto"/>
        </w:rPr>
        <w:t>As of August 3, 2024, there was $5.8 million of total unrecognized compensation cost, net of estimated forfeitures, related to nonvested restricted stock units. That cost is expected to be recognized over a weighted-average period of 1.9 years, subject to meeting performance conditions.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2024, Marishka Filio filed suit seeking class certification for those who purchased products from the Company’s website Verabradley.com during the applicable statute of limitations. The complaint alleges various violations of the California Invasion of Privacy Act and the California Unfair Competition Law. The Company denies all liability and intends to vigorously defend itself in the case. At this time, we are not able to estimate a possible loss or range of loss that may result from this matter and do not believe that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7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94"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2,321,434 shares at an average price of $6.85 per share, excluding commissions, for an aggregate amount of</w:t>
      </w:r>
    </w:p>
    <w:p>
      <w:pPr>
        <w:spacing w:after="0" w:line="27" w:lineRule="exact"/>
        <w:rPr>
          <w:rFonts w:ascii="Times New Roman" w:cs="Times New Roman" w:eastAsia="Times New Roman" w:hAnsi="Times New Roman"/>
          <w:sz w:val="18"/>
          <w:szCs w:val="18"/>
          <w:b w:val="1"/>
          <w:bCs w:val="1"/>
          <w:color w:val="auto"/>
        </w:rPr>
      </w:pPr>
    </w:p>
    <w:p>
      <w:pPr>
        <w:ind w:left="660" w:right="2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$15.9 million during the twenty-six weeks ended August 3, 2024 under the 2021 Share Repurchase Program. There was $9.6 million remaining available to repurchase shares of the Company's common stock under the 2021 Share Repurchase Program as of August 3, 2024.</w:t>
      </w:r>
    </w:p>
    <w:p>
      <w:pPr>
        <w:spacing w:after="0" w:line="59" w:lineRule="exact"/>
        <w:rPr>
          <w:rFonts w:ascii="Times New Roman" w:cs="Times New Roman" w:eastAsia="Times New Roman" w:hAnsi="Times New Roman"/>
          <w:sz w:val="18"/>
          <w:szCs w:val="18"/>
          <w:b w:val="1"/>
          <w:bCs w:val="1"/>
          <w:color w:val="auto"/>
        </w:rPr>
      </w:pPr>
    </w:p>
    <w:p>
      <w:pPr>
        <w:ind w:left="660"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August 3, 2024, the Company held as treasury shares 14,760,678 shares of its common stock at an average price of $10.23 per share, excluding commissions, for an aggregate carrying amount of $151.0 million. The Company’s treasury shares may be issued under the 2010 Equity and Incentive Plan (with respect to outstanding awards under that plan), under the 2020 Equity and Incentive Plan, or for other corporate purposes.</w:t>
      </w:r>
    </w:p>
    <w:p>
      <w:pPr>
        <w:spacing w:after="0" w:line="26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$3.0 million and $3.8 million as of August 3, 2024 and February 3, 2024, respectively. Of this total, $2.0 million and $2.8 million was recorded within prepaid expenses and other current assets and $1.0 million was recorded within other assets on the Company's Condensed Consolidated Balance Sheets as of August 3, 2024 and February 3, 2024, respectively. The CCA implementation costs are recorded within operating activities in the Company's Condensed Consolidated Statements of Cash Flows.</w:t>
      </w:r>
    </w:p>
    <w:p>
      <w:pPr>
        <w:spacing w:after="0" w:line="21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107"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represented the remaining twenty-five percent (25%) interest in Pura Vida not acquired by the Company until January 30, 2023.</w:t>
      </w:r>
    </w:p>
    <w:p>
      <w:pPr>
        <w:spacing w:after="0" w:line="26"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the Company purchased 75% of Pura Vida's outstanding equity interest and entered into a Put/Call Agreement with the Sellers (the “Put/Call Agreement”) providing for certain rights with respect to the purchase by the Company and sale by the Sellers of the Remaining Pura Vida Interests. On January 23, 2023, the Company and certain of its subsidiaries entered into an Interest Purchase Agreement (the “Interest Purchase Agreement”) with Creative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Genius Holdings, Inc. a California corporation, Creative Genius Investments, Inc., a California corporation, Griffin Thall, and Paul Goodman (collectively “Sellers”) to purchase the remaining 25% of the outstanding membership interests (the “Remaining Pura Vida Interests”) of Creative Genius, LLC, a California limited liability company (“Pura Vida”).</w:t>
      </w:r>
    </w:p>
    <w:p>
      <w:pPr>
        <w:spacing w:after="0" w:line="41"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7"/>
          <w:szCs w:val="17"/>
          <w:color w:val="auto"/>
        </w:rPr>
        <w:t>Pursuant to the Interest Purchase Agreement, and subject to the terms and conditions thereof, on the closing date (January 30, 2023), the Company acquired the Remaining Pura Vida Interests (the “Transaction”) in exchange for cash consideration consisting of $10.0 million paid at closing, subject to certain adjustments. The Transaction was not subject to financing conditions. The Company’s existing available cash and cash equivalents funded the purchase price. Following completion of the Transaction, the Company owns 100% of the ownership interests in Pura Vida.</w:t>
      </w:r>
    </w:p>
    <w:p>
      <w:pPr>
        <w:spacing w:after="0" w:line="43"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40"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the thirteen weeks ended April 29, 2023. In addition, there was an APIC adjustment of $0.6 million related to deferred income taxes for the purchase of the redeemable noncontrolling interest. The total APIC adjustment for this matter during the thirteen weeks ended April 29, 2023, was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tables detail the carrying value of the Company's intangible assets related to the acquisition of a majority interest in Pura Vida.</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2"/>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8"/>
                <w:szCs w:val="18"/>
                <w:b w:val="1"/>
                <w:bCs w:val="1"/>
                <w:color w:val="auto"/>
                <w:w w:val="99"/>
                <w:vertAlign w:val="superscript"/>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of $5.4 million was recorded within the Pura Vida segment during fourth quarter of fiscal 2024.</w:t>
      </w: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660" w:right="6720" w:hanging="652"/>
        <w:spacing w:after="0" w:line="375" w:lineRule="auto"/>
        <w:tabs>
          <w:tab w:leader="none" w:pos="655"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ind w:left="6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fiscal 2023, the Company began implementation of its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w:t>
      </w:r>
    </w:p>
    <w:p>
      <w:pPr>
        <w:spacing w:after="0" w:line="54"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incurred the following charges during the thirteen weeks ended August 3,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2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w w:val="99"/>
              </w:rPr>
              <w:t>(1) Recorded within cost of goods sold and selling, general, and administrative ("SG&amp;A") expenses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83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Company incurred the following charges during the twenty-six weeks ended August 3, 2024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pacing w:after="0" w:line="27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2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36"/>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Charges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3,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 charges</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August 3,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July 29, 2023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SG&amp;A expenses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twenty-six weeks ended July 29, 2023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CFO severance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professional fees</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within SG&amp;A expenses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62407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Fiscal 2024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078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July 29, 2023</w:t>
      </w:r>
    </w:p>
    <w:p>
      <w:pPr>
        <w:spacing w:after="0" w:line="77" w:lineRule="exact"/>
        <w:rPr>
          <w:sz w:val="20"/>
          <w:szCs w:val="20"/>
          <w:color w:val="auto"/>
        </w:rPr>
      </w:pPr>
    </w:p>
    <w:p>
      <w:pPr>
        <w:ind w:left="920" w:hanging="246"/>
        <w:spacing w:after="0"/>
        <w:tabs>
          <w:tab w:leader="none" w:pos="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140" w:type="dxa"/>
            <w:vAlign w:val="bottom"/>
          </w:tcPr>
          <w:p>
            <w:pPr>
              <w:spacing w:after="0"/>
              <w:rPr>
                <w:sz w:val="13"/>
                <w:szCs w:val="13"/>
                <w:color w:val="auto"/>
              </w:rPr>
            </w:pPr>
          </w:p>
        </w:tc>
        <w:tc>
          <w:tcPr>
            <w:tcW w:w="18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146"/>
        </w:trPr>
        <w:tc>
          <w:tcPr>
            <w:tcW w:w="21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1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7"/>
                <w:szCs w:val="17"/>
                <w:color w:val="auto"/>
              </w:rPr>
            </w:pPr>
          </w:p>
        </w:tc>
        <w:tc>
          <w:tcPr>
            <w:tcW w:w="1840" w:type="dxa"/>
            <w:vAlign w:val="bottom"/>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23"/>
        </w:trPr>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7" w:lineRule="exact"/>
        <w:rPr>
          <w:sz w:val="20"/>
          <w:szCs w:val="20"/>
          <w:color w:val="auto"/>
        </w:rPr>
      </w:pPr>
    </w:p>
    <w:p>
      <w:pPr>
        <w:sectPr>
          <w:pgSz w:w="11900" w:h="16838" w:orient="portrait"/>
          <w:cols w:equalWidth="0" w:num="2">
            <w:col w:w="5620" w:space="720"/>
            <w:col w:w="4840"/>
          </w:cols>
          <w:pgMar w:left="320" w:top="117" w:right="399" w:bottom="1440" w:gutter="0" w:footer="0" w:header="0"/>
          <w:type w:val="continuous"/>
        </w:sect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VB Direct segment includes Vera Bradley full-line and outlet stores; e-commerce sites (verabradley.com, outlet.verabradley.com, and international.verabradley.com); and the Vera Bradley annual outlet sale. Revenues generated from this segment are driven through the sale of Vera Bradley-branded products from Vera Bradley to end consumers.</w:t>
      </w:r>
    </w:p>
    <w:p>
      <w:pPr>
        <w:spacing w:after="0" w:line="41"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1,450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through the distribution of Pura Vida-branded products to wholesale retailers, substantially all of which are located in the United States; and through the Pura Vida retail stores.</w:t>
      </w:r>
    </w:p>
    <w:p>
      <w:pPr>
        <w:spacing w:after="0" w:line="5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7"/>
          <w:szCs w:val="17"/>
          <w:color w:val="auto"/>
        </w:rPr>
        <w:t>Company management evaluates segment operating results based on several indicators. The primary or key performance indicators for each segment are net revenues and operating income. Net revenues and operating income (loss) information for the Company’s reportable segments during the thirteen and twenty-six weeks ended August 3, 2024 and July 29, 2023, respectively, consisted of the following (in thousands):</w:t>
      </w:r>
    </w:p>
    <w:tbl>
      <w:tblPr>
        <w:tblLayout w:type="fixed"/>
        <w:tblInd w:w="66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6"/>
                <w:szCs w:val="16"/>
                <w:color w:val="auto"/>
              </w:rPr>
            </w:pPr>
          </w:p>
        </w:tc>
        <w:tc>
          <w:tcPr>
            <w:tcW w:w="29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3"/>
              <w:spacing w:after="0" w:line="12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45,191</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w:t>
            </w: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3"/>
        </w:trPr>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(37,948)</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twenty-six weeks ended August 3, 2024 and July 29, 2023. The following discussion should be read in conjunction with our Annual Report on Form 10-K for the fiscal year ended February 3, 2024, and our unaudited condensed consolidated financial statements and the related notes included in Item 1 of this Quarterly Report. The results of operations for the thirteen and twenty-six weeks ended August 3, 2024,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268"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Strategic Progress. </w:t>
      </w:r>
      <w:r>
        <w:rPr>
          <w:rFonts w:ascii="Times New Roman" w:cs="Times New Roman" w:eastAsia="Times New Roman" w:hAnsi="Times New Roman"/>
          <w:sz w:val="18"/>
          <w:szCs w:val="18"/>
          <w:color w:val="auto"/>
        </w:rPr>
        <w:t>We launched the first of our customer-facing stages of Project Restoration in July of fiscal 2025, which included new products,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remodels, website redesigns, and customer marketing. Project Restoration is focused on four key pillars of the business (Consumer, Brand, Product, and Channel) for each brand to help drive long-term profitable growth.</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continued to identify cost reductions as part of our overall plan to right-size the expense structure of our Company and lay the groundwork for success to help drive long-term profitable growth. Savings are being derived across various areas of the Company, including retail store efficiencies, marketing expenses, information technology contracts, professional services, logistics and operational costs, and corporate payroll. We will continue to review our expense structure for additional cost reduction opportunities.</w:t>
      </w:r>
    </w:p>
    <w:p>
      <w:pPr>
        <w:spacing w:after="0" w:line="2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Macroeconomic and Other Factors</w:t>
      </w:r>
      <w:r>
        <w:rPr>
          <w:rFonts w:ascii="Times New Roman" w:cs="Times New Roman" w:eastAsia="Times New Roman" w:hAnsi="Times New Roman"/>
          <w:sz w:val="18"/>
          <w:szCs w:val="18"/>
          <w:color w:val="auto"/>
        </w:rPr>
        <w:t>. We have been impacted by higher tariffs from previously duty-free countries, where we source products,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expiration of the Generalized System of Preferences (“GSP”) duty-free status at the end of calendar year 2020. In addition, the macroeconomic environment has been further challenged by inflationary pressures and other related factors that have impacted consumer discretionary spending. We continued to see weakness in both the Vera Bradley outlet store business and full line stores in the second quarter of fiscal 2025. Additionally, the Vera Bradley annual outlet sale was held in the first quarter of fiscal 2025, a timing shift from the second quarter of fiscal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e-commerce sites (verabradley.com, outlet.verabradley.com, and international.verabradley.com); and the Vera Bradley annual outlet sale. Revenues for the VB Indirect segment reflect sales of Vera Bradley-branded products to specialty retail partners; key accounts consisting of department stores, national accounts, third-party e-commerce sites, and third-party inventory liquidators; and royalties recognized through licensing agreements related to the Vera Bradley brand. Revenues for the Pura Vida segment reflect revenues generated through the Pura Vida websites (www.puravidabracelets.com and www.puravidabracelets.eu); through the distribution of Pura Vida-branded products to wholesale retailers; and through Pura Vida retail stores.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2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inbound freight and other logistical costs;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 and store expenses.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14 to the Notes to the Condensed Consolidated Financial Statements herein.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1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income (loss) is equal to gross profit less SG&amp;A expenses plus other income, net. Operating income (loss)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is equal to operating income (loss) plus interest income less interest expense and income taxes.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 our annual impairment test of the indefinite-lived Pura Vida brand during the second quarter of each fiscal year.</w:t>
      </w:r>
    </w:p>
    <w:p>
      <w:pPr>
        <w:spacing w:after="0" w:line="22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Refer to Note 15 to the Notes to the Consolidated Financial Statements filed with the SEC on Form 10-K for the fiscal year ended February 3, 2024, for additional information regarding the indefinite-lived intangible assets impairment test and impairment charges recorded during fiscal 2024. There were no impairment charges recorded during the thirteen and twenty-six weeks ended August 3, 2024 or July 29, 2023. We are unable to predict the extent of the impact that the inflationary environment could have on our operations, the economy, or other factors; therefore, it is possible additional impairments could be identified in future periods, and such amounts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79"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There were no impairment charges recorded during the thirteen and twenty-six weeks ended August 3, 2024 or July 29, 2023. We are unable to predict the extent of the impact that the inflationary environment could have on our operations, the economy, or other factors; therefore, it is possible additional impairments could be identified in future periods, and such amounts could be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28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31"/>
        </w:trPr>
        <w:tc>
          <w:tcPr>
            <w:tcW w:w="48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4"/>
        </w:trPr>
        <w:tc>
          <w:tcPr>
            <w:tcW w:w="4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191,425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222,534</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54,461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93,154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98,769</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123,765</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59,405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117,911</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631</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6,485</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6,441</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1,866</w:t>
            </w:r>
          </w:p>
        </w:tc>
      </w:tr>
      <w:tr>
        <w:trPr>
          <w:trHeight w:val="196"/>
        </w:trPr>
        <w:tc>
          <w:tcPr>
            <w:tcW w:w="48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5,706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9,254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4,575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6"/>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85,702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128,665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144,607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21,762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33,286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32,736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16,819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29,474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45,191</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110,822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128,172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191,425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222,534</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6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6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13,433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20,621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27,961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4,743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6,204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8,569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10,910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(15,393)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(17,954)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(33,440)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(37,948)</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2,872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12,871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(8,557)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 by</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370,349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375,576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370,349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375,576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30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hanging="552"/>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 These figures do not include Pura Vida retail locations or Pura Vida e-commerce operations.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220" w:hanging="572"/>
        <w:spacing w:after="0" w:line="253"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August 3, 2024, Compared to Thirteen Weeks Ended July 29,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2024, net revenues decreased $17.4 million, or 13.5%, to $110.8 million, from $128.2 million in the comparable prior-year period.</w:t>
      </w:r>
    </w:p>
    <w:p>
      <w:pPr>
        <w:spacing w:after="0" w:line="10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3, 2024, net revenues in the VB Direct segment decreased $13.5 million, or 15.7%, to $72.2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$85.7 million in the comparable prior-year period. Vera Bradley comparable sales decreased 11.2%, which includes a 14.1% decrease in comparable store sales and a 5.3% decrease in e-commerce sales. In addition, non-comparable store revenue decreased $0.5 million. The decrease in comparable store sales was primarily due to reduced traffic and lower average transaction size in the outlet and full-line channels. In addition, the decrease in net revenues was attributed to a timing shift of sales from the Vera Bradley annual outlet sale held during the first quarter of fiscal 2025 compared to the second quarter of fiscal 2024.</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August 3, 2024, net revenues in the VB Indirect segment increased $4.4 million, or 25.3%, to $21.8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$17.4 million in the comparable prior-year period. The increase was primarily due to a significant liquidation order in the current-year period, as well as an increase in key account orders, partially offset by a decrease in specialty account orders.</w:t>
      </w:r>
    </w:p>
    <w:p>
      <w:pPr>
        <w:spacing w:after="0" w:line="113"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August 3, 2024, net revenues in the Pura Vida segment decreased $8.3 million, or 33.0%, to $16.8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$25.1 million in the comparable prior-year period. The decrease was primarily due to a decline in e-commerce and wholesale sales, partially offset by an increase in retail store sales associated with the opening of a new retail store in the current-year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 the thirteen weeks ended August 3, 2024, gross profit decreased $15.6 million, or 21.7%, to $56.4 million, from $72.0 million in the comparable prior-year period. As a percentage of net revenues, gross profit decreased to 50.9% for the thirteen weeks ended August 3, 2024, from 56.2% in the comparable prior-year period. Current year gross margin was negatively impacted by increased liquidation sales in the Indirect segment and promotional activity in the Direct segment.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For the thirteen weeks ended August 3, 2024, SG&amp;A expenses decreased $5.8 million, or 9.7%, to $53.6 million, from $59.4 million in the comparable prior-year period. As a percentage of net revenues, SG&amp;A expenses increased to 48.4% for the thirteen weeks ended August 3, 2024, from 46.3% in the comparable prior-year period. SG&amp;A expenses related to Vera Bradley and corporate unallocated were $44.0 million compared to $47.7 million in the comparable prior-year period. SG&amp;A expenses related to Pura Vida were $9.6 million compared to $11.7 million in the comparable prior-year period. For the thirteen weeks ended August 3, 2024, consolidated SG&amp;A expenses decreased primarily due to a $4.6 million reduction in employee-related costs, including lower variable compensation and reduced headcount, and a $1.8 million reduction in other expenses including variable selling expenses resulting from sales decreases as described above, variable lease costs, certain professional fees, and other cost reduction initiatives. These decreases were partially offset by a $0.6 million increase in advertising spend, largely associated with Project Restoration initiatives.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thirteen weeks ended August 3, 2024, net other income decreased $0.2 million to $0.1 million compared to $0.3 million in the comparable prior-year period. The decrease in net other income was primarily due to the timing shift of ticket sales from the Vera Bradley annual outlet sale which took place in the second quarter of fiscal 2024, compared to the first quarter of fiscal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August 3, 2024, operating income decreased $10.0 million, or 77.7%, to $2.9 million in the current-year period, from</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$12.9 million in the comparable prior-year period. As a percentage of net revenues, operating income was 2.6% and 10.0% for the thirteen weeks ended August 3, 2024 and July 29, 2023, respectively. Operating income decreased due to the factors described in the captions above.</w:t>
      </w:r>
    </w:p>
    <w:p>
      <w:pPr>
        <w:spacing w:after="0" w:line="12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3, 2024, operating income in the VB Direct segment decreased $7.2 million, or 34.9%, to $13.4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$20.6 million in the comparable prior-year period. As a percentage of VB Direct segment net revenues, operating income in the VB Direct segment was 18.6% and 24.1% for the thirteen weeks ended August 3, 2024 and July 29, 2023, respectively. The decrease in operating income as a percentage of VB Direct segment net revenues was primarily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decrease in gross margin as a percentage of net revenues as described above, as well as SG&amp;A expense deleverage associated with decreased sales.</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August 3, 2024, operating income in the VB Indirect segment decreased $1.5 million, or 23.6%, to $4.7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$6.2 million in the comparable prior-year period. As a percentage of VB Indirect segment net revenues, operating income in the VB Indirect segment was 21.8% and 35.7% for the thirteen weeks ended August 3, 2024 and July 29, 2023, respectively. The decrease in operating income as a percentage of VB Indirect segment net revenues was due to a decrease in gross margin as a percentage of net revenues as described above.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August 3, 2024, operating income in the Pura Vida segment decreased $3.9 million, or 97.8%, to $0.1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 million in the comparable prior-year period. As a percentage of Pura Vida segment net revenues, operating income in the Pura Vida segment was 0.5% and 15.9% for the thirteen weeks ended August 3, 2024 and July 29, 2023, respectively. The decrease in operating income as a percentage of Pura Vida net revenues was primarily due to SG&amp;A expense deleverage associated with a decrease in sales, excluding non-comparable stores.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August 3, 2024, unallocated expenses decreased $2.6 million, or 14.3%, to $15.4 million from</w:t>
      </w:r>
    </w:p>
    <w:p>
      <w:pPr>
        <w:spacing w:after="0" w:line="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$18.0 million in the comparable prior-year period. The decrease in unallocated expenses was primarily due to a decrease in employee related expenses of $2.8 million and $0.2 million in other net corporate expense reductions. The decrease was partially offset by an increase of $0.4 million in advertising expenses associated with Project Restoration initiatives.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9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effective tax rate for the thirteen weeks ended August 3, 2024, was (77.5)%, compared to 28.0% for the thirteen weeks ended July 29,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non-deductible executive compensation. See Note 7 "Income Taxes" of the Notes to the Condensed Consolidated Financial Statements for additional information about the Company's interim provision for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2024, net income decreased $3.6 million to $5.7 million from $9.3 million in the comparable prior-year period due to the factors described in the captions above</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Twenty-Six Weeks Ended August 3, 2024, Compared to Twenty-Six Weeks Ended July 29,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2024, net revenues decreased $31.1 million, or 14.0%, to $191.4 million, from $222.5 million in the comparable prior-year period.</w:t>
      </w:r>
    </w:p>
    <w:p>
      <w:pPr>
        <w:spacing w:after="0" w:line="10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August 3, 2024, net revenues in the VB Direct segment decreased $16.0 million, or 11.0%, to $128.6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$144.6 million in the comparable prior-year period. Vera Bradley comparable sales decreased 10.5%, which includes a 13.8% decrease in comparable store sales as well as a decrease in e-commerce sales of 4.4%. In addition, non-comparable store revenue decreased $0.7 million. The decrease in comparable sales and comparable store sales was primarily due to reduced traffic and lower average transaction size in the outlet and full-line channels.</w:t>
      </w:r>
    </w:p>
    <w:p>
      <w:pPr>
        <w:spacing w:after="0" w:line="13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3, 2024, net revenues in the VB Indirect segment increased $0.6 million, or 1.7%, to $33.3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$32.7 million in the comparable prior-year period. The increase was primarily due to an increase in liquidation sales and key account orders, partially offset by a decrease in specialty account orders.</w:t>
      </w:r>
    </w:p>
    <w:p>
      <w:pPr>
        <w:spacing w:after="0" w:line="13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August 3, 2024, net revenues in the Pura Vida segment decreased $15.7 million, or 34.8%, to $29.5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$45.2 million in the comparable prior-year period. The decrease was primarily due to a decline in e-commerce and wholesale sales, partially offset by an increase in retail store sales associated with the opening of a new retail store in the current-year period.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For the twenty-six weeks ended August 3, 2024, gross profit decreased $25.5 million, or 20.6%, to $98.3 million, from $123.8 million in the comparable prior-year period. As a percentage of net revenues, gross profit decreased to 51.3% for the twenty-six weeks ended August 3, 2024, from 55.6% in the comparable prior-year period. Current year gross margin was negatively impacted by one-time vendor charges, as well as increased liquidation sales and promotional activity.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For the twenty-six weeks ended August 3, 2024, SG&amp;A expenses decreased $10.5 million, or 8.9%, to $107.4 million, from $117.9 million in the comparable prior-year period. As a percentage of net revenues, SG&amp;A expenses increased to 56.1% for the twenty-six weeks ended August 3, 2024, from 53.0% in the comparable prior-year period. SG&amp;A expenses related to Vera Bradley and corporate unallocated were $88.8 million compared to</w:t>
      </w:r>
    </w:p>
    <w:p>
      <w:pPr>
        <w:ind w:right="160"/>
        <w:spacing w:after="0" w:line="226" w:lineRule="auto"/>
        <w:rPr>
          <w:sz w:val="20"/>
          <w:szCs w:val="20"/>
          <w:color w:val="auto"/>
        </w:rPr>
      </w:pPr>
      <w:r>
        <w:rPr>
          <w:rFonts w:ascii="Times New Roman" w:cs="Times New Roman" w:eastAsia="Times New Roman" w:hAnsi="Times New Roman"/>
          <w:sz w:val="18"/>
          <w:szCs w:val="18"/>
          <w:color w:val="auto"/>
        </w:rPr>
        <w:t>$95.5 million in the comparable prior-year period. SG&amp;A expenses related to Pura Vida were $18.6 million compared to $22.4 million in the comparable prior-year period. For the twenty-six weeks ended August 3, 2024, consolidated SG&amp;A expenses decreased primarily due to a $7.8 million reduction in employee-related costs, including lower variable compensation, reduced headcount, and decrease in severance charges compared to the prior-year period; and a $3.1 million reduction in other expenses including variable selling expenses resulting from sales decreases as described above, variable lease costs, certain professional fees, and other cost reduction initiatives. These decreases were partially offset by a $0.4 million increase in advertising spend associated with Project Restoration initiatives.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twenty-six weeks ended August 3, 2024, net other income was $0.6 million, consistent with comparable prior-year period.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3, 2024, there was an operating loss of $(8.6) million, a $15.1 million decrease, or 232.0%, from operating income of $6.5 million in the comparable prior-year period. As a percentage of net revenues, operating (loss) income was (4.5)% and 2.9% for the twenty-six weeks ended August 3, 2024 and July 29, 2023, respectively. Operating loss increased due to the factors described in the captions above.</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August 3, 2024, operating income in the VB Direct segment decreased $10.6 million, or 37.7%, to $17.4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$28.0 million in the comparable prior-year period. As a percentage of VB Direct segment net revenues, operating income in the VB Direct segment was 13.5% and 19.3% for the twenty-six weeks ended August 3, 2024 and July 29, 2023, respectively. The decrease in operating income as a percentage of VB Direct segment net revenues was primarily due to a decrease in gross margin as a percentage of net revenues as described above, as well as SG&amp;A expense deleverage associated with decreased sales.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3, 2024, operating income in the VB Indirect segment decreased $2.3 million, or 21.5%, to $8.6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$10.9 million in the comparable prior-year period. As a percentage of VB Indirect segment net revenues, operating income in the VB Indirect segment was 25.7% and 33.3% for the twenty-six weeks ended August 3, 2024 and July 29, 2023, respectively. The decrease in operating income as a percentage of VB Indirect segment net revenues was due to a due to a decrease in gross margin as a percentage of net revenues.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August 3, 2024, there was an operating loss in the Pura Vida segment of $(1.1) million, a $6.7 million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120.0%, from operating income of $5.6 million in the comparable prior-year period. As a percentage of Pura Vida segment net revenues, operating (loss) income in the Pura Vida segment was (3.8)% and 12.3% for the twenty-six weeks ended August 3, 2024 and July 29, 2023, respectively. The increase in operating loss as a percentage of Pura Vida net revenues was primarily due to SG&amp;A expense deleverage associated with decreased e-commerce and wholesale revenues.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twenty-six weeks ended August 3, 2024, unallocated expenses decreased $4.5 million, or 11.9%, to $33.4 million from</w:t>
      </w:r>
    </w:p>
    <w:p>
      <w:pPr>
        <w:spacing w:after="0" w:line="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$37.9 million in the comparable prior-year period. The decrease in unallocated expenses was primarily due to a $5.0 million reduction in employee-related costs, including lower variable compensation, reduced headcount, and decrease in severance charges compared to the prior-year period; as well as a reduction in professional fees of $0.7 million, partially offset by an increase in advertising spend of $1.2 million related to Project Restoration initiatives.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3, 2024, was 68.3%, compared to 29.0% for the twenty-six weeks ended July 29,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non-deductible executive compensation. See Note 7 "Income Taxes" of the Notes to the Condensed Consolidated Financial Statements for additional information about the Company's interim provision for 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2024, there was a net loss of $(2.4) million, a $7.0 million decrease, from net income of $4.6 million in the comparable prior-year period due to the factors described in the captions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August 3, 2024.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Pr>
          <w:p>
            <w:pPr>
              <w:spacing w:after="0"/>
              <w:rPr>
                <w:sz w:val="11"/>
                <w:szCs w:val="11"/>
                <w:color w:val="auto"/>
              </w:rPr>
            </w:pPr>
          </w:p>
        </w:tc>
        <w:tc>
          <w:tcPr>
            <w:tcW w:w="1140" w:type="dxa"/>
            <w:vAlign w:val="bottom"/>
          </w:tcPr>
          <w:p>
            <w:pPr>
              <w:jc w:val="right"/>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(loss) income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twenty-six weeks ended August 3, 2024 was $13.2 million compared to net cash provided by operating activities of $16.0 million for the twenty-six weeks ended July 29, 2023. The increase in cash used in operating activities was primarily related to a net loss of $(2.4) million, a $7.0 million decrease, from net income in the comparable prior-year period, a change in non-cash items of $3.8 million, as well as a change in assets and liabilities of $18.3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$3.6 million for the twenty-six weeks ended August 3, 2024 compared to $11.7 million for the twenty-six weeks ended July 29, 2023. The decrease in cash used in investing activities was a result of the purchase of the remaining 25% interest in Pura Vida for</w:t>
      </w:r>
    </w:p>
    <w:p>
      <w:pPr>
        <w:ind w:right="20"/>
        <w:spacing w:after="0" w:line="260" w:lineRule="auto"/>
        <w:rPr>
          <w:sz w:val="20"/>
          <w:szCs w:val="20"/>
          <w:color w:val="auto"/>
        </w:rPr>
      </w:pPr>
      <w:r>
        <w:rPr>
          <w:rFonts w:ascii="Times New Roman" w:cs="Times New Roman" w:eastAsia="Times New Roman" w:hAnsi="Times New Roman"/>
          <w:sz w:val="18"/>
          <w:szCs w:val="18"/>
          <w:color w:val="auto"/>
        </w:rPr>
        <w:t>$10.0 million in the prior year, partially offset by an increase in property, plant, and equipment spending primarily as a result of Vera Bradley relocations in the current year and Project Restoration initiatives.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$16.4 million for the twenty-six weeks ended August 3, 2024 compared to $2.4 million for the twenty-six weeks ended July 29, 2023. The increase in cash used in financing activities was primarily due to $15.9 million of common stock repurchases in the current-year period compared to $1.4 million in the comparable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Condensed Consolidated Financial Statements herein.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August 3, 2024, there were no material changes outside the ordinary course of business to material cash requirements, as disclosed in our Annual Report on Form 10-K for the fiscal year ended February 3,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3, 2024.</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3, 2024. There were no significant changes to any of the critical accounting policies and estimates described in the Annual Report as of August 3,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3, 2024, there was no material change in the market risks described in “Quantitative and Qualitative Disclosures About Market Risks” in the Company’s Annual Report on Form 10-K for the fiscal year ended February 3, 2024.</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August 3, 2024.</w:t>
      </w:r>
    </w:p>
    <w:p>
      <w:pPr>
        <w:spacing w:after="0" w:line="1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of 2024, Marishka Filio filed suit seeking class certification for those who purchased products from the Company’s website Verabradley.com during the applicable statute of limitations. The complaint alleges various violations of the California Invasion of Privacy Act and the California Unfair Competition Law. The Company denies all liability and intends to vigorously defend itself in the case. At this time, we are not able to estimate a possible loss or range of loss that may result from this matter and do not believe that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February 3, 2024.</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August 3, 2024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21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gridSpan w:val="2"/>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7"/>
                <w:szCs w:val="17"/>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Plans or Program</w:t>
            </w:r>
          </w:p>
        </w:tc>
        <w:tc>
          <w:tcPr>
            <w:tcW w:w="0" w:type="dxa"/>
            <w:vAlign w:val="bottom"/>
          </w:tcPr>
          <w:p>
            <w:pPr>
              <w:spacing w:after="0"/>
              <w:rPr>
                <w:sz w:val="1"/>
                <w:szCs w:val="1"/>
                <w:color w:val="auto"/>
              </w:rPr>
            </w:pPr>
          </w:p>
        </w:tc>
      </w:tr>
      <w:tr>
        <w:trPr>
          <w:trHeight w:val="228"/>
        </w:trPr>
        <w:tc>
          <w:tcPr>
            <w:tcW w:w="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5, 2024</w:t>
            </w: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June 1, 2024</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15,200,050</w:t>
            </w: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 2024</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July 6,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11,792,179</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7, 2024 - August 3,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9,645,065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weeks ended August 3,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8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8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CEO Section 302 Certification</w:t>
            </w:r>
          </w:p>
        </w:tc>
        <w:tc>
          <w:tcPr>
            <w:tcW w:w="7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77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2024</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17"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2024</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Jacqueline Ardrey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Schwindle, certify that:</w:t>
      </w:r>
    </w:p>
    <w:p>
      <w:pPr>
        <w:spacing w:after="0" w:line="104"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2024</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quarterly report on Form 10-Q for the fiscal quarter ended August 3,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Michael Schwindle, the Chief Financial Officer of Vera Bradley, Inc., certify that (i) the quarterly report on Form 10-Q for the fiscal quarter ended August 3,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lvl w:ilvl="1">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4"/>
    </w:lvl>
  </w:abstractNum>
  <w:abstractNum w:abstractNumId="12">
    <w:nsid w:val="2443A858"/>
    <w:multiLevelType w:val="hybridMultilevel"/>
    <w:lvl w:ilvl="0">
      <w:lvlJc w:val="left"/>
      <w:lvlText w:val="%1."/>
      <w:numFmt w:val="decimal"/>
      <w:start w:val="5"/>
    </w:lvl>
    <w:lvl w:ilvl="1">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6"/>
    </w:lvl>
  </w:abstractNum>
  <w:abstractNum w:abstractNumId="15">
    <w:nsid w:val="75A2A8D4"/>
    <w:multiLevelType w:val="hybridMultilevel"/>
    <w:lvl w:ilvl="0">
      <w:lvlJc w:val="left"/>
      <w:lvlText w:val="(%1)"/>
      <w:numFmt w:val="lowerRoman"/>
      <w:start w:val="5"/>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1."/>
      <w:numFmt w:val="decimal"/>
      <w:start w:val="8"/>
    </w:lvl>
  </w:abstractNum>
  <w:abstractNum w:abstractNumId="18">
    <w:nsid w:val="4353D0CD"/>
    <w:multiLevelType w:val="hybridMultilevel"/>
    <w:lvl w:ilvl="0">
      <w:lvlJc w:val="left"/>
      <w:lvlText w:val="%1."/>
      <w:numFmt w:val="decimal"/>
      <w:start w:val="9"/>
    </w:lvl>
  </w:abstractNum>
  <w:abstractNum w:abstractNumId="19">
    <w:nsid w:val="B03E0C6"/>
    <w:multiLevelType w:val="hybridMultilevel"/>
    <w:lvl w:ilvl="0">
      <w:lvlJc w:val="left"/>
      <w:lvlText w:val="%1."/>
      <w:numFmt w:val="decimal"/>
      <w:start w:val="13"/>
    </w:lvl>
  </w:abstractNum>
  <w:abstractNum w:abstractNumId="20">
    <w:nsid w:val="189A769B"/>
    <w:multiLevelType w:val="hybridMultilevel"/>
    <w:lvl w:ilvl="0">
      <w:lvlJc w:val="left"/>
      <w:lvlText w:val="%1"/>
      <w:numFmt w:val="decimal"/>
      <w:start w:val="1"/>
    </w:lvl>
    <w:lvl w:ilvl="1">
      <w:lvlJc w:val="left"/>
      <w:lvlText w:val="(%2)"/>
      <w:numFmt w:val="decimal"/>
      <w:start w:val="1"/>
    </w:lvl>
  </w:abstractNum>
  <w:abstractNum w:abstractNumId="21">
    <w:nsid w:val="54E49EB4"/>
    <w:multiLevelType w:val="hybridMultilevel"/>
    <w:lvl w:ilvl="0">
      <w:lvlJc w:val="left"/>
      <w:lvlText w:val="%1."/>
      <w:numFmt w:val="decimal"/>
      <w:start w:val="14"/>
    </w:lvl>
    <w:lvl w:ilvl="1">
      <w:lvlJc w:val="left"/>
      <w:lvlText w:val="%2"/>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lvl w:ilvl="1">
      <w:lvlJc w:val="left"/>
      <w:lvlText w:val="(%2)"/>
      <w:numFmt w:val="decimal"/>
      <w:start w:val="1"/>
    </w:lvl>
  </w:abstractNum>
  <w:abstractNum w:abstractNumId="24">
    <w:nsid w:val="836C40E"/>
    <w:multiLevelType w:val="hybridMultilevel"/>
    <w:lvl w:ilvl="0">
      <w:lvlJc w:val="left"/>
      <w:lvlText w:val="%1."/>
      <w:numFmt w:val="decimal"/>
      <w:start w:val="15"/>
    </w:lvl>
    <w:lvl w:ilvl="1">
      <w:lvlJc w:val="left"/>
      <w:lvlText w:val="%2"/>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2024-09-11T13:12:56Z</dcterms:created>
  <dcterms:modified xsi:type="dcterms:W3CDTF">2024-09-11T13:12:56Z</dcterms:modified>
</cp:coreProperties>
</file>