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06"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0" w:lineRule="exact"/>
        <w:rPr>
          <w:sz w:val="24"/>
          <w:szCs w:val="24"/>
          <w:color w:val="auto"/>
        </w:rPr>
      </w:pPr>
    </w:p>
    <w:p>
      <w:pPr>
        <w:spacing w:after="0" w:line="224" w:lineRule="exact"/>
        <w:rPr>
          <w:sz w:val="24"/>
          <w:szCs w:val="24"/>
          <w:color w:val="auto"/>
        </w:rPr>
      </w:pPr>
    </w:p>
    <w:p>
      <w:pPr>
        <w:ind w:left="3940" w:right="1760" w:hanging="3914"/>
        <w:spacing w:after="0" w:line="352" w:lineRule="auto"/>
        <w:tabs>
          <w:tab w:leader="none" w:pos="67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January 29, 2022</w:t>
      </w: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72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8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68580</wp:posOffset>
            </wp:positionV>
            <wp:extent cx="1285875" cy="128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40"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3980" w:type="dxa"/>
            <w:vAlign w:val="bottom"/>
            <w:gridSpan w:val="2"/>
          </w:tcPr>
          <w:p>
            <w:pPr>
              <w:jc w:val="center"/>
              <w:ind w:left="1494"/>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4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6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3980" w:type="dxa"/>
            <w:vAlign w:val="bottom"/>
            <w:gridSpan w:val="2"/>
          </w:tcPr>
          <w:p>
            <w:pPr>
              <w:jc w:val="center"/>
              <w:ind w:left="1494"/>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40" w:type="dxa"/>
            <w:vAlign w:val="bottom"/>
          </w:tcPr>
          <w:p>
            <w:pPr>
              <w:jc w:val="center"/>
              <w:ind w:left="1318"/>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80" w:type="dxa"/>
            <w:vAlign w:val="bottom"/>
            <w:gridSpan w:val="2"/>
          </w:tcPr>
          <w:p>
            <w:pPr>
              <w:jc w:val="center"/>
              <w:ind w:left="149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20" w:type="dxa"/>
            <w:vAlign w:val="bottom"/>
            <w:gridSpan w:val="2"/>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3980" w:type="dxa"/>
            <w:vAlign w:val="bottom"/>
            <w:gridSpan w:val="2"/>
          </w:tcPr>
          <w:p>
            <w:pPr>
              <w:jc w:val="center"/>
              <w:ind w:left="1494"/>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40" w:type="dxa"/>
            <w:vAlign w:val="bottom"/>
            <w:vMerge w:val="restart"/>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46783</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gridSpan w:val="2"/>
          </w:tcPr>
          <w:p>
            <w:pPr>
              <w:jc w:val="center"/>
              <w:ind w:left="1494"/>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980" w:type="dxa"/>
            <w:vAlign w:val="bottom"/>
            <w:gridSpan w:val="2"/>
          </w:tcPr>
          <w:p>
            <w:pPr>
              <w:jc w:val="center"/>
              <w:ind w:left="147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40" w:type="dxa"/>
            <w:vAlign w:val="bottom"/>
          </w:tcPr>
          <w:p>
            <w:pPr>
              <w:jc w:val="center"/>
              <w:ind w:left="129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6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80" w:type="dxa"/>
            <w:vAlign w:val="bottom"/>
            <w:gridSpan w:val="3"/>
          </w:tcPr>
          <w:p>
            <w:pPr>
              <w:jc w:val="center"/>
              <w:ind w:right="161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6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8960" w:type="dxa"/>
            <w:vAlign w:val="bottom"/>
            <w:gridSpan w:val="5"/>
          </w:tcPr>
          <w:p>
            <w:pPr>
              <w:jc w:val="right"/>
              <w:ind w:right="1278"/>
              <w:spacing w:after="0"/>
              <w:rPr>
                <w:sz w:val="20"/>
                <w:szCs w:val="20"/>
                <w:color w:val="auto"/>
              </w:rPr>
            </w:pPr>
            <w:r>
              <w:rPr>
                <w:rFonts w:ascii="Times New Roman" w:cs="Times New Roman" w:eastAsia="Times New Roman" w:hAnsi="Times New Roman"/>
                <w:sz w:val="18"/>
                <w:szCs w:val="18"/>
                <w:color w:val="auto"/>
              </w:rPr>
              <w:t>_____________________________________________</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60" w:type="dxa"/>
            <w:vAlign w:val="bottom"/>
            <w:gridSpan w:val="5"/>
          </w:tcPr>
          <w:p>
            <w:pPr>
              <w:jc w:val="center"/>
              <w:ind w:left="2194"/>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72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ind w:right="134"/>
              <w:spacing w:after="0"/>
              <w:rPr>
                <w:sz w:val="20"/>
                <w:szCs w:val="20"/>
                <w:color w:val="auto"/>
              </w:rPr>
            </w:pPr>
            <w:r>
              <w:rPr>
                <w:rFonts w:ascii="Times New Roman" w:cs="Times New Roman" w:eastAsia="Times New Roman" w:hAnsi="Times New Roman"/>
                <w:sz w:val="18"/>
                <w:szCs w:val="18"/>
                <w:color w:val="auto"/>
                <w:w w:val="99"/>
              </w:rPr>
              <w:t>Trading Symbol(s)</w:t>
            </w:r>
          </w:p>
        </w:tc>
        <w:tc>
          <w:tcPr>
            <w:tcW w:w="840" w:type="dxa"/>
            <w:vAlign w:val="bottom"/>
            <w:tcBorders>
              <w:bottom w:val="single" w:sz="8" w:color="auto"/>
            </w:tcBorders>
          </w:tcPr>
          <w:p>
            <w:pPr>
              <w:spacing w:after="0"/>
              <w:rPr>
                <w:sz w:val="19"/>
                <w:szCs w:val="19"/>
                <w:color w:val="auto"/>
              </w:rPr>
            </w:pPr>
          </w:p>
        </w:tc>
        <w:tc>
          <w:tcPr>
            <w:tcW w:w="4720" w:type="dxa"/>
            <w:vAlign w:val="bottom"/>
            <w:tcBorders>
              <w:bottom w:val="single" w:sz="8" w:color="auto"/>
              <w:right w:val="single" w:sz="8" w:color="auto"/>
            </w:tcBorders>
            <w:gridSpan w:val="3"/>
          </w:tcPr>
          <w:p>
            <w:pPr>
              <w:jc w:val="center"/>
              <w:ind w:right="7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w w:val="99"/>
              </w:rPr>
              <w:t>VRA</w:t>
            </w:r>
          </w:p>
        </w:tc>
        <w:tc>
          <w:tcPr>
            <w:tcW w:w="8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2"/>
          </w:tcPr>
          <w:p>
            <w:pPr>
              <w:jc w:val="center"/>
              <w:ind w:left="638"/>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1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960" w:type="dxa"/>
            <w:vAlign w:val="bottom"/>
            <w:gridSpan w:val="5"/>
          </w:tcPr>
          <w:p>
            <w:pPr>
              <w:jc w:val="center"/>
              <w:ind w:left="219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2"/>
          </w:tcPr>
          <w:p>
            <w:pPr>
              <w:jc w:val="center"/>
              <w:ind w:left="654"/>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960" w:type="dxa"/>
            <w:vAlign w:val="bottom"/>
            <w:gridSpan w:val="5"/>
          </w:tcPr>
          <w:p>
            <w:pPr>
              <w:jc w:val="right"/>
              <w:ind w:right="1238"/>
              <w:spacing w:after="0"/>
              <w:rPr>
                <w:sz w:val="20"/>
                <w:szCs w:val="20"/>
                <w:color w:val="auto"/>
              </w:rPr>
            </w:pPr>
            <w:r>
              <w:rPr>
                <w:rFonts w:ascii="Times New Roman" w:cs="Times New Roman" w:eastAsia="Times New Roman" w:hAnsi="Times New Roman"/>
                <w:sz w:val="18"/>
                <w:szCs w:val="18"/>
                <w:color w:val="auto"/>
              </w:rPr>
              <w:t>_____________________________________________</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9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6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89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60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324"/>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5" w:lineRule="exact"/>
        <w:rPr>
          <w:sz w:val="24"/>
          <w:szCs w:val="24"/>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99" w:right="359" w:bottom="412"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4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9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0" w:lineRule="exact"/>
        <w:rPr>
          <w:sz w:val="20"/>
          <w:szCs w:val="20"/>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4" w:lineRule="exact"/>
        <w:rPr>
          <w:sz w:val="20"/>
          <w:szCs w:val="20"/>
          <w:color w:val="auto"/>
        </w:rPr>
      </w:pPr>
    </w:p>
    <w:p>
      <w:pPr>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8" w:lineRule="exact"/>
        <w:rPr>
          <w:sz w:val="20"/>
          <w:szCs w:val="20"/>
          <w:color w:val="auto"/>
        </w:rPr>
      </w:pPr>
    </w:p>
    <w:p>
      <w:pPr>
        <w:ind w:left="340"/>
        <w:spacing w:after="0" w:line="207" w:lineRule="exact"/>
        <w:tabs>
          <w:tab w:leader="none" w:pos="8660" w:val="left"/>
          <w:tab w:leader="none" w:pos="9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market value of the registrant’s voting common stock held by non-affiliates of the registrant as of July 31, 2021 was $290,069,878.</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registrant had 32,523,703 shares of its common stock outstanding as of March 22, 2022.</w:t>
      </w:r>
    </w:p>
    <w:p>
      <w:pPr>
        <w:spacing w:after="0" w:line="9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 INCORPORATED BY REFERENCE:</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2022 Annual Meeting of Shareholders are incorporated by reference into Part III of this Annual Report on Form 10-K. Vera Bradley, Inc. intends to file such proxy statement with the Securities and Exchange Commission pursuant to Regulation 14A not later than 120 days after its fiscal year ended January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882015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33" w:right="35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140"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including the continued outbreak of the novel coronavirus (COVID-19) and actions to contain the spread of the virus by governmental or other actors;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9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political unrest, social unrest, acts of war and terrorism, impacts related to variants of the COVID-19 outbreak, and other related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our supply chain;</w:t>
      </w:r>
    </w:p>
    <w:p>
      <w:pPr>
        <w:spacing w:after="0" w:line="9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and continued increases in inbound and outbound freight expense that could lead to increased product costs and lower profit margins; and</w:t>
      </w:r>
    </w:p>
    <w:p>
      <w:pPr>
        <w:spacing w:after="0" w:line="4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integration strategies related to the Pura Vida business and possible inability to derive expected benefits from or to successfully integrate any future business acquisition.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a discussion of the above-described risks and other risks and uncertainties that could cause actual results to differ materially from those contained in our forward-looking statements, please refer to “Risk Factors” in Item 1A of this report.</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40" w:type="dxa"/>
            <w:vAlign w:val="bottom"/>
            <w:gridSpan w:val="9"/>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640" w:type="dxa"/>
            <w:vAlign w:val="bottom"/>
            <w:tcBorders>
              <w:bottom w:val="single" w:sz="8" w:color="0000FF"/>
            </w:tcBorders>
          </w:tcPr>
          <w:p>
            <w:pPr>
              <w:spacing w:after="0"/>
              <w:rPr>
                <w:rFonts w:ascii="Times New Roman" w:cs="Times New Roman" w:eastAsia="Times New Roman" w:hAnsi="Times New Roman"/>
                <w:sz w:val="18"/>
                <w:szCs w:val="18"/>
                <w:b w:val="1"/>
                <w:bCs w:val="1"/>
                <w:color w:val="0000FF"/>
                <w:w w:val="95"/>
              </w:rPr>
            </w:pPr>
            <w:hyperlink w:anchor="page4">
              <w:r>
                <w:rPr>
                  <w:rFonts w:ascii="Times New Roman" w:cs="Times New Roman" w:eastAsia="Times New Roman" w:hAnsi="Times New Roman"/>
                  <w:sz w:val="18"/>
                  <w:szCs w:val="18"/>
                  <w:b w:val="1"/>
                  <w:bCs w:val="1"/>
                  <w:color w:val="0000FF"/>
                  <w:w w:val="95"/>
                </w:rPr>
                <w:t>PART I.</w:t>
              </w:r>
            </w:hyperlink>
          </w:p>
        </w:tc>
        <w:tc>
          <w:tcPr>
            <w:tcW w:w="28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rFonts w:ascii="Times New Roman" w:cs="Times New Roman" w:eastAsia="Times New Roman" w:hAnsi="Times New Roman"/>
                <w:sz w:val="18"/>
                <w:szCs w:val="18"/>
                <w:color w:val="0000FF"/>
                <w:w w:val="96"/>
              </w:rPr>
            </w:pPr>
            <w:hyperlink w:anchor="page5">
              <w:r>
                <w:rPr>
                  <w:rFonts w:ascii="Times New Roman" w:cs="Times New Roman" w:eastAsia="Times New Roman" w:hAnsi="Times New Roman"/>
                  <w:sz w:val="18"/>
                  <w:szCs w:val="18"/>
                  <w:color w:val="0000FF"/>
                  <w:w w:val="96"/>
                </w:rPr>
                <w:t>Business</w:t>
              </w:r>
            </w:hyperlink>
          </w:p>
        </w:tc>
        <w:tc>
          <w:tcPr>
            <w:tcW w:w="8420" w:type="dxa"/>
            <w:vAlign w:val="bottom"/>
            <w:gridSpan w:val="20"/>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4</w:t>
              </w:r>
            </w:hyperlink>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7"/>
              </w:rPr>
            </w:pPr>
            <w:hyperlink w:anchor="page18">
              <w:r>
                <w:rPr>
                  <w:rFonts w:ascii="Times New Roman" w:cs="Times New Roman" w:eastAsia="Times New Roman" w:hAnsi="Times New Roman"/>
                  <w:sz w:val="18"/>
                  <w:szCs w:val="18"/>
                  <w:color w:val="0000FF"/>
                  <w:w w:val="97"/>
                </w:rPr>
                <w:t>Risk Factors</w:t>
              </w:r>
            </w:hyperlink>
          </w:p>
        </w:tc>
        <w:tc>
          <w:tcPr>
            <w:tcW w:w="8160" w:type="dxa"/>
            <w:vAlign w:val="bottom"/>
            <w:gridSpan w:val="18"/>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18">
              <w:r>
                <w:rPr>
                  <w:rFonts w:ascii="Times New Roman" w:cs="Times New Roman" w:eastAsia="Times New Roman" w:hAnsi="Times New Roman"/>
                  <w:sz w:val="18"/>
                  <w:szCs w:val="18"/>
                  <w:color w:val="auto"/>
                </w:rPr>
                <w:t>18</w:t>
              </w:r>
            </w:hyperlink>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8"/>
              </w:rPr>
            </w:pPr>
            <w:hyperlink w:anchor="page31">
              <w:r>
                <w:rPr>
                  <w:rFonts w:ascii="Times New Roman" w:cs="Times New Roman" w:eastAsia="Times New Roman" w:hAnsi="Times New Roman"/>
                  <w:sz w:val="18"/>
                  <w:szCs w:val="18"/>
                  <w:color w:val="0000FF"/>
                  <w:w w:val="98"/>
                </w:rPr>
                <w:t>Unresolved Staff Comments</w:t>
              </w:r>
            </w:hyperlink>
          </w:p>
        </w:tc>
        <w:tc>
          <w:tcPr>
            <w:tcW w:w="7020" w:type="dxa"/>
            <w:vAlign w:val="bottom"/>
            <w:gridSpan w:val="12"/>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31</w:t>
              </w:r>
            </w:hyperlink>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w:anchor="page32">
              <w:r>
                <w:rPr>
                  <w:rFonts w:ascii="Times New Roman" w:cs="Times New Roman" w:eastAsia="Times New Roman" w:hAnsi="Times New Roman"/>
                  <w:sz w:val="18"/>
                  <w:szCs w:val="18"/>
                  <w:color w:val="0000FF"/>
                  <w:w w:val="95"/>
                </w:rPr>
                <w:t>Properties</w:t>
              </w:r>
            </w:hyperlink>
          </w:p>
        </w:tc>
        <w:tc>
          <w:tcPr>
            <w:tcW w:w="8340" w:type="dxa"/>
            <w:vAlign w:val="bottom"/>
            <w:gridSpan w:val="19"/>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31</w:t>
              </w:r>
            </w:hyperlink>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21"/>
          </w:tcPr>
          <w:p>
            <w:pPr>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Legal Proceedings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32</w:t>
              </w:r>
            </w:hyperlink>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1"/>
          </w:tcPr>
          <w:p>
            <w:pPr>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Mine Safety Disclosure</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33</w:t>
              </w:r>
            </w:hyperlink>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rFonts w:ascii="Times New Roman" w:cs="Times New Roman" w:eastAsia="Times New Roman" w:hAnsi="Times New Roman"/>
                <w:sz w:val="18"/>
                <w:szCs w:val="18"/>
                <w:b w:val="1"/>
                <w:bCs w:val="1"/>
                <w:color w:val="0000FF"/>
              </w:rPr>
            </w:pPr>
            <w:hyperlink w:anchor="page34">
              <w:r>
                <w:rPr>
                  <w:rFonts w:ascii="Times New Roman" w:cs="Times New Roman" w:eastAsia="Times New Roman" w:hAnsi="Times New Roman"/>
                  <w:sz w:val="18"/>
                  <w:szCs w:val="18"/>
                  <w:b w:val="1"/>
                  <w:bCs w:val="1"/>
                  <w:color w:val="0000FF"/>
                </w:rPr>
                <w:t>PART II.</w:t>
              </w:r>
            </w:hyperlink>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34</w:t>
              </w:r>
            </w:hyperlink>
          </w:p>
        </w:tc>
      </w:tr>
      <w:tr>
        <w:trPr>
          <w:trHeight w:val="371"/>
        </w:trPr>
        <w:tc>
          <w:tcPr>
            <w:tcW w:w="20" w:type="dxa"/>
            <w:vAlign w:val="bottom"/>
          </w:tcPr>
          <w:p>
            <w:pPr>
              <w:spacing w:after="0"/>
              <w:rPr>
                <w:sz w:val="24"/>
                <w:szCs w:val="24"/>
                <w:color w:val="auto"/>
              </w:rPr>
            </w:pPr>
          </w:p>
        </w:tc>
        <w:tc>
          <w:tcPr>
            <w:tcW w:w="7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220" w:type="dxa"/>
            <w:vAlign w:val="bottom"/>
            <w:gridSpan w:val="3"/>
          </w:tcPr>
          <w:p>
            <w:pPr>
              <w:spacing w:after="0"/>
              <w:rPr>
                <w:sz w:val="24"/>
                <w:szCs w:val="24"/>
                <w:color w:val="auto"/>
              </w:rPr>
            </w:pPr>
          </w:p>
        </w:tc>
        <w:tc>
          <w:tcPr>
            <w:tcW w:w="9060" w:type="dxa"/>
            <w:vAlign w:val="bottom"/>
            <w:gridSpan w:val="21"/>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Market for Registrant’s Common Equity, Related Stockholder Matters and Issuer Purchases of Equity Securities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34</w:t>
              </w:r>
            </w:hyperlink>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8060" w:type="dxa"/>
            <w:vAlign w:val="bottom"/>
            <w:tcBorders>
              <w:top w:val="single" w:sz="8" w:color="0000FF"/>
            </w:tcBorders>
            <w:gridSpan w:val="20"/>
          </w:tcPr>
          <w:p>
            <w:pPr>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Management’s Discussion and Analysis of Financial Condition and Results of Operations</w:t>
              </w:r>
            </w:hyperlink>
          </w:p>
        </w:tc>
        <w:tc>
          <w:tcPr>
            <w:tcW w:w="1000" w:type="dxa"/>
            <w:vAlign w:val="bottom"/>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36</w:t>
              </w:r>
            </w:hyperlink>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Quantitative and Qualitative Disclosures About Market Risk</w:t>
              </w:r>
            </w:hyperlink>
          </w:p>
        </w:tc>
        <w:tc>
          <w:tcPr>
            <w:tcW w:w="2620" w:type="dxa"/>
            <w:vAlign w:val="bottom"/>
            <w:gridSpan w:val="4"/>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51</w:t>
              </w:r>
            </w:hyperlink>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top w:val="single" w:sz="8" w:color="0000FF"/>
              <w:bottom w:val="single" w:sz="8" w:color="0000FF"/>
            </w:tcBorders>
            <w:gridSpan w:val="12"/>
          </w:tcPr>
          <w:p>
            <w:pPr>
              <w:spacing w:after="0"/>
              <w:rPr>
                <w:rFonts w:ascii="Times New Roman" w:cs="Times New Roman" w:eastAsia="Times New Roman" w:hAnsi="Times New Roman"/>
                <w:sz w:val="18"/>
                <w:szCs w:val="18"/>
                <w:color w:val="0000FF"/>
                <w:w w:val="99"/>
              </w:rPr>
            </w:pPr>
            <w:hyperlink w:anchor="page52">
              <w:r>
                <w:rPr>
                  <w:rFonts w:ascii="Times New Roman" w:cs="Times New Roman" w:eastAsia="Times New Roman" w:hAnsi="Times New Roman"/>
                  <w:sz w:val="18"/>
                  <w:szCs w:val="18"/>
                  <w:color w:val="0000FF"/>
                  <w:w w:val="99"/>
                </w:rPr>
                <w:t>Financial Statements and Supplementary Data</w:t>
              </w:r>
            </w:hyperlink>
          </w:p>
        </w:tc>
        <w:tc>
          <w:tcPr>
            <w:tcW w:w="1020" w:type="dxa"/>
            <w:vAlign w:val="bottom"/>
            <w:tcBorders>
              <w:top w:val="single" w:sz="8" w:color="0000FF"/>
            </w:tcBorders>
            <w:gridSpan w:val="2"/>
          </w:tcPr>
          <w:p>
            <w:pPr>
              <w:spacing w:after="0"/>
              <w:rPr>
                <w:sz w:val="24"/>
                <w:szCs w:val="24"/>
                <w:color w:val="auto"/>
              </w:rPr>
            </w:pPr>
          </w:p>
        </w:tc>
        <w:tc>
          <w:tcPr>
            <w:tcW w:w="4720" w:type="dxa"/>
            <w:vAlign w:val="bottom"/>
            <w:gridSpan w:val="7"/>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52</w:t>
              </w:r>
            </w:hyperlink>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9060" w:type="dxa"/>
            <w:vAlign w:val="bottom"/>
            <w:gridSpan w:val="21"/>
          </w:tcPr>
          <w:p>
            <w:pPr>
              <w:spacing w:after="0"/>
              <w:rPr>
                <w:rFonts w:ascii="Times New Roman" w:cs="Times New Roman" w:eastAsia="Times New Roman" w:hAnsi="Times New Roman"/>
                <w:sz w:val="18"/>
                <w:szCs w:val="18"/>
                <w:color w:val="0000FF"/>
              </w:rPr>
            </w:pPr>
            <w:hyperlink w:anchor="page87">
              <w:r>
                <w:rPr>
                  <w:rFonts w:ascii="Times New Roman" w:cs="Times New Roman" w:eastAsia="Times New Roman" w:hAnsi="Times New Roman"/>
                  <w:sz w:val="18"/>
                  <w:szCs w:val="18"/>
                  <w:color w:val="0000FF"/>
                </w:rPr>
                <w:t>Changes in and Disagreements with Accountants on Accounting and Financial Disclosure</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87">
              <w:r>
                <w:rPr>
                  <w:rFonts w:ascii="Times New Roman" w:cs="Times New Roman" w:eastAsia="Times New Roman" w:hAnsi="Times New Roman"/>
                  <w:sz w:val="18"/>
                  <w:szCs w:val="18"/>
                  <w:color w:val="auto"/>
                </w:rPr>
                <w:t>87</w:t>
              </w:r>
            </w:hyperlink>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8"/>
              </w:rPr>
            </w:pPr>
            <w:hyperlink w:anchor="page88">
              <w:r>
                <w:rPr>
                  <w:rFonts w:ascii="Times New Roman" w:cs="Times New Roman" w:eastAsia="Times New Roman" w:hAnsi="Times New Roman"/>
                  <w:sz w:val="18"/>
                  <w:szCs w:val="18"/>
                  <w:color w:val="0000FF"/>
                  <w:w w:val="98"/>
                </w:rPr>
                <w:t>Controls and Procedures</w:t>
              </w:r>
            </w:hyperlink>
          </w:p>
        </w:tc>
        <w:tc>
          <w:tcPr>
            <w:tcW w:w="4700" w:type="dxa"/>
            <w:vAlign w:val="bottom"/>
            <w:tcBorders>
              <w:top w:val="single" w:sz="8" w:color="0000FF"/>
            </w:tcBorders>
            <w:gridSpan w:val="11"/>
          </w:tcPr>
          <w:p>
            <w:pPr>
              <w:spacing w:after="0"/>
              <w:rPr>
                <w:sz w:val="24"/>
                <w:szCs w:val="24"/>
                <w:color w:val="auto"/>
              </w:rPr>
            </w:pPr>
          </w:p>
        </w:tc>
        <w:tc>
          <w:tcPr>
            <w:tcW w:w="2600" w:type="dxa"/>
            <w:vAlign w:val="bottom"/>
            <w:gridSpan w:val="3"/>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88">
              <w:r>
                <w:rPr>
                  <w:rFonts w:ascii="Times New Roman" w:cs="Times New Roman" w:eastAsia="Times New Roman" w:hAnsi="Times New Roman"/>
                  <w:sz w:val="18"/>
                  <w:szCs w:val="18"/>
                  <w:color w:val="auto"/>
                </w:rPr>
                <w:t>87</w:t>
              </w:r>
            </w:hyperlink>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9060" w:type="dxa"/>
            <w:vAlign w:val="bottom"/>
            <w:gridSpan w:val="21"/>
          </w:tcPr>
          <w:p>
            <w:pPr>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Other Information</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88">
              <w:r>
                <w:rPr>
                  <w:rFonts w:ascii="Times New Roman" w:cs="Times New Roman" w:eastAsia="Times New Roman" w:hAnsi="Times New Roman"/>
                  <w:sz w:val="18"/>
                  <w:szCs w:val="18"/>
                  <w:color w:val="auto"/>
                </w:rPr>
                <w:t>87</w:t>
              </w:r>
            </w:hyperlink>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9060" w:type="dxa"/>
            <w:vAlign w:val="bottom"/>
            <w:gridSpan w:val="21"/>
          </w:tcPr>
          <w:p>
            <w:pPr>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Disclosure Regarding Foreign Jurisdictions that Prevent Inspections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88">
              <w:r>
                <w:rPr>
                  <w:rFonts w:ascii="Times New Roman" w:cs="Times New Roman" w:eastAsia="Times New Roman" w:hAnsi="Times New Roman"/>
                  <w:sz w:val="18"/>
                  <w:szCs w:val="18"/>
                  <w:color w:val="auto"/>
                </w:rPr>
                <w:t>87</w:t>
              </w:r>
            </w:hyperlink>
          </w:p>
        </w:tc>
      </w:tr>
      <w:tr>
        <w:trPr>
          <w:trHeight w:val="372"/>
        </w:trPr>
        <w:tc>
          <w:tcPr>
            <w:tcW w:w="20" w:type="dxa"/>
            <w:vAlign w:val="bottom"/>
          </w:tcPr>
          <w:p>
            <w:pPr>
              <w:spacing w:after="0"/>
              <w:rPr>
                <w:sz w:val="24"/>
                <w:szCs w:val="24"/>
                <w:color w:val="auto"/>
              </w:rPr>
            </w:pPr>
          </w:p>
        </w:tc>
        <w:tc>
          <w:tcPr>
            <w:tcW w:w="780" w:type="dxa"/>
            <w:vAlign w:val="bottom"/>
            <w:tcBorders>
              <w:bottom w:val="single" w:sz="8" w:color="0000FF"/>
            </w:tcBorders>
            <w:gridSpan w:val="4"/>
          </w:tcPr>
          <w:p>
            <w:pPr>
              <w:spacing w:after="0"/>
              <w:rPr>
                <w:rFonts w:ascii="Times New Roman" w:cs="Times New Roman" w:eastAsia="Times New Roman" w:hAnsi="Times New Roman"/>
                <w:sz w:val="18"/>
                <w:szCs w:val="18"/>
                <w:b w:val="1"/>
                <w:bCs w:val="1"/>
                <w:color w:val="0000FF"/>
                <w:w w:val="96"/>
              </w:rPr>
            </w:pPr>
            <w:hyperlink w:anchor="page88">
              <w:r>
                <w:rPr>
                  <w:rFonts w:ascii="Times New Roman" w:cs="Times New Roman" w:eastAsia="Times New Roman" w:hAnsi="Times New Roman"/>
                  <w:sz w:val="18"/>
                  <w:szCs w:val="18"/>
                  <w:b w:val="1"/>
                  <w:bCs w:val="1"/>
                  <w:color w:val="0000FF"/>
                  <w:w w:val="96"/>
                </w:rPr>
                <w:t>PART III.</w:t>
              </w:r>
            </w:hyperlink>
          </w:p>
        </w:tc>
        <w:tc>
          <w:tcPr>
            <w:tcW w:w="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88">
              <w:r>
                <w:rPr>
                  <w:rFonts w:ascii="Times New Roman" w:cs="Times New Roman" w:eastAsia="Times New Roman" w:hAnsi="Times New Roman"/>
                  <w:sz w:val="18"/>
                  <w:szCs w:val="18"/>
                  <w:color w:val="auto"/>
                </w:rPr>
                <w:t>88</w:t>
              </w:r>
            </w:hyperlink>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9060" w:type="dxa"/>
            <w:vAlign w:val="bottom"/>
            <w:gridSpan w:val="21"/>
          </w:tcPr>
          <w:p>
            <w:pPr>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Directors, Executive Officers and Corporate Governance</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89">
              <w:r>
                <w:rPr>
                  <w:rFonts w:ascii="Times New Roman" w:cs="Times New Roman" w:eastAsia="Times New Roman" w:hAnsi="Times New Roman"/>
                  <w:sz w:val="18"/>
                  <w:szCs w:val="18"/>
                  <w:color w:val="auto"/>
                </w:rPr>
                <w:t>88</w:t>
              </w:r>
            </w:hyperlink>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8"/>
              </w:rPr>
            </w:pPr>
            <w:hyperlink w:anchor="page89">
              <w:r>
                <w:rPr>
                  <w:rFonts w:ascii="Times New Roman" w:cs="Times New Roman" w:eastAsia="Times New Roman" w:hAnsi="Times New Roman"/>
                  <w:sz w:val="18"/>
                  <w:szCs w:val="18"/>
                  <w:color w:val="0000FF"/>
                  <w:w w:val="98"/>
                </w:rPr>
                <w:t>Executive Compensation</w:t>
              </w:r>
            </w:hyperlink>
          </w:p>
        </w:tc>
        <w:tc>
          <w:tcPr>
            <w:tcW w:w="2280" w:type="dxa"/>
            <w:vAlign w:val="bottom"/>
            <w:tcBorders>
              <w:top w:val="single" w:sz="8" w:color="0000FF"/>
            </w:tcBorders>
            <w:gridSpan w:val="5"/>
          </w:tcPr>
          <w:p>
            <w:pPr>
              <w:spacing w:after="0"/>
              <w:rPr>
                <w:sz w:val="24"/>
                <w:szCs w:val="24"/>
                <w:color w:val="auto"/>
              </w:rPr>
            </w:pPr>
          </w:p>
        </w:tc>
        <w:tc>
          <w:tcPr>
            <w:tcW w:w="4980" w:type="dxa"/>
            <w:vAlign w:val="bottom"/>
            <w:gridSpan w:val="8"/>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89">
              <w:r>
                <w:rPr>
                  <w:rFonts w:ascii="Times New Roman" w:cs="Times New Roman" w:eastAsia="Times New Roman" w:hAnsi="Times New Roman"/>
                  <w:sz w:val="18"/>
                  <w:szCs w:val="18"/>
                  <w:color w:val="auto"/>
                </w:rPr>
                <w:t>88</w:t>
              </w:r>
            </w:hyperlink>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21"/>
          </w:tcPr>
          <w:p>
            <w:pPr>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Security Ownership of Certain Beneficial Owners and Management and Related Stockholder Matters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89">
              <w:r>
                <w:rPr>
                  <w:rFonts w:ascii="Times New Roman" w:cs="Times New Roman" w:eastAsia="Times New Roman" w:hAnsi="Times New Roman"/>
                  <w:sz w:val="18"/>
                  <w:szCs w:val="18"/>
                  <w:color w:val="auto"/>
                </w:rPr>
                <w:t>88</w:t>
              </w:r>
            </w:hyperlink>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19"/>
          </w:tcPr>
          <w:p>
            <w:pPr>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Certain Relationships and Related Transactions, and Director Independence</w:t>
              </w:r>
            </w:hyperlink>
          </w:p>
        </w:tc>
        <w:tc>
          <w:tcPr>
            <w:tcW w:w="1780" w:type="dxa"/>
            <w:vAlign w:val="bottom"/>
            <w:gridSpan w:val="2"/>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89">
              <w:r>
                <w:rPr>
                  <w:rFonts w:ascii="Times New Roman" w:cs="Times New Roman" w:eastAsia="Times New Roman" w:hAnsi="Times New Roman"/>
                  <w:sz w:val="18"/>
                  <w:szCs w:val="18"/>
                  <w:color w:val="auto"/>
                </w:rPr>
                <w:t>89</w:t>
              </w:r>
            </w:hyperlink>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6"/>
          </w:tcPr>
          <w:p>
            <w:pPr>
              <w:spacing w:after="0"/>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Principal Accounting Fees and Services</w:t>
              </w:r>
            </w:hyperlink>
          </w:p>
        </w:tc>
        <w:tc>
          <w:tcPr>
            <w:tcW w:w="3620" w:type="dxa"/>
            <w:vAlign w:val="bottom"/>
            <w:gridSpan w:val="5"/>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90">
              <w:r>
                <w:rPr>
                  <w:rFonts w:ascii="Times New Roman" w:cs="Times New Roman" w:eastAsia="Times New Roman" w:hAnsi="Times New Roman"/>
                  <w:sz w:val="18"/>
                  <w:szCs w:val="18"/>
                  <w:color w:val="auto"/>
                </w:rPr>
                <w:t>89</w:t>
              </w:r>
            </w:hyperlink>
          </w:p>
        </w:tc>
      </w:tr>
      <w:tr>
        <w:trPr>
          <w:trHeight w:val="371"/>
        </w:trPr>
        <w:tc>
          <w:tcPr>
            <w:tcW w:w="2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rFonts w:ascii="Times New Roman" w:cs="Times New Roman" w:eastAsia="Times New Roman" w:hAnsi="Times New Roman"/>
                <w:sz w:val="18"/>
                <w:szCs w:val="18"/>
                <w:b w:val="1"/>
                <w:bCs w:val="1"/>
                <w:color w:val="0000FF"/>
                <w:w w:val="92"/>
              </w:rPr>
            </w:pPr>
            <w:hyperlink w:anchor="page90">
              <w:r>
                <w:rPr>
                  <w:rFonts w:ascii="Times New Roman" w:cs="Times New Roman" w:eastAsia="Times New Roman" w:hAnsi="Times New Roman"/>
                  <w:sz w:val="18"/>
                  <w:szCs w:val="18"/>
                  <w:b w:val="1"/>
                  <w:bCs w:val="1"/>
                  <w:color w:val="0000FF"/>
                  <w:w w:val="92"/>
                </w:rPr>
                <w:t>PART IV.</w:t>
              </w:r>
            </w:hyperlink>
          </w:p>
        </w:tc>
        <w:tc>
          <w:tcPr>
            <w:tcW w:w="18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90">
              <w:r>
                <w:rPr>
                  <w:rFonts w:ascii="Times New Roman" w:cs="Times New Roman" w:eastAsia="Times New Roman" w:hAnsi="Times New Roman"/>
                  <w:sz w:val="18"/>
                  <w:szCs w:val="18"/>
                  <w:color w:val="auto"/>
                </w:rPr>
                <w:t>90</w:t>
              </w:r>
            </w:hyperlink>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15.</w:t>
            </w:r>
          </w:p>
        </w:tc>
        <w:tc>
          <w:tcPr>
            <w:tcW w:w="9060" w:type="dxa"/>
            <w:vAlign w:val="bottom"/>
            <w:gridSpan w:val="21"/>
          </w:tcPr>
          <w:p>
            <w:pPr>
              <w:spacing w:after="0"/>
              <w:rPr>
                <w:rFonts w:ascii="Times New Roman" w:cs="Times New Roman" w:eastAsia="Times New Roman" w:hAnsi="Times New Roman"/>
                <w:sz w:val="18"/>
                <w:szCs w:val="18"/>
                <w:color w:val="0000FF"/>
              </w:rPr>
            </w:pPr>
            <w:hyperlink w:anchor="page91">
              <w:r>
                <w:rPr>
                  <w:rFonts w:ascii="Times New Roman" w:cs="Times New Roman" w:eastAsia="Times New Roman" w:hAnsi="Times New Roman"/>
                  <w:sz w:val="18"/>
                  <w:szCs w:val="18"/>
                  <w:color w:val="0000FF"/>
                </w:rPr>
                <w:t>Exhibits, Financial Statement Schedules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90</w:t>
              </w:r>
            </w:hyperlink>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8"/>
              </w:rPr>
            </w:pPr>
            <w:hyperlink w:anchor="page91">
              <w:r>
                <w:rPr>
                  <w:rFonts w:ascii="Times New Roman" w:cs="Times New Roman" w:eastAsia="Times New Roman" w:hAnsi="Times New Roman"/>
                  <w:sz w:val="18"/>
                  <w:szCs w:val="18"/>
                  <w:color w:val="0000FF"/>
                  <w:w w:val="98"/>
                </w:rPr>
                <w:t>Form 10-K Summary</w:t>
              </w:r>
            </w:hyperlink>
          </w:p>
        </w:tc>
        <w:tc>
          <w:tcPr>
            <w:tcW w:w="1340" w:type="dxa"/>
            <w:vAlign w:val="bottom"/>
            <w:tcBorders>
              <w:top w:val="single" w:sz="8" w:color="0000FF"/>
            </w:tcBorders>
            <w:gridSpan w:val="6"/>
          </w:tcPr>
          <w:p>
            <w:pPr>
              <w:spacing w:after="0"/>
              <w:rPr>
                <w:sz w:val="24"/>
                <w:szCs w:val="24"/>
                <w:color w:val="auto"/>
              </w:rPr>
            </w:pPr>
          </w:p>
        </w:tc>
        <w:tc>
          <w:tcPr>
            <w:tcW w:w="6180" w:type="dxa"/>
            <w:vAlign w:val="bottom"/>
            <w:gridSpan w:val="10"/>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91">
              <w:r>
                <w:rPr>
                  <w:rFonts w:ascii="Times New Roman" w:cs="Times New Roman" w:eastAsia="Times New Roman" w:hAnsi="Times New Roman"/>
                  <w:sz w:val="18"/>
                  <w:szCs w:val="18"/>
                  <w:color w:val="auto"/>
                </w:rPr>
                <w:t>90</w:t>
              </w:r>
            </w:hyperlink>
          </w:p>
        </w:tc>
      </w:tr>
      <w:tr>
        <w:trPr>
          <w:trHeight w:val="87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gridSpan w:val="15"/>
          </w:tcPr>
          <w:p>
            <w:pPr>
              <w:ind w:left="464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5"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6"/>
          <w:szCs w:val="16"/>
          <w:i w:val="1"/>
          <w:iCs w:val="1"/>
          <w:color w:val="auto"/>
        </w:rPr>
        <w:t>In this Form 10-K, references to “Vera Bradley, Inc.” or the “Company” refer to Vera Bradley, Inc. and its subsidiaries, including Vera Bradley Designs, Inc. and Creative Genius, LLC. References to “Vera Bradley” relate to the Vera Bradley stand-alone brand and references to “Pura Vida” relate to the Pura Vida stand-alone brand, except where the context requires otherwise or where otherwise indicated. The Company utilizes a 52-53 week fiscal year ending on the Saturday closest to January 31. The fiscal years ended January 29, 2022 (“fiscal 2022”), January 30, 2021 (“fiscal 2021”) and February 1, 2020 (“fiscal 2020”) were each 52-week periods. The fiscal year ending January 28, 2023 (“fiscal 2023”) will also be a 52-week period.</w:t>
      </w:r>
    </w:p>
    <w:p>
      <w:pPr>
        <w:spacing w:after="0" w:line="2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July 2019, Vera Bradley, Inc. acquired a 75% interest in Creative Genius, Inc., which operates under the name Pura Vida Bracelets (“Pura Vida”). Pura Vida results are consolidated within the Company’s financial statements beginning on July 17, 2019, the first full day following the acquisition.</w:t>
      </w:r>
    </w:p>
    <w:p>
      <w:pPr>
        <w:spacing w:after="0" w:line="40"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Beginning in the second quarter of fiscal 2020, the Company has included an additional segment for Pura Vida due to its acquisition. As a result, the Company now has three reportable segments: Vera Bradley Direct (“VB Direct”), Vera Bradley Indirect (“VB Indirect”), and Pura Vida. For financial information about our reportable segments, refer to Note 17 of the Notes to Consolidated Financial Statements set forth in Part II, “Item 8. Financial Statements and Supplementary Data,” of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Vera Bradley</w:t>
      </w:r>
    </w:p>
    <w:p>
      <w:pPr>
        <w:spacing w:after="0" w:line="106"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Vera Bradley is a leading designer of women’s handbags, luggage and other travel items, fashion and home accessories, and unique gifts. Founded in 1982 by friends Barbara Bradley Baekgaard and Patricia R. Miller, the brand is known for its innovative designs, iconic patterns, and brilliant colors that inspire and connect women. The reportable segments within the Vera Bradley brand are VB Direct and VB Indirect.</w:t>
      </w:r>
    </w:p>
    <w:p>
      <w:pPr>
        <w:spacing w:after="0" w:line="5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The VB Direct business consists of sales of Vera Bradley products through Vera Bradley full-line and factory outlet stores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e-commerce sites verabradley.com and verabradley.ca; the Vera Bradley online outlet site; and typically the Vera Bradley annual outlet sale in Fort Wayne, Indiana. As of January 29, 2022, the Company operated 70 full-line stores and 75 factory outlet stores. The annual outlet sale was cancelled in 2020, 2021, and 2022 as a result of the COVID-19 pandemic.</w:t>
      </w:r>
    </w:p>
    <w:p>
      <w:pPr>
        <w:spacing w:after="0" w:line="4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The VB Indirect business consists of sales of Vera Bradley products to approximately 1,800 specialty retail locations, substantially all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located in the United States; sales to department stores, national accounts, third-party e-commerce sites, and third-party inventory liquidators; and royalties recognized through licensing agreements related to the Vera Bradley brand.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Pura Vida</w:t>
      </w:r>
    </w:p>
    <w:p>
      <w:pPr>
        <w:spacing w:after="0" w:line="10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Pura Vida, based in La Jolla, California, is a digitally native lifestyle brand that we believe deeply resonates with its loyal consumer following. The Pura Vida brand has a differentiated and expanding offering of bracelets, jewelry, and other lifestyle accessories. The Pura Vida segment represents revenues generated through the Pura Vida websites, www.puravidabracelets.com, www.puravidabracelets.eu, and www.puravidabracelets.ca and through the distribution of Pura Vida-branded products to wholesale retailers and department stores, substantially all of which are located in the United States, as well as through its first retail store which opened in August 2021. Refer to Note 14 of the Notes to Consolidated Financial Statements set forth in Part II, “Item 8. Financial Statements and Supplementary Data,” of this report for additional information regarding the Pura Vida acquisition.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When they were traveling together, Fort Wayne, Indiana friends Barbara Bradley Baekgaard and Patricia Miller realized there was a lack of stylish travel accessories in the market. Within weeks, the friends created Vera Bradley, named after Ms. Bradley Baekgaard’s mother, and began manufacturing and marketing their distinctive products. The founders, together with past and present members of the executive management team, have been instrumental in our growth and success.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passion for design and customer service established by our founders has driven our Company for nearly 40 years and remains the cornerstone of Vera Bradley, Inc. today. Ms. Baekgaard retired from Vera Bradley operations in 2017 but continues to serve on the Board of Directors and as a brand ambassador. Ms. Miller retired in October 2012 as our National Spokesperson and in August 2019 from the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2019, Vera Bradley, Inc. acquired a majority interest in Pura Vida.</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Similar to the Vera Bradley brand, Pura Vida was founded by two friends, Griffin Thall and Paul Goodman. Thall and Goodman, from Southern California, where traveling through Costa Rica in 2010 and crossed paths with two bracelet artisans. Thall and Goodman asked the artisans to make 400 bracelets to take home with them.</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returning to San Diego, Thall and Goodman placed the bracelets in a bowl at a local boutique. Within days, the bracelets sold out and customers were asking for more. Thall and Goodman quickly recognized the significance of these simple string bracelets. They were more than just ordinary locally-crafted bracelets; they symbolized a movement valuing the simple things in life. So, Pura Vida, which means “pure life” in Spanish and is a philosophy that encourages the appreciation of life’s simple treasures, was born.</w:t>
      </w:r>
    </w:p>
    <w:p>
      <w:pPr>
        <w:spacing w:after="0" w:line="12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believe Pura Vida is a great strategic fit for Vera Bradley and that the two companies have combined to make Vera Bradley, Inc. a unique lifestyle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Vision and Growth Strategies</w:t>
      </w:r>
    </w:p>
    <w:p>
      <w:pPr>
        <w:spacing w:after="0" w:line="14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committed to being a purpose-driven, multi-brand, stable-growth company, generating strong cash flow. We are positioned to continue to invest in our two lifestyle brands; seek out accretive acquisitions of other cash-generating, purpose-driven brands over time; and return capital to shareholders.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fiscal 2022, we focused on four key strategies to further enhance our brands and strengthen our operations. Our accomplishments related to these strategies are as follows:</w:t>
      </w:r>
    </w:p>
    <w:p>
      <w:pPr>
        <w:spacing w:after="0" w:line="23" w:lineRule="exact"/>
        <w:rPr>
          <w:sz w:val="20"/>
          <w:szCs w:val="20"/>
          <w:color w:val="auto"/>
        </w:rPr>
      </w:pPr>
    </w:p>
    <w:p>
      <w:pPr>
        <w:ind w:left="660" w:right="1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continued to drive our digital-first strategy. </w:t>
      </w:r>
      <w:r>
        <w:rPr>
          <w:rFonts w:ascii="Times New Roman" w:cs="Times New Roman" w:eastAsia="Times New Roman" w:hAnsi="Times New Roman"/>
          <w:sz w:val="18"/>
          <w:szCs w:val="18"/>
          <w:color w:val="auto"/>
        </w:rPr>
        <w:t>We made strategic organizational shifts and investments to pivot us to a digital-first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evolving into a customer-centric, data-driven, technology-enabled, and digitally-focused enterprise which we believe allows us to effectively engage with our customers and offer a seamless shopping experience. Over one-third of our consolidated revenues are now generated from e-commerce sales, and excluding our factory stores, over half of our total company sales are driven by e-commerce.</w:t>
      </w:r>
    </w:p>
    <w:p>
      <w:pPr>
        <w:spacing w:after="0" w:line="59" w:lineRule="exact"/>
        <w:rPr>
          <w:rFonts w:ascii="Times New Roman" w:cs="Times New Roman" w:eastAsia="Times New Roman" w:hAnsi="Times New Roman"/>
          <w:sz w:val="18"/>
          <w:szCs w:val="18"/>
          <w:color w:val="auto"/>
        </w:rPr>
      </w:pPr>
    </w:p>
    <w:p>
      <w:pPr>
        <w:ind w:left="660" w:right="180" w:hanging="328"/>
        <w:spacing w:after="0" w:line="28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further enhanced our product innovation pipeline, collaborations, and category extensions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continue to build our Vera Bradley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Pura Vida lifestyle brands to attract new customers and increase share of wallet with existing customers.</w:t>
      </w:r>
    </w:p>
    <w:p>
      <w:pPr>
        <w:spacing w:after="0" w:line="37" w:lineRule="exact"/>
        <w:rPr>
          <w:rFonts w:ascii="Times New Roman" w:cs="Times New Roman" w:eastAsia="Times New Roman" w:hAnsi="Times New Roman"/>
          <w:sz w:val="18"/>
          <w:szCs w:val="18"/>
          <w:color w:val="auto"/>
        </w:rPr>
      </w:pPr>
    </w:p>
    <w:p>
      <w:pPr>
        <w:ind w:left="660" w:right="520" w:hanging="328"/>
        <w:spacing w:after="0" w:line="31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continued to build our community through marketing. </w:t>
      </w:r>
      <w:r>
        <w:rPr>
          <w:rFonts w:ascii="Times New Roman" w:cs="Times New Roman" w:eastAsia="Times New Roman" w:hAnsi="Times New Roman"/>
          <w:sz w:val="18"/>
          <w:szCs w:val="18"/>
          <w:color w:val="auto"/>
        </w:rPr>
        <w:t>Both brands are working to engage, diversify, and grow their customer bases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analytics; targeted marketing; and environmental, social, and governance (“ESG”) efforts.</w:t>
      </w:r>
    </w:p>
    <w:p>
      <w:pPr>
        <w:ind w:left="660" w:right="28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further evolved our distribution channels. </w:t>
      </w:r>
      <w:r>
        <w:rPr>
          <w:rFonts w:ascii="Times New Roman" w:cs="Times New Roman" w:eastAsia="Times New Roman" w:hAnsi="Times New Roman"/>
          <w:sz w:val="18"/>
          <w:szCs w:val="18"/>
          <w:color w:val="auto"/>
        </w:rPr>
        <w:t>We are continually looking for new ways to reach our customers and to reinvent the shopping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 the ever-changing retail environment; the future for both brands will be a combination of digital and brick and mortar.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Marketing, and Distribution Strategies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Vera Bradley</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We have identified three key franchise businesses – Everyday, Travel, and Youth/Campus where we can offer our customers thoughtful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believe will propel our future growth. We will continue to look for opportunities to expand into relevant new categories that reflect our brands and signature attributes of comfortable, casual, affordable, and fun. We will also continue to use licenses and strategic partnerships as appropriate to expand our product categories.</w:t>
      </w:r>
    </w:p>
    <w:p>
      <w:pPr>
        <w:spacing w:after="0" w:line="14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fiscal 2022 we saw year-over-year growth in our traditional cotton, Recycled Cotton, Performance Twill, and ReActive fabrications, and continued traction on our Factory Ultralight collection. We also continued product collaborations with several iconic brands, including Harry Potter™, Disney, and Crocs. In fiscal 2022, we launched our collaboration with Classic Accessories for our first-ever outdoor collection. We are planning another year of brand collaborations in fiscal 2023 that we believe engage existing and new customers, increase brand awareness, generate media attention, and provide Vera Bradley the opportunity to strategically test and enter into new product categories.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 Channels. </w:t>
      </w:r>
      <w:r>
        <w:rPr>
          <w:rFonts w:ascii="Times New Roman" w:cs="Times New Roman" w:eastAsia="Times New Roman" w:hAnsi="Times New Roman"/>
          <w:sz w:val="18"/>
          <w:szCs w:val="18"/>
          <w:color w:val="auto"/>
        </w:rPr>
        <w:t>Vera Bradley products are available through our Direct channel including full-line and factory outlet stores, online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verabradley.com, verabradley.ca and our online outlet site, and typically our Vera Bradley annual outlet sale, as well as through the Indirect channel including department and specialty retail stores, national accounts, third-party e-commerce sites, and third-party inventory liquidators. We continue to focus on tightly integrating our multi-channel business by strengthening and right-sizing both our Direct and Indirect distribution channels.</w:t>
      </w:r>
    </w:p>
    <w:p>
      <w:pPr>
        <w:spacing w:after="0" w:line="4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continuing to improve the profitability of our full-line store portfolio by re-balancing our existing fleet through select closures along with identifying future market opportunities. We will continue to focus on our highest-potential stores by enhancing the customer experience and will continue to develop and test new formats; however, we have currently suspended full-line store growth. In fact, we have closed 44 underperforming full-line stores since the beginning of fiscal 2018 and forecast that we will close additional full-line stores, although this remains a fluid process. We opened six new factory outlet stores in fiscal 2022 and plan to open five new factory outlet stores in fiscal 2023.</w:t>
      </w:r>
    </w:p>
    <w:p>
      <w:pPr>
        <w:spacing w:after="0" w:line="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continue to focus on enhancing and reinventing the customer experience in our full-line stores, and certain digital shopping additions that gained popularity during the pandemic have remained popular, such as appointment selling, buy-online/pick-up in-store, and curbside pickup.</w:t>
      </w:r>
    </w:p>
    <w:p>
      <w:pPr>
        <w:spacing w:after="0" w:line="4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Over the long-term, we have prioritized digital as the primary revenue growth driver for Vera Bradley, making major strategic shifts and investments to pivot us to a digital-first company; however, we are enabling her to shop in a seamless manner and want her to shop where and how she wants to shop. Stores continue to be an integral part of this omni-channel strategy. During fiscal 2021, we converted our e-commerce platform to Shopify Plus. This conversion was part of our overall IT project called Project Novus, which also replaced our ERP, POS, Business Intelligence, and Order Management systems. These changes decreased the complexity of our systems and provided us with a technology platform to help us make quick, data-based, informed decisions, which we believe will further enhance the customer experience and help us achieve our growth objectives.</w:t>
      </w:r>
    </w:p>
    <w:p>
      <w:pPr>
        <w:spacing w:after="0" w:line="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Vera Bradley online outlet flash sales allowed us to continue to sell clearance merchandise in a more discreet manner, reducing clearance activity on verabradley.com and in our full-line stores. In fiscal 2022, we had over 52 million visits to our website and our online outlet site.</w:t>
      </w:r>
    </w:p>
    <w:p>
      <w:pPr>
        <w:spacing w:after="0" w:line="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our Indirect channel, we will continue to expand our digital marketplaces such as Amazon, as we focus on meeting customers where they are in their shopping.</w:t>
      </w:r>
    </w:p>
    <w:p>
      <w:pPr>
        <w:spacing w:after="0" w:line="40"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Our department store relationships allow us to expose our brand to new customers and showcase new product assortments. We are currently in approximately 300 department store locations. In the department stores, we continue to work on enhancing our brand presentation and profitability.</w:t>
      </w:r>
    </w:p>
    <w:p>
      <w:pPr>
        <w:spacing w:after="0" w:line="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specialty retail channel is the heritage of our business and remains important to us. We continue to add select accounts while discontinuing unproductive accounts. While the specialty retail business is a smaller percentage of our total revenue base, we are working to stabilize it by assisting retailers with optimizing their businesses.</w:t>
      </w:r>
    </w:p>
    <w:p>
      <w:pPr>
        <w:spacing w:after="0" w:line="120"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Marketing. </w:t>
      </w:r>
      <w:r>
        <w:rPr>
          <w:rFonts w:ascii="Times New Roman" w:cs="Times New Roman" w:eastAsia="Times New Roman" w:hAnsi="Times New Roman"/>
          <w:sz w:val="18"/>
          <w:szCs w:val="18"/>
          <w:color w:val="auto"/>
        </w:rPr>
        <w:t>Marketing and brand positioning are both critical elements as we continue to engage new consumers and strengthen our bond with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in customer data science and business analytics have continued to position us well, allowing us to collect and analyze data and respond to</w:t>
      </w:r>
    </w:p>
    <w:p>
      <w:pPr>
        <w:spacing w:after="0" w:line="5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customer changes and adjust marketing spend on a real-time basis and in an agile way. Our goal is to drive our performance through marketing and community engagement.</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are continually focused on looking for new ways to creatively engage our customers, grow brand awareness, and introduce new customers to our brands in a cost-effective manner, but that is becoming more challenging and expensive for both of our brands.</w:t>
      </w:r>
    </w:p>
    <w:p>
      <w:pPr>
        <w:spacing w:after="0" w:line="108"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Since the Company’s 2019 acquisition of Pura Vida, Pura Vida has shared its digital expertise with Vera Bradley and helped Vera Bradley enhance its digital effectiveness. Vera Bradley’s marketing platform will continue to be a blend of digital and more traditional channels, such as direct mail, email, quality media placements, PR, and targeted TV ads. Our marketing efforts are increasingly reflective of our ongoing commitment to diversity and inclusion.</w:t>
      </w:r>
    </w:p>
    <w:p>
      <w:pPr>
        <w:spacing w:after="0" w:line="1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will continue to drive social media engagement by employing more user-generated content, growing our influencer and ambassador programs, further enhancing social storytelling and social selling, expanding Facebook Live and Reels, and growing TikTok engagement.</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the umbrella of VB Cares, we reinforced our position as a total stakeholder-focused and socially-conscious organization and continued to strengthen our community support and charitable initiatives that are meaningful to our customers and that make a significant impact on those in need, particularly women and children. In fiscal 2022, efforts included supporting the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390" w:lineRule="auto"/>
        <w:rPr>
          <w:sz w:val="20"/>
          <w:szCs w:val="20"/>
          <w:color w:val="auto"/>
        </w:rPr>
      </w:pPr>
      <w:r>
        <w:rPr>
          <w:rFonts w:ascii="Times New Roman" w:cs="Times New Roman" w:eastAsia="Times New Roman" w:hAnsi="Times New Roman"/>
          <w:sz w:val="18"/>
          <w:szCs w:val="18"/>
          <w:color w:val="auto"/>
        </w:rPr>
        <w:t xml:space="preserve">Vera Bradley Foundation for Breast Cancer, New Hope Girls, and our national “Blessings in a Backpack” program. We will continue our VB Cares focus. </w:t>
      </w:r>
      <w:r>
        <w:rPr>
          <w:rFonts w:ascii="Times New Roman" w:cs="Times New Roman" w:eastAsia="Times New Roman" w:hAnsi="Times New Roman"/>
          <w:sz w:val="18"/>
          <w:szCs w:val="18"/>
          <w:i w:val="1"/>
          <w:iCs w:val="1"/>
          <w:color w:val="auto"/>
        </w:rPr>
        <w:t>Pura Vida</w:t>
      </w: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Pura Vida offers products mostly in the accessories category, primarily bracelets, with the balance of products in other jewelry categories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rings and necklaces. These products are created with the “pura vida” lifestyle and aesthetic in mind, slowing down and living life to the fullest. During fiscal 2022, Pura Vida expanded into new product categories, such as apparel. Nearly 50% of the Pura Vida business is comprised of jewelry categories other than bracelets, such as rings, anklets, and necklaces. We believe these product categories highlight the brand's lifestyle appeal which we believe will continue to be a key driver of growth. Charity bracelets remained popular, reaching over $4.0 million in lifetime charitable contributions to more than 200 charities.</w:t>
      </w:r>
    </w:p>
    <w:p>
      <w:pPr>
        <w:spacing w:after="0" w:line="15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fiscal 2022, we entered into high-profile product collaborations, including Hello Kitty, Disney, and Harry Potter, bringing new customers to our brand.</w:t>
      </w:r>
    </w:p>
    <w:p>
      <w:pPr>
        <w:spacing w:after="0" w:line="25"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 Channels. </w:t>
      </w:r>
      <w:r>
        <w:rPr>
          <w:rFonts w:ascii="Times New Roman" w:cs="Times New Roman" w:eastAsia="Times New Roman" w:hAnsi="Times New Roman"/>
          <w:sz w:val="18"/>
          <w:szCs w:val="18"/>
          <w:color w:val="auto"/>
        </w:rPr>
        <w:t>Our Pura Vida products are available on our websites, www.puravidabracelets.com, www.puravidabracelets.eu,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www.puravidabracelets.ca. Pura Vida is a digitally native brand and continuing to develop our websites and transmit the “pura vida” lifestyle through our digital storefront is a key distribution strategy. Pura Vida’s website immerses visitors in the brand, its products, and its social mission.</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also distribute Pura Vida products through select wholesale accounts throughout the U.S. and Europe. We will continue to target some larger accounts for growth which we expect to help build the Pura Vida brand.</w:t>
      </w:r>
    </w:p>
    <w:p>
      <w:pPr>
        <w:spacing w:after="0" w:line="4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During fiscal 2022, we added Pura Vida shop-in-shops to 23 Vera Bradley full-line stores and completed the roll-out of the Pura Vida charity bracelet program to all Vera Bradley full-line and factory stores. We opened our first Pura Vida retail location in San Diego in August 2021 and have plans to open additional retail locations in fiscal 2023. Additional Pura Vida stores will likely be in tourist, coastal, and/or college towns with established customer bases.</w:t>
      </w:r>
    </w:p>
    <w:p>
      <w:pPr>
        <w:spacing w:after="0" w:line="2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San Diego store is allowing us to showcase the Pura Vida lifestyle with a full array of existing products and new product innovations, especially as we expand into new product categories such as apparel. Stores will play an important role going forward in new customer acquisition as we continue to diversify our marketing platforms.</w:t>
      </w:r>
    </w:p>
    <w:p>
      <w:pPr>
        <w:spacing w:after="0" w:line="120"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Marketing. </w:t>
      </w:r>
      <w:r>
        <w:rPr>
          <w:rFonts w:ascii="Times New Roman" w:cs="Times New Roman" w:eastAsia="Times New Roman" w:hAnsi="Times New Roman"/>
          <w:sz w:val="17"/>
          <w:szCs w:val="17"/>
          <w:color w:val="auto"/>
        </w:rPr>
        <w:t>The Pura Vida digital marketing strategy is anchored in innovative and effective ways to connect with our customers, including partnerships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select individuals who we believe encapsulate the brand’s identity and serve as natural extensions of the Pura Vida marketing strategy. These partnerships translate into authentic, user-generated content that we can repurpose as ads, e-mail campaigns, and our own social media content.</w:t>
      </w:r>
    </w:p>
    <w:p>
      <w:pPr>
        <w:spacing w:after="0" w:line="117"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8"/>
          <w:szCs w:val="18"/>
          <w:color w:val="auto"/>
        </w:rPr>
        <w:t>Since spring of fiscal 2022, there has been a significant shift in social and digital media effectiveness due to the Apple IDFA (identifier for advertisers) update impacting direct-to-consumer companies, including Pura Vida. We are in the process of strengthening our internal marketing and data analytics talent at Pura Vida. Our team has continued to work diligently to dive deeper into customer analytics and build a more diverse and balanced marketing program through growing our SMS subscriber base, onboarding a new email marketing agency, and spreading a portion of our marketing resources to new platforms such as TikTok, podcasts, and YouTube. As digital marketing becomes more expensive, Vera Bradley will be able to assist Pura Vida with more traditional marketing channels, such as direct mail and e-mail.</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Pura Vida remains one of the most highly-engaged brands in the accessories space, surpassing the 2.0 million mark of followers on Instagram and is consistently listed as one of the most engaged jewelry brands on Instagram. Pura Vida continued to rank among the top of the industry for our Net Promoter and Customer Satisfaction Scores.</w:t>
      </w:r>
    </w:p>
    <w:p>
      <w:pPr>
        <w:spacing w:after="0" w:line="122" w:lineRule="exact"/>
        <w:rPr>
          <w:sz w:val="20"/>
          <w:szCs w:val="20"/>
          <w:color w:val="auto"/>
        </w:rPr>
      </w:pPr>
    </w:p>
    <w:p>
      <w:pPr>
        <w:jc w:val="both"/>
        <w:ind w:right="200"/>
        <w:spacing w:after="0" w:line="236" w:lineRule="auto"/>
        <w:rPr>
          <w:sz w:val="20"/>
          <w:szCs w:val="20"/>
          <w:color w:val="auto"/>
        </w:rPr>
      </w:pPr>
      <w:r>
        <w:rPr>
          <w:rFonts w:ascii="Times New Roman" w:cs="Times New Roman" w:eastAsia="Times New Roman" w:hAnsi="Times New Roman"/>
          <w:sz w:val="18"/>
          <w:szCs w:val="18"/>
          <w:color w:val="auto"/>
        </w:rPr>
        <w:t>To date, over 150,000 micro-influencers have been on-boarded, and reliance on micro-influencers is a key part of Pura Vida’s strategy. Micro-influencers are brand ambassadors who showcase Pura Vida products on their social media channels in exchange for commission. We plan to continue to build upon the influencer program, particularly focusing on individuals with the greatest number of followers.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Release Strategy</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Vera Bradley</w:t>
      </w:r>
      <w:r>
        <w:rPr>
          <w:rFonts w:ascii="Times New Roman" w:cs="Times New Roman" w:eastAsia="Times New Roman" w:hAnsi="Times New Roman"/>
          <w:sz w:val="18"/>
          <w:szCs w:val="18"/>
          <w:color w:val="auto"/>
        </w:rPr>
        <w:t>. We typically introduce new collections monthly. Each launch typically consists of one to three signature cotton-quilted prints,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fabrications including Performance Twill, Re-Active, and microfiber, some of which are also available in solid colors. These collections of prints and solids are incorporated into the designs of a wide range of products, including bags, accessories, and travel items. These collections typically include classic styles, updates to existing designs, and new product introductions.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540"/>
        <w:spacing w:after="0" w:line="252" w:lineRule="auto"/>
        <w:rPr>
          <w:sz w:val="20"/>
          <w:szCs w:val="20"/>
          <w:color w:val="auto"/>
        </w:rPr>
      </w:pPr>
      <w:r>
        <w:rPr>
          <w:rFonts w:ascii="Times New Roman" w:cs="Times New Roman" w:eastAsia="Times New Roman" w:hAnsi="Times New Roman"/>
          <w:sz w:val="18"/>
          <w:szCs w:val="18"/>
          <w:color w:val="auto"/>
        </w:rPr>
        <w:t>To keep our assortment current and fresh, and to focus our inventory investments on our best performers, we discontinue prints and fabrications as necessary. We sell our remaining inventory of retired products primarily through our websites (including our online outlet site), factory outlet stores, typically our annual outlet sale, and third-party liquidators.</w:t>
      </w:r>
    </w:p>
    <w:p>
      <w:pPr>
        <w:spacing w:after="0" w:line="3"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i w:val="1"/>
          <w:iCs w:val="1"/>
          <w:color w:val="auto"/>
        </w:rPr>
        <w:t>Pura Vida</w:t>
      </w:r>
      <w:r>
        <w:rPr>
          <w:rFonts w:ascii="Times New Roman" w:cs="Times New Roman" w:eastAsia="Times New Roman" w:hAnsi="Times New Roman"/>
          <w:sz w:val="18"/>
          <w:szCs w:val="18"/>
          <w:color w:val="auto"/>
        </w:rPr>
        <w:t>. We introduce new Pura Vida products seasonally, approximately three times a year (spring, summer, and fall). We release curated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assortments multiple times per season that each embody a trend that we believe resonates with our customer base. Each product launch collection typically consists of 50 to 100 SKUs. We offer a mix of seasonally inspired designs and next generation designs of core bestsellers. In April 2021, we launched our Pura Vida apparel collection of shirts and hoodies and plan to further expand apparel in fiscal 2023 with new silhouettes and materials.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9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chart presents net revenues generated by each of the Company’s product categories and other revenues as a percentage of our total net revenues for fiscals 2022, 2021, and 2020.</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40" w:type="dxa"/>
            <w:vAlign w:val="bottom"/>
            <w:tcBorders>
              <w:bottom w:val="single" w:sz="8" w:color="auto"/>
            </w:tcBorders>
          </w:tcPr>
          <w:p>
            <w:pPr>
              <w:spacing w:after="0"/>
              <w:rPr>
                <w:sz w:val="16"/>
                <w:szCs w:val="16"/>
                <w:color w:val="auto"/>
              </w:rPr>
            </w:pPr>
          </w:p>
        </w:tc>
      </w:tr>
      <w:tr>
        <w:trPr>
          <w:trHeight w:val="133"/>
        </w:trPr>
        <w:tc>
          <w:tcPr>
            <w:tcW w:w="6420" w:type="dxa"/>
            <w:vAlign w:val="bottom"/>
          </w:tcPr>
          <w:p>
            <w:pPr>
              <w:spacing w:after="0"/>
              <w:rPr>
                <w:sz w:val="11"/>
                <w:szCs w:val="11"/>
                <w:color w:val="auto"/>
              </w:rPr>
            </w:pPr>
          </w:p>
        </w:tc>
        <w:tc>
          <w:tcPr>
            <w:tcW w:w="1640" w:type="dxa"/>
            <w:vAlign w:val="bottom"/>
            <w:gridSpan w:val="2"/>
          </w:tcPr>
          <w:p>
            <w:pPr>
              <w:ind w:left="400"/>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6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1540" w:type="dxa"/>
            <w:vAlign w:val="bottom"/>
          </w:tcPr>
          <w:p>
            <w:pPr>
              <w:jc w:val="right"/>
              <w:ind w:right="314"/>
              <w:spacing w:after="0" w:line="134"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64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64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60" w:hanging="552"/>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primarily stationery, licensing, freight, merchandising, and gift card breakage revenue.</w:t>
      </w:r>
    </w:p>
    <w:p>
      <w:pPr>
        <w:spacing w:after="0" w:line="16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Bags. </w:t>
      </w:r>
      <w:r>
        <w:rPr>
          <w:rFonts w:ascii="Times New Roman" w:cs="Times New Roman" w:eastAsia="Times New Roman" w:hAnsi="Times New Roman"/>
          <w:sz w:val="18"/>
          <w:szCs w:val="18"/>
          <w:color w:val="auto"/>
        </w:rPr>
        <w:t>Bags are a core part of our product offerings and are the primary component of every seasonal assortment. The category consists of classic and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styles developed by our product development team. Our bag product category includes items such as totes, crossbodies, satchels, clutches, backpacks, baby bags, and lunch bags. Bags play a prominent role in our visual merchandising, and we showcase the different fabrications, patterns, colors, and features of each bag.</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Accessories. </w:t>
      </w:r>
      <w:r>
        <w:rPr>
          <w:rFonts w:ascii="Times New Roman" w:cs="Times New Roman" w:eastAsia="Times New Roman" w:hAnsi="Times New Roman"/>
          <w:sz w:val="18"/>
          <w:szCs w:val="18"/>
          <w:color w:val="auto"/>
        </w:rPr>
        <w:t>Accessories include Vera Bradley-branded fashion accessories such as wallets, wristlets, eyeglass cases, scarves, various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accessories, as well as Pura Vida-branded accessories such as bracelets, rings, and necklaces. We believe our accessories are attractively priced and allow the consumer to include some color in her wardrobe. Our product development teams consistently update the accessories assortment based on consumer demand and fashion trends.</w:t>
      </w:r>
    </w:p>
    <w:p>
      <w:pPr>
        <w:spacing w:after="0" w:line="126"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Travel. </w:t>
      </w:r>
      <w:r>
        <w:rPr>
          <w:rFonts w:ascii="Times New Roman" w:cs="Times New Roman" w:eastAsia="Times New Roman" w:hAnsi="Times New Roman"/>
          <w:sz w:val="18"/>
          <w:szCs w:val="18"/>
          <w:color w:val="auto"/>
        </w:rPr>
        <w:t>Our travel product category includes rolling luggage, cosmetics, travel and packing accessories, and travel bags which includes our iconic duffel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weekend bags. The first Vera Bradley product offering included duffel bags, which have consistently been strong performers. We believe their popularity, as well as the appeal of our other travel items, results from our vibrant designs, functional styles, and lightweight fabrications.</w:t>
      </w:r>
    </w:p>
    <w:p>
      <w:pPr>
        <w:spacing w:after="0" w:line="119"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Apparel/Footwear</w:t>
      </w:r>
      <w:r>
        <w:rPr>
          <w:rFonts w:ascii="Times New Roman" w:cs="Times New Roman" w:eastAsia="Times New Roman" w:hAnsi="Times New Roman"/>
          <w:sz w:val="18"/>
          <w:szCs w:val="18"/>
          <w:color w:val="auto"/>
        </w:rPr>
        <w:t>. Our apparel and footwear category includes sleepwear, footwear, cotton face masks, outerwear, socks, scarves, and Pura Vida tees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hoodies. Cotton face mask sales began during fiscal 2021 at both Vera Bradley and Pura Vida.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Home. </w:t>
      </w:r>
      <w:r>
        <w:rPr>
          <w:rFonts w:ascii="Times New Roman" w:cs="Times New Roman" w:eastAsia="Times New Roman" w:hAnsi="Times New Roman"/>
          <w:sz w:val="18"/>
          <w:szCs w:val="18"/>
          <w:color w:val="auto"/>
        </w:rPr>
        <w:t>Our home category includes textiles, including throw blankets, beach towels, and comforters, as well as items such as mugs and tumblers.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Vera Bradley. </w:t>
      </w:r>
      <w:r>
        <w:rPr>
          <w:rFonts w:ascii="Times New Roman" w:cs="Times New Roman" w:eastAsia="Times New Roman" w:hAnsi="Times New Roman"/>
          <w:sz w:val="18"/>
          <w:szCs w:val="18"/>
          <w:color w:val="auto"/>
        </w:rPr>
        <w:t>We have implemented a fully integrated and cross-functional product development process that aligns design, trend and market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merchandising, planning, sales, marketing, and sourcing. We believe product development is a core capability that makes our products unique and that our designs and aesthetics set our products apart and drive customer loyalty. Our design and product development teams combine an understanding of the desires of our target customers, with knowledge of upcoming color, material, consumer, and fashion trends to design new collections, as well as new product categories.</w:t>
      </w:r>
    </w:p>
    <w:p>
      <w:pPr>
        <w:spacing w:after="0" w:line="13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typically begin the development stage of our products in the Vera Bradley portfolio twelve to eighteen months in advance of their release. The development of each new pattern includes the design of a primary print and sometimes a secondary coordinating print. All print development is managed by our internal print design team. Once developed, we generally copyright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patterns as appropriate. We believe that great design is not only central to our products, but also is a fundamental part of our brand development and growth strategies.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design team works to ensure that new collections contain an assortment of products and styles that are in line with both trends and customer desires and regularly updates classic styles to enhance functionality. Our team monitors fashion trends and customer needs by typically attending major trend and industry shows in Europe, Asia, and the United States, subscribing to trend monitoring services, and engaging in comparison shopping.</w:t>
      </w:r>
    </w:p>
    <w:p>
      <w:pPr>
        <w:spacing w:after="0" w:line="5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Our product development team works closely with our marketing and merchandising teams to gather consumer insights through a variety of methodologies, including seasonal market research, in-store testing, scheduled interviews, and online and in-person surveys conducted by our internal team. Our work is also informed in part by market data analysis provided through our membership in industry services and organizations. The design and product development teams work to ensure that we offer products that are constructed to meet our design, function, construction, and quality standards in a cost-effective manner. We believe that, with our cross-functional, collaborative approach, we are able to introduce and market our products in a way that clearly communicates the Vera Bradley brand.</w:t>
      </w:r>
    </w:p>
    <w:p>
      <w:pPr>
        <w:spacing w:after="0" w:line="4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In addition to products developed in-house, we also pursue brand extensions through strategic partnerships, licensing agreements, and brand collaborations. We currently have licenses in place for eyewear; collegiate (NCAA); bedding; technology accessories; stationery/drinkware; sleepwear and loungewear; certain footwear; female shaving products; outdoor furniture, accessories, and décor; wallpaper and luxury vinyl tile; and pickle ball racquets and accessories. We also have licensing agreements with Disney Consumer Products, Warner Brothers Consumer Products, Peanuts Worldwide, and certain U.S. Military forces. We will continue to look for the right strategic partners and licensees that can augment the brand and provide established distribution networks for certain categories of business.</w:t>
      </w:r>
    </w:p>
    <w:p>
      <w:pPr>
        <w:spacing w:after="0" w:line="1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Pura Vida</w:t>
      </w:r>
      <w:r>
        <w:rPr>
          <w:rFonts w:ascii="Times New Roman" w:cs="Times New Roman" w:eastAsia="Times New Roman" w:hAnsi="Times New Roman"/>
          <w:sz w:val="18"/>
          <w:szCs w:val="18"/>
          <w:color w:val="auto"/>
        </w:rPr>
        <w:t>. Pura Vida continues to develop new styles and re-invent existing styles. We have a cross-functional team that aligns product development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merchandising to strategically manage the design process. Our cross-functional team attends trade shows and performs market research to develop what we believe will be on-trend products that communicate and emulate the “pura vida” lifestyle. We also pursue brand extensions through licensing agreements and we have partnered with Shark Week, Warner Brothers Consumer Products, Disney Consumer Products, Sanrio, and other companies that are consistent with our brand.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that the growth of our brands and our business is influenced by our ability to introduce and sell our merchandise in a way that clearly conveys the Vera Bradley and Pura Vida brand personalities. We use marketing as a critical tool in our efforts to promote our brands.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Vera Bradley</w:t>
      </w:r>
    </w:p>
    <w:p>
      <w:pPr>
        <w:spacing w:after="0" w:line="17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Retention Advertising. </w:t>
      </w:r>
      <w:r>
        <w:rPr>
          <w:rFonts w:ascii="Times New Roman" w:cs="Times New Roman" w:eastAsia="Times New Roman" w:hAnsi="Times New Roman"/>
          <w:sz w:val="17"/>
          <w:szCs w:val="17"/>
          <w:color w:val="auto"/>
        </w:rPr>
        <w:t>We communicate with our established customers consistently throughout the year with regular e-mails, social media,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notifications, as well as seasonal direct mail related to the Vera Bradley brand. Our retention advertising is geared to keeping Vera Bradley top of mind with our customers, rewarding our customers, and providing them with news of our seasonal launches, new product introductions, and VB Cares initiatives.</w:t>
      </w:r>
    </w:p>
    <w:p>
      <w:pPr>
        <w:spacing w:after="0" w:line="10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New Customer Acquisition Advertising. </w:t>
      </w:r>
      <w:r>
        <w:rPr>
          <w:rFonts w:ascii="Times New Roman" w:cs="Times New Roman" w:eastAsia="Times New Roman" w:hAnsi="Times New Roman"/>
          <w:sz w:val="18"/>
          <w:szCs w:val="18"/>
          <w:color w:val="auto"/>
        </w:rPr>
        <w:t>We primarily employ digital (i.e., display banner, mobile, geo-targeting, and pre-roll video) advertising to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brand awareness and attract new customers.</w:t>
      </w:r>
    </w:p>
    <w:p>
      <w:pPr>
        <w:spacing w:after="0" w:line="104"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Public Relations and Product Placement. </w:t>
      </w:r>
      <w:r>
        <w:rPr>
          <w:rFonts w:ascii="Times New Roman" w:cs="Times New Roman" w:eastAsia="Times New Roman" w:hAnsi="Times New Roman"/>
          <w:sz w:val="18"/>
          <w:szCs w:val="18"/>
          <w:color w:val="auto"/>
        </w:rPr>
        <w:t>Vera Bradley has received considerable editorial exposure in the press, with mentions in</w:t>
      </w:r>
      <w:r>
        <w:rPr>
          <w:rFonts w:ascii="Times New Roman" w:cs="Times New Roman" w:eastAsia="Times New Roman" w:hAnsi="Times New Roman"/>
          <w:sz w:val="18"/>
          <w:szCs w:val="18"/>
          <w:i w:val="1"/>
          <w:iCs w:val="1"/>
          <w:color w:val="auto"/>
        </w:rPr>
        <w:t xml:space="preserve"> Oprah Daily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Style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People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Elle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WWD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Cosmopolitan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Good Housekeeping</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Forbes</w:t>
      </w:r>
      <w:r>
        <w:rPr>
          <w:rFonts w:ascii="Times New Roman" w:cs="Times New Roman" w:eastAsia="Times New Roman" w:hAnsi="Times New Roman"/>
          <w:sz w:val="18"/>
          <w:szCs w:val="18"/>
          <w:color w:val="auto"/>
        </w:rPr>
        <w:t>. In addition, we have expanded our public relations efforts to reach popular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influencers and bloggers.</w:t>
      </w:r>
    </w:p>
    <w:p>
      <w:pPr>
        <w:spacing w:after="0" w:line="119"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color w:val="auto"/>
        </w:rPr>
        <w:t xml:space="preserve">Product placement of Vera Bradley products in feature-length films and on prime-time television shows remains strong with television placements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Neighbors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Blackish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American Housewife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Neighborhood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Mom, Ozark, The Blacklist,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Chicago Fire</w:t>
      </w:r>
      <w:r>
        <w:rPr>
          <w:rFonts w:ascii="Times New Roman" w:cs="Times New Roman" w:eastAsia="Times New Roman" w:hAnsi="Times New Roman"/>
          <w:sz w:val="18"/>
          <w:szCs w:val="18"/>
          <w:color w:val="auto"/>
        </w:rPr>
        <w:t>. Movie placements include:</w:t>
      </w:r>
      <w:r>
        <w:rPr>
          <w:rFonts w:ascii="Times New Roman" w:cs="Times New Roman" w:eastAsia="Times New Roman" w:hAnsi="Times New Roman"/>
          <w:sz w:val="18"/>
          <w:szCs w:val="18"/>
          <w:i w:val="1"/>
          <w:iCs w:val="1"/>
          <w:color w:val="auto"/>
        </w:rPr>
        <w:t xml:space="preserve"> Don’t Look Up, Black Friday, Arthur the King, Jurassic World, Moxie,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Prom</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Partnerships. </w:t>
      </w:r>
      <w:r>
        <w:rPr>
          <w:rFonts w:ascii="Times New Roman" w:cs="Times New Roman" w:eastAsia="Times New Roman" w:hAnsi="Times New Roman"/>
          <w:sz w:val="18"/>
          <w:szCs w:val="18"/>
          <w:color w:val="auto"/>
        </w:rPr>
        <w:t>During fiscal 2022, under the umbrella of VB Cares, we reinforced our position as a total stakeholder-focused and socially-conscious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 and continued to strengthen our community support and charitable initiatives that are meaningful to our customers and that make a significant impact on those in need, particularly women and children. Efforts included supporting the Vera Bradley Foundation for Breast Cancer, our national “Blessings in a Backpack” program, New Hope Girls, and Free Mom Hugs, among others.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7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Social Media and Online Marketing. </w:t>
      </w:r>
      <w:r>
        <w:rPr>
          <w:rFonts w:ascii="Times New Roman" w:cs="Times New Roman" w:eastAsia="Times New Roman" w:hAnsi="Times New Roman"/>
          <w:sz w:val="17"/>
          <w:szCs w:val="17"/>
          <w:color w:val="auto"/>
        </w:rPr>
        <w:t>We use online marketing and social networking sites as tools to increase brand awareness and drive traffic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verabradley.com and to our Vera Bradley stores. Vera Bradley can be found on Facebook, Instagram, TikTok, Twitter, Pinterest, and YouTube.</w:t>
      </w:r>
    </w:p>
    <w:p>
      <w:pPr>
        <w:spacing w:after="0" w:line="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Vera Bradley, we have captured approximately 6.5 million active customer e-mail addresses in our online customer file, with many of these customers providing age, occupation, and location data. This information provides us with deeper insight into the products and categories that are of the highest interest to our customers, and allows us to better target our customers with appropriate messages. As of January 29, 2022, we had approximately 2.0 million Facebook fans and approximately 70,000 Twitter followers. Our Instagram has grown to approximately 560,000 followers and is our most highly engaged social medium. In addition, we often partner with brand-right bloggers to promote our products.</w:t>
      </w:r>
    </w:p>
    <w:p>
      <w:pPr>
        <w:spacing w:after="0" w:line="127" w:lineRule="exact"/>
        <w:rPr>
          <w:sz w:val="20"/>
          <w:szCs w:val="20"/>
          <w:color w:val="auto"/>
        </w:rPr>
      </w:pPr>
    </w:p>
    <w:p>
      <w:pPr>
        <w:jc w:val="both"/>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 Mail. </w:t>
      </w:r>
      <w:r>
        <w:rPr>
          <w:rFonts w:ascii="Times New Roman" w:cs="Times New Roman" w:eastAsia="Times New Roman" w:hAnsi="Times New Roman"/>
          <w:sz w:val="18"/>
          <w:szCs w:val="18"/>
          <w:color w:val="auto"/>
        </w:rPr>
        <w:t>Vera Bradley mailers are a vehicle for promoting the Vera Bradley brand and product portfolio. Each mailer is sent to a targeted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mailing list. We believe our direct mail medium generates excitement and awareness about the Vera Bradley brand and allows us to reach both new and loyal customers in their homes.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Pura Vida</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marketing effectiveness for the e-commerce channel was negatively impacted by the Apple IDFA update in fiscal 2022. This update negatively impacted our social media advertising and tracking, particularly Facebook and Instagram, which have been our primary marketing vehicles for growing the brand. We are putting additional resources in place to address this situation in fiscal 2023 with new data warehousing initiatives to maximize our first-party data and customer retention. In addition, as previously mentioned, we are continuing to diversify our marketing program by adding new marketing channels and leveraging SMS and email marketing more than in the past.</w:t>
      </w:r>
    </w:p>
    <w:p>
      <w:pPr>
        <w:spacing w:after="0" w:line="12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Retention Advertising. </w:t>
      </w:r>
      <w:r>
        <w:rPr>
          <w:rFonts w:ascii="Times New Roman" w:cs="Times New Roman" w:eastAsia="Times New Roman" w:hAnsi="Times New Roman"/>
          <w:sz w:val="18"/>
          <w:szCs w:val="18"/>
          <w:color w:val="auto"/>
        </w:rPr>
        <w:t>We connect with our established customers with regular emails, affiliate marketing, SMS marketing, and social media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retention advertising focuses on informing Pura Vida customers of new product launches, exclusive offers, inventory restocks of best sellers, upselling subscription products, promoting referral and loyalty rewards, and the latest Pura Vida news.</w:t>
      </w:r>
    </w:p>
    <w:p>
      <w:pPr>
        <w:spacing w:after="0" w:line="119"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New Customer Acquisition Advertising. </w:t>
      </w:r>
      <w:r>
        <w:rPr>
          <w:rFonts w:ascii="Times New Roman" w:cs="Times New Roman" w:eastAsia="Times New Roman" w:hAnsi="Times New Roman"/>
          <w:sz w:val="17"/>
          <w:szCs w:val="17"/>
          <w:color w:val="auto"/>
        </w:rPr>
        <w:t>Pura Vida focuses on digital advertising through Facebook, Instagram, TikTok, Google, Snapchat, and Pinterest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acquire new customers. We are consistently testing new audiences, channels, creative ads, and promotions to maximize our return on paid media spend.</w:t>
      </w:r>
    </w:p>
    <w:p>
      <w:pPr>
        <w:spacing w:after="0" w:line="7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i w:val="1"/>
          <w:iCs w:val="1"/>
          <w:color w:val="auto"/>
        </w:rPr>
        <w:t>Ambassador Program</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a grassroots program of brand ambassadors who drive customers to our website and generate buzz in local communities,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digitally through their social media channels, in person through events, and through word of mouth. This program helps us reach our customers in a peer-to-peer fashion, similar to word of mouth marketing. We acquire these brand ambassadors through advertising on Instagram and Snapchat, as well as regular promotion through our organic and retention channels.</w:t>
      </w:r>
    </w:p>
    <w:p>
      <w:pPr>
        <w:spacing w:after="0" w:line="11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i w:val="1"/>
          <w:iCs w:val="1"/>
          <w:color w:val="auto"/>
        </w:rPr>
        <w:t>Influencer Marketing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tiers of small to large sized influencers across various key markets and demographic profiles. We work with macro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influencers on product collaborations and campaigns, and foster organic relationships with them through photoshoots, trips, and events which we believe drives organic growth for the brand. We have also built a network of micro influencers through our gifted program who post for our brand in exchange for product and exposure on our social channels.</w:t>
      </w:r>
    </w:p>
    <w:p>
      <w:pPr>
        <w:spacing w:after="0" w:line="116"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8"/>
          <w:szCs w:val="18"/>
          <w:i w:val="1"/>
          <w:iCs w:val="1"/>
          <w:color w:val="auto"/>
        </w:rPr>
        <w:t>Charity Collaborations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actively partner with charities to donate to causes that are important to our customers. To date, we have donated over $4.0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to various charities around the world.</w:t>
      </w:r>
    </w:p>
    <w:p>
      <w:pPr>
        <w:spacing w:after="0" w:line="8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i w:val="1"/>
          <w:iCs w:val="1"/>
          <w:color w:val="auto"/>
        </w:rPr>
        <w:t>Events Marketing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reach our existing customers in person, to acquire new customers, and to expose customers to the experiential aspect of our brand,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hosted several successful events at our flagship retail store in San Diego that opened in fiscal 2022. We have additional opportunities to expand our event marketing to include new retail stores as they open.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Because Vera Bradley and Pura Vida products are frequently given as gifts, we have historically realized, and expect to continue to realize, higher sales and operating income in the fourth quarter of our fiscal year, which includes the holiday months of November and December. In addition, our products are popular during back-to-school periods of August and September. Fluctuations in sales and operating income in any fiscal quarter are affected by the timing of seasonal wholesale shipments and other events affecting retail sales.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of Distribution</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distribute our Vera Bradley products through our VB Direct and VB Indirect segments and Pura Vida products primarily through e-commerce and wholesale retailers. This multi-channel distribution model is designed to enable operational flexibility and maximizes the methods by which we can access potential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Vera Bradley Direct Segment</w:t>
      </w:r>
    </w:p>
    <w:p>
      <w:pPr>
        <w:spacing w:after="0" w:line="10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Full-Line Stores. </w:t>
      </w:r>
      <w:r>
        <w:rPr>
          <w:rFonts w:ascii="Times New Roman" w:cs="Times New Roman" w:eastAsia="Times New Roman" w:hAnsi="Times New Roman"/>
          <w:sz w:val="18"/>
          <w:szCs w:val="18"/>
          <w:color w:val="auto"/>
        </w:rPr>
        <w:t>We have developed a retail presence through our full-line stores, all located in the United States, which provides us with a format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showcase our brand and the full array of Vera Bradley products. As of January 29, 2022, we operated 70 full-line stores averaging approximately 1,900 square feet per store. Our sales associates are passionate about our products and customer service, which, we believe, translates into a superior shopping experience.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Factory Outlet Stores. </w:t>
      </w:r>
      <w:r>
        <w:rPr>
          <w:rFonts w:ascii="Times New Roman" w:cs="Times New Roman" w:eastAsia="Times New Roman" w:hAnsi="Times New Roman"/>
          <w:sz w:val="18"/>
          <w:szCs w:val="18"/>
          <w:color w:val="auto"/>
        </w:rPr>
        <w:t>Our factory outlet stores are a vehicle for selling factory exclusive styles, as well as retired merchandise at discounted prices,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maintaining brand integrity. Typically, approximately 95% of the merchandise found in our factory outlet stores consists of factory exclusive styles, although supply chain challenges in fiscal 2022 caused inventory levels of factory exclusive styles to fall below this level. Factory outlet stores are an integral part of our distribution strategy, as this format provides an additional channel of distribution for our products and enables us to better target value-oriented customers. Our factory outlet stores average approximately 3,400 square feet per store and we expect to invest approximately $0.5 million per new store, consisting of inventory, pre-opening costs, and build-out costs, less tenant-improvement allowances. As of January 29, 2022, we operated 75 factory outlet stores, all located in the United States.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Store Location Selection Strategy. </w:t>
      </w:r>
      <w:r>
        <w:rPr>
          <w:rFonts w:ascii="Times New Roman" w:cs="Times New Roman" w:eastAsia="Times New Roman" w:hAnsi="Times New Roman"/>
          <w:sz w:val="18"/>
          <w:szCs w:val="18"/>
          <w:color w:val="auto"/>
        </w:rPr>
        <w:t>Our store location decisions for both full-line and factory outlet stores are made based upon our comprehensive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that includes actual and planned penetration in both Indirect and Direct segments, as well as existing e-commerce demand. At this time, we do not believe all geographical markets have been fully penetrated by our distribution channels, although we have temporarily suspended full-line store growth and forecast that we will close additional full-line stores. We believe that long-term expansion of our store base will increase brand awareness and reinforce our brand image by contributing to our omni-channel retail strategy. In addition to analyzing store economics, we pay particular attention to the location within the shopping center, the size and shape of the space, and co-tenancies. Along with seeking co-tenants that we believe share our target customer, we seek a balanced mix of moderate and high-end retailers to encourage high levels of traffic.</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Store Operations. </w:t>
      </w:r>
      <w:r>
        <w:rPr>
          <w:rFonts w:ascii="Times New Roman" w:cs="Times New Roman" w:eastAsia="Times New Roman" w:hAnsi="Times New Roman"/>
          <w:sz w:val="18"/>
          <w:szCs w:val="18"/>
          <w:color w:val="auto"/>
        </w:rPr>
        <w:t>The focus of our store operations is providing consumers with a comfortable and memorable shopping experience. We strive to make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interactive through special store events, such as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In 2006, we began selling our products through the verabradley.com website. The objective of verabradley.com is to provide both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mechanism for marketing directly to consumers and a storefront where consumers can find the entire full-line Vera Bradley collection. During fiscal 2021, we re-platformed our website to become more streamlined, nimble, and efficient in our technology platform and business processes. Since 2018, we have also operated an online outlet site to reduce clearance sales from verabradley.com. We had approximately 52 million visits to verabradley.com and our online outlet site during fiscal 2022.</w:t>
      </w:r>
    </w:p>
    <w:p>
      <w:pPr>
        <w:spacing w:after="0" w:line="12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Annual Outlet Sale. </w:t>
      </w:r>
      <w:r>
        <w:rPr>
          <w:rFonts w:ascii="Times New Roman" w:cs="Times New Roman" w:eastAsia="Times New Roman" w:hAnsi="Times New Roman"/>
          <w:sz w:val="17"/>
          <w:szCs w:val="17"/>
          <w:color w:val="auto"/>
        </w:rPr>
        <w:t>We have not held our annual outlet sale for the past two years as a result of the COVID-19 pandemic. We have also cancelled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calendar year 2022 sale. Our annual outlet sale is typically held in the Allen County War Memorial Coliseum Exposition Center in Fort Wayne, Indiana each spring. The annual outlet sale is an important tradition for Vera Bradley, has many loyal followers, and is an opportunity for us to sell our retired merchandise at discounted prices in a brand-right fashion. We will be assessing the feasibility of future annual outlet sales in calendar 2023 and beyond.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Vera Bradley Indirect Segment</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January 29, 2022, we sold our products in approximately 1,800 specialty retail locations, as well as department stores, national accounts, third-party e-commerce sites, and third-party inventory liquidators, as well as through licensing agreements. In fiscal 2012, we launched our products in the department store channel. We are currently in approximately 300 department store locations.</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top 25% of our specialty retailers account for approximately 80% of total specialty retailer revenue. No single Indirect retailer represented more than 10% of consolidated net revenues in fiscal 2022, with the top ten Indirect retailers, representing in the aggregate approximately 55% of total Indirect segment net revenues. The majority of our Indirect retailers have been customers for over five years.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Indirect Sales Force</w:t>
      </w:r>
    </w:p>
    <w:p>
      <w:pPr>
        <w:spacing w:after="0" w:line="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that having a combination of an in-house field sales force and a third-party agency, covering certain geographies, results in a more consistent brand presentation and messaging, enhanced support for our Indirect customers, and a more predictable, scalable, and cost-efficient business model. As of January 29, 2022, our in-house sales team consisted of approximately 25 full-time sales consultants.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to acquiring new and growing existing accounts, our sales consultants serve as a support center for our Indirect customers by assisting and educating them in areas such as merchandising and visual presentation, marketing the brand, product selection, and inventory management. Our visual merchandising program provides our sales consultants with a framework to guide our Indirect customers regarding optimal product placement and display that is intended to reinforce the message that our brand is distinctive.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Pura Vida Segment</w:t>
      </w:r>
    </w:p>
    <w:p>
      <w:pPr>
        <w:spacing w:after="0" w:line="106"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Pura Vida is a digitally native brand and the e-commerce storefront continues to be the primary source of revenues for the Pura Vida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The e-commerce site also includes a monthly bracelet and jewelry subscription club. The subscription club is a mechanism to continue to build brand loyalty and stimulate higher retention.</w:t>
      </w:r>
    </w:p>
    <w:p>
      <w:pPr>
        <w:spacing w:after="0" w:line="119"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Wholesale. </w:t>
      </w:r>
      <w:r>
        <w:rPr>
          <w:rFonts w:ascii="Times New Roman" w:cs="Times New Roman" w:eastAsia="Times New Roman" w:hAnsi="Times New Roman"/>
          <w:sz w:val="18"/>
          <w:szCs w:val="18"/>
          <w:color w:val="auto"/>
        </w:rPr>
        <w:t>The Pura Vida wholesale channel is comprised primarily of specialty stores including Tilly’s, The Buckle, The Paper Store, Ron Jon Surf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Shops, Hallmark stores, Nordstrom, and Dillards, among others. Pura Vida also has a presence on Amazon through a third-party wholesaler. We have a combination of in-house and external sales personnel who work with our wholesale retailers regarding order fulfillment and compilation.</w:t>
      </w:r>
    </w:p>
    <w:p>
      <w:pPr>
        <w:spacing w:after="0" w:line="16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Pura Vida has one retail store location in San Diego, California, which opened in fiscal 2022. The Company expects to open approximately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retail store locations in fiscal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Chain Model</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fiscal 2022 for the Vera Bradley brand, we faced significant supply chain disruptions that caused delivery delays, as well as inbound and outbound freight cost increases. Surges in demand for shipping containers has caused the cost per container to rise significantly. In addition, the surge in imports has caused delays in getting ships into ports and congestion once the containers arrive at the ports. Oftentimes, this has added several weeks of delays to our deliveries. We are continuing to work diligently to mitigate the situation, including shortening the product development timeline and adding inventory coverage, but we expect shipping delays and freight expense increases to continue for the near future.</w:t>
      </w:r>
    </w:p>
    <w:p>
      <w:pPr>
        <w:spacing w:after="0" w:line="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also been impacted by higher tariffs from previously duty-free countries, where we source products, as a result of the Generalized System of Preferences (“GSP”) duty-free status expiring at the end of calendar year 2020. We cannot guarantee if or when the GSP duty-free status will be reinstated or, if reinstated, retro-actively applied by Congress.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Vera Bradley</w:t>
      </w:r>
    </w:p>
    <w:p>
      <w:pPr>
        <w:spacing w:after="0" w:line="10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multi-country manufacturing and supply chain model is designed to achieve efficient, timely, and accurate order fulfillment while maintaining appropriate levels of inventory.</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manufacturing and sourcing strategy is part of the larger cross-functional product development process. The overall objective for our sourcing team is to build and sustain collaborative partnerships throughout our supply chain, with a focus on identifying appropriate countries and partners to manufacture our products while maintaining and focusing on flexibility. Our sourcing team leverages its expertise in negotiation, relationship management, flexibility, and change management to maintain a strong, diverse global supply chain. Our sourcing team also focuses on achieving the right balance of production sites and countries of origin to mitigate the risk of concentrated production, including potential incremental tariffs. To continue to assist in this risk mitigation, our sourcing team reduced our Vera Bradley production in China from over 50% in fiscal 2019 to approximately 15% in fiscal 2022.</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strive to maintain the appropriate balance of inventory to enable us to provide a high level of service to our customers, including prompt and accurate delivery of our products at a reasonable cost. We believe that we have an active and nimble sales and operations planning process that helps us balance the supply and demand issues that we encounter in our business, optimize our inventory levels, and anticipate inventory needs. We have also integrated our Vera Bradley planning, forecasting, and segmentation processes under one function called Merchandise Planning and Allocation.</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Approximately half of Vera Bradley product sales are cotton-based. Our other fabrics include primarily fleece, polyester, and microfiber. We source our raw materials from various suppliers in Asia, with the majority coming from China and South Korea. Our global sourcing team works with select suppliers enabling us to optimize the mix of cost, lead time, quality, and reliability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within our global supply network. We actively mitigate raw materials price increases through purchasing at advantageous times and periods. All of our suppliers must comply with our quality standards, and we use only a limited number of pre-approved suppliers who have demonstrated a commitment to delivering the highest quality products. We are continually updating our factory audit process and building a better compliance program to ensure our vendor code of conduct is met. In fact, in fiscal 2022 we moved from internal factory audits to partnering with BetterWork to conduct the audits. BetterWork brings diverse groups together (governments, global brands, factory owners, unions, and workers) to improve working conditions in the garment industry and make the sector more competitive. These audits encompass both the Vera Bradley and Pura Vida brands. In April 2016, we opened an office in Hong Kong to lead the global supply chain in Asia, including the oversight of sourcing and procurement.</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majority of our Vera Bradley finished goods, not sourced through licenses or strategic partners, are manufactured by a variety of global manufacturers located primarily in Cambodia, Vietnam, Indonesia, and China. We discontinued manufacturing in Myanmar in mid-2021. With the oversight of our office in Hong Kong and our independent contractors, we believe these financial benefits have been realized without sacrificing the level of quality inherent in our products or service to our customers.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Pura Vida</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Pura Vida products are sourced primarily from El Salvador, as well as China, Guatemala, Cambodia, Indonesia, and India. We have continued an active supply chain diversification process to ensure a focus on maintaining flexibility and to help mitigate the risk of concentrated production, similar to the Vera Bradley supply chain.</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determining the size of orders placed with our manufacturers, we take into account forward-looking demand, lead times for specific products, current inventory levels, and minimum order quantity requirements. Overseas production has resulted in substantial cost savings and a reduction of capital investment.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Centers</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Vera Bradley owns a 428,500 square-foot distribution center in Roanoke, Indiana. This automated, computerized facility allows Vera Bradley employees to receive information directly from the order-collection center and quickly identify the products and quantities necessary to fulfill a particular order. The facility’s technology enables us to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 however, we continue to make technology and automation enhancements to our distribution center processes to promote optimal output.</w:t>
      </w:r>
    </w:p>
    <w:p>
      <w:pPr>
        <w:spacing w:after="0" w:line="133"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Vera Bradley products are shipped primarily via third-party common carriers to our stores, our Indirect retailers, and directly to our customers who purchase through our website. We believe we are positioned well to support the order fulfillment requirements of our business, including business generated through our website.</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Pura Vida products for the U.S. e-commerce site and wholesale accounts are distributed primarily through a third-party provider in Tijuana, Mexico. Pura Vida also distributes product through a third-party provider in the Netherlands and Canada, which supports European and Canadian e-commerce operations, respectively. To support international e-commerce sales, we are exploring a potential provider in Asia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Information Systems</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believe that high levels of automation and technology are essential to maintain our competitive position. We maintain computer hardware, applications, and networks to enhance and accelerate the design process, to support the sale and distribution of our products to our customers, and to improve the integration and efficiency of our operations. Our information systems are designed to provide, among other things, enterprise class business management, comprehensive order processing for all commerce channels, production, accounting, and management information and analytics for the product development, retail, sales, marketing, distribution, finance, and human resources functions of our business. In fiscal 2021 at Vera Bradley, we migrated our ERP, POS, Business Intelligence, and Order Management systems to cloud-based platforms streamlining and simplifying our work and providing for additional capabilities such as mobile POS and multi-company operations on the same platform. We completed our ERP migration during fiscal 2022 for Pura Vida, so that our entire enterprise is on a unified technology platform. We continue to assess our on-premise and cloud-based technology solutions in an effort to ensure we have the optimal solutions for our business. In fiscal 2023, we are implementing a new suite of inventory planning tools to optimize full line assortments, localized assortments, pricing and promotion planning, and inventory positions.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both Vera Bradley and Pura Vida, 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Moreover, the general availability of contract manufacturing allows new entrants to relatively easily access the markets in which we compete, which may increase the number of competitors and adversely affect our competitive position and our business. We compete against other independent retailers, department stores, catalog retailers, gift retailers, and Internet businesses that engage in the retail sale of similar products.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market for handbags and accessories, in particular, is highly competitive. Our competitors include not only established companies that are expanding their production and marketing of handbags and accessories, but also frequent new entrants to the market. We directly compete with wholesalers and direct sellers of branded handbags and accessories.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brands, customer loyalty and engagement,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Copyrights and Trademarks</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Vera Bradley, the development of new patterns includes the design of primary and secondary prints. Once developed, we generally copyright our patterns as appropriate. We currently have approximately 1,200 copyrights related to the Vera Bradley business.</w:t>
      </w:r>
    </w:p>
    <w:p>
      <w:pPr>
        <w:spacing w:after="0" w:line="10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also own the material trademark rights used in connection with the production, marketing, and distribution of all of our products, both in the United States and in the other countries in which our products are principally sold. Our trademarks include “Vera Bradley” and “Pura Vida.” We aggressively police our trademarks and copyrights and pursue infringers and counterfeiters both domestically and internationally. Our trademarks will remain in existence for as long as we continue to use and renew them in advance of their expiration dates. We have no material patents.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Equal employment opportunities are available to all persons at Vera Bradley, Inc. without regard to race, sex, sexual orientation, gender, gender identity, gender expression, marital status, age, color, religion, creed, national origin, ancestry, mental or physical disability, medical condition, genetic information, military or veteran status or any other category protected under applicable federal, state, or local law. We put this standard into practice through our hiring, training, and an annual affirmative action program.</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January 29, 2022, we had approximately 2,490 employees. Of the total, approximately 1,775 were engaged in Vera Bradley retail selling positions; approximately 325 were engaged in Vera Bradley distribution, sourcing and quality functions; approximately 60 were engaged in Vera Bradley product design; approximately 50 were involved in the Pura Vida business; and approximately 280 were engaged in corporate support and administrative functions. None of our employees are represented by a union. We believe that our relations with our employees are good, and we have never encountered a significant work stoppage other than as related to temporary stoppages necessitated by the COVID-19 pandemic.</w:t>
      </w:r>
    </w:p>
    <w:p>
      <w:pPr>
        <w:spacing w:after="0" w:line="4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i w:val="1"/>
          <w:iCs w:val="1"/>
          <w:color w:val="auto"/>
        </w:rPr>
        <w:t>Project Quilt</w:t>
      </w:r>
      <w:r>
        <w:rPr>
          <w:rFonts w:ascii="Times New Roman" w:cs="Times New Roman" w:eastAsia="Times New Roman" w:hAnsi="Times New Roman"/>
          <w:sz w:val="18"/>
          <w:szCs w:val="18"/>
          <w:color w:val="auto"/>
        </w:rPr>
        <w:t>. In fiscal 2021, we launched our Company-wide diversity and inclusion initiative, Project Quilt, to continue to enhance diversity, equality,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inclusion, focusing on three key areas – the Associate Experience, the Customer Experience, and the Community Experience.</w:t>
      </w:r>
    </w:p>
    <w:p>
      <w:pPr>
        <w:spacing w:after="0" w:line="3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Engagement</w:t>
      </w:r>
      <w:r>
        <w:rPr>
          <w:rFonts w:ascii="Times New Roman" w:cs="Times New Roman" w:eastAsia="Times New Roman" w:hAnsi="Times New Roman"/>
          <w:sz w:val="18"/>
          <w:szCs w:val="18"/>
          <w:color w:val="auto"/>
        </w:rPr>
        <w:t>. Vera Bradley believes it is critical to engage its different stakeholders in order to understand their views, values, and ideas and to design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responsible environment for all involved. This stakeholder group includes associates. The Company engages its associates through surveys, town halls, and focus groups. Collectively, the Company's success is based upon the unique value of each person's contributions. Our long term success depends on talented and engaged associates.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Every year, we conduct an associate engagement survey in order to better understand our associates’ insights into our Company’s strengths and opportunities. In 2021, we once again had outstanding participation, with approximately 80% of our associates sharing their candid feedback. Our 2021 overall engagement score was once again above average in all categories compared to peer companies with some categories in the upper quartile compared to peer companies. The feedback gave us insight into improvement opportunities and was instrumental in decisions we made to shape, strengthen, and improve our Company. As a result of the survey feedback, over the last several years we have made meaningful improvements to benefits, career development, compensation, mental health and wellness programs, and our facilities. We believe listening to our associates’ feedback provided through the annual Engagement Surveys continually strengthens our corporate culture.</w:t>
      </w:r>
    </w:p>
    <w:p>
      <w:pPr>
        <w:spacing w:after="0" w:line="5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Pay and Benefits</w:t>
      </w:r>
      <w:r>
        <w:rPr>
          <w:rFonts w:ascii="Times New Roman" w:cs="Times New Roman" w:eastAsia="Times New Roman" w:hAnsi="Times New Roman"/>
          <w:sz w:val="18"/>
          <w:szCs w:val="18"/>
          <w:color w:val="auto"/>
        </w:rPr>
        <w:t>. The Company offers competitive pay packages that include market-competitive base and hourly compensation, healthcare, a 401(k)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savings plan that typically includes a Company contribution match, paid time off (including for volunteer work), paid family leave, matching gifts program, and an Employee Assistance Program.</w:t>
      </w:r>
    </w:p>
    <w:p>
      <w:pPr>
        <w:spacing w:after="0" w:line="52"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Leadership Programs</w:t>
      </w:r>
      <w:r>
        <w:rPr>
          <w:rFonts w:ascii="Times New Roman" w:cs="Times New Roman" w:eastAsia="Times New Roman" w:hAnsi="Times New Roman"/>
          <w:sz w:val="18"/>
          <w:szCs w:val="18"/>
          <w:color w:val="auto"/>
        </w:rPr>
        <w:t>. Our associates are our biggest asset and when they win, we all win. We recognize everyone in the Company has the ability to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example and influence others in a positive way that ultimately provides meaningful value and will make us stronger. Our long-term initiative, Leaders by Design, encourages our associates to grow as leaders through</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new associate orientation and onboarding, formal training programs, mentorship programs, job shadowing and career-pathing programs and development, including THE LEADERSHIP CHALLENGE®, a globally recognized, research-based leadership development program designed to enhance leadership effectiveness.</w:t>
      </w:r>
    </w:p>
    <w:p>
      <w:pPr>
        <w:spacing w:after="0" w:line="6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i w:val="1"/>
          <w:iCs w:val="1"/>
          <w:color w:val="auto"/>
        </w:rPr>
        <w:t>Associate Safety</w:t>
      </w:r>
      <w:r>
        <w:rPr>
          <w:rFonts w:ascii="Times New Roman" w:cs="Times New Roman" w:eastAsia="Times New Roman" w:hAnsi="Times New Roman"/>
          <w:sz w:val="18"/>
          <w:szCs w:val="18"/>
          <w:color w:val="auto"/>
        </w:rPr>
        <w:t>. Associate safety and well-being is of paramount importance to our Company. We have a comprehensive Safety Manual that emphasizes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high standard of safety throughout all operations of the organization. The Safety Manual</w:t>
      </w:r>
    </w:p>
    <w:p>
      <w:pPr>
        <w:ind w:right="320"/>
        <w:spacing w:after="0" w:line="260" w:lineRule="auto"/>
        <w:rPr>
          <w:sz w:val="20"/>
          <w:szCs w:val="20"/>
          <w:color w:val="auto"/>
        </w:rPr>
      </w:pPr>
      <w:r>
        <w:rPr>
          <w:rFonts w:ascii="Times New Roman" w:cs="Times New Roman" w:eastAsia="Times New Roman" w:hAnsi="Times New Roman"/>
          <w:sz w:val="18"/>
          <w:szCs w:val="18"/>
          <w:color w:val="auto"/>
        </w:rPr>
        <w:t>addresses a variety of topics including reporting injuries, OSHA compliance and emergency procedures (related to workplace violence, active shooters, severe weather and blood-borne pathogens, among others). Policies are routinely communicated and training is provided to associates as appropriate.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Many of our imported products are subject to existing or potential duties or tariffs that may limit the quantity of products that we may import into the United States and other countries or impact the cost of such products.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subject to federal, state, local, and foreign laws and regulations governing environmental matters, including the handling, transportation, and disposal of our products and our non-hazardous and hazardous 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capital expenditures, earnings, or competitive position. If we violate any laws or regulations, however, it could have a material adverse effect on our business or financial performance.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each of our executive officers: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23"/>
        </w:trPr>
        <w:tc>
          <w:tcPr>
            <w:tcW w:w="3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Wallstrom</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Pr>
          <w:p>
            <w:pPr>
              <w:spacing w:after="0"/>
              <w:rPr>
                <w:sz w:val="19"/>
                <w:szCs w:val="19"/>
                <w:color w:val="auto"/>
              </w:rPr>
            </w:pPr>
          </w:p>
        </w:tc>
        <w:tc>
          <w:tcPr>
            <w:tcW w:w="6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Director, Vera Bradley, Inc.</w:t>
            </w:r>
          </w:p>
        </w:tc>
        <w:tc>
          <w:tcPr>
            <w:tcW w:w="40" w:type="dxa"/>
            <w:vAlign w:val="bottom"/>
          </w:tcPr>
          <w:p>
            <w:pPr>
              <w:spacing w:after="0"/>
              <w:rPr>
                <w:sz w:val="19"/>
                <w:szCs w:val="19"/>
                <w:color w:val="auto"/>
              </w:rPr>
            </w:pPr>
          </w:p>
        </w:tc>
      </w:tr>
      <w:tr>
        <w:trPr>
          <w:trHeight w:val="22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Enwright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Pr>
          <w:p>
            <w:pPr>
              <w:spacing w:after="0"/>
              <w:rPr>
                <w:sz w:val="19"/>
                <w:szCs w:val="19"/>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Vera Bradley, Inc.</w:t>
            </w:r>
          </w:p>
        </w:tc>
      </w:tr>
      <w:tr>
        <w:trPr>
          <w:trHeight w:val="23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C. Dely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tcPr>
          <w:p>
            <w:pPr>
              <w:spacing w:after="0"/>
              <w:rPr>
                <w:sz w:val="19"/>
                <w:szCs w:val="19"/>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Administrative &amp; Legal Officer and Corporate Secretary, Vera Bradley, Inc.</w:t>
            </w:r>
          </w:p>
        </w:tc>
      </w:tr>
      <w:tr>
        <w:trPr>
          <w:trHeight w:val="23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Daren Hull</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tcPr>
          <w:p>
            <w:pPr>
              <w:spacing w:after="0"/>
              <w:rPr>
                <w:sz w:val="19"/>
                <w:szCs w:val="19"/>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Brand President, Vera Bradley</w:t>
            </w:r>
          </w:p>
        </w:tc>
      </w:tr>
      <w:tr>
        <w:trPr>
          <w:trHeight w:val="23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Kevin Korney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tcPr>
          <w:p>
            <w:pPr>
              <w:spacing w:after="0"/>
              <w:rPr>
                <w:sz w:val="19"/>
                <w:szCs w:val="19"/>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Merchandising Officer, Vera Bradley</w:t>
            </w:r>
          </w:p>
        </w:tc>
      </w:tr>
      <w:tr>
        <w:trPr>
          <w:trHeight w:val="22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Beatrice Mac Cabe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tcPr>
          <w:p>
            <w:pPr>
              <w:spacing w:after="0"/>
              <w:rPr>
                <w:sz w:val="19"/>
                <w:szCs w:val="19"/>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Creative Officer, Vera Bradley</w:t>
            </w:r>
          </w:p>
        </w:tc>
      </w:tr>
      <w:tr>
        <w:trPr>
          <w:trHeight w:val="23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Stephanie Scheele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Pr>
          <w:p>
            <w:pPr>
              <w:spacing w:after="0"/>
              <w:rPr>
                <w:sz w:val="19"/>
                <w:szCs w:val="19"/>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Purpose &amp; Communication Officer, Vera Bradley, Inc.</w:t>
            </w:r>
          </w:p>
        </w:tc>
      </w:tr>
      <w:tr>
        <w:trPr>
          <w:trHeight w:val="23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 Beth Trypus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Pr>
          <w:p>
            <w:pPr>
              <w:spacing w:after="0"/>
              <w:rPr>
                <w:sz w:val="19"/>
                <w:szCs w:val="19"/>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Revenue Officer, Vera Bradley</w:t>
            </w:r>
          </w:p>
        </w:tc>
      </w:tr>
      <w:tr>
        <w:trPr>
          <w:trHeight w:val="23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Goodman</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20" w:type="dxa"/>
            <w:vAlign w:val="bottom"/>
          </w:tcPr>
          <w:p>
            <w:pPr>
              <w:spacing w:after="0"/>
              <w:rPr>
                <w:sz w:val="19"/>
                <w:szCs w:val="19"/>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Co-founder, Pura Vida</w:t>
            </w:r>
          </w:p>
        </w:tc>
      </w:tr>
      <w:tr>
        <w:trPr>
          <w:trHeight w:val="234"/>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Griffin Thall</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tcPr>
          <w:p>
            <w:pPr>
              <w:spacing w:after="0"/>
              <w:rPr>
                <w:sz w:val="20"/>
                <w:szCs w:val="20"/>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Co-founder, Pura Vida</w:t>
            </w:r>
          </w:p>
        </w:tc>
      </w:tr>
      <w:tr>
        <w:trPr>
          <w:trHeight w:val="864"/>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Robert Wallstrom </w:t>
      </w:r>
      <w:r>
        <w:rPr>
          <w:rFonts w:ascii="Times New Roman" w:cs="Times New Roman" w:eastAsia="Times New Roman" w:hAnsi="Times New Roman"/>
          <w:sz w:val="18"/>
          <w:szCs w:val="18"/>
          <w:color w:val="auto"/>
        </w:rPr>
        <w:t>has served as our Chief Executive Officer, President and Director since November 2013. Prior to joining Vera Bradley, Mr. Wallstrom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President of Saks Fifth Avenue’s OFF 5TH division from 2007 until November 2013. Previously, he was Group Senior Vice President and General Manager of Saks’ flagship New York store from 2002 to 2007, where he articulated a vision to return the store to its luxury heritage and dramatically improve merchandising, service, and the in-store experience.</w:t>
      </w:r>
    </w:p>
    <w:p>
      <w:pPr>
        <w:spacing w:after="0" w:line="126" w:lineRule="exact"/>
        <w:rPr>
          <w:sz w:val="20"/>
          <w:szCs w:val="20"/>
          <w:color w:val="auto"/>
        </w:rPr>
      </w:pPr>
    </w:p>
    <w:p>
      <w:pPr>
        <w:jc w:val="both"/>
        <w:ind w:right="30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John Enwright </w:t>
      </w:r>
      <w:r>
        <w:rPr>
          <w:rFonts w:ascii="Times New Roman" w:cs="Times New Roman" w:eastAsia="Times New Roman" w:hAnsi="Times New Roman"/>
          <w:sz w:val="17"/>
          <w:szCs w:val="17"/>
          <w:color w:val="auto"/>
        </w:rPr>
        <w:t>joined the Company in May 2014 as our Senior Director of Financial, Planning and Analysis and was soon promoted to Vice President,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Planning and Analysis. Mr. Enwright was named Chief Financial Officer in April 2017. Prior to joining Vera Bradley, Mr. Enwright spent 15 years with Tiffany &amp; Co. in various financial roles of increasing responsibility, including most recently as Director of Financial, Planning and Analysis.</w:t>
      </w:r>
    </w:p>
    <w:p>
      <w:pPr>
        <w:spacing w:after="0" w:line="10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Mark C. Dely </w:t>
      </w:r>
      <w:r>
        <w:rPr>
          <w:rFonts w:ascii="Times New Roman" w:cs="Times New Roman" w:eastAsia="Times New Roman" w:hAnsi="Times New Roman"/>
          <w:sz w:val="17"/>
          <w:szCs w:val="17"/>
          <w:color w:val="auto"/>
        </w:rPr>
        <w:t>joined the Company in August 2016 as our Vice President, Chief Legal Officer and Corporate Secretary and was promoted to also serve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Chief Administrative Officer in September 2017. Between January 2013 and August 2016, Mr. Dely served as Senior Vice President, Chief Legal Officer, General Counsel and Secretary of Fred’s, Inc., a publicly-traded retailer and pharmacy with locations throughout the Southeast. From July 2007 to December 2012, Mr. Dely was Vice President and Divisional General Counsel of the Franchise Services Group for The ServiceMaster Company, where he managed the legal function for the Company's global franchise businesses. Mr. Dely’s additional experience includes being the first in-house counsel for NYSE-listed seed and agricultural-biotech company, Delta &amp; Pine Land Company. Mr. Dely began his legal career at New York law firm Fried Frank, LLP.</w:t>
      </w:r>
    </w:p>
    <w:p>
      <w:pPr>
        <w:spacing w:after="0" w:line="11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Daren Hull </w:t>
      </w:r>
      <w:r>
        <w:rPr>
          <w:rFonts w:ascii="Times New Roman" w:cs="Times New Roman" w:eastAsia="Times New Roman" w:hAnsi="Times New Roman"/>
          <w:sz w:val="18"/>
          <w:szCs w:val="18"/>
          <w:color w:val="auto"/>
        </w:rPr>
        <w:t>was promoted to Vera Bradley Brand President in February 2021 with a focus on building customer engagement and expanding revenue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cultivating the ethos of the Vera Bradley brand. Prior to this, Mr. Hull served as our Chief Customer Officer since July 2018 where he was responsible for all sales, marketing, and digital initiatives. Prior to joining Vera Bradley, Mr. Hull served as Senior Vice President, Stores and West Elm Digital for Williams-Sonoma, a consumer retailer of cookware and tools, electrics, entertainment-related, and other products, where he evolved the technology and customer experience from November 2016 until July 2018. Between November 2015 and September 2016, he served as Chief Operating Officer of Outdoor Voices where, among other things, he developed the team, process, programs, and infrastructure to drive revenue growth. Between July 2015 and November 2015 he served as SVP Global eCommerce, Head of Disruptive Innovation at PepsiCo and between January 2012 and April 2015, he served as General Manager for MyHabitat at Amazon. Mr. Hull gained additional experience with L'Oreal and Guthy-Renker.</w:t>
      </w:r>
    </w:p>
    <w:p>
      <w:pPr>
        <w:spacing w:after="0" w:line="13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Kevin Korney </w:t>
      </w:r>
      <w:r>
        <w:rPr>
          <w:rFonts w:ascii="Times New Roman" w:cs="Times New Roman" w:eastAsia="Times New Roman" w:hAnsi="Times New Roman"/>
          <w:sz w:val="18"/>
          <w:szCs w:val="18"/>
          <w:color w:val="auto"/>
        </w:rPr>
        <w:t>has served as our Chief Merchandising Officer since January 2018. Prior to joining Vera Bradley, Mr. Korney served as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Merchandising for Converse, a shoe, apparel and accessories manufacturer and distributor, where he introduced the Global Merchandising function in June 2015. Between November 2012 and June 2015, he served as Senior Divisional Merchandise Manager for Fossil. From July 2011 to November 2012, he served as the General Merchandise Manager for Dallas Cowboys Merchandising and from September 2006 to March 2009, he served as Global Vice President within various Merchandising and Creative functions at The Walt Disney Company. Mr. Korney gained prior experience with Nautica, Ralph Lauren, and Gap.</w:t>
      </w:r>
    </w:p>
    <w:p>
      <w:pPr>
        <w:spacing w:after="0" w:line="12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Beatrice Mac Cabe </w:t>
      </w:r>
      <w:r>
        <w:rPr>
          <w:rFonts w:ascii="Times New Roman" w:cs="Times New Roman" w:eastAsia="Times New Roman" w:hAnsi="Times New Roman"/>
          <w:sz w:val="18"/>
          <w:szCs w:val="18"/>
          <w:color w:val="auto"/>
        </w:rPr>
        <w:t>joined the Company in January 2016 as our Vice President – Design and was promoted to her current post as Chief Creative Officer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2017. From 2013 until joining Vera Bradley, Ms. Mac Cabe served as Vice President, Chief Creative Director at Fossil where she directed the design process from initial concept for lifestyle categories. From 2012 to 2013 she was Design and Merchandising Director, Private Brand Accessories for JC Penney and from 2011 to 2012 she was Creative Director, Handbags for Vince Camuto. Ms. Mac Cabe gained prior design and brand development experience at other fashion brands including Diane von Furstenberg, John Galliano in Paris, and Marni in Milan.</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Stephanie Scheele </w:t>
      </w:r>
      <w:r>
        <w:rPr>
          <w:rFonts w:ascii="Times New Roman" w:cs="Times New Roman" w:eastAsia="Times New Roman" w:hAnsi="Times New Roman"/>
          <w:sz w:val="18"/>
          <w:szCs w:val="18"/>
          <w:color w:val="auto"/>
        </w:rPr>
        <w:t>was named Chief Purpose and Communications officer in 2021. Before that, Ms. Scheele was Vera Bradley’s Chief Marketing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April 2018 until 2021. Prior to April 2018, Ms. Scheele served as our Vice President – Marketing Strategy and Operations since 2015, leading the insights and customer database programs and overseeing the marketing strategy team. Ms. Scheele has spent over 15 years with Vera Bradley in various roles of increasing responsibility.</w:t>
      </w:r>
    </w:p>
    <w:p>
      <w:pPr>
        <w:spacing w:after="0" w:line="12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Mary Beth Trypus </w:t>
      </w:r>
      <w:r>
        <w:rPr>
          <w:rFonts w:ascii="Times New Roman" w:cs="Times New Roman" w:eastAsia="Times New Roman" w:hAnsi="Times New Roman"/>
          <w:sz w:val="18"/>
          <w:szCs w:val="18"/>
          <w:color w:val="auto"/>
        </w:rPr>
        <w:t>joined the Company in May 2016 as our Vice President – Global Wholesale Sales and was promoted to Chief Sales Officer in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and then to Chief Revenue Officer in March 2021. In her current role, she is responsible for all revenue channels including retail, wholesale, and e-commerce, as well as customer service. From September 2015 to May 2016, Ms. Trypus consulted for accessories start-ups and non-profit businesses where she developed brand architecture, defined the financial structure, and engineered sales and customer acquisition strategy. From August 2014 to August 2015, she was Executive Vice President Sales and Marketing for Bulova Corporation where she drove marketing strategy and revenue growth across a multi-brand watch portfolio in the wholesale and e-commerce channels. From March 2011 to July 2014, Ms. Trypus was Senior Vice President Sales and Planning at Nine West Group in the handbag division and held prior leadership positions at Liz Claiborne, Inc. and May Department Stores.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Paul Goodman and Griffin Thall </w:t>
      </w:r>
      <w:r>
        <w:rPr>
          <w:rFonts w:ascii="Times New Roman" w:cs="Times New Roman" w:eastAsia="Times New Roman" w:hAnsi="Times New Roman"/>
          <w:sz w:val="18"/>
          <w:szCs w:val="18"/>
          <w:color w:val="auto"/>
        </w:rPr>
        <w:t>co-founded Pura Vida and continue to lead the Pura Vida operations from its corporate headquarters in La Jolla,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The have each been with Pura Vida since its founding in 2010.</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all of the information in this report, including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COVID-19 Pandemic</w:t>
      </w:r>
    </w:p>
    <w:p>
      <w:pPr>
        <w:spacing w:after="0" w:line="2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outbreak of the novel coronavirus (COVID-19), or events related thereto, may continue to cause significant disruptions in our revenue streams, operations, global supply chain and other facets of our business, which may continue to adversely impact our results of operations, financial condition, and share price.</w:t>
      </w:r>
    </w:p>
    <w:p>
      <w:pPr>
        <w:spacing w:after="0" w:line="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operations are currently subject to significant disruptions as a result of the COVID-19 pandemic. The pandemic has resulted in travel restrictions both domestically and internationally, community and self-quarantines, certain factory closures or reduced operations, as well as mall closures and reduced mall operating hours. We temporarily closed our retail stores on March 19, 2020. On May 5, 2020, we began to reopen our retail stores in a phased approach, with all stores open as of the end of fiscal 2021. Despite the reopening of our retail stores, we have experienced, and may continue to experience, significantly reduced traffic, demand, and sales. Further, new variants of the virus and new and evolving guidance and mandates from governments and public health officials, may necessitate additional closures to some, or all, of our retail stores, the stores of our Indirect segment partners and Pura Vida wholesale retailers, or otherwise detrimentally impact aspects of our operations. The pandemic has also and may continue to reduce consumers' willingness and ability to travel to major cities and vacation destinations in which some of our stores are located.</w:t>
      </w:r>
    </w:p>
    <w:p>
      <w:pPr>
        <w:spacing w:after="0" w:line="5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Although not material as of the date of this filing, COVID-19 has led to temporary factory closures and production and logistics constraints due to workforce availability, as well as global supply chain challenges such as vessel and container shortages and port congestion. As a result of the aforementioned restrictions, or other related factors, we have experienced and may continue to experience delayed shipments and increased shipping costs for some of our fiscal 2023 merchandise. We may also be adversely impacted should the pandemic compromise operations at our corporate headquarters and distribution center located in Roanoke, Indiana.</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extent of the pandemic’s continued impact on our results of operations, financial condition, and share price will likely depend on future developments including, but not limited to, the duration of the spread of the outbreak, including the potential for spikes in the number of COVID-19 cases in future periods, including as may be related to the spread of new virus variants; mitigation activities undertaken by governments and the general public; the overall economic impacts of quarantines and business closures; and current, and potentially long-term, changes in consumer behavior.</w:t>
      </w:r>
    </w:p>
    <w:p>
      <w:pPr>
        <w:spacing w:after="0" w:line="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a result of the above-mentioned factors, the Company’s liquidity, results of operations, and financial condition have been, and are likely to continue to be, adversely impacted.</w:t>
      </w:r>
    </w:p>
    <w:p>
      <w:pPr>
        <w:spacing w:after="0" w:line="2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Measures to mitigate COVID-19 impacts to our business may result in additional risk exposure or prove ineffectual. For example, we have and may continue to incur additional interest costs associated with borrowings under our Credit Agreement. We may also from time to time use air freight as a shipping method to expedite the receipt of certain inventory, causing us to incur additional freight costs.</w:t>
      </w:r>
    </w:p>
    <w:p>
      <w:pPr>
        <w:spacing w:after="0" w:line="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management team continues to focus on mitigating the risk of the COVID-19 pandemic. This may result in less time to concentrate on other areas of the business, including operations, than prior to the pandemic and may cause increased risks to our ability to effectively manage our business operations if conditions related to the pandemic were to continue or worsen.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Operations and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implement our long-term strategic plans and growth strategies, our future operating results could suffer.</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success of our long-term strategic plan and growth strategies, alone or collectively, will depend on various factors, including the appeal of our product designs, retail presentation to consumers, effectiveness of our marketing initiatives, expense saving initiatives, competitive conditions, and economic conditions. There is no assurance that we will be able to successfully implement our strategic plan and growth strategies. If we are unsuccessful in implementing some or all of our strategies or initiatives, our future operating results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general economic conditions, and their impact on consumer confidence and consumer spending, could adversely impact our results of operations.</w:t>
      </w:r>
    </w:p>
    <w:p>
      <w:pPr>
        <w:spacing w:after="0" w:line="2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performance is subject to general economic conditions and their impact on levels of consumer confidence and consumer spending. Consumer confidence and consumer spending may be influenced by the ongoing COVID-19 pandemic, fluctuating interest rates and credit availability, changing fuel and other energy costs, fluctuating commodity prices, levels of unemployment and consumer debt levels, changes in net worth based on market conditions, general uncertainty regarding the overall future economic environment, political turmoil, and weather and weather-related phenomena. Consumer purchases of discretionary items, including our merchandise, generally decline during periods when disposable income is adversely affected or there is economic uncertainty, and these occurrences could adversely impact our results of operations. In the event that the U.S. economy worsens, or if there is a decline in consumer-spending levels or other unfavorable conditions, including inflation, we could experience lower than expected net revenues, which could force us to delay or slow the implementation of our growth strategies and adversely impact our results of operations.</w:t>
      </w:r>
    </w:p>
    <w:p>
      <w:pPr>
        <w:spacing w:after="0" w:line="22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predict and respond in a timely manner to changes in consumer demand could adversely affect our net revenues and results of operations.</w:t>
      </w:r>
    </w:p>
    <w:p>
      <w:pPr>
        <w:spacing w:after="0" w:line="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develop appealing patterns, styles, and collections or meet changing consumer demands in the future. If we misjudge the market for our products, we may be faced with significant excess inventories for some products and missed opportunities for other products. In addition, changes to our product assortment and to our available fabrications, as well as the availability and breadth of pattern assortment may not gain consumer acceptance. Merchandise misjudgments could adversely impact our net revenues and results of operations.</w:t>
      </w:r>
    </w:p>
    <w:p>
      <w:pPr>
        <w:spacing w:after="0" w:line="21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declines in comparable sales and there can be no guarantee that the strategic initiatives we are implementing to improve our results will be successful.</w:t>
      </w:r>
    </w:p>
    <w:p>
      <w:pPr>
        <w:spacing w:after="0" w:line="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not be able to regain the levels of comparable sales that we have experienced in the past, and comparable sales may also further deteriorate. If our future comparable sales fail to meet market expectations, then the price of our common stock could decline. Also, the aggregate results of operations of our stores have fluctuated in the past and will fluctuate in the future. Numerous factors influence comparable sales, including fashion trends, competition, national and regional economic conditions, the COVID-19 pandemic, pricing, inflation, the timing of the release of new merchandise and promotional events, changes in our merchandise mix, marketing programs, changes in consumer shopping trends, site selection strategy, and weather conditions. These factors may cause our comparable sales results to be lower in the future than in recent periods or lower than expectations, either of which could result in a decline in the price of our common stock.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multi-channel distribution model is not successful, our business and results of operations may suffer.</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currently sell our Vera Bradley-branded products into two segments: Direct to consumers through Vera Bradley full-line and factory outlet stores in the United States, verabradley.com and verabradley.ca, the Vera Bradley online outlet site, and typically the Vera Bradley annual outlet sale in Fort Wayne, Indiana; and through our Vera Bradley Indirect wholesale business which consists of sales to specialty retail locations, department stores, national accounts, third-party e-commerce sites, third-party inventory liquidators, as well as royalties recognized through licensing agreements related to the Vera Bradley brand. We currently sell our Pura Vida-branded products direct to consumers through our e-commerce websites, puravidabracelets.com, puravidabracelets.eu, and puravidabracelets.ca, through wholesale retailers, and through our first retail store opened in August 2021. These channels are sometimes in direct competition and sales through these channels may not be incremental to total sales. If our omni-channel distribution model is unsuccessful, our business, financial condition, and results of operations could be materially adversely affected.</w:t>
      </w:r>
    </w:p>
    <w:p>
      <w:pPr>
        <w:spacing w:after="0" w:line="22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open new stores and/or operate new and current stores as planned, which could adversely impact our results of operations.</w:t>
      </w:r>
    </w:p>
    <w:p>
      <w:pPr>
        <w:spacing w:after="0" w:line="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long-term future growth prospects include our ability to successfully open new stores and operate new and current Vera Bradley and Pura Vida stores. In recent years, however, Vera Bradley comparable store sales have declined. Consequently, the rate at which we have opened new stores has slowed and we do not currently plan to open any new full-line stores during fiscal 2023. We have closed a total of 44 underperforming full-line stores and one underperforming factory outlet store since the beginning of fiscal 2018 and forecast that we will close additional full-line stores. We plan to open additional Vera Bradley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factory outlet stores and Pura Vida retail stores during fiscal 2023. We will continue to evaluate our plans for store openings in future years in light of demand and store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successfully open and operate stores depends on many factors, including our ability to:</w:t>
      </w:r>
    </w:p>
    <w:p>
      <w:pPr>
        <w:spacing w:after="0" w:line="10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suitable store locations, the availability of which may be uncertain;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acceptable lease terms, including desired tenant improvement allowances;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store personnel and management;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assimilate new store personnel and management into our corporate culture;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manufacture inventory;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new stores into our existing operations and information technology systems.</w:t>
      </w:r>
    </w:p>
    <w:p>
      <w:pPr>
        <w:spacing w:after="0" w:line="17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success of new store openings may also be affected by our ability to initiate marketing efforts in advance of opening our first store in a particular region. Additionally, we will incur pre-opening costs and we may encounter initial losses while new stores commence operations, which could strain our resources and adversely impact our results of operations.</w:t>
      </w:r>
    </w:p>
    <w:p>
      <w:pPr>
        <w:spacing w:after="0" w:line="21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strong brands. If we are unable to execute our marketing strategies, intended to enhance our brands, then revenues and our results of operations could be adversely impacted.</w:t>
      </w:r>
    </w:p>
    <w:p>
      <w:pPr>
        <w:spacing w:after="0" w:line="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the brand images that we have developed have contributed significantly to the success of our business. We also believe that enhancing the Vera Bradley and Pura Vida brands through our marketing strategies is critical to maintaining and expanding our customer base. Enhancing our brands and implementing our marketing strategies may require us to make substantial investments in areas such as product design, store operations, store design, community relations, and marketing. These investments might not succeed. If we are unable to successfully execute our brand strategies, our results of operations could be adversely impacted.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stores could result in significant costs to us.</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closed a total of 44 underperforming full-line stores and one underperforming factory outlet store since the beginning of fiscal 2018 and forecast that we will close additional full-line stores. We could, in the future, decide to close additional stores beyond those currently forecasted that are producing losses or that are not as profitable as we expect. If we decide to close any stores before the expiration of their lease terms, we may incur payments to landlords to terminate or “buy out” the remaining term of the lease. We also may incur costs related to the employees at such stores, whether or not we terminate the leases early. Upon any such closure, the closing costs, including fixed assets and inventory write-downs, could adversely affect our results and could adversely affect our cash on hand.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customers to our stores depends heavily on the success of the shopping centers in which many of our stores are located.</w:t>
      </w:r>
    </w:p>
    <w:p>
      <w:pPr>
        <w:spacing w:after="0" w:line="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Substantially all of our Vera Bradley Direct stores are located in regional mall shopping centers, and many of our Vera Bradley Indirect customers are also located in regional mall shopping centers. Factors beyond our control impact mall traffic, including public health pandemics such as COVID-19, general economic conditions, and consumer spending levels. Consumer spending and mall traffic have been depressed in recent years. As a result, mall operators have faced increasing operational and financial difficulties. The increasing inability of mall “anchor” tenants and other area attractions to generate consumer traffic around our stores, the increasing inability of mall operators to attract “anchor” tenants and maintain viable operations, and the increasing departures of existing “anchor” and other mall tenants due to declines in the sales volume and in the popularity of certain malls as shopping destinations, have reduced and may continue to reduce our sales volume and, consequently, adversely affect our financial condition, results of operations, and cash flows.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leasing substantial amounts of space, including future increases in occupancy costs.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lease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 property insurance, and real estate taxes. Many of our lease agreements have escalating rent provisions over the initial term and any extensions. If we expand our store base, our lease expense and our cash outlays for rent under lease agreements will increase. Our substantial operating lease obligations could have significant negative consequences, including:</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substantial portion of our available cash be applied to pay our rental obligations, thus reducing cash available for other purposes;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industry;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21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effectively compete with other retailers for sales could have a material adverse effect on our financial condition, results of operations, and cash flows.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for bags, accessories, travel items and our other products is increasingly competitive. Our competitive challenges include:</w:t>
      </w:r>
    </w:p>
    <w:p>
      <w:pPr>
        <w:spacing w:after="0" w:line="10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customer traffic;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manufacturing merchandise efficiently;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competitively pricing our products and achieving customer perception of value;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favorable brand recognition and effectively marketing our products to consumers in diverse market segments;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designs that appeal to a broad range of demographic and age segments;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high-quality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attractive promotional incentives while maintaining profit margins;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good working relationships with our wholesale retailers.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our Vera Bradley Indirect business and Pura Vida wholesale business, we compete with numerous manufacturers, importers, and distributors of handbags, accessories, and other products for the limited space available for the display of such products to the consumer. In our Vera Bradley Direct business and Pura Vida e-commerce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1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in light of a continued difficult consumer environment, pricing is a significant driver of consumer choice in our industry and we regularly engage in price competition, particularly through our promotional programs, which impacts our margins. To the extent that we decrease our promotional activity, our ability to maintain sales levels may be impacted.</w:t>
      </w:r>
    </w:p>
    <w:p>
      <w:pPr>
        <w:spacing w:after="0" w:line="19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wholesale business could suffer as a result of decisions by our wholesale retailers to decrease or eliminate the amount of merchandise purchased from us.</w:t>
      </w:r>
    </w:p>
    <w:p>
      <w:pPr>
        <w:spacing w:after="0" w:line="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do not enter into long-term agreements with any of our wholesale retailers. Instead, we enter into a number of purchase order commitments with our customers for each of our lines every season. A decision by a significant number of wholesale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Although we recommend retail sale prices for our products to our wholesale retailers, we typically do not provide dealer allowances or other economic incentives to support those prices. Possible promotional pricing or discounting by wholesale retailers in response to softening retail demand could have a negative effect on our brand image and prestige, which might be difficult to counteract.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Bankruptcies or other operational or financial difficulties of our wholesale retailers could adversely impact our business.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sell our wholesale merchandise primarily to specialty retail and department stores across the United States and extend trade credit based on an evaluation of each wholesale retailer’s financial condition, usually without requiring collateral. Perceived or actual financial difficulties of a customer could cause us to curtail or eliminate business with that customer or could decrease demand for our products by that customer. Pending the resolution of a relationship with a financially troubled wholesale retailer, we might assume credit risk that we would otherwise avoid relating to our receivables from that customer. Inability to collect on accounts receivable from our wholesale retailers would adversely impact our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Global Sourcing and Distribution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various contract manufacturers to produce all of our products and generally do not have long-term contracts with our manufacturers.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various contract manufacturers produce all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labor practices, and environmental compliance. Any delay, interruption, or increased cost in the manufactured products that might occur for any reason, such as the lack of long-term contracts or regulatory requirements and the loss of certifications, power interruptions, fires, hurricanes, war, health pandemics such as COVID-19,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various suppliers to supply a significant majority of our raw materials.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generally do not enter into long-term formal written agreements with our suppliers and typically transact business with each of them on an order-by-order basis. In the event of a significant disruption in the supply of fabrics or raw materials from our current sources, we may not be able to locate alternative suppliers of materials of comparable quality at an acceptable price, or at all. In such a case, we could have difficulty meeting consumer demand and net revenues could be adversely impacted.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limited number of distribution facilities for the products we sell.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operations for Vera Bradley-branded products are currently concentrated in a single, company-owned distribution center in Roanoke,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Pura Vida-branded products are primarily distributed from one third-party distribution center in Tijuana, Mexico.</w:t>
      </w:r>
    </w:p>
    <w:p>
      <w:pPr>
        <w:spacing w:after="0" w:line="8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Any significant disruption in the operation of these facilities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alternative facilities. In addition to the aforementioned events, the COVID-19 pandemic could cause disruptions in our distribution operations if we were to temporarily suspend operations, or if we are unable to obtain the staffing levels required to effectively operate the facilities. If we encounter difficulties with our distribution facilities or other problems or disasters arise, we cannot ensure that critical systems and operations will be restored in a timely manner or at all, and this would have a material adverse effect on our business. In addition, growth could require us to further expand our current facilities, which could affect us adversely in ways that we cannot predict.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cost of raw materials could increase our cost of sales and cause our results of operations to suffer.</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In particular, fluctuations in the price of cotton, our primary raw material, could have an adverse impact on our cost of sales. In addition, because a key component of our products is petroleum-based, the cost of oil affects the cost of our products. Upward movement in the price of oil in the global oil markets would also likely result in rising fuel and freight prices, which could increase our shipping costs. In the future, we may not be able to pass all or a portion of higher costs on to our customers.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inherent in global sourcing and manufacturing activities.</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source our Vera Bradley fabrics primarily from manufacturers in China and South Korea and outsource the production of a significant majority of our products to companies in Asia. We source our Pura Vida components primarily from Asia and outsource the production of products primarily to El Salvador. We are subject to the risks inherent in global sourcing and manufacturing, including, but not limited to:</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and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labor laws and other foreign governmental regulations;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import and export laws and regulations;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or delays in shipments;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impairment of key manufacturing sites;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issues;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w:t>
      </w:r>
    </w:p>
    <w:p>
      <w:pPr>
        <w:spacing w:after="0" w:line="9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acts of war and terrorism, changing macroeconomic trends, public health emergencies (such as COVID-19), and other external factors over which we have no control;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quotas, duties, tariffs, or other trade restrictions or regulations.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 accepted as ethical in the United States or in other markets in which we may in the future do business, could also draw negative publicity for us and our brands, diminishing the value of our brands and reducing demand for our products.</w:t>
      </w:r>
    </w:p>
    <w:p>
      <w:pPr>
        <w:spacing w:after="0" w:line="22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significant majority of our Vera Bradley and Pura Vida products are currently manufactured for us in Asia and Central America, respectively.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our supply chain organization or other current business practices, any of which could harm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independent transportation providers for substantially all of our product shipments.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employee strikes and inclement weather, which may impact the shipping company’s ability to provide delivery services sufficient to meet our shipping needs.</w:t>
      </w:r>
    </w:p>
    <w:p>
      <w:pPr>
        <w:spacing w:after="0" w:line="12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distribution facilities and related systems.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or disruptions associated with our distribution systems could have a material adverse effect on our business and operations.</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operating results depend on the orderly operation of our receiving and distribution functions, which also depends on our vendors' adherence to our shipping and receiving schedules. We may not anticipate all of the changing demands that our operating activities may impose on our receiving and distribution functions. There may also be events that are beyond our</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control that could cause delays in these functions, including but not limited to, public health pandemics such as COVID-19 and other catastrophic events, changing macroeconomic trends, and general disruptions or delays in shipping and receiving.</w:t>
      </w:r>
    </w:p>
    <w:p>
      <w:pPr>
        <w:ind w:right="120"/>
        <w:spacing w:after="0" w:line="253" w:lineRule="auto"/>
        <w:rPr>
          <w:sz w:val="20"/>
          <w:szCs w:val="20"/>
          <w:color w:val="auto"/>
        </w:rPr>
      </w:pPr>
      <w:r>
        <w:rPr>
          <w:rFonts w:ascii="Times New Roman" w:cs="Times New Roman" w:eastAsia="Times New Roman" w:hAnsi="Times New Roman"/>
          <w:sz w:val="18"/>
          <w:szCs w:val="18"/>
          <w:color w:val="auto"/>
        </w:rPr>
        <w:t>In addition, we rely on the flow of our goods through worldwide ports on a consistent basis. Disruption at the ports could create significant risks to our business, particularly if the occurrence is during a peak import time. For example, COVID-19 has resulted in a shortage of shipping containers, the lack of available shipping vessels, capacity constraints, and a general shipping backlog. If we experience significant delays in our receipt of product, we may experience an increase in freight costs, unanticipated inventory shortages, and missed sales opportunities which could adversely affect our financial condition, results of operations, and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Acquisition of Pura Vida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Pura Vida acquisition may not be successful in achieving intended benefits and may disrupt current operations.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acquired a majority interest in Creative Genius, Inc. or “Pura Vida,” on July 16, 2019. This acquisition poses a number of potential integration risks that may result in negative consequences to our business, financial condition, and results of operations. These risks include, but are not limited to:</w:t>
      </w:r>
    </w:p>
    <w:p>
      <w:pPr>
        <w:spacing w:after="0" w:line="2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business to perform as planned following the acquisition to achieve anticipated revenue or profitability targets;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assimilation and retention of employees, including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costs and/or a need to allocate resources to manage unexpected operating difficulties;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the attention and resources of management or other disruptions to current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customers and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required regulatory approvals, licenses, and permits;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liabilities of the acquired business not identified during due diligence;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issues, expenses, and liabilities.</w:t>
      </w:r>
    </w:p>
    <w:p>
      <w:pPr>
        <w:spacing w:after="0" w:line="24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Pura Vida’s total assets are represented by goodwill, indefinite-lived intangible assets, and definite-lived intangible assets, we could be required to write off some or all of this goodwill and other intangibles, which may adversely affect the company’s financial condition and results of operations.</w:t>
      </w:r>
    </w:p>
    <w:p>
      <w:pPr>
        <w:spacing w:after="0" w:line="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used the purchase method of accounting to account for the acquisition of a majority interest in Pura Vida consummated on July 16, 2019. A portion of the purchase price for this business is allocated to identifiable tangible and intangible assets and assumed liabilities based on estimated fair values at the date of acquisition. Goodwill is measured indirectly as the excess of the sum of (1) the consideration transferred (including contingent consideration, if any) and (2) the fair value of any noncontrolling interest in the acquiree over the net assets acquired and liabilities assumed. The purchase price allocation resulted in a goodwill value of $44.3 million and a value of $61.7 million related to other intangible assets. The carrying value of these assets as of January 29, 2022, was $44.3 million and $44.2 million, respectively. When the Company performs impairment tests, it is possible that the carrying value of goodwill or other intangible assets could exceed their implied fair value and therefore would require adjustment. Such adjustment would result in a charge to operating income in that period. Once adjusted, there can be no assurance that there will not be further adjustments for impairment in future periods.</w:t>
      </w:r>
    </w:p>
    <w:p>
      <w:pPr>
        <w:spacing w:after="0" w:line="21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Put/Call Agreement between the Company, certain of its subsidiaries, and Creative Genius, Inc. may require us to purchase the remaining 25% interest in the Pura Vida business.</w:t>
      </w:r>
    </w:p>
    <w:p>
      <w:pPr>
        <w:spacing w:after="0" w:line="2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In the event of a change in control of the Company, the parties may exercise a portion of their put and call rights prior to the fifth anniversary of the closing date (as defined in the Put/Call Agreement).</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execution of the Sellers right to require us to purchase the Remaining Pura Vida Interest may represent a significant financial obligation that could have a material adverse impact on our liquidity, results of operations, and financial condition.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Information Technology and Security</w:t>
      </w:r>
    </w:p>
    <w:p>
      <w:pPr>
        <w:spacing w:after="0" w:line="25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data security or privacy breach could damage our reputation and our relationships with our customers, expose us to litigation risk and adversely affect our business.</w:t>
      </w:r>
    </w:p>
    <w:p>
      <w:pPr>
        <w:spacing w:after="0" w:line="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remain dependent on information technology systems and networks, including the Internet, for a significant portion of our sales, primarily through our e-commerce operations and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As part of our normal course of business, we often collect, retain, and transmit certain sensitive and confidential customer information, including the transmission of credit card information, over public networks. There is a significant concern by consumers and employees over the security of personal information transmitted over the Internet, consumer identity theft and user privacy. Despite the security measures we currently have in place, our facilities and systems and those of our third-party service providers may be vulnerable to security breaches, acts of vandalism, computer viruses, misplaced or lost data, programming and/or human errors, ransomware or other similar events. Any electronic or physical security breach involving the misappropriation, loss or other unauthorized disclosure of confidential or personally identifiable information, including penetration of our network security, whether by us or by a third-party, could disrupt our business, severely damage our reputation and our relationships with our customers, expose us to risks of litigation and liability and adversely affect our business and results of operations. We do not control third-party service providers and cannot guarantee that electronic or physical computer break-ins and security breaches will not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We may also incur significant costs in complying with the various applicable state, federal, and foreign laws regarding unauthorized disclosure of personal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our computer systems and websites are disrupted or cease to operate effectively.</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 system to facilitate the processing of basic replenishment orders, the movement of goods through distribution channels, and the collection of information for planning and forecasting. In addition, we have e-commerce websites in the U.S., Europe, and Canada. Given the complexity of our business and the significant number of transactions that we engage in, it is imperative that we maintain constant operation of our computer hardware and software systems. Despite our preventive efforts, including back-up systems, our systems are vulnerable from time to time to damage or interruption from, among other things, security breaches, computer viruses or power outages. Any material disruptions in our information technology systems could have a material adverse effect on our business, financial condition and results of operations.</w:t>
      </w:r>
    </w:p>
    <w:p>
      <w:pPr>
        <w:spacing w:after="0" w:line="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2020, we began a two-year process of re-platforming our enterprise resource planning and other key information systems to become more streamlined, nimble, and efficient in our technology platform and business processes. We continue to assess our on premise and cloud-based technology solutions in an effort to ensure we have the optimal solutions for our business. However, there are risks and uncertainties related to this re-platforming that could have a material adverse effect on our business, financial condition and results of operations, including, among other things, the integration into our processes and procedures, system disruptions, and change management.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business risks as a result of our e-commerce operations.</w:t>
      </w:r>
    </w:p>
    <w:p>
      <w:pPr>
        <w:spacing w:after="0" w:line="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operate e-commerce stores at www.verabradley.com, which includes an online outlet site we created in fiscal 2018, www.verabradley.ca, www.puravidabracelets.com, www.puravidabracelets.eu, and www.puravidabracelets.ca. Expanding our e-commerce business is one of the key objectives of our business strategy. Our e-commerce operations are subject to numerous risks, including unanticipated operating problems, reliance on third-party computer hardware and software providers, system failures and the need to invest in additional computer systems. Specific risks include: (i) diversion of sales from our stores; (ii) rapid technological change; (iii) liability for e-commerce content; and (iv) risks related to the failure of the computer systems that operate the websites and their related support systems, including from computer viruses, telecommunication failures and electronic break-ins and similar disruptions. Internet operations involve risks which may be beyond our control that could have a direct material adverse effect on our operating results, including: (i) price competition involving the items we intend to sell; (ii) the entry of our vendors into the Internet business in direct competition with us;</w:t>
      </w:r>
    </w:p>
    <w:p>
      <w:pPr>
        <w:spacing w:after="0" w:line="1" w:lineRule="exact"/>
        <w:rPr>
          <w:sz w:val="20"/>
          <w:szCs w:val="20"/>
          <w:color w:val="auto"/>
        </w:rPr>
      </w:pPr>
    </w:p>
    <w:p>
      <w:pPr>
        <w:ind w:right="160" w:firstLine="8"/>
        <w:spacing w:after="0" w:line="255"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merchandise returns experienced by us; (iv) governmental regulation; (v) e-commerce security breaches involving unauthorized access to our systems and/or customer information; (vi) credit card fraud; and (vii) competition and general economic conditions specific to the Internet, e-commerce, and the accessories industry. Our inability to effectively address these risks and any other risks that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face in connection with our Internet operations could materially adversely affect our business, financial condition, results of operations, and/or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Tax and Valuation Matters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may result in volatility of our operating results and stock price.</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many U.S. and certain foreign jurisdictions. We record tax expense based on our estimates of future payments, which includes reserves for uncertain tax positions in multiple tax jurisdictions. At any one time, many tax years are subject to audit by various taxing jurisdictions. Further,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recorded asset impairment charges in the past and we may record material asset impairment charges in the future.</w:t>
      </w:r>
    </w:p>
    <w:p>
      <w:pPr>
        <w:spacing w:after="0" w:line="10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Quarterly, we assess whether events or changes in circumstances have occurred that indicate the carrying value of long-lived asset groups may not be recoverable. If we determine that the carrying value of long-lived asset groups are not recoverable, we will be required to record impairment charges relating to those assets. For example, our assessments during fiscal years 2022 and 2021 indicated that operating losses or insufficient operating income existed at certain retail stores, with a projection that the operating losses or insufficient operating income for those locations would continue. As such, we recorded non-cash charges of $0.1 million and $7.4 million during fiscal years 2022 and 2021, respectively, within selling, general, and administrative expenses in the consolidated statements of operations to write down the carrying values of these stores' long-lived asset groups to their estimated fair values.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quarterly evaluation of store assets includes consideration of current and historical performance and projections of future profitability. The profitability projections rely upon estimates made by us, including store-level sales, gross margins, and direct expenses, and, by their nature, include judgments about how current strategic initiatives will impact future performance. If we are not able to achieve projected key financial metrics for any reason, including if any of the strategic initiatives we implement do not result in significant improvements in our current financial performance trend, this would indicate that the value of our long-lived assets was not recoverable and we would incur additional impairment of assets in the future.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we record additional impairment charges, this could have a material adverse effect on our results of operations and financial condition.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Legal Matters</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the images associated with our brands.</w:t>
      </w:r>
    </w:p>
    <w:p>
      <w:pPr>
        <w:spacing w:after="0" w:line="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increasingly face the risk of litigation and other claims against us. Litigation and other claims may arise in the ordinary course of our business and include employee claims, custom and duty claims, commercial disputes, intellectual property issues, product-oriented allegations, and slip and fall claims. Often these cases raise complex factual and legal issues, which are subject to risks and uncertainties and which could require significant management time. Litigation and other claims against us could result in unexpected expenses and liability, as well as materially adversely affect our operations and our reputation.</w:t>
      </w:r>
    </w:p>
    <w:p>
      <w:pPr>
        <w:spacing w:after="0" w:line="22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or failure to protect our intellectual property or our infringement of other’s intellectual property could have a negative impact on our operating results.</w:t>
      </w:r>
    </w:p>
    <w:p>
      <w:pPr>
        <w:spacing w:after="0" w:line="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our registered copyrights, registered and common law trademarks, and other proprietary rights have significant value and are critical to our ability to create and sustain demand for our products. The actions taken by us to establish and protect our proprietary rights may not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inability to protect our copyrights, trademarks, and other proprietary rights could adversely impact our results of operations. Any litigation regarding our proprietary rights could be time consuming and costly.</w:t>
      </w:r>
    </w:p>
    <w:p>
      <w:pPr>
        <w:spacing w:after="0" w:line="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also subject to the risk that claims will be brought against us for infringement of the intellectual property rights of third parties, seeking to block the sale of our products claimed to violate their intellectual property rights or to receive payment of monetary amounts related thereto. Although we have not been inhibited from selling our products in connection with intellectual property disputes, intellectual property-related obstacles may arise as we expand our product lines and extend our brands as well as the geographic scope of our sales and marketing. In particular, we may be subject to copyright infringement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claims for which we may not be entitled to indemnification from our suppliers. In addition, in recent years, companies in the retail industry, including us, have been subject to patent infringement claims from non-practicing entities, or “patent trolls.” Any infringement or other intellectual property claim made against us, whether or not it has merit, could be time-consuming and result in costly litigation. As a result, any such claim, or the combination of multiple claims, could have a material adverse effect on our operating results. If we are required to stop using any of our registered or nonregistered trademarks, our sales could decline and, consequently, our business and results of operations could be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6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suffer if we lose key management or design associates or are unable to attract and retain the talent required for our business.</w:t>
      </w:r>
    </w:p>
    <w:p>
      <w:pPr>
        <w:spacing w:after="0" w:line="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Although we have entered into an employment agreement with our Chief Executive Officer, we may not be able to retain his services or those of other key individuals in the future. The unexpected loss of services of key employees could have adverse impacts on our business and results of operations. We may also need to attract and retain additional qualified employees and develop, train, and manage an increasing number of management-level, sales, and other employees. Competition for qualified employees is intense. We may not be able to attract and retain employees as needed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suffer if we are unable to attract and retain retail and distribution center employees required for our business.</w:t>
      </w:r>
    </w:p>
    <w:p>
      <w:pPr>
        <w:spacing w:after="0" w:line="108"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must attract, motivate, and retain a sufficient number of qualified retail and distribution center employees. Historically, competition for talent in these positions has been intense and turnover is generally high, both of which have been amplified by the COVID-19 pandemic. If we are unable to attract and retain such employees with the necessary skills and experience, we may not achieve our objectives and our financial condition, results of operations, and cash flows could be adversely impacted.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quarterly fluctuations, which could adversely affect the market price of our common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quarterly results of operations may fluctuate significantly as a result of a variety of factors, including, among other things:</w:t>
      </w:r>
    </w:p>
    <w:p>
      <w:pPr>
        <w:spacing w:after="0" w:line="10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store openings and store closings;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and profits contributed by new stores;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store traffic and comparable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the timing of holidays, particularly in the United States and China;</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marketing campaigns or promotions;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sales to Vera Bradley and Pura Vida wholesale retailers;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pattern and collection releases and new product introductions.</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Any quarterly fluctuations that we report in the future may not match the expectations of market analysts and investors. This could cause the trading price of our common stock to fluctuate significantly.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unionization, work stoppages, slowdowns, or increased labor costs.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Currently, none of our employees are represented by a union. Nevertheless, our employees have the right at any time under the National Labor Relations Act to organize or affiliate with a union. If some or all of our workforce were to become unionized, our business could be exposed to increased risk of work stoppages and slowdowns. In addition, if the terms of the collective bargaining agreement were significantly more favorable to union workers than our current pay-and-benefits arrangements, our costs would increase and our results of operations would suffer.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suffer negative publicity and our business may be harmed if we need to recall any products we sell.</w:t>
      </w:r>
    </w:p>
    <w:p>
      <w:pPr>
        <w:spacing w:after="0" w:line="9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in the past needed to, and may in the future need to, recall products that we determine may present safety issues. If products we sell have safety problems of which we are not aware, or if we or the Consumer Product Safety Commission recall a product sold in our stores, we may suffer negative publicity and, potentially, product liability lawsuits, which could have a material adverse impact on our reputation, financial condition and results of operations or cash flows.</w:t>
      </w:r>
    </w:p>
    <w:p>
      <w:pPr>
        <w:spacing w:after="0" w:line="21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phaseout of the London Interbank Offered Rate (LIBOR), or the replacement of LIBOR with a different reference rate, may adversely affect interest rates.</w:t>
      </w:r>
    </w:p>
    <w:p>
      <w:pPr>
        <w:spacing w:after="0" w:line="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Financial Conduct Authority (the authority that regulates LIBOR) began to phase out LIBOR by the end of 2021 and announced that it would completely phase out LIBOR by June 30, 2023. It is unclear which new methods of calculating interest rates or benchmarks will be adopted. The replacement of LIBOR with an alternative rate or benchmark may adversely affect interest rates and result in higher borrowing costs. This development could materially and adversely affect our results of operations, cash flows and liquidity. We cannot predict the effect of the termination of LIBOR or the establishment and use of alternative rates or benchmarks. We may need to renegotiate our revolving credit facility or incur other indebtedness and the use of an alternative rate or benchmark may negatively impact the terms of such indebtedness. Assuming LIBOR ceases to exist, we may need to amend certain contracts and cannot predict what alternative rate or benchmark would be negotiated. This may result in an increase to our interest expense.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Securities Markets and Ownership of Our Common Stock</w:t>
      </w:r>
    </w:p>
    <w:p>
      <w:pPr>
        <w:spacing w:after="0" w:line="10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 and you may not be able to resell shares at or above the price at which you purchase them.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may fluctuate significantly in response to a number of factors, most of which we cannot control, including:</w:t>
      </w:r>
    </w:p>
    <w:p>
      <w:pPr>
        <w:spacing w:after="0" w:line="9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outbreak of COVID-19 and its adverse impact on the capital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other shopping mall or lifestyle center tenants;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particularly during the holiday shopping period;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departures of key executives;</w:t>
      </w:r>
    </w:p>
    <w:p>
      <w:pPr>
        <w:spacing w:after="0" w:line="10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that we may choose to provide to the public, any changes in these projections or our failure for any reason to meet these projections;</w:t>
      </w:r>
    </w:p>
    <w:p>
      <w:pPr>
        <w:spacing w:after="0" w:line="40"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others, including our filings with the SEC and announcements relating to litigation and other matters;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about our business in the press or the investment community;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our significant shareholders, officers, and directors;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new 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wars, hostilities, riots, social unrest or acts of terrorism on trading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that impact the retail industry;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factors may result in a lower market price of our common stock, regardless of our actual operating performance.</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the stock markets, including The NASDAQ Global Select Market, have experienced extreme price and volume fluctuations that have affected and continue to affect the market prices of equity securities of many retail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shareholders.</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Over the last few years, proxy contests and other forms of shareholder activism have been directed against numerous public companies in retail businesses. We could become engaged in a consent solicitation, or proxy contest, or experience other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shareholder activism, in the future. Activist shareholders may advocate for certain governance and strategic changes at our company. In the event of shareholder activism, particularly with respect to matters which our Board of Directors (“Board”), in exercising their fiduciary duties, disagree with or have determined not to pursue, our business could be adversely affected because responding to actions by activist shareholders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if faced with a consent solicitation or proxy contest, we may not be able to respond successfully to the contest or dispute, which would be disruptive to our business. If individuals are elected to our Board with a differing agenda, our ability to effectively and timely implement our strategic plans and create additional value for our shareholders may be adversely affected.</w:t>
      </w:r>
    </w:p>
    <w:p>
      <w:pPr>
        <w:spacing w:after="0" w:line="11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limited number of shareholders control a significant percentage of the voting power of our common stock, and therefore investors may have diminished ability to determine the outcome of shareholder votes.</w:t>
      </w:r>
    </w:p>
    <w:p>
      <w:pPr>
        <w:spacing w:after="0" w:line="2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Robert Hall, Barbara Bradley Baekgaard, Joan Hall (Mr. Hall’s wife and Ms. Bradley Baekgaard’s daughter), Patricia R. Miller, and P. Michael Miller, directly or indirectly, beneficially own and have the ability to exercise voting control over, in the aggregate, 17.6% of our outstanding shares of common stock as of January 29, 2022. As a result, these shareholders are able to exercise significant influence over all matters requiring shareholder approval, including the election of directors, any amendments to our second amended and restated articles of incorporation, and significant corporate transactions. This concentrated ownership of outstanding common stock may diminish an investor's ability to influence corporate matters, and the interests of these shareholders may not coincide with our interests or interests of investors. As a result, we may take actions that investors do not believe to be in our interests or their interests and that could depress our stock price. 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 which could cause incongruous fluctuation in our stock price.</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From time to time, we provide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the release. Our guidance is not prepared with a view toward compliance with published guidelines of the American Institute of Certified Public Accountants, and neither our independent registered public accounting firm nor any other independent expert or outside party compiles or examines our guidance and no such person expresses any opinion or any other form of assurance with respect thereto.</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Guidance is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and the variations may be material. Investors should also recognize that the reliability of any forecasted financial data diminishes the further into the future that the data are forecast. Further, the COVID-19 pandemic could cause a material adverse impact to the Company’s liquidity, results of operations, and financial condition that cannot be predicted.</w:t>
      </w:r>
    </w:p>
    <w:p>
      <w:pPr>
        <w:spacing w:after="0" w:line="1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light of the foregoing, if investors, analysts, and others fail to review our guidance within the proper context or place undue reliance on our guidance, deviations from such guidance may result in incongruous fluctuation in our stock price.</w:t>
      </w:r>
    </w:p>
    <w:p>
      <w:pPr>
        <w:spacing w:after="0" w:line="18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second amended and restated articles of incorporation and amended and restated bylaws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preferred stock and additional shares of our common stock without shareholder approval;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shareholder action by written consent;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our shareholders from calling a special meeting of shareholders;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our shareholders from amending our amended and restated bylaws;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for raising business matters or nominating directors at shareholders’ meetings.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permitted by our second amended and restated articles of incorporation and amended and restated bylaws, our board of directors also has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our common stock at a discount, leading to the dilution of the potential acquirer’s stake. The adoption of a poison pill, or the board’s ability to do so, can have negative effects such as those described above.</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location, use, and size of our distribution, corporate facilities, and showrooms as of January 29, 2022. The leases on the leased properties expire at various times through 2032, subject to renewal options.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60" w:type="dxa"/>
            <w:vAlign w:val="bottom"/>
          </w:tcPr>
          <w:p>
            <w:pPr>
              <w:ind w:left="212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2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Approximate Square Footage</w:t>
            </w:r>
          </w:p>
        </w:tc>
        <w:tc>
          <w:tcPr>
            <w:tcW w:w="230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Leased/Owned</w:t>
            </w:r>
          </w:p>
        </w:tc>
        <w:tc>
          <w:tcPr>
            <w:tcW w:w="0" w:type="dxa"/>
            <w:vAlign w:val="bottom"/>
          </w:tcPr>
          <w:p>
            <w:pPr>
              <w:spacing w:after="0"/>
              <w:rPr>
                <w:sz w:val="1"/>
                <w:szCs w:val="1"/>
                <w:color w:val="auto"/>
              </w:rPr>
            </w:pPr>
          </w:p>
        </w:tc>
      </w:tr>
      <w:tr>
        <w:trPr>
          <w:trHeight w:val="180"/>
        </w:trPr>
        <w:tc>
          <w:tcPr>
            <w:tcW w:w="25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Roanoke, Indiana</w:t>
            </w:r>
          </w:p>
        </w:tc>
        <w:tc>
          <w:tcPr>
            <w:tcW w:w="4060" w:type="dxa"/>
            <w:vAlign w:val="bottom"/>
            <w:shd w:val="clear" w:color="auto" w:fill="CCEEFF"/>
          </w:tcPr>
          <w:p>
            <w:pPr>
              <w:ind w:left="1000"/>
              <w:spacing w:after="0" w:line="181" w:lineRule="exact"/>
              <w:rPr>
                <w:sz w:val="20"/>
                <w:szCs w:val="20"/>
                <w:color w:val="auto"/>
              </w:rPr>
            </w:pPr>
            <w:r>
              <w:rPr>
                <w:rFonts w:ascii="Times New Roman" w:cs="Times New Roman" w:eastAsia="Times New Roman" w:hAnsi="Times New Roman"/>
                <w:sz w:val="18"/>
                <w:szCs w:val="18"/>
                <w:color w:val="auto"/>
              </w:rPr>
              <w:t>Vera Bradley corporate headquarters,</w:t>
            </w:r>
          </w:p>
        </w:tc>
        <w:tc>
          <w:tcPr>
            <w:tcW w:w="22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188,000</w:t>
            </w:r>
          </w:p>
        </w:tc>
        <w:tc>
          <w:tcPr>
            <w:tcW w:w="23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spacing w:after="0"/>
              <w:rPr>
                <w:sz w:val="19"/>
                <w:szCs w:val="19"/>
                <w:color w:val="auto"/>
              </w:rPr>
            </w:pP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design center, and showroom</w:t>
            </w:r>
          </w:p>
        </w:tc>
        <w:tc>
          <w:tcPr>
            <w:tcW w:w="2240" w:type="dxa"/>
            <w:vAlign w:val="bottom"/>
            <w:vMerge w:val="continue"/>
            <w:shd w:val="clear" w:color="auto" w:fill="CCEEFF"/>
          </w:tcPr>
          <w:p>
            <w:pPr>
              <w:spacing w:after="0"/>
              <w:rPr>
                <w:sz w:val="19"/>
                <w:szCs w:val="19"/>
                <w:color w:val="auto"/>
              </w:rPr>
            </w:pPr>
          </w:p>
        </w:tc>
        <w:tc>
          <w:tcPr>
            <w:tcW w:w="2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Roanoke, Indiana</w:t>
            </w:r>
          </w:p>
        </w:tc>
        <w:tc>
          <w:tcPr>
            <w:tcW w:w="4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Vera Bradley warehouse and distribution</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428,500</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New York</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Vera Bradley office and showroom</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3,700</w:t>
            </w:r>
          </w:p>
        </w:tc>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4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Vera Bradley Asia sourcing office</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5,100</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Atlanta, Georgia</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Vera Bradley showroom</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5,600</w:t>
            </w:r>
          </w:p>
        </w:tc>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Dallas, Texas</w:t>
            </w:r>
          </w:p>
        </w:tc>
        <w:tc>
          <w:tcPr>
            <w:tcW w:w="4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Vera Bradley showroom</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1,800</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 Jolla, California</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Pura Vida corporate headquarters</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7,400</w:t>
            </w:r>
          </w:p>
        </w:tc>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January 29, 2022, we also leased 149 store locations in the United States, including three store locations to be opened in fiscal 2023. See below for more information regarding the locations of our open stores as of January 29, 2022.</w:t>
      </w:r>
    </w:p>
    <w:p>
      <w:pPr>
        <w:spacing w:after="0" w:line="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consider these properties to be in good condition generally and believe that our facilities are adequate for our operations and provide sufficient capacity to meet our anticipated requirements. The Vera Bradley properties in the above table are used by both the Vera Bradley Direct segment and Vera Bradley Indirect segment, excluding the two standalone showrooms which are used exclusively by the Vera Bradley Indirect segment.</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Locations</w:t>
      </w:r>
    </w:p>
    <w:p>
      <w:pPr>
        <w:spacing w:after="0" w:line="9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Vera Bradly</w:t>
      </w:r>
      <w:r>
        <w:rPr>
          <w:rFonts w:ascii="Times New Roman" w:cs="Times New Roman" w:eastAsia="Times New Roman" w:hAnsi="Times New Roman"/>
          <w:sz w:val="18"/>
          <w:szCs w:val="18"/>
          <w:color w:val="auto"/>
        </w:rPr>
        <w:t>. Our Vera Bradley full-line stores are located primarily in high-traffic regional malls, lifestyle centers, and mixed-use shopping centers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The following table shows the number of Vera Bradley full-line and factory outlet stores we operated in each state as of January 29,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0" w:type="dxa"/>
            <w:vAlign w:val="bottom"/>
          </w:tcPr>
          <w:p>
            <w:pPr>
              <w:spacing w:after="0"/>
              <w:rPr>
                <w:sz w:val="1"/>
                <w:szCs w:val="1"/>
                <w:color w:val="auto"/>
              </w:rPr>
            </w:pPr>
          </w:p>
        </w:tc>
      </w:tr>
      <w:tr>
        <w:trPr>
          <w:trHeight w:val="135"/>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5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Vera Bradley Full-</w:t>
            </w:r>
          </w:p>
        </w:tc>
        <w:tc>
          <w:tcPr>
            <w:tcW w:w="15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Vera Bradley Factory</w:t>
            </w:r>
          </w:p>
        </w:tc>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Vera Bradley Full-</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Vera Bradley Factory</w:t>
            </w:r>
          </w:p>
        </w:tc>
        <w:tc>
          <w:tcPr>
            <w:tcW w:w="0" w:type="dxa"/>
            <w:vAlign w:val="bottom"/>
          </w:tcPr>
          <w:p>
            <w:pPr>
              <w:spacing w:after="0"/>
              <w:rPr>
                <w:sz w:val="1"/>
                <w:szCs w:val="1"/>
                <w:color w:val="auto"/>
              </w:rPr>
            </w:pPr>
          </w:p>
        </w:tc>
      </w:tr>
      <w:tr>
        <w:trPr>
          <w:trHeight w:val="189"/>
        </w:trPr>
        <w:tc>
          <w:tcPr>
            <w:tcW w:w="2580" w:type="dxa"/>
            <w:vAlign w:val="bottom"/>
            <w:gridSpan w:val="2"/>
            <w:vMerge w:val="continue"/>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Line Stores</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Outlet Stores</w:t>
            </w:r>
          </w:p>
        </w:tc>
        <w:tc>
          <w:tcPr>
            <w:tcW w:w="260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Line Stores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Outlet Stores</w:t>
            </w:r>
          </w:p>
        </w:tc>
        <w:tc>
          <w:tcPr>
            <w:tcW w:w="0" w:type="dxa"/>
            <w:vAlign w:val="bottom"/>
          </w:tcPr>
          <w:p>
            <w:pPr>
              <w:spacing w:after="0"/>
              <w:rPr>
                <w:sz w:val="1"/>
                <w:szCs w:val="1"/>
                <w:color w:val="auto"/>
              </w:rPr>
            </w:pPr>
          </w:p>
        </w:tc>
      </w:tr>
      <w:tr>
        <w:trPr>
          <w:trHeight w:val="223"/>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Hampshire</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Hawaii</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Iowa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2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In August 2021, we opened our first Pura Vida full-line retail store in San Diego, California.</w:t>
      </w:r>
    </w:p>
    <w:p>
      <w:pPr>
        <w:spacing w:after="0" w:line="9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lease all of our stores. Lease terms for our retail stores are generally ten years with options to renew for varying terms. The leases generally provide for a fixed minimum rental plus contingent rent, which is determined as a percentage of sales in excess of specified levels.</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be involved from time to time, as a plaintiff or a defendant, in various routine legal proceedings incidental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w:t>
      </w:r>
    </w:p>
    <w:p>
      <w:pPr>
        <w:spacing w:after="0" w:line="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Company has filed a motion for summary judgement asking the Court to dismiss all claims with prejudice and grant judgment on its counterclaim. The motion is fully briefed and the Company is awaiting a decision from the Court.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April of 2020, Chidimma Igboakaeze filed suit seeking class certification for all current and former hourly-paid employees who worked for the Company within the state of California during the four years preceding the filing until final judgement. The complaint alleged various violations of the California Labor Code related to wages, overtime, meal and rest breaks, non-compliant wage statements and records and other similar allegations related to employment. The Plaintiff also filed a Private Attorney General Act claim with the state of California regarding the same allegations. This case was settled in the first quarter of fiscal 2022 for an immaterial amount.</w:t>
      </w:r>
    </w:p>
    <w:p>
      <w:pPr>
        <w:spacing w:after="0" w:line="2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180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color w:val="auto"/>
        </w:rPr>
        <w:t>Our common stock is listed on the NASDAQ Global Select Market under the symbol “VRA”.</w:t>
      </w:r>
    </w:p>
    <w:p>
      <w:pPr>
        <w:spacing w:after="0" w:line="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March 27, 2022, we had approximately 25 registered shareholders of record. The number of shareholders of record is based upon the actual number of shareholders registered at such date and does not include holders of shares in “street name” or persons, partnerships, associations, corporations, or other entities identified in security position listings maintained by depositories.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tables detail activity under the 2018 and 2021 Share Repurchase Programs during the thirteen weeks ended January 29, 2022. Refer to Note 13 of the Notes to the Consolidated Financial Statements as set forth in Part II, Item 8. of this Annual Report on Form 10-K for additional information regarding our share repurchase programs.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Details regarding the activity under the 2018 Share Repurchase Program during the thirteen weeks ended January 29, 2022 are set forth below. The 2018 Share Repurchase Program expired on December 11,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1"/>
                <w:szCs w:val="11"/>
                <w:color w:val="auto"/>
              </w:rPr>
            </w:pPr>
          </w:p>
        </w:tc>
        <w:tc>
          <w:tcPr>
            <w:tcW w:w="1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378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2021 - November 27, 2021</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30,059,757</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28, 2021 - January 1, 2022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 2022 - January 29, 2022</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regarding the activity under the 2021 Share Repurchase Program during the thirteen weeks ended January 29, 2022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1"/>
                <w:szCs w:val="11"/>
                <w:color w:val="auto"/>
              </w:rPr>
            </w:pPr>
          </w:p>
        </w:tc>
        <w:tc>
          <w:tcPr>
            <w:tcW w:w="1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380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3800" w:type="dxa"/>
            <w:vAlign w:val="bottom"/>
            <w:vMerge w:val="continue"/>
          </w:tcPr>
          <w:p>
            <w:pPr>
              <w:spacing w:after="0"/>
              <w:rPr>
                <w:sz w:val="16"/>
                <w:szCs w:val="16"/>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6"/>
                <w:szCs w:val="16"/>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3"/>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2021 - November 27, 2021</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28, 2021 - January 1, 2022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48,310,797</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 2022 - January 29,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307,186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45,792,026</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507,599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October 21, 2010, following our initial public offering. Since that time, we have not declared any cash dividends. The payment of dividends is evaluated on a periodic basis.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graph set forth below compares the cumulative shareholder return on our common stock between January 28, 2017, and January 29, 2022, to the cumulative return of (i) the S&amp;P 500 Index and (ii) the S&amp;P 500 Apparel, Accessories, and Luxury Goods Index over the same period. This graph assumes an initial investment of $100 on January 28, 2017, in our common stock, the S&amp;P 500 Index, and the S&amp;P 500 Apparel, Accessories, and Luxury Goods Index and assumes the reinvestment of dividends, if any.</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comparisons shown in the graph below are based on historical data. We caution that the stock price performance presented in the graph below is not necessarily indicative of, nor is it intended to forecast, the potential future performance of our common stock. Information used in the graph was obtained from The NASDAQ Stock Market website. As such, although we believe the information to be accurate, we cannot assure you of its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294640</wp:posOffset>
            </wp:positionV>
            <wp:extent cx="5795010" cy="4114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501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Company/Market/Peer Group</w:t>
            </w:r>
          </w:p>
        </w:tc>
        <w:tc>
          <w:tcPr>
            <w:tcW w:w="160" w:type="dxa"/>
            <w:vAlign w:val="bottom"/>
          </w:tcPr>
          <w:p>
            <w:pPr>
              <w:spacing w:after="0"/>
              <w:rPr>
                <w:sz w:val="16"/>
                <w:szCs w:val="16"/>
                <w:color w:val="auto"/>
              </w:rPr>
            </w:pP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1/28/2017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2/3/2018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2/2/2019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2/1/2020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1/30/2021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1/29/2022</w:t>
            </w:r>
          </w:p>
        </w:tc>
        <w:tc>
          <w:tcPr>
            <w:tcW w:w="20" w:type="dxa"/>
            <w:vAlign w:val="bottom"/>
          </w:tcPr>
          <w:p>
            <w:pPr>
              <w:spacing w:after="0"/>
              <w:rPr>
                <w:sz w:val="16"/>
                <w:szCs w:val="16"/>
                <w:color w:val="auto"/>
              </w:rPr>
            </w:pPr>
          </w:p>
        </w:tc>
      </w:tr>
      <w:tr>
        <w:trPr>
          <w:trHeight w:val="228"/>
        </w:trPr>
        <w:tc>
          <w:tcPr>
            <w:tcW w:w="47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Vera Bradley, Inc.</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20" w:type="dxa"/>
            <w:vAlign w:val="bottom"/>
          </w:tcPr>
          <w:p>
            <w:pPr>
              <w:spacing w:after="0"/>
              <w:rPr>
                <w:sz w:val="19"/>
                <w:szCs w:val="19"/>
                <w:color w:val="auto"/>
              </w:rPr>
            </w:pPr>
          </w:p>
        </w:tc>
      </w:tr>
      <w:tr>
        <w:trPr>
          <w:trHeight w:val="23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211.72</w:t>
            </w:r>
          </w:p>
        </w:tc>
        <w:tc>
          <w:tcPr>
            <w:tcW w:w="20" w:type="dxa"/>
            <w:vAlign w:val="bottom"/>
          </w:tcPr>
          <w:p>
            <w:pPr>
              <w:spacing w:after="0"/>
              <w:rPr>
                <w:sz w:val="19"/>
                <w:szCs w:val="19"/>
                <w:color w:val="auto"/>
              </w:rPr>
            </w:pPr>
          </w:p>
        </w:tc>
      </w:tr>
      <w:tr>
        <w:trPr>
          <w:trHeight w:val="230"/>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 Accessories, and Luxury Goods Index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20" w:type="dxa"/>
            <w:vAlign w:val="bottom"/>
          </w:tcPr>
          <w:p>
            <w:pPr>
              <w:spacing w:after="0"/>
              <w:rPr>
                <w:sz w:val="19"/>
                <w:szCs w:val="19"/>
                <w:color w:val="auto"/>
              </w:rPr>
            </w:pPr>
          </w:p>
        </w:tc>
      </w:tr>
      <w:tr>
        <w:trPr>
          <w:trHeight w:val="864"/>
        </w:trPr>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consolidated financial statements and accompanying notes and the information contained in other sections of this report, particularly under the headings “Risk Factors”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COVID-19 Pandemic</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During fiscal 2021, the COVID-19 pandemic resulted in global travel restrictions, quarantines, and certain factory closures or reduced operations, as well as mall closures and reduced mall operating hours. Although the Vera Bradley and Pura Vida e-commerce operations remained open during this time, the aforementioned items had a material adverse impact on overall consumer demand, traffic, and sales during the period. We took various actions to navigate the pandemic which included, but were not limited to, temporarily closing all Vera Bradley store locations on March 19, 2020; temporarily furloughing 80% of our workforce during the middle of the first quarter; temporarily reducing base compensation for certain associates; preserving cash by drawing on our Credit Agreement, which was repaid during the fourth quarter of the 2021 fiscal year; and managing inventory, rent, and other expenses. During the second quarter of fiscal 2021, we brought back substantially all associates from furlough and began to reinstate portions of the base compensation reductions.</w:t>
      </w:r>
    </w:p>
    <w:p>
      <w:pPr>
        <w:spacing w:after="0" w:line="2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May 5, 2020, we began to open our Vera Bradley retail stores in a phased approach. All factory and full line stores were opened as of the end of the prior-year, although with reduced hours, lower staffing levels, reduced foot traffic, and greatly enhanced safety protocols.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retail stores remained open during fiscal 2022; however, guidance and mandates from governments and public health officials may necessitate closures to some, or all, of our retail stores which we cannot predict. We have also experienced certain global supply chain disruptions due in part to the COVID-19 pandemic further discussed under Supply Chain Disruptions below.</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sales of cotton face masks, coupled with a full year of Pura Vida operations, helped to offset sales declines otherwise associated with Vera Bradley in fiscal 2021. Net revenues from masks represented approximately 2% and 10% of consolidated net revenues for fiscals 2022 and 2021, respectively.</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cannot predict the impact that the COVID-19 pandemic could have on our future liquidity, operating results, and financial condition, but it could have a significant adverse effect on these metrics.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Disruptions</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fiscal 2022 for the Vera Bradley brand, we faced supply chain disruptions that caused delivery delays. We are working diligently to mitigate the situation, but expect shipping delays and inbound and outbound freight expense increases to continue for the near future. We have also been impacted by higher tariffs from previously duty-free countries, where we source products, as a result of the Generalized System of Preferences (“GSP”) duty-free status expiring at the end of calendar year 2020. We cannot guarantee if or when the GSP duty-free status will be reinstated and retro-actively applied by Congress. These matters could have a material adverse effect on our liquidity, operating results, and financial condition.</w:t>
      </w:r>
    </w:p>
    <w:p>
      <w:pPr>
        <w:spacing w:after="0" w:line="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fourth quarter of fiscal 2022, we began initiating strategic price increases across both of our brands to mitigate some of these inflationary and supply chain pressures, and we will continue to implement price increases throughout fiscal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our major achievements for fiscal 2022 are as follows:</w:t>
      </w:r>
    </w:p>
    <w:p>
      <w:pPr>
        <w:spacing w:after="0" w:line="100" w:lineRule="exact"/>
        <w:rPr>
          <w:sz w:val="20"/>
          <w:szCs w:val="20"/>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i w:val="1"/>
          <w:iCs w:val="1"/>
          <w:u w:val="single" w:color="auto"/>
          <w:color w:val="auto"/>
        </w:rPr>
        <w:t>Vera Bradley product</w:t>
      </w:r>
      <w:r>
        <w:rPr>
          <w:rFonts w:ascii="Times New Roman" w:cs="Times New Roman" w:eastAsia="Times New Roman" w:hAnsi="Times New Roman"/>
          <w:sz w:val="18"/>
          <w:szCs w:val="18"/>
          <w:color w:val="auto"/>
        </w:rPr>
        <w:t xml:space="preserve"> area:</w:t>
      </w:r>
    </w:p>
    <w:p>
      <w:pPr>
        <w:spacing w:after="0" w:line="107" w:lineRule="exact"/>
        <w:rPr>
          <w:rFonts w:ascii="Times New Roman" w:cs="Times New Roman" w:eastAsia="Times New Roman" w:hAnsi="Times New Roman"/>
          <w:sz w:val="18"/>
          <w:szCs w:val="18"/>
          <w:b w:val="1"/>
          <w:bCs w:val="1"/>
          <w:color w:val="auto"/>
        </w:rPr>
      </w:pPr>
    </w:p>
    <w:p>
      <w:pPr>
        <w:ind w:left="1140" w:hanging="322"/>
        <w:spacing w:after="0" w:line="261" w:lineRule="auto"/>
        <w:tabs>
          <w:tab w:leader="none" w:pos="11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accelerated our robust fabric innovation pipeline to develop new fabric offerings and continued to build on our platform of sustainable fabrics. We expanded our full-line Performance Twill and recycled Re-Active collections and our Factory Ultralight fabrication and launched our Cotton ReIMAGINED Collection crafted from 50% recycled and 50% conventional cotton. We are constantly researching and innovating to bring our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customers more eco-friendly options, with a goal of updating 100% of our fabrics to more sustainable alternatives by 2025.</w:t>
      </w:r>
    </w:p>
    <w:p>
      <w:pPr>
        <w:spacing w:after="0" w:line="90" w:lineRule="exact"/>
        <w:rPr>
          <w:sz w:val="20"/>
          <w:szCs w:val="20"/>
          <w:color w:val="auto"/>
        </w:rPr>
      </w:pPr>
    </w:p>
    <w:p>
      <w:pPr>
        <w:ind w:left="1140" w:right="160" w:hanging="322"/>
        <w:spacing w:after="0" w:line="266" w:lineRule="auto"/>
        <w:tabs>
          <w:tab w:leader="none" w:pos="11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another year of high-profile product collaborations with several iconic brands, including Disney, Harry Potter, and Crocs to create and sell limited-edition product collections and launched our collaboration with Classic Accessories for a first-ever outdoor collection.</w:t>
      </w:r>
    </w:p>
    <w:p>
      <w:pPr>
        <w:spacing w:after="0" w:line="54" w:lineRule="exact"/>
        <w:rPr>
          <w:rFonts w:ascii="Times New Roman" w:cs="Times New Roman" w:eastAsia="Times New Roman" w:hAnsi="Times New Roman"/>
          <w:sz w:val="18"/>
          <w:szCs w:val="18"/>
          <w:color w:val="auto"/>
        </w:rPr>
      </w:pPr>
    </w:p>
    <w:p>
      <w:pPr>
        <w:ind w:left="1140" w:right="280" w:hanging="322"/>
        <w:spacing w:after="0" w:line="282" w:lineRule="auto"/>
        <w:tabs>
          <w:tab w:leader="none" w:pos="11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expanded our apparel collection, adding graphic tees, puffer jackets, vests, leggings, and a larger selection of pajamas to our already popular cozy collection of sleepwear and robes.</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i w:val="1"/>
          <w:iCs w:val="1"/>
          <w:u w:val="single" w:color="auto"/>
          <w:color w:val="auto"/>
        </w:rPr>
        <w:t>Vera Bradley distribution</w:t>
      </w:r>
      <w:r>
        <w:rPr>
          <w:rFonts w:ascii="Times New Roman" w:cs="Times New Roman" w:eastAsia="Times New Roman" w:hAnsi="Times New Roman"/>
          <w:sz w:val="18"/>
          <w:szCs w:val="18"/>
          <w:color w:val="auto"/>
        </w:rPr>
        <w:t xml:space="preserve"> area:</w:t>
      </w:r>
    </w:p>
    <w:p>
      <w:pPr>
        <w:spacing w:after="0" w:line="94" w:lineRule="exact"/>
        <w:rPr>
          <w:rFonts w:ascii="Times New Roman" w:cs="Times New Roman" w:eastAsia="Times New Roman" w:hAnsi="Times New Roman"/>
          <w:sz w:val="18"/>
          <w:szCs w:val="18"/>
          <w:b w:val="1"/>
          <w:bCs w:val="1"/>
          <w:color w:val="auto"/>
        </w:rPr>
      </w:pPr>
    </w:p>
    <w:p>
      <w:pPr>
        <w:ind w:left="1140" w:right="400" w:hanging="322"/>
        <w:spacing w:after="0" w:line="282" w:lineRule="auto"/>
        <w:tabs>
          <w:tab w:leader="none" w:pos="11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strengthen and rationalize our store base. We opened six new factory stores and closed five underperforming full-line stores, ending the fiscal year with 70 full-line and 75 factory locations.</w:t>
      </w:r>
    </w:p>
    <w:p>
      <w:pPr>
        <w:spacing w:after="0" w:line="40" w:lineRule="exact"/>
        <w:rPr>
          <w:rFonts w:ascii="Times New Roman" w:cs="Times New Roman" w:eastAsia="Times New Roman" w:hAnsi="Times New Roman"/>
          <w:sz w:val="18"/>
          <w:szCs w:val="18"/>
          <w:color w:val="auto"/>
        </w:rPr>
      </w:pPr>
    </w:p>
    <w:p>
      <w:pPr>
        <w:ind w:left="1140" w:right="120" w:hanging="322"/>
        <w:spacing w:after="0" w:line="257" w:lineRule="auto"/>
        <w:tabs>
          <w:tab w:leader="none" w:pos="11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focus on enhancing and reinventing the customer experience in our full-line stores, and certain digital shopping additions that gained popularity during the pandemic have remained popular, like appointment selling, buy-online/pick-up in-store, and curbside pickup.</w:t>
      </w:r>
    </w:p>
    <w:p>
      <w:pPr>
        <w:spacing w:after="0" w:line="1" w:lineRule="exact"/>
        <w:rPr>
          <w:rFonts w:ascii="Times New Roman" w:cs="Times New Roman" w:eastAsia="Times New Roman" w:hAnsi="Times New Roman"/>
          <w:sz w:val="18"/>
          <w:szCs w:val="18"/>
          <w:color w:val="auto"/>
        </w:rPr>
      </w:pPr>
    </w:p>
    <w:p>
      <w:pPr>
        <w:ind w:left="1140" w:hanging="322"/>
        <w:spacing w:after="0" w:line="230" w:lineRule="auto"/>
        <w:tabs>
          <w:tab w:leader="none" w:pos="1140" w:val="left"/>
        </w:tabs>
        <w:numPr>
          <w:ilvl w:val="1"/>
          <w:numId w:val="16"/>
        </w:numPr>
        <w:rPr>
          <w:rFonts w:ascii="Arial" w:cs="Arial" w:eastAsia="Arial" w:hAnsi="Arial"/>
          <w:sz w:val="20"/>
          <w:szCs w:val="20"/>
          <w:color w:val="auto"/>
        </w:rPr>
      </w:pPr>
      <w:r>
        <w:rPr>
          <w:rFonts w:ascii="Times New Roman" w:cs="Times New Roman" w:eastAsia="Times New Roman" w:hAnsi="Times New Roman"/>
          <w:sz w:val="18"/>
          <w:szCs w:val="18"/>
          <w:color w:val="auto"/>
        </w:rPr>
        <w:t>We continued to expand our options for customers to shop</w:t>
      </w:r>
      <w:r>
        <w:rPr>
          <w:rFonts w:ascii="Calibri" w:cs="Calibri" w:eastAsia="Calibri" w:hAnsi="Calibri"/>
          <w:sz w:val="19"/>
          <w:szCs w:val="19"/>
          <w:color w:val="auto"/>
        </w:rPr>
        <w:t>.</w:t>
      </w:r>
    </w:p>
    <w:p>
      <w:pPr>
        <w:spacing w:after="0" w:line="10" w:lineRule="exact"/>
        <w:rPr>
          <w:rFonts w:ascii="Arial" w:cs="Arial" w:eastAsia="Arial" w:hAnsi="Arial"/>
          <w:sz w:val="20"/>
          <w:szCs w:val="20"/>
          <w:color w:val="auto"/>
        </w:rPr>
      </w:pPr>
    </w:p>
    <w:p>
      <w:pPr>
        <w:ind w:left="1780" w:hanging="314"/>
        <w:spacing w:after="0"/>
        <w:tabs>
          <w:tab w:leader="none" w:pos="1780" w:val="left"/>
        </w:tabs>
        <w:numPr>
          <w:ilvl w:val="2"/>
          <w:numId w:val="16"/>
        </w:numPr>
        <w:rPr>
          <w:rFonts w:ascii="Arial" w:cs="Arial" w:eastAsia="Arial" w:hAnsi="Arial"/>
          <w:sz w:val="20"/>
          <w:szCs w:val="20"/>
          <w:color w:val="auto"/>
        </w:rPr>
      </w:pPr>
      <w:r>
        <w:rPr>
          <w:rFonts w:ascii="Times New Roman" w:cs="Times New Roman" w:eastAsia="Times New Roman" w:hAnsi="Times New Roman"/>
          <w:sz w:val="18"/>
          <w:szCs w:val="18"/>
          <w:color w:val="auto"/>
        </w:rPr>
        <w:t>We launched our Canadian website as our first international, localized website experience which is managed internally.</w:t>
      </w:r>
    </w:p>
    <w:p>
      <w:pPr>
        <w:spacing w:after="0" w:line="4" w:lineRule="exact"/>
        <w:rPr>
          <w:rFonts w:ascii="Arial" w:cs="Arial" w:eastAsia="Arial" w:hAnsi="Arial"/>
          <w:sz w:val="20"/>
          <w:szCs w:val="20"/>
          <w:color w:val="auto"/>
        </w:rPr>
      </w:pPr>
    </w:p>
    <w:p>
      <w:pPr>
        <w:ind w:left="1800" w:right="20" w:hanging="334"/>
        <w:spacing w:after="0" w:line="221" w:lineRule="auto"/>
        <w:tabs>
          <w:tab w:leader="none" w:pos="1788" w:val="left"/>
        </w:tabs>
        <w:numPr>
          <w:ilvl w:val="2"/>
          <w:numId w:val="16"/>
        </w:numPr>
        <w:rPr>
          <w:rFonts w:ascii="Arial" w:cs="Arial" w:eastAsia="Arial" w:hAnsi="Arial"/>
          <w:sz w:val="20"/>
          <w:szCs w:val="20"/>
          <w:color w:val="auto"/>
        </w:rPr>
      </w:pPr>
      <w:r>
        <w:rPr>
          <w:rFonts w:ascii="Times New Roman" w:cs="Times New Roman" w:eastAsia="Times New Roman" w:hAnsi="Times New Roman"/>
          <w:sz w:val="18"/>
          <w:szCs w:val="18"/>
          <w:color w:val="auto"/>
        </w:rPr>
        <w:t>We continue to be excited about alternative payments such as AfterPay, which is driving higher units per transaction and increased sales.</w:t>
      </w:r>
    </w:p>
    <w:p>
      <w:pPr>
        <w:ind w:left="1800" w:right="240" w:hanging="334"/>
        <w:spacing w:after="0" w:line="222" w:lineRule="auto"/>
        <w:tabs>
          <w:tab w:leader="none" w:pos="1788" w:val="left"/>
        </w:tabs>
        <w:numPr>
          <w:ilvl w:val="2"/>
          <w:numId w:val="16"/>
        </w:numPr>
        <w:rPr>
          <w:rFonts w:ascii="Arial" w:cs="Arial" w:eastAsia="Arial" w:hAnsi="Arial"/>
          <w:sz w:val="20"/>
          <w:szCs w:val="20"/>
          <w:color w:val="auto"/>
        </w:rPr>
      </w:pPr>
      <w:r>
        <w:rPr>
          <w:rFonts w:ascii="Times New Roman" w:cs="Times New Roman" w:eastAsia="Times New Roman" w:hAnsi="Times New Roman"/>
          <w:sz w:val="18"/>
          <w:szCs w:val="18"/>
          <w:color w:val="auto"/>
        </w:rPr>
        <w:t>As sustainability and resale continue to gain traction, so does our partnership with ThredUp, which was launched in early fiscal 2022.</w:t>
      </w:r>
    </w:p>
    <w:p>
      <w:pPr>
        <w:ind w:left="1780" w:hanging="314"/>
        <w:spacing w:after="0" w:line="225" w:lineRule="auto"/>
        <w:tabs>
          <w:tab w:leader="none" w:pos="1780" w:val="left"/>
        </w:tabs>
        <w:numPr>
          <w:ilvl w:val="2"/>
          <w:numId w:val="16"/>
        </w:numPr>
        <w:rPr>
          <w:rFonts w:ascii="Arial" w:cs="Arial" w:eastAsia="Arial" w:hAnsi="Arial"/>
          <w:sz w:val="20"/>
          <w:szCs w:val="20"/>
          <w:color w:val="auto"/>
        </w:rPr>
      </w:pPr>
      <w:r>
        <w:rPr>
          <w:rFonts w:ascii="Times New Roman" w:cs="Times New Roman" w:eastAsia="Times New Roman" w:hAnsi="Times New Roman"/>
          <w:sz w:val="18"/>
          <w:szCs w:val="18"/>
          <w:color w:val="auto"/>
        </w:rPr>
        <w:t>We added Chewy.com as a new distribution partner for our line of pet products.</w:t>
      </w:r>
    </w:p>
    <w:p>
      <w:pPr>
        <w:spacing w:after="0" w:line="2" w:lineRule="exact"/>
        <w:rPr>
          <w:rFonts w:ascii="Arial" w:cs="Arial" w:eastAsia="Arial" w:hAnsi="Arial"/>
          <w:sz w:val="20"/>
          <w:szCs w:val="20"/>
          <w:color w:val="auto"/>
        </w:rPr>
      </w:pPr>
    </w:p>
    <w:p>
      <w:pPr>
        <w:ind w:left="1780" w:hanging="314"/>
        <w:spacing w:after="0" w:line="223" w:lineRule="auto"/>
        <w:tabs>
          <w:tab w:leader="none" w:pos="1780" w:val="left"/>
        </w:tabs>
        <w:numPr>
          <w:ilvl w:val="2"/>
          <w:numId w:val="16"/>
        </w:numPr>
        <w:rPr>
          <w:rFonts w:ascii="Arial" w:cs="Arial" w:eastAsia="Arial" w:hAnsi="Arial"/>
          <w:sz w:val="20"/>
          <w:szCs w:val="20"/>
          <w:color w:val="auto"/>
        </w:rPr>
      </w:pPr>
      <w:r>
        <w:rPr>
          <w:rFonts w:ascii="Times New Roman" w:cs="Times New Roman" w:eastAsia="Times New Roman" w:hAnsi="Times New Roman"/>
          <w:sz w:val="18"/>
          <w:szCs w:val="18"/>
          <w:color w:val="auto"/>
        </w:rPr>
        <w:t>We opened a Vera Bradley store in the LAX airport as part of our travel expansion focus.</w:t>
      </w:r>
    </w:p>
    <w:p>
      <w:pPr>
        <w:spacing w:after="0" w:line="59" w:lineRule="exact"/>
        <w:rPr>
          <w:rFonts w:ascii="Arial" w:cs="Arial" w:eastAsia="Arial" w:hAnsi="Arial"/>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i w:val="1"/>
          <w:iCs w:val="1"/>
          <w:u w:val="single" w:color="auto"/>
          <w:color w:val="auto"/>
        </w:rPr>
        <w:t>Vera Bradley marketing</w:t>
      </w:r>
      <w:r>
        <w:rPr>
          <w:rFonts w:ascii="Times New Roman" w:cs="Times New Roman" w:eastAsia="Times New Roman" w:hAnsi="Times New Roman"/>
          <w:sz w:val="18"/>
          <w:szCs w:val="18"/>
          <w:color w:val="auto"/>
        </w:rPr>
        <w:t xml:space="preserve"> area:</w:t>
      </w:r>
    </w:p>
    <w:p>
      <w:pPr>
        <w:spacing w:after="0" w:line="94" w:lineRule="exact"/>
        <w:rPr>
          <w:rFonts w:ascii="Times New Roman" w:cs="Times New Roman" w:eastAsia="Times New Roman" w:hAnsi="Times New Roman"/>
          <w:sz w:val="18"/>
          <w:szCs w:val="18"/>
          <w:b w:val="1"/>
          <w:bCs w:val="1"/>
          <w:color w:val="auto"/>
        </w:rPr>
      </w:pPr>
    </w:p>
    <w:p>
      <w:pPr>
        <w:ind w:left="1140" w:right="40" w:hanging="322"/>
        <w:spacing w:after="0" w:line="282" w:lineRule="auto"/>
        <w:tabs>
          <w:tab w:leader="none" w:pos="11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customer data science and business analytics have continued to position us well, allowing us to collect and analyze data and respond to customer changes and adjust marketing spend in an agile way.</w:t>
      </w:r>
    </w:p>
    <w:p>
      <w:pPr>
        <w:spacing w:after="0" w:line="40" w:lineRule="exact"/>
        <w:rPr>
          <w:rFonts w:ascii="Times New Roman" w:cs="Times New Roman" w:eastAsia="Times New Roman" w:hAnsi="Times New Roman"/>
          <w:sz w:val="18"/>
          <w:szCs w:val="18"/>
          <w:color w:val="auto"/>
        </w:rPr>
      </w:pPr>
    </w:p>
    <w:p>
      <w:pPr>
        <w:ind w:left="1140" w:right="20" w:hanging="322"/>
        <w:spacing w:after="0" w:line="266" w:lineRule="auto"/>
        <w:tabs>
          <w:tab w:leader="none" w:pos="11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engage, diversify, and grow our customer base through analytics, targeted marketing, and VB Cares efforts. Vera Bradley’s customer count grew by nearly 15% over last year essentially bringing us back to pre-pandemic levels, and social media followers continue to grow, with Facebook at nearly 2 million, Instagram approaching 600,000, and TikTok climbing.</w:t>
      </w:r>
    </w:p>
    <w:p>
      <w:pPr>
        <w:spacing w:after="0" w:line="54" w:lineRule="exact"/>
        <w:rPr>
          <w:rFonts w:ascii="Times New Roman" w:cs="Times New Roman" w:eastAsia="Times New Roman" w:hAnsi="Times New Roman"/>
          <w:sz w:val="18"/>
          <w:szCs w:val="18"/>
          <w:color w:val="auto"/>
        </w:rPr>
      </w:pPr>
    </w:p>
    <w:p>
      <w:pPr>
        <w:ind w:left="1140" w:right="320" w:hanging="322"/>
        <w:spacing w:after="0" w:line="282" w:lineRule="auto"/>
        <w:tabs>
          <w:tab w:leader="none" w:pos="11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targeted digital media, traditional media, and public relations efforts drove increased brand awareness and improved earned media, with total media impressions up approximately 140% to slightly over 22 billion for the year.</w:t>
      </w:r>
    </w:p>
    <w:p>
      <w:pPr>
        <w:spacing w:after="0" w:line="2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service model and voice of the customer program continued to drive industry-leading customer satisfaction scores.</w:t>
      </w:r>
    </w:p>
    <w:p>
      <w:pPr>
        <w:spacing w:after="0" w:line="9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Regarding </w:t>
      </w:r>
      <w:r>
        <w:rPr>
          <w:rFonts w:ascii="Times New Roman" w:cs="Times New Roman" w:eastAsia="Times New Roman" w:hAnsi="Times New Roman"/>
          <w:sz w:val="18"/>
          <w:szCs w:val="18"/>
          <w:b w:val="1"/>
          <w:bCs w:val="1"/>
          <w:i w:val="1"/>
          <w:iCs w:val="1"/>
          <w:u w:val="single" w:color="auto"/>
          <w:color w:val="auto"/>
        </w:rPr>
        <w:t>Pura Vida's</w:t>
      </w:r>
      <w:r>
        <w:rPr>
          <w:rFonts w:ascii="Times New Roman" w:cs="Times New Roman" w:eastAsia="Times New Roman" w:hAnsi="Times New Roman"/>
          <w:sz w:val="18"/>
          <w:szCs w:val="18"/>
          <w:color w:val="auto"/>
        </w:rPr>
        <w:t xml:space="preserve"> infrastructure:</w:t>
      </w:r>
    </w:p>
    <w:p>
      <w:pPr>
        <w:spacing w:after="0" w:line="107" w:lineRule="exact"/>
        <w:rPr>
          <w:rFonts w:ascii="Times New Roman" w:cs="Times New Roman" w:eastAsia="Times New Roman" w:hAnsi="Times New Roman"/>
          <w:sz w:val="18"/>
          <w:szCs w:val="18"/>
          <w:b w:val="1"/>
          <w:bCs w:val="1"/>
          <w:color w:val="auto"/>
        </w:rPr>
      </w:pPr>
    </w:p>
    <w:p>
      <w:pPr>
        <w:ind w:left="1140" w:right="260" w:hanging="322"/>
        <w:spacing w:after="0" w:line="282" w:lineRule="auto"/>
        <w:tabs>
          <w:tab w:leader="none" w:pos="11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Pura Vida’s ERP integration, so that our entire enterprise is now on a unified technology platform, allowing for enhanced capabilities in sourcing, customer service, CRM, and data analytics.</w:t>
      </w:r>
    </w:p>
    <w:p>
      <w:pPr>
        <w:spacing w:after="0" w:line="2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strengthened key merchandising, inventory planning, and customer analytics’ functions at Pura Vida.</w:t>
      </w:r>
    </w:p>
    <w:p>
      <w:pPr>
        <w:spacing w:after="0" w:line="9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i w:val="1"/>
          <w:iCs w:val="1"/>
          <w:u w:val="single" w:color="auto"/>
          <w:color w:val="auto"/>
        </w:rPr>
        <w:t>Pura Vida Product</w:t>
      </w:r>
      <w:r>
        <w:rPr>
          <w:rFonts w:ascii="Times New Roman" w:cs="Times New Roman" w:eastAsia="Times New Roman" w:hAnsi="Times New Roman"/>
          <w:sz w:val="18"/>
          <w:szCs w:val="18"/>
          <w:color w:val="auto"/>
        </w:rPr>
        <w:t xml:space="preserve"> area:</w:t>
      </w:r>
    </w:p>
    <w:p>
      <w:pPr>
        <w:spacing w:after="0" w:line="107" w:lineRule="exact"/>
        <w:rPr>
          <w:rFonts w:ascii="Times New Roman" w:cs="Times New Roman" w:eastAsia="Times New Roman" w:hAnsi="Times New Roman"/>
          <w:sz w:val="18"/>
          <w:szCs w:val="18"/>
          <w:b w:val="1"/>
          <w:bCs w:val="1"/>
          <w:color w:val="auto"/>
        </w:rPr>
      </w:pPr>
    </w:p>
    <w:p>
      <w:pPr>
        <w:ind w:left="1140" w:right="260" w:hanging="322"/>
        <w:spacing w:after="0" w:line="282" w:lineRule="auto"/>
        <w:tabs>
          <w:tab w:leader="none" w:pos="11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show strength as a lifestyle brand by successfully expanding into new product categories, including shirts, hoodies, and backpacks. This lifestyle appeal will continue to be a key driver of growth.</w:t>
      </w:r>
    </w:p>
    <w:p>
      <w:pPr>
        <w:spacing w:after="0" w:line="26" w:lineRule="exact"/>
        <w:rPr>
          <w:rFonts w:ascii="Times New Roman" w:cs="Times New Roman" w:eastAsia="Times New Roman" w:hAnsi="Times New Roman"/>
          <w:sz w:val="18"/>
          <w:szCs w:val="18"/>
          <w:color w:val="auto"/>
        </w:rPr>
      </w:pPr>
    </w:p>
    <w:p>
      <w:pPr>
        <w:ind w:left="1140" w:right="40" w:hanging="322"/>
        <w:spacing w:after="0" w:line="266" w:lineRule="auto"/>
        <w:tabs>
          <w:tab w:leader="none" w:pos="11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several high-profile product collaborations, including Hello Kitty, Disney, and Harry Potter, bringing new customers to our brand. In addition, we launched our first jewelry collection with Outer Banks star and influencer Madison Bailey, which is appealing to a more diverse customer.</w:t>
      </w:r>
    </w:p>
    <w:p>
      <w:pPr>
        <w:spacing w:after="0" w:line="5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i w:val="1"/>
          <w:iCs w:val="1"/>
          <w:u w:val="single" w:color="auto"/>
          <w:color w:val="auto"/>
        </w:rPr>
        <w:t>Pura Vida Distribution</w:t>
      </w:r>
      <w:r>
        <w:rPr>
          <w:rFonts w:ascii="Times New Roman" w:cs="Times New Roman" w:eastAsia="Times New Roman" w:hAnsi="Times New Roman"/>
          <w:sz w:val="18"/>
          <w:szCs w:val="18"/>
          <w:color w:val="auto"/>
        </w:rPr>
        <w:t xml:space="preserve"> area:</w:t>
      </w:r>
    </w:p>
    <w:p>
      <w:pPr>
        <w:spacing w:after="0" w:line="94" w:lineRule="exact"/>
        <w:rPr>
          <w:rFonts w:ascii="Times New Roman" w:cs="Times New Roman" w:eastAsia="Times New Roman" w:hAnsi="Times New Roman"/>
          <w:sz w:val="18"/>
          <w:szCs w:val="18"/>
          <w:b w:val="1"/>
          <w:bCs w:val="1"/>
          <w:color w:val="auto"/>
        </w:rPr>
      </w:pPr>
    </w:p>
    <w:p>
      <w:pPr>
        <w:jc w:val="both"/>
        <w:ind w:left="1140" w:hanging="322"/>
        <w:spacing w:after="0" w:line="266" w:lineRule="auto"/>
        <w:tabs>
          <w:tab w:leader="none" w:pos="11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opened its first retail store in San Diego’s Westfield UTC Mall in August. Since opening, sales have far surpassed expectations in our San Diego e-commerce business relative to the rest of the country demonstrating the power a retail presence has in driving digital sales, omni-channel loyalty, and spending.</w:t>
      </w:r>
    </w:p>
    <w:p>
      <w:pPr>
        <w:spacing w:after="0" w:line="54" w:lineRule="exact"/>
        <w:rPr>
          <w:rFonts w:ascii="Times New Roman" w:cs="Times New Roman" w:eastAsia="Times New Roman" w:hAnsi="Times New Roman"/>
          <w:sz w:val="18"/>
          <w:szCs w:val="18"/>
          <w:color w:val="auto"/>
        </w:rPr>
      </w:pPr>
    </w:p>
    <w:p>
      <w:pPr>
        <w:ind w:left="1140" w:right="280" w:hanging="322"/>
        <w:spacing w:after="0" w:line="282" w:lineRule="auto"/>
        <w:tabs>
          <w:tab w:leader="none" w:pos="11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add new wholesale partnerships, adding over 400 new accounts in fiscal 2022, exceeding our expectations. In addition, Dillard’s joined Nordstrom as a Pura Vida department store distributor.</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40" w:right="40" w:hanging="322"/>
        <w:spacing w:after="0" w:line="282" w:lineRule="auto"/>
        <w:tabs>
          <w:tab w:leader="none" w:pos="113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added Pura Vida shop-in-shops to 23 full-line Vera Bradley stores and completed our roll out of the Pura Vida charity bracelet program to all Vera Bradley full-line and factory locations.</w:t>
      </w:r>
    </w:p>
    <w:p>
      <w:pPr>
        <w:spacing w:after="0" w:line="2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i w:val="1"/>
          <w:iCs w:val="1"/>
          <w:u w:val="single" w:color="auto"/>
          <w:color w:val="auto"/>
        </w:rPr>
        <w:t>Pura Vida Marketing</w:t>
      </w:r>
      <w:r>
        <w:rPr>
          <w:rFonts w:ascii="Times New Roman" w:cs="Times New Roman" w:eastAsia="Times New Roman" w:hAnsi="Times New Roman"/>
          <w:sz w:val="18"/>
          <w:szCs w:val="18"/>
          <w:color w:val="auto"/>
        </w:rPr>
        <w:t xml:space="preserve"> area:</w:t>
      </w:r>
    </w:p>
    <w:p>
      <w:pPr>
        <w:spacing w:after="0" w:line="107" w:lineRule="exact"/>
        <w:rPr>
          <w:rFonts w:ascii="Times New Roman" w:cs="Times New Roman" w:eastAsia="Times New Roman" w:hAnsi="Times New Roman"/>
          <w:sz w:val="18"/>
          <w:szCs w:val="18"/>
          <w:b w:val="1"/>
          <w:bCs w:val="1"/>
          <w:color w:val="auto"/>
        </w:rPr>
      </w:pPr>
    </w:p>
    <w:p>
      <w:pPr>
        <w:ind w:left="1140" w:right="340" w:hanging="322"/>
        <w:spacing w:after="0" w:line="282" w:lineRule="auto"/>
        <w:tabs>
          <w:tab w:leader="none" w:pos="113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Vida’s social media engagement remains exceptional, as one of the most highly-engaged brands in the accessories space on social media, with over 2.0 million Instagram followers and over 450,000 TikTok followers, a little more than a year after launch.</w:t>
      </w:r>
    </w:p>
    <w:p>
      <w:pPr>
        <w:spacing w:after="0" w:line="40"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continued to rank at the top of the industry for our net promoter and customer satisfaction scores.</w:t>
      </w:r>
    </w:p>
    <w:p>
      <w:pPr>
        <w:spacing w:after="0" w:line="8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reinforced our commitment to be a </w:t>
      </w:r>
      <w:r>
        <w:rPr>
          <w:rFonts w:ascii="Times New Roman" w:cs="Times New Roman" w:eastAsia="Times New Roman" w:hAnsi="Times New Roman"/>
          <w:sz w:val="18"/>
          <w:szCs w:val="18"/>
          <w:b w:val="1"/>
          <w:bCs w:val="1"/>
          <w:i w:val="1"/>
          <w:iCs w:val="1"/>
          <w:u w:val="single" w:color="auto"/>
          <w:color w:val="auto"/>
        </w:rPr>
        <w:t>Purpose- and ESG-driven</w:t>
      </w:r>
      <w:r>
        <w:rPr>
          <w:rFonts w:ascii="Times New Roman" w:cs="Times New Roman" w:eastAsia="Times New Roman" w:hAnsi="Times New Roman"/>
          <w:sz w:val="18"/>
          <w:szCs w:val="18"/>
          <w:color w:val="auto"/>
        </w:rPr>
        <w:t xml:space="preserve"> organization.</w:t>
      </w:r>
    </w:p>
    <w:p>
      <w:pPr>
        <w:spacing w:after="0" w:line="107" w:lineRule="exact"/>
        <w:rPr>
          <w:rFonts w:ascii="Times New Roman" w:cs="Times New Roman" w:eastAsia="Times New Roman" w:hAnsi="Times New Roman"/>
          <w:sz w:val="18"/>
          <w:szCs w:val="18"/>
          <w:b w:val="1"/>
          <w:bCs w:val="1"/>
          <w:color w:val="auto"/>
        </w:rPr>
      </w:pPr>
    </w:p>
    <w:p>
      <w:pPr>
        <w:ind w:left="1140" w:hanging="322"/>
        <w:spacing w:after="0"/>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2022, Pura Vida completed its B-Corp Impact Assessment, and in February 2022 was awarded the B Corporation Certification.</w:t>
      </w:r>
    </w:p>
    <w:p>
      <w:pPr>
        <w:spacing w:after="0" w:line="103" w:lineRule="exact"/>
        <w:rPr>
          <w:rFonts w:ascii="Times New Roman" w:cs="Times New Roman" w:eastAsia="Times New Roman" w:hAnsi="Times New Roman"/>
          <w:sz w:val="18"/>
          <w:szCs w:val="18"/>
          <w:color w:val="auto"/>
        </w:rPr>
      </w:pPr>
    </w:p>
    <w:p>
      <w:pPr>
        <w:ind w:left="1140" w:right="80" w:hanging="322"/>
        <w:spacing w:after="0" w:line="258" w:lineRule="auto"/>
        <w:tabs>
          <w:tab w:leader="none" w:pos="113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strengthen our community support and charitable efforts under the umbrella of VB Cares, particularly through organizations that can profoundly improve the lives of women and children, including raising $1.5 million to the Vera Bradley Foundation Center for Breast Cancer Research, bringing total contributions to date to $37.5 million, and entering the third consecutive year of partnership with Blessings in a Backpack, raising and donating approximately $750,000 to date, with the help of our customers, to the organization.</w:t>
      </w:r>
    </w:p>
    <w:p>
      <w:pPr>
        <w:spacing w:after="0" w:line="48" w:lineRule="exact"/>
        <w:rPr>
          <w:rFonts w:ascii="Times New Roman" w:cs="Times New Roman" w:eastAsia="Times New Roman" w:hAnsi="Times New Roman"/>
          <w:sz w:val="18"/>
          <w:szCs w:val="18"/>
          <w:color w:val="auto"/>
        </w:rPr>
      </w:pPr>
    </w:p>
    <w:p>
      <w:pPr>
        <w:ind w:left="1140" w:right="160" w:hanging="322"/>
        <w:spacing w:after="0" w:line="282" w:lineRule="auto"/>
        <w:tabs>
          <w:tab w:leader="none" w:pos="113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Charity bracelets and other products continued to be an important element of the Pura Vida lifestyle and an important draw for our cause-minded customers. To date, Pura Vida has raised and donated over $4.0 million to a myriad of special causes.</w:t>
      </w:r>
    </w:p>
    <w:p>
      <w:pPr>
        <w:spacing w:after="0" w:line="40" w:lineRule="exact"/>
        <w:rPr>
          <w:rFonts w:ascii="Times New Roman" w:cs="Times New Roman" w:eastAsia="Times New Roman" w:hAnsi="Times New Roman"/>
          <w:sz w:val="18"/>
          <w:szCs w:val="18"/>
          <w:color w:val="auto"/>
        </w:rPr>
      </w:pPr>
    </w:p>
    <w:p>
      <w:pPr>
        <w:ind w:left="1140" w:right="120" w:hanging="322"/>
        <w:spacing w:after="0" w:line="282" w:lineRule="auto"/>
        <w:tabs>
          <w:tab w:leader="none" w:pos="113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amplified our Company-wide diversity and inclusion initiative, Project Quilt, to continue to enhance diversity, equality, and inclusion, focusing on three key areas – the Associate Experience, the Customer Experience, and the Community Experience.</w:t>
      </w:r>
    </w:p>
    <w:p>
      <w:pPr>
        <w:spacing w:after="0" w:line="40" w:lineRule="exact"/>
        <w:rPr>
          <w:rFonts w:ascii="Times New Roman" w:cs="Times New Roman" w:eastAsia="Times New Roman" w:hAnsi="Times New Roman"/>
          <w:sz w:val="18"/>
          <w:szCs w:val="18"/>
          <w:color w:val="auto"/>
        </w:rPr>
      </w:pPr>
    </w:p>
    <w:p>
      <w:pPr>
        <w:ind w:left="1140" w:hanging="322"/>
        <w:spacing w:after="0" w:line="266" w:lineRule="auto"/>
        <w:tabs>
          <w:tab w:leader="none" w:pos="113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further strengthened and diversified our Board of Directors with the addition of Nancy Twine, bringing our female board representation to 60%, making us one of only 8% of the Russell 3000 Index companies with gender-balanced boards according to the 50/50 Women on Boards Gender Diversity Directory™.</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Refer to “The COVID-19 Pandemic” for additional information regarding the impacts of the pandemic on fiscal 2021 financial results.</w:t>
      </w:r>
    </w:p>
    <w:p>
      <w:pPr>
        <w:spacing w:after="0" w:line="106"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$540.5 million in fiscal 2022 compared to $468.3 million in fiscal 2021.</w:t>
      </w:r>
    </w:p>
    <w:p>
      <w:pPr>
        <w:spacing w:after="0" w:line="90"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Direct (“VB Direct”) segment sales were $354.9 million in fiscal 2022 compared to $289.3 million in fiscal 2021.</w:t>
      </w:r>
    </w:p>
    <w:p>
      <w:pPr>
        <w:spacing w:after="0" w:line="10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Indirect (“VB Indirect”) segment sales were $66.0 million in fiscal 2022 compared to $66.5 million in fiscal 2021.</w:t>
      </w:r>
    </w:p>
    <w:p>
      <w:pPr>
        <w:spacing w:after="0" w:line="10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segment sales were $119.6 million in fiscal 2022 compared to $112.5 million in fiscal 2021.</w:t>
      </w:r>
    </w:p>
    <w:p>
      <w:pPr>
        <w:spacing w:after="0" w:line="90" w:lineRule="exact"/>
        <w:rPr>
          <w:rFonts w:ascii="Times New Roman" w:cs="Times New Roman" w:eastAsia="Times New Roman" w:hAnsi="Times New Roman"/>
          <w:sz w:val="18"/>
          <w:szCs w:val="18"/>
          <w:color w:val="auto"/>
        </w:rPr>
      </w:pPr>
    </w:p>
    <w:p>
      <w:pPr>
        <w:ind w:left="820" w:right="520" w:hanging="326"/>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$287.9 million (53.3% of net revenue) in fiscal 2022 compared to $265.5 million (56.7% of net revenue) in fiscal 2021. COVID-19-related purchase order cancellations totaled $1.3 million (0.3% of net revenue) during fiscal 2021.</w:t>
      </w:r>
    </w:p>
    <w:p>
      <w:pPr>
        <w:spacing w:after="0" w:line="4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were $262.0 million (48.5% of net revenue) in fiscal 2022 compared to $252.6 million (53.9% of net revenue) in fiscal 2021.</w:t>
      </w:r>
    </w:p>
    <w:p>
      <w:pPr>
        <w:spacing w:after="0" w:line="90" w:lineRule="exact"/>
        <w:rPr>
          <w:rFonts w:ascii="Times New Roman" w:cs="Times New Roman" w:eastAsia="Times New Roman" w:hAnsi="Times New Roman"/>
          <w:sz w:val="18"/>
          <w:szCs w:val="18"/>
          <w:color w:val="auto"/>
        </w:rPr>
      </w:pPr>
    </w:p>
    <w:p>
      <w:pPr>
        <w:ind w:left="1140" w:right="540" w:hanging="322"/>
        <w:spacing w:after="0" w:line="282" w:lineRule="auto"/>
        <w:tabs>
          <w:tab w:leader="none" w:pos="113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2022, SG&amp;A expenses included $3.1 million of Pura Vida intangible asset amortization and $0.1 million of store asset impairment charges.</w:t>
      </w:r>
    </w:p>
    <w:p>
      <w:pPr>
        <w:spacing w:after="0" w:line="40" w:lineRule="exact"/>
        <w:rPr>
          <w:rFonts w:ascii="Times New Roman" w:cs="Times New Roman" w:eastAsia="Times New Roman" w:hAnsi="Times New Roman"/>
          <w:sz w:val="18"/>
          <w:szCs w:val="18"/>
          <w:color w:val="auto"/>
        </w:rPr>
      </w:pPr>
    </w:p>
    <w:p>
      <w:pPr>
        <w:ind w:left="1140" w:right="160" w:hanging="322"/>
        <w:spacing w:after="0" w:line="266" w:lineRule="auto"/>
        <w:tabs>
          <w:tab w:leader="none" w:pos="113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2021, SG&amp;A expenses included $9.2 million of Pura Vida intangible asset amortization and other purchase-related charges; $7.4 million of store asset impairment charges; $2.7 million of charges related to Project Novus; and $0.2 million of COVID-19-related charges.</w:t>
      </w:r>
    </w:p>
    <w:p>
      <w:pPr>
        <w:spacing w:after="0" w:line="5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$26.9 million (5.0% of net revenue) in fiscal 2022 compared to $13.1 million (2.8% of net revenue) in fiscal 2021.</w:t>
      </w:r>
    </w:p>
    <w:p>
      <w:pPr>
        <w:spacing w:after="0" w:line="90" w:lineRule="exact"/>
        <w:rPr>
          <w:rFonts w:ascii="Times New Roman" w:cs="Times New Roman" w:eastAsia="Times New Roman" w:hAnsi="Times New Roman"/>
          <w:sz w:val="18"/>
          <w:szCs w:val="18"/>
          <w:color w:val="auto"/>
        </w:rPr>
      </w:pPr>
    </w:p>
    <w:p>
      <w:pPr>
        <w:ind w:left="1140" w:right="480" w:hanging="322"/>
        <w:spacing w:after="0" w:line="282" w:lineRule="auto"/>
        <w:tabs>
          <w:tab w:leader="none" w:pos="113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2022, operating income included $3.1 million of Pura Vida intangible asset amortization and $0.1 million of store asset impairment charges.</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40" w:hanging="322"/>
        <w:spacing w:after="0"/>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2021, operating income included $9.2 million of Pura Vida intangible amortization and other purchase-related charges;</w:t>
      </w:r>
    </w:p>
    <w:p>
      <w:pPr>
        <w:spacing w:after="0" w:line="27" w:lineRule="exact"/>
        <w:rPr>
          <w:rFonts w:ascii="Times New Roman" w:cs="Times New Roman" w:eastAsia="Times New Roman" w:hAnsi="Times New Roman"/>
          <w:sz w:val="18"/>
          <w:szCs w:val="18"/>
          <w:color w:val="auto"/>
        </w:rPr>
      </w:pPr>
    </w:p>
    <w:p>
      <w:pPr>
        <w:ind w:left="114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million of store asset impairment charges; $2.7 million of charges related to Project Novus; and $1.5 million of COVID-19-related charges.</w:t>
      </w:r>
    </w:p>
    <w:p>
      <w:pPr>
        <w:spacing w:after="0" w:line="4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Vera Bradley, Inc. was $17.8 million in fiscal 2022 compared to $8.7 million in fiscal 2021.</w:t>
      </w:r>
    </w:p>
    <w:p>
      <w:pPr>
        <w:spacing w:after="0" w:line="103" w:lineRule="exact"/>
        <w:rPr>
          <w:rFonts w:ascii="Times New Roman" w:cs="Times New Roman" w:eastAsia="Times New Roman" w:hAnsi="Times New Roman"/>
          <w:sz w:val="18"/>
          <w:szCs w:val="18"/>
          <w:color w:val="auto"/>
        </w:rPr>
      </w:pPr>
    </w:p>
    <w:p>
      <w:pPr>
        <w:ind w:left="1140" w:right="60" w:hanging="322"/>
        <w:spacing w:after="0" w:line="282" w:lineRule="auto"/>
        <w:tabs>
          <w:tab w:leader="none" w:pos="113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2022, net income attributable to Vera Bradley, Inc. included $1.8 million of Pura Vida intangible asset amortization and store impairment charges.</w:t>
      </w:r>
    </w:p>
    <w:p>
      <w:pPr>
        <w:spacing w:after="0" w:line="40" w:lineRule="exact"/>
        <w:rPr>
          <w:rFonts w:ascii="Times New Roman" w:cs="Times New Roman" w:eastAsia="Times New Roman" w:hAnsi="Times New Roman"/>
          <w:sz w:val="18"/>
          <w:szCs w:val="18"/>
          <w:color w:val="auto"/>
        </w:rPr>
      </w:pPr>
    </w:p>
    <w:p>
      <w:pPr>
        <w:ind w:left="1140" w:hanging="322"/>
        <w:spacing w:after="0" w:line="266" w:lineRule="auto"/>
        <w:tabs>
          <w:tab w:leader="none" w:pos="113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2021, net income attributable to Vera Bradley, Inc. included $5.0 million of Pura Vida intangible asset amortization and purchase-related charges; $4.5 million of store asset impairment charges; $2.1 million of charges related to Project Novus; and $1.1 million of COVID-19-related charges.</w:t>
      </w:r>
    </w:p>
    <w:p>
      <w:pPr>
        <w:spacing w:after="0" w:line="40"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share was $0.52 in fiscal 2022 compared to $0.26 in fiscal 2021. The aforementioned charges impacted net income per share by $0.05 and $0.38 in fiscal 2022 and 2021, respectively.</w:t>
      </w:r>
    </w:p>
    <w:p>
      <w:pPr>
        <w:spacing w:after="0" w:line="4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investments were $88.4 million at January 29, 2022 compared to $65.5 million at January 30, 2021.</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fiscal 2022 totaled $5.5 million compared to $5.7 million for fiscal 2021.</w:t>
      </w:r>
    </w:p>
    <w:p>
      <w:pPr>
        <w:spacing w:after="0" w:line="90" w:lineRule="exact"/>
        <w:rPr>
          <w:rFonts w:ascii="Times New Roman" w:cs="Times New Roman" w:eastAsia="Times New Roman" w:hAnsi="Times New Roman"/>
          <w:sz w:val="18"/>
          <w:szCs w:val="18"/>
          <w:color w:val="auto"/>
        </w:rPr>
      </w:pPr>
    </w:p>
    <w:p>
      <w:pPr>
        <w:ind w:left="820" w:right="340" w:hanging="326"/>
        <w:spacing w:after="0" w:line="282"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common stock for fiscal 2022 totaled $7.7 million, or 0.9 million shares, compared to $2.9 million, or 0.4 million shares, in fiscal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factory outlet stores; the Vera Bradley websites verabradley.com and verabradley.ca; and our Vera Bradley online outlet site. There were no sales from our Vera Bradley annual outlet sale in Fort Wayne, Indiana for the past two years as it was cancelled due to the COVID-19 pandemic.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 Vida websites, www.puravidabracelets.com, www.puravidabracelets.eu, and www.puravidabracelets.ca, through the distribution of Pura Vida-branded products to wholesale retailers, and through Pura Vida's first retail store opened in August 2021.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Typically, comparable sales are calculated based upon our stores that have been open for at least 12 full fiscal months and net revenues from our Vera Bradley e-commerce operations. Pura Vida e-commerce operations are included within the Company's comparable sales beginning with the fiscal 2021 third quarter. Pura Vida e-commerce operations include sales from the subscription club.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53" w:lineRule="exact"/>
        <w:rPr>
          <w:sz w:val="20"/>
          <w:szCs w:val="20"/>
          <w:color w:val="auto"/>
        </w:rPr>
      </w:pPr>
    </w:p>
    <w:p>
      <w:pPr>
        <w:ind w:right="560"/>
        <w:spacing w:after="0" w:line="279" w:lineRule="auto"/>
        <w:rPr>
          <w:sz w:val="20"/>
          <w:szCs w:val="20"/>
          <w:color w:val="auto"/>
        </w:rPr>
      </w:pPr>
      <w:r>
        <w:rPr>
          <w:rFonts w:ascii="Times New Roman" w:cs="Times New Roman" w:eastAsia="Times New Roman" w:hAnsi="Times New Roman"/>
          <w:sz w:val="17"/>
          <w:szCs w:val="17"/>
          <w:color w:val="auto"/>
        </w:rPr>
        <w:t>As a result of the temporary closure of all Vera Bradley stores due to COVID-19 during portions of the first and second quarters of fiscal 2021, the Company's fiscal 2022 and fiscal 2021 comparable store sales and comparable sales calculations are not meaningful and therefore are not provided.</w:t>
      </w:r>
    </w:p>
    <w:p>
      <w:pPr>
        <w:spacing w:after="0" w:line="3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Typically, measuring the change in year-over-year comparable sales allows us and our investors to evaluate how our store base and e-commerce operations are performing. Various factors affect our comparable sales, including:</w:t>
      </w:r>
    </w:p>
    <w:p>
      <w:pPr>
        <w:spacing w:after="0" w:line="2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level of promotions;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0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Direct business expenses, such as store expenses, employee compensation, and store occupancy and supply costs;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Indirect business expenses consisting primarily of employee compensation and other expenses associated with sales to Indirect retailers;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business expenses primarily related to employee compensation.</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 SG&amp;A expenses include intangible asset amortization and store impairment charges.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Other income, net primarily includes certain legal settlements and sales tax credits received for timely filings. Fiscal year 2020 included proceeds from the sales of tickets to our annual outlet sale.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0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Operating income is equal to gross profit less SG&amp;A expenses plus net other income. Operating income excludes interest income, interest expense, and 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is equal to operating income plus interest income less interest expense.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is equal to income before income taxes less income tax expense.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Attributable to Redeemable Noncontrolling Interest</w:t>
      </w:r>
    </w:p>
    <w:p>
      <w:pPr>
        <w:spacing w:after="0" w:line="1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income (loss) attributable to redeemable noncontrolling interest represents the operating results of Pura Vida that are not attributable to Vera Bradley, Inc.</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Vera Bradley,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Vera Bradley, Inc. is equal to net income less net income (loss) attributable to redeemable noncontrolling interest.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Pura Vida Acquisition</w:t>
      </w:r>
    </w:p>
    <w:p>
      <w:pPr>
        <w:spacing w:after="0" w:line="94"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On July 16, 2019, the Company completed its acquisition of a seventy-five percent (75%) ownership interest in Creative Genius, Inc. or Pura Vida (the “Transaction”) in exchange for total cash consideration of approximately $75.0 million. During the third quarter of fiscal 2020, the Company provided additional cash consideration of approximately $3.0 million for a working capital adjustment. The Company also received a working capital reimbursement of $1.0 million during the first quarter of fiscal 2021. Additional measurement period adjustments were recorded for conditions that existed as of the acquisition date. Pura Vida, based in La Jolla, California, is a growing, digitally native, and highly engaging lifestyle brand that deeply resonates with its loyal consumer following. The Pura Vida brand has a differentiated and expanding offering of bracelets, jewelry, and other lifestyle accessories. The Company believes that the acquisition strengthened the Company by providing increased product diversification and future growth opportunities partially as a result of resource and knowledge-sharing.</w:t>
      </w:r>
    </w:p>
    <w:p>
      <w:pPr>
        <w:spacing w:after="0" w:line="4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This contingent payment was made during the first quarter of fiscal 2021 totaling $18.7 million. The Company’s existing available cash, cash equivalents, and investments funded the purchase price due at the closing of the Transaction and subsequent to the closing. There were no transaction costs during fiscals 2022 and 2021. Pre-tax transaction costs totaled $2.7 million for fiscal 2020. These costs are recorded within selling, general, and administrative expenses in the Condensed Consolidated Statements of Operations and within corporate unallocated expenses.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Pura Vida has been fully consolidated within our financial statements beginning on July 17, 2019, the first full day following the acquisition. Pura Vida was also added as a reportable segment as a result of the acquisition. Refer to Note 14 to the Notes to the Consolidated Financial Statements herein for additional information regarding the Pura Vida acquisition.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2 to the Notes to the Consolidated Financial Statements herein. Impairment charges of $0.1 million and $7.4 million were recognized in the fiscal years ended January 29, 2022 and January 30, 2021, respectively, for property, plant, and equipment assets and lease right-of-use assets related to underperforming stores and are included in SG&amp;A expenses in the Consolidated Statements of Operations and in impairment charges in the Consolidated Statements of Cash Flows. The impairment charges are included in the VB Direct segment. There were no impairment charges recorded during the fiscal year ended February 1, 2020. The COVID-19 pandemic, including the temporary closure of Vera Bradley retail stores beginning in mid-March of fiscal 2021, significantly impacted the Company's operations and cash flows which was the main driver of the impairment charges in fiscal 2021. We are unable to predict the extent of the impact that the COVID-19 pandemic will have on our operations, the economy, or other factors; therefore, it is possible additional impairments could be identified in future periods, and such amounts could be material.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tables summarize key components of our consolidated results of operations for the last three fiscal years, both in dollars and as a percentage of our net revenues. Fiscal 2020 includes Pura Vida operations beginning on July 17, 2019, the first full business day following the acquisition. Refer to Note 14 to the Notes to Consolidated Financial Statements herein for additional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 xml:space="preserve">Fiscal Year Ended </w:t>
            </w:r>
            <w:r>
              <w:rPr>
                <w:rFonts w:ascii="Times New Roman" w:cs="Times New Roman" w:eastAsia="Times New Roman" w:hAnsi="Times New Roman"/>
                <w:sz w:val="23"/>
                <w:szCs w:val="23"/>
                <w:b w:val="1"/>
                <w:bCs w:val="1"/>
                <w:color w:val="auto"/>
                <w:w w:val="9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20" w:type="dxa"/>
            <w:vAlign w:val="bottom"/>
          </w:tcPr>
          <w:p>
            <w:pPr>
              <w:spacing w:after="0"/>
              <w:rPr>
                <w:sz w:val="11"/>
                <w:szCs w:val="11"/>
                <w:color w:val="auto"/>
              </w:rPr>
            </w:pPr>
          </w:p>
        </w:tc>
        <w:tc>
          <w:tcPr>
            <w:tcW w:w="15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60" w:type="dxa"/>
            <w:vAlign w:val="bottom"/>
          </w:tcPr>
          <w:p>
            <w:pPr>
              <w:spacing w:after="0"/>
              <w:rPr>
                <w:sz w:val="11"/>
                <w:szCs w:val="11"/>
                <w:color w:val="auto"/>
              </w:rPr>
            </w:pPr>
          </w:p>
        </w:tc>
        <w:tc>
          <w:tcPr>
            <w:tcW w:w="1280" w:type="dxa"/>
            <w:vAlign w:val="bottom"/>
          </w:tcPr>
          <w:p>
            <w:pPr>
              <w:jc w:val="right"/>
              <w:ind w:right="331"/>
              <w:spacing w:after="0" w:line="12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4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540,453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468,272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495,212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252,510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202,754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223,411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287,943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265,518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271,801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Selling, general, and administrative expenses </w:t>
            </w:r>
            <w:r>
              <w:rPr>
                <w:rFonts w:ascii="Times New Roman" w:cs="Times New Roman" w:eastAsia="Times New Roman" w:hAnsi="Times New Roman"/>
                <w:sz w:val="23"/>
                <w:szCs w:val="23"/>
                <w:color w:val="auto"/>
                <w:vertAlign w:val="superscript"/>
              </w:rPr>
              <w:t>(2)</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261,993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252,588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253,425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26,911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26,648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11,862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20,559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tax expense </w:t>
            </w:r>
            <w:r>
              <w:rPr>
                <w:rFonts w:ascii="Times New Roman" w:cs="Times New Roman" w:eastAsia="Times New Roman" w:hAnsi="Times New Roman"/>
                <w:sz w:val="23"/>
                <w:szCs w:val="23"/>
                <w:color w:val="auto"/>
                <w:vertAlign w:val="superscript"/>
              </w:rPr>
              <w:t>(3)</w:t>
            </w:r>
          </w:p>
        </w:tc>
        <w:tc>
          <w:tcPr>
            <w:tcW w:w="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20,218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10,689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redeemable noncontrolling interest</w:t>
            </w:r>
          </w:p>
        </w:tc>
        <w:tc>
          <w:tcPr>
            <w:tcW w:w="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16,047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redeemable noncontrolling interest</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9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4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by operating segment, both in dollars and as a percentage of our net revenues, and Vera Bradley full-line and factory outlet store data for the last three fiscal years: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 xml:space="preserve">Fiscal Year Ended </w:t>
            </w:r>
            <w:r>
              <w:rPr>
                <w:rFonts w:ascii="Times New Roman" w:cs="Times New Roman" w:eastAsia="Times New Roman" w:hAnsi="Times New Roman"/>
                <w:sz w:val="23"/>
                <w:szCs w:val="23"/>
                <w:b w:val="1"/>
                <w:bCs w:val="1"/>
                <w:color w:val="auto"/>
                <w:w w:val="97"/>
                <w:vertAlign w:val="superscript"/>
              </w:rPr>
              <w:t>(1)</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as otherwise indicated)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jc w:val="center"/>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89"/>
        </w:trPr>
        <w:tc>
          <w:tcPr>
            <w:tcW w:w="63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354,875</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289,274</w:t>
            </w:r>
          </w:p>
        </w:tc>
        <w:tc>
          <w:tcPr>
            <w:tcW w:w="20" w:type="dxa"/>
            <w:vAlign w:val="bottom"/>
          </w:tcPr>
          <w:p>
            <w:pPr>
              <w:spacing w:after="0"/>
              <w:rPr>
                <w:sz w:val="19"/>
                <w:szCs w:val="19"/>
                <w:color w:val="auto"/>
              </w:rPr>
            </w:pP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347,484</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66,001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66,517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81,811</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119,577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112,481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65,917</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540,453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468,272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495,212</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9"/>
        </w:trPr>
        <w:tc>
          <w:tcPr>
            <w:tcW w:w="6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2"/>
          </w:tcPr>
          <w:p>
            <w:pPr>
              <w:jc w:val="right"/>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jc w:val="center"/>
              <w:ind w:right="194"/>
              <w:spacing w:after="0" w:line="134"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89"/>
        </w:trPr>
        <w:tc>
          <w:tcPr>
            <w:tcW w:w="63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Vera Bradley Store Data </w:t>
            </w:r>
            <w:r>
              <w:rPr>
                <w:rFonts w:ascii="Times New Roman" w:cs="Times New Roman" w:eastAsia="Times New Roman" w:hAnsi="Times New Roman"/>
                <w:sz w:val="23"/>
                <w:szCs w:val="23"/>
                <w:b w:val="1"/>
                <w:bCs w:val="1"/>
                <w:color w:val="auto"/>
                <w:vertAlign w:val="superscript"/>
              </w:rPr>
              <w:t>(4)</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9"/>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Comparable sales (including e-commerce) increase </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397,037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386,028</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(6)</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80" w:right="320" w:hanging="572"/>
        <w:spacing w:after="0" w:line="261" w:lineRule="auto"/>
        <w:tabs>
          <w:tab w:leader="none" w:pos="5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utilizes a 52-53 week fiscal year ending on the Saturday closest to January 31. Fiscal years 2022, 2021, and 2020 consisted of 52 weeks.</w:t>
      </w:r>
    </w:p>
    <w:p>
      <w:pPr>
        <w:ind w:left="580" w:right="300" w:hanging="572"/>
        <w:spacing w:after="0" w:line="250" w:lineRule="auto"/>
        <w:tabs>
          <w:tab w:leader="none" w:pos="5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to underperforming stores, totaled $0.1 million and $7.4 million during the fiscal years ended January 29, 2022 and January 30, 2021, respectively. There were no impairment charges recorded during the fiscal year ended February 1, 2020.</w:t>
      </w:r>
    </w:p>
    <w:p>
      <w:pPr>
        <w:ind w:left="560" w:hanging="552"/>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$2.8 million tax benefit related to the net operating loss carryback provisions of the CARES Act in fiscal 2021.</w:t>
      </w:r>
    </w:p>
    <w:p>
      <w:pPr>
        <w:spacing w:after="0" w:line="9"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factory outlet stores.</w:t>
      </w:r>
    </w:p>
    <w:p>
      <w:pPr>
        <w:spacing w:after="0" w:line="9" w:lineRule="exact"/>
        <w:rPr>
          <w:rFonts w:ascii="Times New Roman" w:cs="Times New Roman" w:eastAsia="Times New Roman" w:hAnsi="Times New Roman"/>
          <w:sz w:val="18"/>
          <w:szCs w:val="18"/>
          <w:color w:val="auto"/>
        </w:rPr>
      </w:pPr>
    </w:p>
    <w:p>
      <w:pPr>
        <w:ind w:left="580" w:right="140" w:hanging="572"/>
        <w:spacing w:after="0" w:line="250" w:lineRule="auto"/>
        <w:tabs>
          <w:tab w:leader="none" w:pos="5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stores that have been open for at least 12 full fiscal months and net revenues from e-commerce operations. Increase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 As a result of Vera Bradley retail stores being temporarily closed for approximately half of the first and second quarters of fiscal 2021, comparable sales were not meaningful and were therefore not provided for fiscal years 2022 and 2021.</w:t>
      </w:r>
    </w:p>
    <w:p>
      <w:pPr>
        <w:spacing w:after="0" w:line="2" w:lineRule="exact"/>
        <w:rPr>
          <w:rFonts w:ascii="Times New Roman" w:cs="Times New Roman" w:eastAsia="Times New Roman" w:hAnsi="Times New Roman"/>
          <w:sz w:val="18"/>
          <w:szCs w:val="18"/>
          <w:color w:val="auto"/>
        </w:rPr>
      </w:pPr>
    </w:p>
    <w:p>
      <w:pPr>
        <w:ind w:left="580" w:hanging="572"/>
        <w:spacing w:after="0" w:line="253" w:lineRule="auto"/>
        <w:tabs>
          <w:tab w:leader="none" w:pos="5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As a result of Vera Bradley retail stores being temporarily closed for approximately half of the first and second quarters of fiscal 2021, average net revenues per gross square foot were not meaningful and were therefore not provided for fiscal year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2022 Compared to Fiscal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2022, net revenues increased $72.2 million, or 15.4%, to $540.5 million, from $468.3 million for fiscal 2021.</w:t>
      </w:r>
    </w:p>
    <w:p>
      <w:pPr>
        <w:spacing w:after="0" w:line="169"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VB Direct. </w:t>
      </w:r>
      <w:r>
        <w:rPr>
          <w:rFonts w:ascii="Times New Roman" w:cs="Times New Roman" w:eastAsia="Times New Roman" w:hAnsi="Times New Roman"/>
          <w:sz w:val="18"/>
          <w:szCs w:val="18"/>
          <w:color w:val="auto"/>
        </w:rPr>
        <w:t>For fiscal 2022, net revenues increased $65.6 million, or 22.7%, to $354.9 million, from $289.3 million for fiscal 2021. The increase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resulted from higher store sales in the current-year since in the prior-year the Company’s stores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temporarily closed, as a result of COVID-19, beginning on March 19, 2020. The stores began to re-open on May 5, 2020 of the prior-year. The increase was partially offset by a decline in mask sales compared to the prior-year period. We also opened six Vera Bradley factory outlet stores over the past 12 months.</w:t>
      </w:r>
    </w:p>
    <w:p>
      <w:pPr>
        <w:spacing w:after="0" w:line="120"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VB Indirect. </w:t>
      </w:r>
      <w:r>
        <w:rPr>
          <w:rFonts w:ascii="Times New Roman" w:cs="Times New Roman" w:eastAsia="Times New Roman" w:hAnsi="Times New Roman"/>
          <w:sz w:val="18"/>
          <w:szCs w:val="18"/>
          <w:color w:val="auto"/>
        </w:rPr>
        <w:t>For fiscal 2022, net revenues decreased $0.5 million, or 0.8%, to $66.0 million, from $66.5 million for fiscal 2021. The decline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 reduction in mask sales compared to the prior-year period, partially offset by an increase in orders from specialty and certain key accounts in other product categories, largely related to the impacts of COVID-19 in the prior-year period.</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Pura Vida</w:t>
      </w:r>
      <w:r>
        <w:rPr>
          <w:rFonts w:ascii="Times New Roman" w:cs="Times New Roman" w:eastAsia="Times New Roman" w:hAnsi="Times New Roman"/>
          <w:sz w:val="18"/>
          <w:szCs w:val="18"/>
          <w:color w:val="auto"/>
        </w:rPr>
        <w:t>. For fiscal 2022, net revenues increased $7.1 million, or 6.3%, to $119.6 million, from $112.5 million for fiscal 2021. Pura Vida wholesale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over the prior-year period, which was impacted by the COVID-19 pandemic. Our marketing effectiveness for the e-commerce channel was negatively impacted by the Apple IDFA update in the current-year period resulting in a decline in e-commerce sales. This update impacted Facebook and Instagram, which have been our primary marketing vehicles.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fiscal 2022, gross profit increased $22.4 million, or 8.4%, to $287.9 million, from $265.5 million for fiscal 2021. As a percentage of net revenues, gross profit decreased to 53.3% for fiscal 2022, from 56.7% for fiscal 2021. Increased shipping expense and incremental expense from the expiration of the GSP duty-free status negatively impacted the gross profit as a percentage of net revenues for the current-year by approximately 145 basis points and 70 basis points, respectively. Higher-margin mask sales benefited the prior-year gross profit as a percentage of net revenues by approximately 200 basis points, which did not recur in the current-year. The prior-year period also included charges for the cancellation of certain purchase orders due to COVID-19, which totaled $1.3 million and negatively impacted gross margin as a percentage of net revenues by 30 basis points.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fiscal 2022, SG&amp;A expenses increased $9.4 million, or 3.7%, to $262.0 million, from $252.6 million for fiscal 2021. As a percentage of net revenues, SG&amp;A expenses were 48.5% and 53.9% for fiscal 2022 and fiscal 2021, respectively. SG&amp;A expenses related to Vera Bradley and corporate unallocated were $205.8 million compared to $194.7 million in the comparable prior-year period. SG&amp;A expenses related to Pura Vida were $56.2 million compared to $57.9 million in the comparable prior-year period. The increase in consolidated SG&amp;A expenses for fiscal 2022 was primarily due to:</w:t>
      </w:r>
    </w:p>
    <w:p>
      <w:pPr>
        <w:spacing w:after="0" w:line="45" w:lineRule="exact"/>
        <w:rPr>
          <w:sz w:val="20"/>
          <w:szCs w:val="20"/>
          <w:color w:val="auto"/>
        </w:rPr>
      </w:pPr>
    </w:p>
    <w:p>
      <w:pPr>
        <w:ind w:left="660" w:right="100" w:hanging="328"/>
        <w:spacing w:after="0" w:line="23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initiatives in the prior-year period to reduce expenses in light of COVID-19 including the temporary furlough of certain associates; temporarily reducing the base compensation for all other salaried associates; certain expense reductions associated with the CARES Act retention credit; and reducing other non-payroll expenses including marketing that did not recur in the current-year period; and</w:t>
      </w:r>
    </w:p>
    <w:p>
      <w:pPr>
        <w:spacing w:after="0" w:line="3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of certain cloud computing costs associated with Project Novus technology enhancements.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increases in SG&amp;A expenses were partially offset by:</w:t>
      </w:r>
    </w:p>
    <w:p>
      <w:pPr>
        <w:spacing w:after="0" w:line="7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$7.3 million of Vera Bradley store impairment charges;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$5.9 million reduction of intangible asset amortization associated with the Pura Vida acquisition;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depreciation expense primarily as a result of legacy software depreciation from the prior-year.</w:t>
      </w:r>
    </w:p>
    <w:p>
      <w:pPr>
        <w:spacing w:after="0" w:line="7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SG&amp;A expenses as a percentage of net revenues decreased primarily due to the aforementioned items, as well as SG&amp;A expense leverage associated with increased sales.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fiscal 2022, net other income increased $0.9 million to $1.0 million, from $0.1 million for fiscal 2021. The increase in net other income was primarily due to legal settlements in the current-year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fiscal 2022, operating income increased $13.8 million, or 106.0%, to $26.9 million from $13.1 million for fiscal 2021. As a percentage of net revenues, operating income was 5.0% and 2.8% for fiscal 2022 and fiscal 2021, respectively. Operating income increased due to the factors described above.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our operating income (in thousands).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4"/>
        </w:trPr>
        <w:tc>
          <w:tcPr>
            <w:tcW w:w="5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2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300" w:type="dxa"/>
            <w:vAlign w:val="bottom"/>
          </w:tcPr>
          <w:p>
            <w:pPr>
              <w:spacing w:after="0"/>
              <w:rPr>
                <w:sz w:val="15"/>
                <w:szCs w:val="15"/>
                <w:color w:val="auto"/>
              </w:rPr>
            </w:pPr>
          </w:p>
        </w:tc>
        <w:tc>
          <w:tcPr>
            <w:tcW w:w="112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9"/>
        </w:trPr>
        <w:tc>
          <w:tcPr>
            <w:tcW w:w="5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51.5 %</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Unallocated corporate expenses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106.0 %</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fiscal 2022, operating income increased $25.0 million, or 51.5%. As a percentage of VB Direct segment net revenues, operating income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VB Direct segment was 20.7% and 16.8% for fiscals 2022 and 2021, respectively. The increase in operating income as a percentage of VB Direct segment net revenues was primarily due to SG&amp;A expense leverage associated with increased sales, partially offset by a decrease in gross margin as a percentage of net revenues as described above and COVID-19-related expense savings from the prior-year period that did not recur. The increase in SG&amp;A expenses caused by the COVID-19-related savings from the prior-year period that did not recur were partially offset by a reduction in store impairment charges and depreciation expense.</w:t>
      </w:r>
    </w:p>
    <w:p>
      <w:pPr>
        <w:spacing w:after="0" w:line="12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fiscal 2022, operating income decreased $4.2 million, or 17.1%. As a percentage of VB Indirect segment net revenues, operating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VB Indirect segment was 30.8% and 36.8% for fiscals 2022 and 2021, respectively. The decrease in operating income as a percentage of VB Indirect segment net revenues was primarily due to a decrease in gross margin as a percentage of net revenues as described above, partially offset by a decrease in the bad debt provision compared to the prior-year period.</w:t>
      </w:r>
    </w:p>
    <w:p>
      <w:pPr>
        <w:spacing w:after="0" w:line="12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fiscal 2022, operating income increased $1.5 million, or 18.5%. As a percentage of Pura Vida segment net revenues, operating income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Pura Vida segment was 8.0% and 7.1% for fiscals 2022 and 2021, respectively. The increase in operating income as a percentage of Pura Vida net revenues was primarily due to SG&amp;A expense leverage associated with increased sales and a decrease in the intangible asset amortization expense compared to the prior-year period, partially offset by a decrease in gross margin as a percentage of net revenues partly due to channel mix changes as a result of the impact of the COVID-19 pandemic on wholesale sales in the prior-year period.</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fiscal 2022, unallocated expenses increased $8.4 million, or 12.4% to $76.4 million from $68.0 million in the prior-year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The increase in unallocated expenses was primarily due to prior-year period initiatives to reduce expenses in light of COVID-19 that did not recur in the current-year including the temporary furlough of certain associates; temporarily reducing the base compensation for all other salaried associates; and reducing other non-payroll expenses including marketing, as well as amortization expense associated with certain cloud computing costs for Project Novus technology enhancements. These increases in SG&amp;A expense were partially offset by a decrease in depreciation expense, as described above.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0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For fiscal 2022, net interest expense totaled $0.3 million compared to net interest expense of $1.2 million in fiscal 2021. Interest expense decreased primarily due to borrowings under the Company's credit agreement during the prior-year period that did not recur in the current-year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0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For fiscal 2022, we recorded income tax expense of $6.4 million at an effective tax rate of 24.1%, compared to income tax expense of $1.2 million at an effective tax rate of 9.9% for fiscal 2021. The effective tax rate increased primarily due to the relative impact of permanent and discrete items in the current-year period compared to the prior-year period, primarily as a result of stock-based compensation, and the relative impact of a $2.8 million tax benefit related to the net operating loss carryback provisions of the CARES Act in the prior-year that did not recur.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2022, net income increased $9.5 million, or 89.1%, to $20.2 million from $10.7 million in fiscal 2021 due to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Redeemable Noncontrolling Interest</w:t>
      </w:r>
    </w:p>
    <w:p>
      <w:pPr>
        <w:spacing w:after="0" w:line="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fiscal 2022, net income attributable to redeemable noncontrolling interest was $2.4 million compared to $2.0 million in the prior-year period. This represents the allocation of the Pura Vida net income to the noncontrolling interest. The change in net income was due to the factors described above in the Pura Vida operating segment.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Vera Bradley, Inc.</w:t>
      </w:r>
    </w:p>
    <w:p>
      <w:pPr>
        <w:spacing w:after="0" w:line="10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fiscal 2022, net income attributable to Vera Bradley, Inc. increased $9.1 million to $17.8 million from $8.7 million in fiscal 2021 due to the factors described in the captions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2021 Compared to Fiscal 2020</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filed with the SEC on March 30, 2021, for a comparison of fiscal 2021 to fiscal 2020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investments, and cash flow from operations. We also have access to additional liquidity, if needed, through borrowings under our $75.0 million asset-based revolving credit agreement (the “Credit Agreement”) which was entered into on September 7, 2018. There was no debt outstanding as of January 29, 2022.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33"/>
        </w:trPr>
        <w:tc>
          <w:tcPr>
            <w:tcW w:w="6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40" w:type="dxa"/>
            <w:vAlign w:val="bottom"/>
          </w:tcPr>
          <w:p>
            <w:pPr>
              <w:spacing w:after="0"/>
              <w:rPr>
                <w:sz w:val="11"/>
                <w:szCs w:val="11"/>
                <w:color w:val="auto"/>
              </w:rPr>
            </w:pPr>
          </w:p>
        </w:tc>
        <w:tc>
          <w:tcPr>
            <w:tcW w:w="1200" w:type="dxa"/>
            <w:vAlign w:val="bottom"/>
          </w:tcPr>
          <w:p>
            <w:pPr>
              <w:jc w:val="center"/>
              <w:ind w:right="157"/>
              <w:spacing w:after="0" w:line="134"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6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color w:val="auto"/>
              </w:rPr>
              <w:t>20,702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rPr>
              <w:t>20,624</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left="559"/>
              <w:spacing w:after="0"/>
              <w:rPr>
                <w:sz w:val="20"/>
                <w:szCs w:val="20"/>
                <w:color w:val="auto"/>
              </w:rPr>
            </w:pPr>
            <w:r>
              <w:rPr>
                <w:rFonts w:ascii="Times New Roman" w:cs="Times New Roman" w:eastAsia="Times New Roman" w:hAnsi="Times New Roman"/>
                <w:sz w:val="18"/>
                <w:szCs w:val="18"/>
                <w:color w:val="auto"/>
              </w:rPr>
              <w:t>17,680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left="437"/>
              <w:spacing w:after="0"/>
              <w:rPr>
                <w:sz w:val="20"/>
                <w:szCs w:val="20"/>
                <w:color w:val="auto"/>
              </w:rPr>
            </w:pPr>
            <w:r>
              <w:rPr>
                <w:rFonts w:ascii="Times New Roman" w:cs="Times New Roman" w:eastAsia="Times New Roman" w:hAnsi="Times New Roman"/>
                <w:sz w:val="18"/>
                <w:szCs w:val="18"/>
                <w:color w:val="auto"/>
                <w:w w:val="97"/>
              </w:rPr>
              <w:t>(69,966)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39"/>
              <w:spacing w:after="0"/>
              <w:rPr>
                <w:sz w:val="20"/>
                <w:szCs w:val="20"/>
                <w:color w:val="auto"/>
              </w:rPr>
            </w:pPr>
            <w:r>
              <w:rPr>
                <w:rFonts w:ascii="Times New Roman" w:cs="Times New Roman" w:eastAsia="Times New Roman" w:hAnsi="Times New Roman"/>
                <w:sz w:val="18"/>
                <w:szCs w:val="18"/>
                <w:color w:val="auto"/>
                <w:w w:val="97"/>
              </w:rPr>
              <w:t>(24,146)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37"/>
              <w:spacing w:after="0"/>
              <w:rPr>
                <w:sz w:val="20"/>
                <w:szCs w:val="20"/>
                <w:color w:val="auto"/>
              </w:rPr>
            </w:pPr>
            <w:r>
              <w:rPr>
                <w:rFonts w:ascii="Times New Roman" w:cs="Times New Roman" w:eastAsia="Times New Roman" w:hAnsi="Times New Roman"/>
                <w:sz w:val="18"/>
                <w:szCs w:val="18"/>
                <w:color w:val="auto"/>
                <w:w w:val="97"/>
              </w:rPr>
              <w:t>(14,285)</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0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income adjusted for non-cash items, including depreciation, amortization, impairment charges, deferred taxes, and stock-based compensation; and the effect of changes in assets and liabilities.</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$39.9 million during fiscal 2022, as compared to $20.7 million during fiscal 2021. The increase in cash provided by operating activities was primarily related to the change in assets and liabilities. The increase in net income of $9.5 million was offset by the change in non-cash items. Changes in assets and liabilities resulting in a source of cash were primarily related to:</w:t>
      </w:r>
    </w:p>
    <w:p>
      <w:pPr>
        <w:spacing w:after="0" w:line="27" w:lineRule="exact"/>
        <w:rPr>
          <w:sz w:val="20"/>
          <w:szCs w:val="20"/>
          <w:color w:val="auto"/>
        </w:rPr>
      </w:pPr>
    </w:p>
    <w:p>
      <w:pPr>
        <w:ind w:left="660" w:right="58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trade accounts receivable collections, mostly due to the impact of COVID-19 on the prior-year period, partially offset by an increase in Pura Vida accounts receivable as a result of increased wholesale sales;</w:t>
      </w:r>
    </w:p>
    <w:p>
      <w:pPr>
        <w:spacing w:after="0" w:line="41"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inventory receipts compared to the prior-year, partially offset by an increase in in-transit inventory due to industry-wide shipping delays;</w:t>
      </w:r>
    </w:p>
    <w:p>
      <w:pPr>
        <w:spacing w:after="0" w:line="4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prepaid deposits related to Pura Vida inventory purchases and lower payments related to Project Novus expenditures compared to the prior-year; and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right="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income tax receivable due to timing of payments and income compared to the prior-year, which included a benefit associated with the net operating loss carryback provisions of the CARES Act.</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Changes in assets and liabilities resulting in a use of cash primarily related to operating leases mostly as a result of payment deferrals in the prior-year, timing of payments, a decrease in rent abatements compared to the prior-year, and store 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10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Investing activities consisted primarily of investments and capital expenditures related to new store openings, buildings, operational equipment, and information technology investments, as well as the Pura Vida acquisition.</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$4.2 million in fiscal 2022, compared to net cash provided by investing activities of $17.7 million in fiscal 2021. The increase in cash used in investing activities was primarily a result of proceeds from investment activity in the prior-year period that did not recur in the current-year period.</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Capital expenditures for fiscal 2023 are expected to be approximately $10.0 million to $12.0 million related to planned investments associated with new Vera Bradley factory and Pura Vida store locations and technology and logistics enhancements.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$11.4 million in fiscal 2022 compared to $24.1 million in fiscal 2021. The decrease in cash used in financing activities was primarily due to the $18.7 million payment of contingent consideration associated with the July 2019 acquisition of Pura Vida in the prior-year, partially offset by incremental common stock repurchases of $4.7 million.</w:t>
      </w:r>
    </w:p>
    <w:p>
      <w:pPr>
        <w:spacing w:after="0" w:line="29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filed with the SEC on March 30, 2021, for a comparison of fiscal 2021 to fiscal 2020 cash flow activity.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 The Company was in compliance with these covenants as of January 29, 2022.</w:t>
      </w:r>
    </w:p>
    <w:p>
      <w:pPr>
        <w:spacing w:after="0" w:line="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Credit Agreement also requires the loan parties, as defined in the Credit Agreement, to maintain a minimum fixed charge coverage ratio of 1.00 to 1.00 during periods when borrowing availability is less than the greater of (A) $7.5 million, and (B)</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10% of the lesser of (i) the aggregate revolving commitment, and (ii) the borrowing base. The fixed charge coverage ratio, availability, aggregate revolving commitment, and the borrowing base are further defined in the Credit Agreement.</w:t>
      </w:r>
    </w:p>
    <w:p>
      <w:pPr>
        <w:spacing w:after="0" w:line="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commitments made under the Credit Agreement mature on September 7, 2023.</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include the following:</w:t>
      </w:r>
    </w:p>
    <w:p>
      <w:pPr>
        <w:spacing w:after="0" w:line="90" w:lineRule="exact"/>
        <w:rPr>
          <w:sz w:val="20"/>
          <w:szCs w:val="20"/>
          <w:color w:val="auto"/>
        </w:rPr>
      </w:pPr>
    </w:p>
    <w:p>
      <w:pPr>
        <w:ind w:left="660" w:right="48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Put/Call Agreement associated with the July 2019 acquisition of Pura Vida, further described in Note 2 to the Notes to the Consolidated Financial Statements herein;</w:t>
      </w:r>
    </w:p>
    <w:p>
      <w:pPr>
        <w:spacing w:after="0" w:line="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as disclosed further in Note 4 to the Notes to the Consolidated Financial Statements herein;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 commitments primarily related to inventory purchases;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cash incentives, benefits, and other employee-related costs;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capital expenditures;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payments;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supply and service agreements entered into as part of our normal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be subject to additional material cash requirements that are contingent upon certain events that have not yet occurred.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financing or unconsolidated special purpose entities.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1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 consolidated financial statements, however, have not been materially impacted by such variances. More information on all of our significant accounting policies can be found in Note 2, “Summary of Significant Accounting Policies,”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sales 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shrinkage provision accordingly.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balance of inventory adjustments was $0.6 million and $0.7 million for these matters as of the fiscal years ended January 29, 2022, and January 30, 2021, respectively. The balance related primarily to certain collections being discontinued or currently discontinued by the Vera Bradley brand and retired patterns. We have the ability to move retired finished goods through a number of channels, including our Vera Bradley websites and online outlet site, factory outlet stores, and through third-party liquidators as needed.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Long-lived Assets</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Property, plant, and equipment and operating right-of-use assets are reviewed for impairment whenever events or changes in circumstances indicate that the carrying amount of an asset group may not be recoverable. In evaluating an asset group for recoverability, we estimate the future cash flows expected to result from the use of the asset group at the store level, the lowest identifiable level of cash flow, if applicable. If the sum of the estimated undiscounted future cash flows related to the asset group is less than the carrying value, we recognize a loss equal to the difference between the carrying value and the fair value, usually determined by an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classified in SG&amp;A expenses and were $0.1 million and $7.4 million for the periods ended January 29, 2022 and January 30, 2021, respectively. There were no impairment charges recorded for the period ended February 1, 2020.</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10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The Company tests goodwill for impairment annually, or more frequently if events or changes in circumstances indicate that goodwill may be impaired. The Company may first use a qualitative analysis to assess whether it is more-likely-than-not that the fair value of the reporting unit (including goodwill) is less than its carrying value. This qualitative analysis may include, but is not limited to: macroeconomic factors; industry and market considerations; cost factors that have a negative effect on earnings and cash flows; entity specific factors; a change in the composition or carrying amount of the reporting unit’s net assets; and a sustained decrease in stock price. If it is determined that it is more-likely-than-not that the fair value is less than the carrying value after this analysis, a quantitative impairment test is performed.</w:t>
      </w:r>
    </w:p>
    <w:p>
      <w:pPr>
        <w:spacing w:after="0" w:line="4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If we elect to bypass the qualitative assessment for the reporting unit, or if a qualitative assessment indicates it is more likely than not that the estimated carrying value of the reporting unit exceeds its fair value, we perform a quantitative goodwill impairment test. Under the quantitative test, the fair value of the reporting unit is compared with its carrying value (including goodwill). If the carrying value of the reporting unit exceeds its fair value, an impairment loss is recognized in an amount equal to that excess, limited to the total amount of goodwill allocated to the reporting unit. The fair value of the reporting unit is determined using an income-based approach and a market-based approach.</w:t>
      </w:r>
    </w:p>
    <w:p>
      <w:pPr>
        <w:spacing w:after="0" w:line="6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 income approach estimates fair value of the reporting unit using a discounted cash flow model that involves subjective estimates and assumptions such as projected revenue growth, operating profit, and the discount rate. Under the market approach, the Company may use the guideline public company method and/or the guideline transaction method to estimate fair value of the reporting unit. The guideline public company method uses market multiples derived from market prices of stocks of companies that are engaged in the same or similar lines of business as the reporting unit. The guideline transaction method employs transaction multiples derived from the acquisition of controlling interests in stocks of companies that are engaged in the same or similar lines of business as the reporting unit.</w:t>
      </w:r>
    </w:p>
    <w:p>
      <w:pPr>
        <w:spacing w:after="0" w:line="62"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7"/>
          <w:szCs w:val="17"/>
          <w:color w:val="auto"/>
        </w:rPr>
        <w:t>As of January 29, 2022, the Company had recorded $44.3 million of goodwill which was allocated to the Pura Vida reporting unit. For the annual goodwill impairment analysis performed during fiscal 2022, we performed a quantitative analysis. No impairment was recorded for goodwill during fiscal 2022.</w:t>
      </w:r>
    </w:p>
    <w:p>
      <w:pPr>
        <w:spacing w:after="0" w:line="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Our indefinite-lived intangible asset represents the Pura Vida brand. We test the Pura Vida brand for impairment annually, or more frequently if events or changes in circumstances indicate that the asset may be impaired. Our annual impairment test may be completed through a qualitative assessment to determine if the fair value of the Pura Vida brand is more likely than not greater than the carrying amount. If we elect to bypass the qualitative assessment, or if a qualitative assessment indicates it is more likely than not that the estimated carrying value exceeds the fair value, we test for impairment using a quantitative process. Our quantitative process includes comparing the carrying value to the fair value of the Pura Vida brand, with any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spacing w:after="0" w:line="296" w:lineRule="auto"/>
        <w:rPr>
          <w:sz w:val="20"/>
          <w:szCs w:val="20"/>
          <w:color w:val="auto"/>
        </w:rPr>
      </w:pPr>
      <w:r>
        <w:rPr>
          <w:rFonts w:ascii="Times New Roman" w:cs="Times New Roman" w:eastAsia="Times New Roman" w:hAnsi="Times New Roman"/>
          <w:sz w:val="17"/>
          <w:szCs w:val="17"/>
          <w:color w:val="auto"/>
        </w:rPr>
        <w:t>excess recognized as an impairment loss. Fair value is estimated using a relief-from-royalty method. The estimates and assumptions used in the determination of the fair value of the Pura Vida brand include the projected revenue growth, long-term growth rate, the royalty rate, and discount rate.</w:t>
      </w:r>
    </w:p>
    <w:p>
      <w:pPr>
        <w:spacing w:after="0" w:line="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January 29, 2022, the carrying value of the Pura Vida brand was $36.7 million. For the annual impairment analysis performed during fiscal 2022, we performed a quantitative analysis. No impairment was recorded for the Pura Vida brand during fiscal 2022.</w:t>
      </w:r>
    </w:p>
    <w:p>
      <w:pPr>
        <w:spacing w:after="0" w:line="4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estimated fair values of our Pura Vida reporting unit and the Pura Vida brand are subject to change as a result of many factors including changing economic conditions. Should actual cash flows and our future estimates deteriorate from the estimates we used, impairment charges may be necessary in future years.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Item 13, “Certain Relationships and Related Transactions, and Director Independence,” of this report for information regarding transactions with related parties.</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9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are subject to interest rate risk in connection with borrowings under our asset-based revolving credit agreement (the “Credit Agreement”). The Credit Agreement allows for a revolving credit commitment of $75.0 million, bearing interest at a variable rate, based on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w:t>
      </w:r>
    </w:p>
    <w:p>
      <w:pPr>
        <w:spacing w:after="0" w:line="3" w:lineRule="exact"/>
        <w:rPr>
          <w:sz w:val="20"/>
          <w:szCs w:val="20"/>
          <w:color w:val="auto"/>
        </w:rPr>
      </w:pPr>
    </w:p>
    <w:p>
      <w:pPr>
        <w:ind w:right="20" w:firstLine="8"/>
        <w:spacing w:after="0" w:line="253" w:lineRule="auto"/>
        <w:tabs>
          <w:tab w:leader="none" w:pos="2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Assuming borrowings available under the Credit Agreement are fully extended at $75.0 million, each quarter point increase or decrease in the interest rate would change our annual interest expense by approximately $0.2 million.</w:t>
      </w:r>
    </w:p>
    <w:p>
      <w:pPr>
        <w:spacing w:after="0" w:line="65"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In addition, the Financial Conduct Authority (the authority that regulates LIBOR) began to phase out LIBOR by the end of 2021 and announced that it would completely phase out LIBOR by June 30, 2023. Assuming LIBOR ceases to exist, we may need to re-negotiate certain agreements and we cannot predict what alternative index would be negotiated with our lenders or the resulting impact on our interest expense.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Rate Risk</w:t>
      </w:r>
    </w:p>
    <w:p>
      <w:pPr>
        <w:spacing w:after="0" w:line="9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source a majority of our finished goods from various suppliers primarily in Cambodia, Vietnam, Indonesia, El Salvador, and China. Substantially all purchases and sales involving foreign persons are denominated in U.S. dollars, and therefore we do not hedge using any derivative instruments. Historically, we have not been impacted materially by changes in exchange rates.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0340" w:type="dxa"/>
            <w:vAlign w:val="bottom"/>
            <w:gridSpan w:val="11"/>
          </w:tcPr>
          <w:p>
            <w:pPr>
              <w:spacing w:after="0"/>
              <w:rPr>
                <w:rFonts w:ascii="Times New Roman" w:cs="Times New Roman" w:eastAsia="Times New Roman" w:hAnsi="Times New Roman"/>
                <w:sz w:val="18"/>
                <w:szCs w:val="18"/>
                <w:b w:val="1"/>
                <w:bCs w:val="1"/>
                <w:color w:val="0000FF"/>
              </w:rPr>
            </w:pPr>
            <w:hyperlink w:anchor="page3">
              <w:r>
                <w:rPr>
                  <w:rFonts w:ascii="Times New Roman" w:cs="Times New Roman" w:eastAsia="Times New Roman" w:hAnsi="Times New Roman"/>
                  <w:sz w:val="18"/>
                  <w:szCs w:val="18"/>
                  <w:b w:val="1"/>
                  <w:bCs w:val="1"/>
                  <w:color w:val="0000FF"/>
                </w:rPr>
                <w:t>Table of Contents</w:t>
              </w:r>
            </w:hyperlink>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03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160" w:type="dxa"/>
            <w:vAlign w:val="bottom"/>
            <w:gridSpan w:val="7"/>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160" w:type="dxa"/>
            <w:vAlign w:val="bottom"/>
            <w:gridSpan w:val="7"/>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0320" w:type="dxa"/>
            <w:vAlign w:val="bottom"/>
            <w:gridSpan w:val="10"/>
          </w:tcPr>
          <w:p>
            <w:pPr>
              <w:spacing w:after="0"/>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 xml:space="preserve">Reports of Independent Registered Public Accounting Firm (PCAOB ID </w:t>
              </w:r>
            </w:hyperlink>
            <w:r>
              <w:rPr>
                <w:rFonts w:ascii="Times New Roman" w:cs="Times New Roman" w:eastAsia="Times New Roman" w:hAnsi="Times New Roman"/>
                <w:sz w:val="18"/>
                <w:szCs w:val="18"/>
                <w:color w:val="000000"/>
              </w:rPr>
              <w:t>34</w:t>
            </w:r>
            <w:hyperlink w:anchor="page53">
              <w:r>
                <w:rPr>
                  <w:rFonts w:ascii="Times New Roman" w:cs="Times New Roman" w:eastAsia="Times New Roman" w:hAnsi="Times New Roman"/>
                  <w:sz w:val="18"/>
                  <w:szCs w:val="18"/>
                  <w:u w:val="single" w:color="auto"/>
                  <w:color w:val="0000FF"/>
                </w:rPr>
                <w:t>)</w:t>
              </w:r>
            </w:hyperlink>
          </w:p>
        </w:tc>
        <w:tc>
          <w:tcPr>
            <w:tcW w:w="900" w:type="dxa"/>
            <w:vAlign w:val="bottom"/>
          </w:tcPr>
          <w:p>
            <w:pPr>
              <w:jc w:val="right"/>
              <w:spacing w:after="0"/>
              <w:rPr>
                <w:rFonts w:ascii="Times New Roman" w:cs="Times New Roman" w:eastAsia="Times New Roman" w:hAnsi="Times New Roman"/>
                <w:sz w:val="18"/>
                <w:szCs w:val="18"/>
                <w:color w:val="auto"/>
              </w:rPr>
            </w:pPr>
            <w:hyperlink w:anchor="page53">
              <w:r>
                <w:rPr>
                  <w:rFonts w:ascii="Times New Roman" w:cs="Times New Roman" w:eastAsia="Times New Roman" w:hAnsi="Times New Roman"/>
                  <w:sz w:val="18"/>
                  <w:szCs w:val="18"/>
                  <w:color w:val="auto"/>
                </w:rPr>
                <w:t>53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56">
              <w:r>
                <w:rPr>
                  <w:rFonts w:ascii="Times New Roman" w:cs="Times New Roman" w:eastAsia="Times New Roman" w:hAnsi="Times New Roman"/>
                  <w:sz w:val="18"/>
                  <w:szCs w:val="18"/>
                  <w:color w:val="0000FF"/>
                  <w:w w:val="99"/>
                </w:rPr>
                <w:t>Consolidated Balance Sheets as of January 29, 2022, and January 30, 2021,</w:t>
              </w:r>
            </w:hyperlink>
          </w:p>
        </w:tc>
        <w:tc>
          <w:tcPr>
            <w:tcW w:w="4880" w:type="dxa"/>
            <w:vAlign w:val="bottom"/>
            <w:gridSpan w:val="5"/>
          </w:tcPr>
          <w:p>
            <w:pPr>
              <w:spacing w:after="0"/>
              <w:rPr>
                <w:sz w:val="18"/>
                <w:szCs w:val="18"/>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56</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10"/>
          </w:tcPr>
          <w:p>
            <w:pPr>
              <w:spacing w:after="0"/>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Consolidated Statements of Operations for the fiscal years ended January 29, 2022, January 30, 2021, and February 1, 2020</w:t>
              </w:r>
            </w:hyperlink>
          </w:p>
        </w:tc>
        <w:tc>
          <w:tcPr>
            <w:tcW w:w="900" w:type="dxa"/>
            <w:vAlign w:val="bottom"/>
          </w:tcPr>
          <w:p>
            <w:pPr>
              <w:jc w:val="right"/>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57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57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20" w:type="dxa"/>
            <w:vAlign w:val="bottom"/>
            <w:gridSpan w:val="10"/>
          </w:tcPr>
          <w:p>
            <w:pPr>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Consolidated Statements of Comprehensive Income for the fiscal years ended January 29, 2022, January 30, 2021, and February 1,</w:t>
              </w:r>
            </w:hyperlink>
          </w:p>
        </w:tc>
        <w:tc>
          <w:tcPr>
            <w:tcW w:w="900" w:type="dxa"/>
            <w:vAlign w:val="bottom"/>
            <w:vMerge w:val="restart"/>
          </w:tcPr>
          <w:p>
            <w:pPr>
              <w:jc w:val="right"/>
              <w:spacing w:after="0"/>
              <w:rPr>
                <w:rFonts w:ascii="Times New Roman" w:cs="Times New Roman" w:eastAsia="Times New Roman" w:hAnsi="Times New Roman"/>
                <w:sz w:val="18"/>
                <w:szCs w:val="18"/>
                <w:color w:val="auto"/>
              </w:rPr>
            </w:pPr>
            <w:hyperlink w:anchor="page58">
              <w:r>
                <w:rPr>
                  <w:rFonts w:ascii="Times New Roman" w:cs="Times New Roman" w:eastAsia="Times New Roman" w:hAnsi="Times New Roman"/>
                  <w:sz w:val="18"/>
                  <w:szCs w:val="18"/>
                  <w:color w:val="auto"/>
                </w:rPr>
                <w:t>58</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w:anchor="page58">
              <w:r>
                <w:rPr>
                  <w:rFonts w:ascii="Times New Roman" w:cs="Times New Roman" w:eastAsia="Times New Roman" w:hAnsi="Times New Roman"/>
                  <w:sz w:val="18"/>
                  <w:szCs w:val="18"/>
                  <w:color w:val="0000FF"/>
                  <w:w w:val="94"/>
                </w:rPr>
                <w:t>2020</w:t>
              </w:r>
            </w:hyperlink>
          </w:p>
        </w:tc>
        <w:tc>
          <w:tcPr>
            <w:tcW w:w="98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2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59">
              <w:r>
                <w:rPr>
                  <w:rFonts w:ascii="Times New Roman" w:cs="Times New Roman" w:eastAsia="Times New Roman" w:hAnsi="Times New Roman"/>
                  <w:sz w:val="18"/>
                  <w:szCs w:val="18"/>
                  <w:color w:val="0000FF"/>
                  <w:w w:val="99"/>
                </w:rPr>
                <w:t>Consolidated Statements of Shareholders’ Equity for the fiscal years ended January 29, 2022, January 30, 2021, and February 1, 2020</w:t>
              </w:r>
            </w:hyperlink>
          </w:p>
        </w:tc>
        <w:tc>
          <w:tcPr>
            <w:tcW w:w="680" w:type="dxa"/>
            <w:vAlign w:val="bottom"/>
          </w:tcPr>
          <w:p>
            <w:pPr>
              <w:spacing w:after="0"/>
              <w:rPr>
                <w:sz w:val="18"/>
                <w:szCs w:val="18"/>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59">
              <w:r>
                <w:rPr>
                  <w:rFonts w:ascii="Times New Roman" w:cs="Times New Roman" w:eastAsia="Times New Roman" w:hAnsi="Times New Roman"/>
                  <w:sz w:val="18"/>
                  <w:szCs w:val="18"/>
                  <w:color w:val="auto"/>
                </w:rPr>
                <w:t>59</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320" w:type="dxa"/>
            <w:vAlign w:val="bottom"/>
            <w:gridSpan w:val="10"/>
          </w:tcPr>
          <w:p>
            <w:pPr>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Consolidated Statements of Cash Flows for the fiscal years ended January 29, 2022, January 30, 2021, and February 1, 2020</w:t>
              </w:r>
            </w:hyperlink>
          </w:p>
        </w:tc>
        <w:tc>
          <w:tcPr>
            <w:tcW w:w="900" w:type="dxa"/>
            <w:vAlign w:val="bottom"/>
          </w:tcPr>
          <w:p>
            <w:pPr>
              <w:jc w:val="right"/>
              <w:spacing w:after="0"/>
              <w:rPr>
                <w:rFonts w:ascii="Times New Roman" w:cs="Times New Roman" w:eastAsia="Times New Roman" w:hAnsi="Times New Roman"/>
                <w:sz w:val="18"/>
                <w:szCs w:val="18"/>
                <w:color w:val="auto"/>
              </w:rPr>
            </w:pPr>
            <w:hyperlink w:anchor="page60">
              <w:r>
                <w:rPr>
                  <w:rFonts w:ascii="Times New Roman" w:cs="Times New Roman" w:eastAsia="Times New Roman" w:hAnsi="Times New Roman"/>
                  <w:sz w:val="18"/>
                  <w:szCs w:val="18"/>
                  <w:color w:val="auto"/>
                </w:rPr>
                <w:t>60</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62">
              <w:r>
                <w:rPr>
                  <w:rFonts w:ascii="Times New Roman" w:cs="Times New Roman" w:eastAsia="Times New Roman" w:hAnsi="Times New Roman"/>
                  <w:sz w:val="18"/>
                  <w:szCs w:val="18"/>
                  <w:color w:val="0000FF"/>
                  <w:w w:val="99"/>
                </w:rPr>
                <w:t>Notes to Consolidated Financial Statements</w:t>
              </w:r>
            </w:hyperlink>
          </w:p>
        </w:tc>
        <w:tc>
          <w:tcPr>
            <w:tcW w:w="5800" w:type="dxa"/>
            <w:vAlign w:val="bottom"/>
            <w:tcBorders>
              <w:top w:val="single" w:sz="8" w:color="0000FF"/>
            </w:tcBorders>
            <w:gridSpan w:val="4"/>
          </w:tcPr>
          <w:p>
            <w:pPr>
              <w:spacing w:after="0"/>
              <w:rPr>
                <w:sz w:val="18"/>
                <w:szCs w:val="18"/>
                <w:color w:val="auto"/>
              </w:rPr>
            </w:pPr>
          </w:p>
        </w:tc>
        <w:tc>
          <w:tcPr>
            <w:tcW w:w="1360" w:type="dxa"/>
            <w:vAlign w:val="bottom"/>
            <w:gridSpan w:val="3"/>
          </w:tcPr>
          <w:p>
            <w:pPr>
              <w:spacing w:after="0"/>
              <w:rPr>
                <w:sz w:val="18"/>
                <w:szCs w:val="18"/>
                <w:color w:val="auto"/>
              </w:rPr>
            </w:pPr>
          </w:p>
        </w:tc>
        <w:tc>
          <w:tcPr>
            <w:tcW w:w="900" w:type="dxa"/>
            <w:vAlign w:val="bottom"/>
          </w:tcPr>
          <w:p>
            <w:pPr>
              <w:jc w:val="right"/>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62</w:t>
              </w:r>
            </w:hyperlink>
          </w:p>
        </w:tc>
        <w:tc>
          <w:tcPr>
            <w:tcW w:w="0" w:type="dxa"/>
            <w:vAlign w:val="bottom"/>
          </w:tcPr>
          <w:p>
            <w:pPr>
              <w:spacing w:after="0"/>
              <w:rPr>
                <w:sz w:val="1"/>
                <w:szCs w:val="1"/>
                <w:color w:val="auto"/>
              </w:rPr>
            </w:pPr>
          </w:p>
        </w:tc>
      </w:tr>
      <w:tr>
        <w:trPr>
          <w:trHeight w:val="885"/>
        </w:trPr>
        <w:tc>
          <w:tcPr>
            <w:tcW w:w="8920" w:type="dxa"/>
            <w:vAlign w:val="bottom"/>
            <w:gridSpan w:val="7"/>
          </w:tcPr>
          <w:p>
            <w:pPr>
              <w:jc w:val="center"/>
              <w:ind w:left="2250"/>
              <w:spacing w:after="0"/>
              <w:rPr>
                <w:sz w:val="20"/>
                <w:szCs w:val="20"/>
                <w:color w:val="auto"/>
              </w:rPr>
            </w:pPr>
            <w:r>
              <w:rPr>
                <w:rFonts w:ascii="Times New Roman" w:cs="Times New Roman" w:eastAsia="Times New Roman" w:hAnsi="Times New Roman"/>
                <w:sz w:val="18"/>
                <w:szCs w:val="18"/>
                <w:color w:val="auto"/>
                <w:w w:val="99"/>
              </w:rPr>
              <w:t>52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Vera Bradley,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67"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Vera Bradley, Inc. and subsidiaries (the "Company") as of January 29, 2022 and January 30, 2021, the related consolidated statements of operations, comprehensive income, shareholders' equity, and cash flows, for each of the three years in the period ended January 29, 2022, and the related notes, (collectively referred to as the "financial statements"). In our opinion, the financial statements present fairly, in all material respects, the financial position of the Company as of January 29, 2022 and January 30, 2021, and the results of its operations and its cash flows for each of the three years in the period ended January 29, 2022, in conformity with accounting principles generally accepted in the United States of America.</w:t>
      </w:r>
    </w:p>
    <w:p>
      <w:pPr>
        <w:spacing w:after="0" w:line="54"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January 29,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29, 2022, expressed, an unqualified opinion on the Company's internal control over financial reporting.</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67"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0"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67"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48" w:lineRule="exact"/>
        <w:rPr>
          <w:sz w:val="20"/>
          <w:szCs w:val="20"/>
          <w:color w:val="auto"/>
        </w:rPr>
      </w:pPr>
    </w:p>
    <w:p>
      <w:pPr>
        <w:ind w:right="3480"/>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Goodwill and Indefinite-Lived Intangible Assets – Refer to Notes 2 and 16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The Company’s quantitative analysis of the Pura Vida reporting unit of goodwill (“goodwill”) and the indefinite-lived Pura Vida brand asset (“Pura Vida brand”) for impairment involves the comparison of the fair value of the goodwill or Pura Vida brand asset to its respective carrying value. The fair value of goodwill was determined using an income-based approach and a market-based approach, which required management to make significant estimates and assumptions including the projected revenue growth, operating profit and discount rate. The Company used the relief-from-royalty method to estimate the fair value of the Pura Vida brand, which required management to make significant estimates and assumptions related to the projected revenue growth, long-term growth rate, royalty rate and discount rate. The goodwill balance was $44.3 million as of January 29, 2022, all of which related to the Pura Vida reporting unit. The carrying value of the Pura Vida brand was $36.7 million as of January 29, 2022. The fair values of goodwill and the Pura Vida brand exceeded their carrying values as of the measurement date and, therefore, no impairment was recognized during the year ended January 29, 2022.</w:t>
      </w:r>
    </w:p>
    <w:p>
      <w:pPr>
        <w:spacing w:after="0" w:line="41"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8"/>
          <w:szCs w:val="18"/>
          <w:color w:val="auto"/>
        </w:rPr>
        <w:t>We identified the impairment analysis of goodwill and the Pura Vida brand as a critical audit matter because of the significant judgments made by management to estimate the fair value of these indefinite-lived assets. This required a high degree of auditor judgment and an increased extent of effort, including the need to involve our fair value specialists, when performing audit procedures to evaluate the reasonableness of management’s estimates and assumptions particularly related to the projected revenue growth, operating profit growth and discount rate for the goodwill impairment analysis and the projected revenue growth, royalty rate, and discount rate for the Pura Vida brand impairment analysis</w:t>
      </w:r>
      <w:r>
        <w:rPr>
          <w:rFonts w:ascii="Arial" w:cs="Arial" w:eastAsia="Arial" w:hAnsi="Arial"/>
          <w:sz w:val="19"/>
          <w:szCs w:val="19"/>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79"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Our audit procedures related to the projected revenue growth, operating profit growth and discount rate for goodwill and Pura Vida brand as well as the royalty rate for the Pura Vida brand included the following, among others: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and Pura Vida brand impairment analyses, including those over the determination of the fair value, such as controls related to management’s forecasts of projected revenue growth, operating profit growth, selection of royalty rate and discount rates.</w:t>
      </w:r>
    </w:p>
    <w:p>
      <w:pPr>
        <w:spacing w:after="0" w:line="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by comparing actual results to management’s historical forecasts.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sensitivity analyses to evaluate the risk of impairment if key assumptions are changed.</w:t>
      </w:r>
    </w:p>
    <w:p>
      <w:pPr>
        <w:spacing w:after="0" w:line="90"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projected revenue growth and operating profit growth by comparing the forecasts to (1) historical results, (2) internal communications to management and the Board of Directors, and (3) forecasted information included in industry reports.</w:t>
      </w:r>
    </w:p>
    <w:p>
      <w:pPr>
        <w:spacing w:after="0" w:line="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discount rates and royalty rate assumptions by:</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appropriateness of the valuation methodology used to determine the discount rates and royalty rate.</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underlying source information and the mathematical accuracy of the calculations.</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rates and royalty rate selected by management.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1" w:lineRule="auto"/>
        <w:rPr>
          <w:sz w:val="20"/>
          <w:szCs w:val="20"/>
          <w:color w:val="auto"/>
        </w:rPr>
      </w:pPr>
      <w:r>
        <w:rPr>
          <w:rFonts w:ascii="Times New Roman" w:cs="Times New Roman" w:eastAsia="Times New Roman" w:hAnsi="Times New Roman"/>
          <w:sz w:val="18"/>
          <w:szCs w:val="18"/>
          <w:color w:val="auto"/>
        </w:rPr>
        <w:t>Indianapolis, Indiana</w:t>
      </w:r>
    </w:p>
    <w:p>
      <w:pPr>
        <w:spacing w:after="0"/>
        <w:rPr>
          <w:sz w:val="20"/>
          <w:szCs w:val="20"/>
          <w:color w:val="auto"/>
        </w:rPr>
      </w:pPr>
      <w:r>
        <w:rPr>
          <w:rFonts w:ascii="Times New Roman" w:cs="Times New Roman" w:eastAsia="Times New Roman" w:hAnsi="Times New Roman"/>
          <w:sz w:val="18"/>
          <w:szCs w:val="18"/>
          <w:color w:val="auto"/>
        </w:rPr>
        <w:t>March 29,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Vera Bradley, Inc.</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81"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Vera Bradley, Inc. and subsidiaries (the “Company”) as of January 29,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January 29,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4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consolidated financial statements as of and for the year ended January 29, 2022, of the Company and our report dated March 29, 2022, expressed an unqualified opinion on those financial statements.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81"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8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1" w:lineRule="auto"/>
        <w:rPr>
          <w:sz w:val="20"/>
          <w:szCs w:val="20"/>
          <w:color w:val="auto"/>
        </w:rPr>
      </w:pPr>
      <w:r>
        <w:rPr>
          <w:rFonts w:ascii="Times New Roman" w:cs="Times New Roman" w:eastAsia="Times New Roman" w:hAnsi="Times New Roman"/>
          <w:sz w:val="18"/>
          <w:szCs w:val="18"/>
          <w:color w:val="auto"/>
        </w:rPr>
        <w:t>Indianapolis, Indiana</w:t>
      </w:r>
    </w:p>
    <w:p>
      <w:pPr>
        <w:spacing w:after="0"/>
        <w:rPr>
          <w:sz w:val="20"/>
          <w:szCs w:val="20"/>
          <w:color w:val="auto"/>
        </w:rPr>
      </w:pPr>
      <w:r>
        <w:rPr>
          <w:rFonts w:ascii="Times New Roman" w:cs="Times New Roman" w:eastAsia="Times New Roman" w:hAnsi="Times New Roman"/>
          <w:sz w:val="18"/>
          <w:szCs w:val="18"/>
          <w:color w:val="auto"/>
        </w:rPr>
        <w:t>March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40" w:type="dxa"/>
            <w:vAlign w:val="bottom"/>
          </w:tcPr>
          <w:p>
            <w:pPr>
              <w:spacing w:after="0"/>
              <w:rPr>
                <w:sz w:val="13"/>
                <w:szCs w:val="13"/>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64,175</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27,543</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259,683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513,787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employment costs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22,321</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77,426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169,071</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29,809</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5,000 shares authorized, no shares issued or outstanding</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without par value; 200,000 shares authorized, 42,429 and 41,808 shares issued and 33,170</w:t>
            </w:r>
          </w:p>
        </w:tc>
        <w:tc>
          <w:tcPr>
            <w:tcW w:w="2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33,414 outstanding, respectively</w:t>
            </w: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105,433</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316,526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Treasury stock</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(107,060)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shareholders’ equity of Vera Bradley, Inc.</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314,907</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shareholders’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513,787</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33"/>
        </w:trPr>
        <w:tc>
          <w:tcPr>
            <w:tcW w:w="6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40" w:type="dxa"/>
            <w:vAlign w:val="bottom"/>
          </w:tcPr>
          <w:p>
            <w:pPr>
              <w:spacing w:after="0"/>
              <w:rPr>
                <w:sz w:val="11"/>
                <w:szCs w:val="11"/>
                <w:color w:val="auto"/>
              </w:rPr>
            </w:pPr>
          </w:p>
        </w:tc>
        <w:tc>
          <w:tcPr>
            <w:tcW w:w="1200" w:type="dxa"/>
            <w:vAlign w:val="bottom"/>
          </w:tcPr>
          <w:p>
            <w:pPr>
              <w:jc w:val="right"/>
              <w:ind w:right="272"/>
              <w:spacing w:after="0" w:line="134"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6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495,212</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223,411</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271,801</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253,425</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19,474</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15,244</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redeemable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16,047</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33,983</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34,288</w:t>
            </w:r>
          </w:p>
        </w:tc>
      </w:tr>
      <w:tr>
        <w:trPr>
          <w:trHeight w:val="270"/>
        </w:trPr>
        <w:tc>
          <w:tcPr>
            <w:tcW w:w="6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Vera Bradley, Inc. common shareholders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Vera Bradley, Inc. common shareholders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bl>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33"/>
        </w:trPr>
        <w:tc>
          <w:tcPr>
            <w:tcW w:w="6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40" w:type="dxa"/>
            <w:vAlign w:val="bottom"/>
          </w:tcPr>
          <w:p>
            <w:pPr>
              <w:spacing w:after="0"/>
              <w:rPr>
                <w:sz w:val="11"/>
                <w:szCs w:val="11"/>
                <w:color w:val="auto"/>
              </w:rPr>
            </w:pPr>
          </w:p>
        </w:tc>
        <w:tc>
          <w:tcPr>
            <w:tcW w:w="1200" w:type="dxa"/>
            <w:vAlign w:val="bottom"/>
          </w:tcPr>
          <w:p>
            <w:pPr>
              <w:jc w:val="right"/>
              <w:ind w:right="275"/>
              <w:spacing w:after="0" w:line="134"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6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gain on available for sale debt investments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redeemable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 attributable to Vera Bradley, Inc.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16,229</w:t>
            </w:r>
          </w:p>
        </w:tc>
      </w:tr>
      <w:tr>
        <w:trPr>
          <w:trHeight w:val="21"/>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00" w:type="dxa"/>
            <w:vAlign w:val="bottom"/>
          </w:tcPr>
          <w:p>
            <w:pPr>
              <w:spacing w:after="0"/>
              <w:rPr>
                <w:sz w:val="16"/>
                <w:szCs w:val="16"/>
                <w:color w:val="auto"/>
              </w:rPr>
            </w:pPr>
          </w:p>
        </w:tc>
        <w:tc>
          <w:tcPr>
            <w:tcW w:w="25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2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1"/>
                <w:szCs w:val="11"/>
                <w:color w:val="auto"/>
              </w:rPr>
            </w:pPr>
          </w:p>
        </w:tc>
        <w:tc>
          <w:tcPr>
            <w:tcW w:w="960" w:type="dxa"/>
            <w:vAlign w:val="bottom"/>
          </w:tcPr>
          <w:p>
            <w:pPr>
              <w:jc w:val="center"/>
              <w:ind w:right="19"/>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of Vera</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Bradley, Inc.</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February 2, 2019</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34,347,420</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6,935,623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95,572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291,994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(92,839)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294,703</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Vera Bradley, Inc.</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16,047</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Unrealized gain on available for sale</w:t>
            </w: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24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shares vested, net of repurchase for</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231,578</w:t>
            </w:r>
          </w:p>
        </w:tc>
        <w:tc>
          <w:tcPr>
            <w:tcW w:w="8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purchased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(1,075,749)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1,075,749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(11,320)</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Cumulative adjustment for ASC 842 adoption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Redeemable noncontrolling interest</w:t>
            </w: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value adjustment</w:t>
            </w:r>
          </w:p>
        </w:tc>
        <w:tc>
          <w:tcPr>
            <w:tcW w:w="124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February 1, 2020</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33,503,249</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8,011,372</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100,357</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307,414</w:t>
            </w:r>
          </w:p>
        </w:tc>
        <w:tc>
          <w:tcPr>
            <w:tcW w:w="8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(104,159)</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303,770</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Vera Bradley, Inc.</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8,681</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Unrealized loss on available for sale</w:t>
            </w: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24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shares vested, net of repurchase for</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293,076</w:t>
            </w:r>
          </w:p>
        </w:tc>
        <w:tc>
          <w:tcPr>
            <w:tcW w:w="8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5,651</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purchased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(381,835)</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Redeemable noncontrolling interest</w:t>
            </w: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value adjustment</w:t>
            </w:r>
          </w:p>
        </w:tc>
        <w:tc>
          <w:tcPr>
            <w:tcW w:w="124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30, 2021</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33,414,490</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8,393,207</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105,433</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316,526</w:t>
            </w:r>
          </w:p>
        </w:tc>
        <w:tc>
          <w:tcPr>
            <w:tcW w:w="8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(107,060)</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314,907</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Vera Bradley, Inc.</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17,838</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Unrealized loss on available for sale</w:t>
            </w: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24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shares vested, net of repurchase for</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621,474</w:t>
            </w:r>
          </w:p>
        </w:tc>
        <w:tc>
          <w:tcPr>
            <w:tcW w:w="8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purchased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(865,534)</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865,534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(7,742)</w:t>
            </w:r>
          </w:p>
        </w:tc>
        <w:tc>
          <w:tcPr>
            <w:tcW w:w="0" w:type="dxa"/>
            <w:vAlign w:val="bottom"/>
          </w:tcPr>
          <w:p>
            <w:pPr>
              <w:spacing w:after="0"/>
              <w:rPr>
                <w:sz w:val="1"/>
                <w:szCs w:val="1"/>
                <w:color w:val="auto"/>
              </w:rPr>
            </w:pPr>
          </w:p>
        </w:tc>
      </w:tr>
      <w:tr>
        <w:trPr>
          <w:trHeight w:val="235"/>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29,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33,170,430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9,258,741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107,907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334,364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(114,802)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327,440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33"/>
        </w:trPr>
        <w:tc>
          <w:tcPr>
            <w:tcW w:w="7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00" w:type="dxa"/>
            <w:vAlign w:val="bottom"/>
          </w:tcPr>
          <w:p>
            <w:pPr>
              <w:spacing w:after="0"/>
              <w:rPr>
                <w:sz w:val="11"/>
                <w:szCs w:val="11"/>
                <w:color w:val="auto"/>
              </w:rPr>
            </w:pPr>
          </w:p>
        </w:tc>
        <w:tc>
          <w:tcPr>
            <w:tcW w:w="1120" w:type="dxa"/>
            <w:vAlign w:val="bottom"/>
          </w:tcPr>
          <w:p>
            <w:pPr>
              <w:jc w:val="right"/>
              <w:ind w:right="211"/>
              <w:spacing w:after="0" w:line="134"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7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15,244</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18,447</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operating right-of-use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21,969</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(gain) on investments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 of earn-out liability</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step-up in inventory basis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(gain) charges, net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29"/>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w:t>
            </w:r>
          </w:p>
        </w:tc>
      </w:tr>
      <w:tr>
        <w:trPr>
          <w:trHeight w:val="229"/>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r>
      <w:tr>
        <w:trPr>
          <w:trHeight w:val="230"/>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29"/>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(25,302)</w:t>
            </w:r>
          </w:p>
        </w:tc>
      </w:tr>
      <w:tr>
        <w:trPr>
          <w:trHeight w:val="230"/>
        </w:trPr>
        <w:tc>
          <w:tcPr>
            <w:tcW w:w="7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(7,933)</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w:t>
            </w: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w:t>
            </w: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w:t>
            </w:r>
          </w:p>
        </w:tc>
      </w:tr>
      <w:tr>
        <w:trPr>
          <w:trHeight w:val="23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maturities and sales of investments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38,333</w:t>
            </w: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received (paid) for business acquisition, net of cash acquired</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(76,032)</w:t>
            </w:r>
          </w:p>
        </w:tc>
      </w:tr>
      <w:tr>
        <w:trPr>
          <w:trHeight w:val="23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(69,966)</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withholdings for equity compensation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under asset-based revolving credit agreement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borrowings under asset-based revolving credit agreement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 for business acquisition</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(24,146)</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(14,285)</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(63,576)</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113,493</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49,917</w:t>
            </w: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61" w:name="page62"/>
    <w:bookmarkEnd w:id="6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00" w:type="dxa"/>
            <w:vAlign w:val="bottom"/>
          </w:tcPr>
          <w:p>
            <w:pPr>
              <w:spacing w:after="0"/>
              <w:rPr>
                <w:sz w:val="11"/>
                <w:szCs w:val="11"/>
                <w:color w:val="auto"/>
              </w:rPr>
            </w:pPr>
          </w:p>
        </w:tc>
        <w:tc>
          <w:tcPr>
            <w:tcW w:w="124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00" w:type="dxa"/>
            <w:vAlign w:val="bottom"/>
          </w:tcPr>
          <w:p>
            <w:pPr>
              <w:spacing w:after="0"/>
              <w:rPr>
                <w:sz w:val="11"/>
                <w:szCs w:val="11"/>
                <w:color w:val="auto"/>
              </w:rPr>
            </w:pPr>
          </w:p>
        </w:tc>
        <w:tc>
          <w:tcPr>
            <w:tcW w:w="1120" w:type="dxa"/>
            <w:vAlign w:val="bottom"/>
          </w:tcPr>
          <w:p>
            <w:pPr>
              <w:jc w:val="right"/>
              <w:ind w:right="214"/>
              <w:spacing w:after="0" w:line="134"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89"/>
        </w:trPr>
        <w:tc>
          <w:tcPr>
            <w:tcW w:w="6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cash-flow information</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operating, investing, and financing activities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incurred but not yet paid</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 of January 29, 2022, January 30, 2021 and February 1, 2020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6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color w:val="auto"/>
              </w:rPr>
              <w:t>As of January 30, 2021, February 1, 2020 and February 2, 2019</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Purchases of property, plant, and equipment incurred but not yet paid</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of January 29, 2022, January 30, 2021 and February 1, 2020</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9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As of January 30, 2021, February 1, 2020 and February 2, 2019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6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Contingent consideration related to business acquisition</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20,098</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Refer to Note 4 herein for supplemental cash flow information regarding the Company’s leases.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w:t>
      </w:r>
    </w:p>
    <w:p>
      <w:pPr>
        <w:spacing w:after="0" w:line="107" w:lineRule="exact"/>
        <w:rPr>
          <w:rFonts w:ascii="Times New Roman" w:cs="Times New Roman" w:eastAsia="Times New Roman" w:hAnsi="Times New Roman"/>
          <w:sz w:val="18"/>
          <w:szCs w:val="18"/>
          <w:b w:val="1"/>
          <w:bCs w:val="1"/>
          <w:color w:val="auto"/>
        </w:rPr>
      </w:pPr>
    </w:p>
    <w:p>
      <w:pPr>
        <w:ind w:left="340"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and majority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3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42" w:lineRule="exact"/>
        <w:rPr>
          <w:rFonts w:ascii="Times New Roman" w:cs="Times New Roman" w:eastAsia="Times New Roman" w:hAnsi="Times New Roman"/>
          <w:sz w:val="18"/>
          <w:szCs w:val="18"/>
          <w:b w:val="1"/>
          <w:bCs w:val="1"/>
          <w:color w:val="auto"/>
        </w:rPr>
      </w:pPr>
    </w:p>
    <w:p>
      <w:pPr>
        <w:ind w:left="34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54" w:lineRule="exact"/>
        <w:rPr>
          <w:rFonts w:ascii="Times New Roman" w:cs="Times New Roman" w:eastAsia="Times New Roman" w:hAnsi="Times New Roman"/>
          <w:sz w:val="18"/>
          <w:szCs w:val="18"/>
          <w:b w:val="1"/>
          <w:bCs w:val="1"/>
          <w:color w:val="auto"/>
        </w:rPr>
      </w:pPr>
    </w:p>
    <w:p>
      <w:pPr>
        <w:ind w:left="34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2019, Vera Bradley, Inc. acquired a 75% interest in Creative Genius, Inc., which also operates under the name Pura Vida Bracelets (“Pura Vida”). Pura Vida, based in La Jolla, California, is a digitally native lifestyle brand that we believe deeply resonates with its loyal consumer following. The Pura Vida brand has a differentiated and expanding offering of bracelets, jewelry, and other lifestyle accessories.</w:t>
      </w:r>
    </w:p>
    <w:p>
      <w:pPr>
        <w:spacing w:after="0" w:line="40" w:lineRule="exact"/>
        <w:rPr>
          <w:rFonts w:ascii="Times New Roman" w:cs="Times New Roman" w:eastAsia="Times New Roman" w:hAnsi="Times New Roman"/>
          <w:sz w:val="18"/>
          <w:szCs w:val="18"/>
          <w:b w:val="1"/>
          <w:bCs w:val="1"/>
          <w:color w:val="auto"/>
        </w:rPr>
      </w:pPr>
    </w:p>
    <w:p>
      <w:pPr>
        <w:ind w:left="34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Beginning in the second quarter of fiscal 2020, the Company has included an additional segment for Pura Vida due to its acquisition. As a result, the Company now has three reportable segments: Vera Bradley Direct (“VB Direct”), Vera Bradley Indirect (“VB Indirect”), and Pura Vida.</w:t>
      </w:r>
    </w:p>
    <w:p>
      <w:pPr>
        <w:spacing w:after="0" w:line="40" w:lineRule="exact"/>
        <w:rPr>
          <w:rFonts w:ascii="Times New Roman" w:cs="Times New Roman" w:eastAsia="Times New Roman" w:hAnsi="Times New Roman"/>
          <w:sz w:val="18"/>
          <w:szCs w:val="18"/>
          <w:b w:val="1"/>
          <w:bCs w:val="1"/>
          <w:color w:val="auto"/>
        </w:rPr>
      </w:pPr>
    </w:p>
    <w:p>
      <w:pPr>
        <w:ind w:left="980" w:right="380" w:hanging="324"/>
        <w:spacing w:after="0" w:line="261" w:lineRule="auto"/>
        <w:tabs>
          <w:tab w:leader="none" w:pos="975" w:val="left"/>
        </w:tabs>
        <w:numPr>
          <w:ilvl w:val="1"/>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VB Direct business consists of sales of Vera Bradley products through Vera Bradley full-line and factory outlet stores in the United States; verabradley.com and verabradley.ca; the Vera Bradley online outlet site; and typically the Vera Bradley annual outlet sale in Fort Wayne, Indiana. As of January 29, 2022, the Company operated 70 full-line stores and 75 factory outlet stores. In light of the COVID-19 pandemic, the Company cancelled its calendar year 2021 and 2020 annual outlet sales.</w:t>
      </w:r>
    </w:p>
    <w:p>
      <w:pPr>
        <w:spacing w:after="0" w:line="58" w:lineRule="exact"/>
        <w:rPr>
          <w:rFonts w:ascii="Times New Roman" w:cs="Times New Roman" w:eastAsia="Times New Roman" w:hAnsi="Times New Roman"/>
          <w:sz w:val="18"/>
          <w:szCs w:val="18"/>
          <w:i w:val="1"/>
          <w:iCs w:val="1"/>
          <w:color w:val="auto"/>
        </w:rPr>
      </w:pPr>
    </w:p>
    <w:p>
      <w:pPr>
        <w:ind w:left="980" w:right="300" w:hanging="324"/>
        <w:spacing w:after="0" w:line="266" w:lineRule="auto"/>
        <w:tabs>
          <w:tab w:leader="none" w:pos="975" w:val="left"/>
        </w:tabs>
        <w:numPr>
          <w:ilvl w:val="1"/>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VB Indirect business consists of sales of Vera Bradley products to approximately 1,800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40" w:lineRule="exact"/>
        <w:rPr>
          <w:rFonts w:ascii="Times New Roman" w:cs="Times New Roman" w:eastAsia="Times New Roman" w:hAnsi="Times New Roman"/>
          <w:sz w:val="18"/>
          <w:szCs w:val="18"/>
          <w:i w:val="1"/>
          <w:iCs w:val="1"/>
          <w:color w:val="auto"/>
        </w:rPr>
      </w:pPr>
    </w:p>
    <w:p>
      <w:pPr>
        <w:ind w:left="980" w:right="20" w:hanging="324"/>
        <w:spacing w:after="0" w:line="266" w:lineRule="auto"/>
        <w:tabs>
          <w:tab w:leader="none" w:pos="97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www.puravidabracelets.eu, and www.puravidabracelets.ca, the distribution of Pura Vida-branded products to wholesale retailers, substantially all of which are located in the United States, as well as through its first retail store which opened in August 2021.</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08"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and its majority owned subsidiary, Pura Vida beginning on July 17, 2019. The Company has eliminated intercompany balances and transactions in consolidation.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108" w:lineRule="exact"/>
        <w:rPr>
          <w:sz w:val="20"/>
          <w:szCs w:val="20"/>
          <w:color w:val="auto"/>
        </w:rPr>
      </w:pPr>
    </w:p>
    <w:p>
      <w:pPr>
        <w:ind w:left="340" w:right="320"/>
        <w:spacing w:after="0" w:line="282" w:lineRule="auto"/>
        <w:rPr>
          <w:sz w:val="20"/>
          <w:szCs w:val="20"/>
          <w:color w:val="auto"/>
        </w:rPr>
      </w:pPr>
      <w:r>
        <w:rPr>
          <w:rFonts w:ascii="Times New Roman" w:cs="Times New Roman" w:eastAsia="Times New Roman" w:hAnsi="Times New Roman"/>
          <w:sz w:val="18"/>
          <w:szCs w:val="18"/>
          <w:color w:val="auto"/>
        </w:rPr>
        <w:t>The Company utilizes a 52-53 week fiscal year ended on the Saturday closest to January 31. As such, fiscal years 2022, 2021, and 2020, ending on January 29, 2022, January 30, 2021, and February 1, 2020 respectively, each reflected a 52-week period.</w:t>
      </w:r>
    </w:p>
    <w:p>
      <w:pPr>
        <w:spacing w:after="0" w:line="158" w:lineRule="exact"/>
        <w:rPr>
          <w:sz w:val="20"/>
          <w:szCs w:val="20"/>
          <w:color w:val="auto"/>
        </w:rPr>
      </w:pPr>
    </w:p>
    <w:p>
      <w:pPr>
        <w:ind w:left="340" w:right="7520" w:hanging="332"/>
        <w:spacing w:after="0" w:line="354" w:lineRule="auto"/>
        <w:tabs>
          <w:tab w:leader="none" w:pos="331"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Significant Estimates</w:t>
      </w:r>
    </w:p>
    <w:p>
      <w:pPr>
        <w:ind w:left="34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valuation of inventories, valuation of long-lived assets, including operating right-of-use assets, valuation of goodwill and indefinite-lived intangible assets, accounts receivable valuation allowances, sales return allowances, and the useful lives of assets for depreciation or amortization. Actual results could differ from these estimates. The Company revises its estimates and assumptions as new information becomes available.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08" w:lineRule="exact"/>
        <w:rPr>
          <w:sz w:val="20"/>
          <w:szCs w:val="20"/>
          <w:color w:val="auto"/>
        </w:rPr>
      </w:pPr>
    </w:p>
    <w:p>
      <w:pPr>
        <w:ind w:left="340" w:right="300"/>
        <w:spacing w:after="0" w:line="282" w:lineRule="auto"/>
        <w:rPr>
          <w:sz w:val="20"/>
          <w:szCs w:val="20"/>
          <w:color w:val="auto"/>
        </w:rPr>
      </w:pPr>
      <w:r>
        <w:rPr>
          <w:rFonts w:ascii="Times New Roman" w:cs="Times New Roman" w:eastAsia="Times New Roman" w:hAnsi="Times New Roman"/>
          <w:sz w:val="18"/>
          <w:szCs w:val="18"/>
          <w:color w:val="auto"/>
        </w:rPr>
        <w:t>Cash and cash equivalents represent cash on hand, deposits with financial institutions, and investments with an original maturity of three months or less.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94" w:lineRule="exact"/>
        <w:rPr>
          <w:sz w:val="20"/>
          <w:szCs w:val="20"/>
          <w:color w:val="auto"/>
        </w:rPr>
      </w:pPr>
    </w:p>
    <w:p>
      <w:pPr>
        <w:ind w:left="340" w:right="80"/>
        <w:spacing w:after="0" w:line="256" w:lineRule="auto"/>
        <w:rPr>
          <w:sz w:val="20"/>
          <w:szCs w:val="20"/>
          <w:color w:val="auto"/>
        </w:rPr>
      </w:pPr>
      <w:r>
        <w:rPr>
          <w:rFonts w:ascii="Times New Roman" w:cs="Times New Roman" w:eastAsia="Times New Roman" w:hAnsi="Times New Roman"/>
          <w:sz w:val="18"/>
          <w:szCs w:val="18"/>
          <w:color w:val="auto"/>
        </w:rPr>
        <w:t>Short-term investments consist of investments with a maturity within one year of the balance sheet date. As of January 30, 2021, these investments consisted of U.S. and non-U.S. corporate debt securities. There were no short-term investments as of January 29, 2022. The Company’s objective with respect to these investments is to earn a higher rate of return, relative to deposit accounts, on funds that are otherwise not anticipated to be required to meet liquidity needs in the near-term while maintaining a low level of investment risk. These debt securities are classified as available-for-sale; therefore, unrealized gains and losses are recorded within other comprehensive income. Interest income earned is recorded within interest expense (income), net, in the Company's Consolidated Statements of Operations.</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08"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Substantially all inventory relates to finished goods.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Property, plant, and equipment are carried at cost and depreciated or amortized over the following estimated useful lives using the straight-line method:</w:t>
      </w:r>
    </w:p>
    <w:p>
      <w:pPr>
        <w:spacing w:after="0" w:line="345" w:lineRule="exact"/>
        <w:rPr>
          <w:sz w:val="20"/>
          <w:szCs w:val="20"/>
          <w:color w:val="auto"/>
        </w:rPr>
      </w:pPr>
    </w:p>
    <w:tbl>
      <w:tblPr>
        <w:tblLayout w:type="fixed"/>
        <w:tblInd w:w="194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years</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15 years</w:t>
            </w: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and leasehold improvements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Equipment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Vehicles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bl>
    <w:p>
      <w:pPr>
        <w:spacing w:after="0" w:line="144"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The Company recognizes depreciation and amortization expense within cost of sales for expenditures related to distribution center, sourcing, and other related functions and selling, general, and administrative expenses for all other expenditures. Leasehold improvements are amortized over the shorter of the life of the asset or the lease term. Lease terms typically range from three to ten years.</w:t>
      </w:r>
    </w:p>
    <w:p>
      <w:pPr>
        <w:spacing w:after="0" w:line="54"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Operations.</w:t>
      </w:r>
    </w:p>
    <w:p>
      <w:pPr>
        <w:spacing w:after="0" w:line="45"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reviewed for impairment whenever events or changes in circumstances indicate that the carrying amount of the asset groups may not be recoverable. The reviews are conducted at the lowest identifiable level of cash flows, which is at the retail store level for store-related assets. If the estimated undiscounted future cash flows related to the property, plant, and equipment and operating right-of-use assets are less than the carrying value, the Company recognizes a loss equal to the difference between the carrying value and the fair value, as further defined below in “Fair Value of Financial Instruments.”</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Routine maintenance and repair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320"/>
        <w:spacing w:after="0" w:line="266" w:lineRule="auto"/>
        <w:rPr>
          <w:sz w:val="20"/>
          <w:szCs w:val="20"/>
          <w:color w:val="auto"/>
        </w:rPr>
      </w:pPr>
      <w:r>
        <w:rPr>
          <w:rFonts w:ascii="Times New Roman" w:cs="Times New Roman" w:eastAsia="Times New Roman" w:hAnsi="Times New Roman"/>
          <w:sz w:val="18"/>
          <w:szCs w:val="18"/>
          <w:color w:val="auto"/>
        </w:rPr>
        <w:t>The Company capitalizes certain costs incurred in connection with acquiring, modifying, and installing internal-use software. Capitalized costs are included in property, plant, and equipment and are amortized over three to five years. Software costs that do not meet capitalization criteria are expensed as incurred.</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 Recognition and Accounts Receivable</w:t>
      </w:r>
    </w:p>
    <w:p>
      <w:pPr>
        <w:spacing w:after="0" w:line="108" w:lineRule="exact"/>
        <w:rPr>
          <w:sz w:val="20"/>
          <w:szCs w:val="20"/>
          <w:color w:val="auto"/>
        </w:rPr>
      </w:pPr>
    </w:p>
    <w:p>
      <w:pPr>
        <w:ind w:left="340" w:right="180"/>
        <w:spacing w:after="0" w:line="258" w:lineRule="auto"/>
        <w:rPr>
          <w:sz w:val="20"/>
          <w:szCs w:val="20"/>
          <w:color w:val="auto"/>
        </w:rPr>
      </w:pPr>
      <w:r>
        <w:rPr>
          <w:rFonts w:ascii="Times New Roman" w:cs="Times New Roman" w:eastAsia="Times New Roman" w:hAnsi="Times New Roman"/>
          <w:sz w:val="18"/>
          <w:szCs w:val="18"/>
          <w:color w:val="auto"/>
        </w:rPr>
        <w:t>Vera Bradley and Pura Vida product sales to customers, including amounts billed to customers for shipping fees, as well as royalties from licensing arrangements related to the Vera Bradley brand, are included in net revenues. Costs related to shipping of product are classified in cost of sales in the Consolidated Statements of Operations. The Company has elected to treat shipping and handling activities that occur after the customer has obtained control of a good as an activity to fulfill the promise to transfer the product rather than as an additional promised service. Net revenues exclude sales taxes collected from customers and remitted to governmental authorities from the transaction price.</w:t>
      </w:r>
    </w:p>
    <w:p>
      <w:pPr>
        <w:spacing w:after="0" w:line="62" w:lineRule="exact"/>
        <w:rPr>
          <w:sz w:val="20"/>
          <w:szCs w:val="20"/>
          <w:color w:val="auto"/>
        </w:rPr>
      </w:pPr>
    </w:p>
    <w:p>
      <w:pPr>
        <w:ind w:left="340" w:right="120"/>
        <w:spacing w:after="0" w:line="281" w:lineRule="auto"/>
        <w:rPr>
          <w:sz w:val="20"/>
          <w:szCs w:val="20"/>
          <w:color w:val="auto"/>
        </w:rPr>
      </w:pPr>
      <w:r>
        <w:rPr>
          <w:rFonts w:ascii="Times New Roman" w:cs="Times New Roman" w:eastAsia="Times New Roman" w:hAnsi="Times New Roman"/>
          <w:sz w:val="17"/>
          <w:szCs w:val="17"/>
          <w:color w:val="auto"/>
        </w:rPr>
        <w:t>Revenue from the sale of the Company’s products is recognized when control of the promised goods or services is transferred to customers, in the amount that reflects the consideration the Company expects to be entitled to in exchange for those goods or services. Revenue is recognized using the five-step model. These steps are: (i) identify the contract with the customer; (ii) identify the performance obligations; (iii) determine the transaction price; (iv) allocate the transaction price to each performance obligation; and (v) recognize revenue as the performance obligations are satisfied.</w:t>
      </w:r>
    </w:p>
    <w:p>
      <w:pPr>
        <w:spacing w:after="0" w:line="29" w:lineRule="exact"/>
        <w:rPr>
          <w:sz w:val="20"/>
          <w:szCs w:val="20"/>
          <w:color w:val="auto"/>
        </w:rPr>
      </w:pPr>
    </w:p>
    <w:p>
      <w:pPr>
        <w:jc w:val="both"/>
        <w:ind w:left="340" w:right="100"/>
        <w:spacing w:after="0" w:line="266" w:lineRule="auto"/>
        <w:rPr>
          <w:sz w:val="20"/>
          <w:szCs w:val="20"/>
          <w:color w:val="auto"/>
        </w:rPr>
      </w:pPr>
      <w:r>
        <w:rPr>
          <w:rFonts w:ascii="Times New Roman" w:cs="Times New Roman" w:eastAsia="Times New Roman" w:hAnsi="Times New Roman"/>
          <w:sz w:val="18"/>
          <w:szCs w:val="18"/>
          <w:color w:val="auto"/>
        </w:rPr>
        <w:t>The Company collects payment at the point of sale for Vera Bradley full-line and factory outlet store transactions, upon shipment for Vera Bradley e-commerce transactions, and upon purchase for Pura Vida e-commerce transactions. The Company generally collects payment in arrears in accordance with established payment terms for each customer within the VB Indirect segment and for Pura Vida wholesale retailers.</w:t>
      </w:r>
    </w:p>
    <w:p>
      <w:pPr>
        <w:spacing w:after="0" w:line="54"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Historical experience provides the Company the ability to reasonably estimate the amount of product sales that customers will return. Product returns are often resalable through multiple channels. Additionally, the Company reserves for customer allowances for certain VB Indirect retailers based upon various contract terms and other potential product credits granted to VB Indirect retailers.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returns and credits reserve and the related activity for each fiscal year presented were as follows (in thousands):</w:t>
      </w:r>
    </w:p>
    <w:p>
      <w:pPr>
        <w:spacing w:after="0" w:line="10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4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80" w:type="dxa"/>
            <w:vAlign w:val="bottom"/>
          </w:tcPr>
          <w:p>
            <w:pPr>
              <w:spacing w:after="0"/>
              <w:rPr>
                <w:sz w:val="13"/>
                <w:szCs w:val="13"/>
                <w:color w:val="auto"/>
              </w:rPr>
            </w:pPr>
          </w:p>
        </w:tc>
        <w:tc>
          <w:tcPr>
            <w:tcW w:w="122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Balance at End</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Taken / Written Off</w:t>
            </w:r>
          </w:p>
        </w:tc>
        <w:tc>
          <w:tcPr>
            <w:tcW w:w="180" w:type="dxa"/>
            <w:vAlign w:val="bottom"/>
          </w:tcPr>
          <w:p>
            <w:pPr>
              <w:spacing w:after="0"/>
              <w:rPr>
                <w:sz w:val="16"/>
                <w:szCs w:val="16"/>
                <w:color w:val="auto"/>
              </w:rPr>
            </w:pPr>
          </w:p>
        </w:tc>
        <w:tc>
          <w:tcPr>
            <w:tcW w:w="12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2021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2020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$1.2 million and $1.1 million as of January 29, 2022 and January 30, 2021, respectively. The provision for doubtful accounts is based upon the likelihood of default expected during the life of the receivable.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08"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Cost of sales includes material and labor costs, freight, inventory shrinkage, operating lease costs, duty, and other operating expenses, including depreciation of the Vera Bradley distribution center and equipment. Costs and related expenses to purchase and distribute the products are recorded as cost of sales when the related revenues are recognized.</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08"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The Company recognizes lease liabilities at the lease commencement date based upon the present value of the remaining lease payments. Operating right-of-use assets are based on the lease liability adjusted for prepaid rent, deferred rent, and tenant allowances received from certain of the Company’s landlords, primarily for its retail store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Operating lease liabilities are amortized based upon the effective interest method. Operating right-of-use assets are amortized based upon the straight-line lease expense less interest on the lease liability. Operating lease expense is recognized on a straight-line basis over the lease term. Variable rent expense is recognized in the period incurred.</w:t>
      </w:r>
    </w:p>
    <w:p>
      <w:pPr>
        <w:spacing w:after="0" w:line="41"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Operating right-of-use assets are reviewed for impairment whenever events or changes in circumstances indicate that the carrying amount of the assets may not be recoverable. The reviews are conducted at the lowest identifiable level of cash flows, which is at the retail store level for store-related assets. If the estimated undiscounted future cash flows related to the operating right-of-use assets are less than the carrying value, the Company recognizes a loss equal to the difference between the carrying value and the fair value, as further defined below in “Fair Value of Financial Instruments.”</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4 herein for additional information regarding the Company's leases.</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Store Pre-Opening, Occupancy, and Operating Costs</w:t>
      </w:r>
    </w:p>
    <w:p>
      <w:pPr>
        <w:spacing w:after="0" w:line="94" w:lineRule="exact"/>
        <w:rPr>
          <w:sz w:val="20"/>
          <w:szCs w:val="20"/>
          <w:color w:val="auto"/>
        </w:rPr>
      </w:pPr>
    </w:p>
    <w:p>
      <w:pPr>
        <w:ind w:left="340" w:right="280"/>
        <w:spacing w:after="0" w:line="282" w:lineRule="auto"/>
        <w:rPr>
          <w:sz w:val="20"/>
          <w:szCs w:val="20"/>
          <w:color w:val="auto"/>
        </w:rPr>
      </w:pPr>
      <w:r>
        <w:rPr>
          <w:rFonts w:ascii="Times New Roman" w:cs="Times New Roman" w:eastAsia="Times New Roman" w:hAnsi="Times New Roman"/>
          <w:sz w:val="18"/>
          <w:szCs w:val="18"/>
          <w:color w:val="auto"/>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08" w:lineRule="exact"/>
        <w:rPr>
          <w:sz w:val="20"/>
          <w:szCs w:val="20"/>
          <w:color w:val="auto"/>
        </w:rPr>
      </w:pPr>
    </w:p>
    <w:p>
      <w:pPr>
        <w:ind w:left="340" w:right="140"/>
        <w:spacing w:after="0" w:line="258" w:lineRule="auto"/>
        <w:rPr>
          <w:sz w:val="20"/>
          <w:szCs w:val="20"/>
          <w:color w:val="auto"/>
        </w:rPr>
      </w:pPr>
      <w:r>
        <w:rPr>
          <w:rFonts w:ascii="Times New Roman" w:cs="Times New Roman" w:eastAsia="Times New Roman" w:hAnsi="Times New Roman"/>
          <w:sz w:val="18"/>
          <w:szCs w:val="18"/>
          <w:color w:val="auto"/>
        </w:rPr>
        <w:t>The Company acquired a majority interest in Pura Vida on July 16, 2019. In connection with a business combination, the Company records the identifiable assets acquired, liabilities assumed, contingent consideration liabilities, if any, and any noncontrolling interest in the acquiree at their acquisition-date fair values. Goodwill is measured indirectly as the excess of the sum of (1) the consideration transferred (including contingent consideration, if any) and (2) the fair value of any noncontrolling interest in the acquiree over the net assets acquired and liabilities assumed. Refer to Note 14 herein for additional information.</w:t>
      </w:r>
    </w:p>
    <w:p>
      <w:pPr>
        <w:spacing w:after="0" w:line="48"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These fair value assessments require management judgment and include the use of significant estimates and assumptions including future cash flows, discount and other market rates, and asset lives, among other items.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08" w:lineRule="exact"/>
        <w:rPr>
          <w:sz w:val="20"/>
          <w:szCs w:val="20"/>
          <w:color w:val="auto"/>
        </w:rPr>
      </w:pPr>
    </w:p>
    <w:p>
      <w:pPr>
        <w:ind w:left="340" w:right="20"/>
        <w:spacing w:after="0" w:line="256" w:lineRule="auto"/>
        <w:rPr>
          <w:sz w:val="20"/>
          <w:szCs w:val="20"/>
          <w:color w:val="auto"/>
        </w:rPr>
      </w:pPr>
      <w:r>
        <w:rPr>
          <w:rFonts w:ascii="Times New Roman" w:cs="Times New Roman" w:eastAsia="Times New Roman" w:hAnsi="Times New Roman"/>
          <w:sz w:val="18"/>
          <w:szCs w:val="18"/>
          <w:color w:val="auto"/>
        </w:rPr>
        <w:t>Upon an acquisition, the Company records the fair value of goodwill and the identifiable intangible assets. As of January 29, 2022 and January 30, 2021, the identifiable intangible assets consisted of the Pura Vida brand, customer relationships, and non-competition agreements. Assets that are determined to have an indefinite life, including goodwill and the Pura Vida brand, are not amortized but are assessed for impairment at least annually or whenever events or circumstances indicate that the goodwill may be impaired. Definite-lived intangible assets, including customer relationships and non-competition agreements, are amortized over their estimated useful lives and are also subject to impairment testing, similar to the Company’s long-lived assets.</w:t>
      </w:r>
    </w:p>
    <w:p>
      <w:pPr>
        <w:spacing w:after="0" w:line="52" w:lineRule="exact"/>
        <w:rPr>
          <w:sz w:val="20"/>
          <w:szCs w:val="20"/>
          <w:color w:val="auto"/>
        </w:rPr>
      </w:pPr>
    </w:p>
    <w:p>
      <w:pPr>
        <w:ind w:left="340"/>
        <w:spacing w:after="0" w:line="253" w:lineRule="auto"/>
        <w:rPr>
          <w:sz w:val="20"/>
          <w:szCs w:val="20"/>
          <w:color w:val="auto"/>
        </w:rPr>
      </w:pPr>
      <w:r>
        <w:rPr>
          <w:rFonts w:ascii="Times New Roman" w:cs="Times New Roman" w:eastAsia="Times New Roman" w:hAnsi="Times New Roman"/>
          <w:sz w:val="18"/>
          <w:szCs w:val="18"/>
          <w:color w:val="auto"/>
        </w:rPr>
        <w:t>The Company performs its annual goodwill and Pura Vida brand impairment test generally during the second quarter. The Company may first use a qualitative analysis to determine whether it is more-likely-than-not that the fair value of the reporting unit (including goodwill) is less than its carrying value. If it is determined that it is more-likely-than-not that the fair value is less than the carrying value after this analysis, a quantitative impairment test is performed. If the Company elects to bypass the qualitative analysis, or if it is determined through the qualitative analysis that it is more-likely-than-not that the fair value of the reporting unit is less than its carrying value, a quantitative analysis is performed. Under the quantitative test, the fair value of the reporting unit is compared with its carrying value (including goodwill). If the carrying value of the reporting unit exceeds its fair value, an impairment loss is recognized in an amount equal to that excess, limited to the amount of total goodwill allocated to the reporting unit. The fair value of the reporting unit is determined using an income-based approach and a market-based approach. The Company's critical estimates for the goodwill test include the revenue growth rate, operating profit, and discount rate. The fair value of the Pura Vida brand is estimated using the relief-from-royalty method. The critical estimates for the Pura Vida brand impairment test include the projected revenue growth, long-term growth rate, the royalty rate, and the discount rate.</w:t>
      </w:r>
    </w:p>
    <w:p>
      <w:pPr>
        <w:spacing w:after="0" w:line="70" w:lineRule="exact"/>
        <w:rPr>
          <w:sz w:val="20"/>
          <w:szCs w:val="20"/>
          <w:color w:val="auto"/>
        </w:rPr>
      </w:pPr>
    </w:p>
    <w:p>
      <w:pPr>
        <w:ind w:left="340" w:right="160"/>
        <w:spacing w:after="0" w:line="250" w:lineRule="auto"/>
        <w:rPr>
          <w:sz w:val="20"/>
          <w:szCs w:val="20"/>
          <w:color w:val="auto"/>
        </w:rPr>
      </w:pPr>
      <w:r>
        <w:rPr>
          <w:rFonts w:ascii="Times New Roman" w:cs="Times New Roman" w:eastAsia="Times New Roman" w:hAnsi="Times New Roman"/>
          <w:sz w:val="18"/>
          <w:szCs w:val="18"/>
          <w:color w:val="auto"/>
        </w:rPr>
        <w:t>As of January 29, 2022, the carrying value of goodwill and the Pura Vida brand was $44.3 million and $36.7 million, respectively. For the annual impairment analysis performed during fiscal 2022, we performed a quantitative analysis. There was no impairment recorded for goodwill or the Pura Vida brand during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jc w:val="both"/>
        <w:ind w:left="340" w:right="100"/>
        <w:spacing w:after="0" w:line="250" w:lineRule="auto"/>
        <w:rPr>
          <w:sz w:val="20"/>
          <w:szCs w:val="20"/>
          <w:color w:val="auto"/>
        </w:rPr>
      </w:pPr>
      <w:r>
        <w:rPr>
          <w:rFonts w:ascii="Times New Roman" w:cs="Times New Roman" w:eastAsia="Times New Roman" w:hAnsi="Times New Roman"/>
          <w:sz w:val="18"/>
          <w:szCs w:val="18"/>
          <w:color w:val="auto"/>
        </w:rPr>
        <w:t>The estimated fair values of our Pura Vida reporting unit and the Pura Vida brand are subject to change as a result of many factors including changing economic conditions. Should actual cash flows and our future estimates deteriorate from the estimates we used, impairment charges may be necessary in future years.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p>
      <w:pPr>
        <w:spacing w:after="0" w:line="108" w:lineRule="exact"/>
        <w:rPr>
          <w:sz w:val="20"/>
          <w:szCs w:val="20"/>
          <w:color w:val="auto"/>
        </w:rPr>
      </w:pPr>
    </w:p>
    <w:p>
      <w:pPr>
        <w:ind w:left="340" w:right="20"/>
        <w:spacing w:after="0" w:line="253" w:lineRule="auto"/>
        <w:rPr>
          <w:sz w:val="20"/>
          <w:szCs w:val="20"/>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 In the event of a change in control of the Company, the parties may exercise a portion of their put and call rights prior to the fifth anniversary of the closing date (as defined in the Put/Call Agreement).</w:t>
      </w:r>
    </w:p>
    <w:p>
      <w:pPr>
        <w:spacing w:after="0" w:line="73" w:lineRule="exact"/>
        <w:rPr>
          <w:sz w:val="20"/>
          <w:szCs w:val="20"/>
          <w:color w:val="auto"/>
        </w:rPr>
      </w:pPr>
    </w:p>
    <w:p>
      <w:pPr>
        <w:ind w:left="340" w:right="140"/>
        <w:spacing w:after="0" w:line="253" w:lineRule="auto"/>
        <w:rPr>
          <w:sz w:val="20"/>
          <w:szCs w:val="20"/>
          <w:color w:val="auto"/>
        </w:rPr>
      </w:pPr>
      <w:r>
        <w:rPr>
          <w:rFonts w:ascii="Times New Roman" w:cs="Times New Roman" w:eastAsia="Times New Roman" w:hAnsi="Times New Roman"/>
          <w:sz w:val="18"/>
          <w:szCs w:val="18"/>
          <w:color w:val="auto"/>
        </w:rPr>
        <w:t>As a result of this redemption feature, the Company recorded the noncontrolling interest as redeemable and classified it in temporary equity within its Consolidated Balance Sheets initially at its acquisition-date fair value. The noncontrolling interest is adjusted each reporting period for income (or loss) attributable to the noncontrolling interest. A measurement period adjustment, if any, is then made to adjust the noncontrolling interest to the higher of the redemption value or carrying value each reporting period. These adjustments are recognized through retained earnings and are not reflected in net income or net income attributable to Vera Bradley, Inc. When calculating earnings per share attributable to Vera Bradley, Inc., the Company adjusts net income attributable to Vera Bradley, Inc. for the measurement period adjustment to the extent the redemption value exceeds the fair value of the noncontrolling interest on a cumulative basis. The fair value of the noncontrolling interest is estimated using a combination of the income approach, a discounted cash flow analysis, and the market approach, utilizing the guideline company method. The reporting unit’s discounted cash flow analysis requires significant management judgment with respect to revenue, total direct costs, selling, general, and administrative expenses, capital expenditures, and the selection and use of an appropriate discount rate. The projected revenue and expense assumptions and capital expenditures are based on our annual and long-term business plans. Discount rates reflect market-based estimates of the risks associated with the projected cash flows directly resulting from the use of those assets in operations. Refer to Note 15 herein for additional information regarding the redeemable noncontrolling interest.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06"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using the fair-value recognition provisions of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Under these provisions, for its awards of restricted stock and restricted-stock units, the Company recognizes stock-based compensation expense in an amount equal to the fair market value of the underlying stock on the grant date of the respective award. The Company recognizes this expense, net of estimated forfeitures, on a straight-line basis over the requisite service period.</w:t>
      </w: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94" w:lineRule="exact"/>
        <w:rPr>
          <w:sz w:val="20"/>
          <w:szCs w:val="20"/>
          <w:color w:val="auto"/>
        </w:rPr>
      </w:pPr>
    </w:p>
    <w:p>
      <w:pPr>
        <w:ind w:left="340" w:right="420"/>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at the time the promotion first appears in media, in stores, or on its websites, and includes those costs in selling, general, and administrative expenses in the Consolidated Statements of Operations.</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advertising expense was as follows (in thousands):</w:t>
      </w:r>
    </w:p>
    <w:p>
      <w:pPr>
        <w:spacing w:after="0" w:line="33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3560" w:type="dxa"/>
            <w:vAlign w:val="bottom"/>
            <w:shd w:val="clear" w:color="auto" w:fill="CCEEFF"/>
          </w:tcPr>
          <w:p>
            <w:pPr>
              <w:spacing w:after="0"/>
              <w:rPr>
                <w:sz w:val="19"/>
                <w:szCs w:val="19"/>
                <w:color w:val="auto"/>
              </w:rPr>
            </w:pPr>
          </w:p>
        </w:tc>
        <w:tc>
          <w:tcPr>
            <w:tcW w:w="38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61,223</w:t>
            </w: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Fiscal year ended January 30,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35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54,571</w:t>
            </w: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Fiscal year ended February 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2020</w:t>
            </w:r>
          </w:p>
        </w:tc>
        <w:tc>
          <w:tcPr>
            <w:tcW w:w="3560" w:type="dxa"/>
            <w:vAlign w:val="bottom"/>
            <w:shd w:val="clear" w:color="auto" w:fill="CCEEFF"/>
          </w:tcPr>
          <w:p>
            <w:pPr>
              <w:jc w:val="right"/>
              <w:ind w:right="3362"/>
              <w:spacing w:after="0"/>
              <w:rPr>
                <w:sz w:val="20"/>
                <w:szCs w:val="20"/>
                <w:color w:val="auto"/>
              </w:rPr>
            </w:pPr>
            <w:r>
              <w:rPr>
                <w:rFonts w:ascii="Times New Roman" w:cs="Times New Roman" w:eastAsia="Times New Roman" w:hAnsi="Times New Roman"/>
                <w:sz w:val="12"/>
                <w:szCs w:val="12"/>
                <w:color w:val="auto"/>
                <w:w w:val="85"/>
              </w:rPr>
              <w:t>(1)</w:t>
            </w:r>
          </w:p>
        </w:tc>
        <w:tc>
          <w:tcPr>
            <w:tcW w:w="3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46,460</w:t>
            </w:r>
          </w:p>
        </w:tc>
      </w:tr>
    </w:tbl>
    <w:p>
      <w:pPr>
        <w:ind w:left="600" w:hanging="250"/>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July 2019 acquisition of Pura Vida, fiscal 2020 includes approximately six months of Pura Vida advertising expense.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94"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5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104" w:lineRule="exact"/>
        <w:rPr>
          <w:sz w:val="20"/>
          <w:szCs w:val="20"/>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Consolidated Balance Sheets for cash and cash equivalents, accounts receivable, and accounts payable as of January 29, 2022 and January 30, 2021, approximated their fair values.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as of January 29, 2022 and January 30, 2021 (in thousands):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224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4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33"/>
        </w:trPr>
        <w:tc>
          <w:tcPr>
            <w:tcW w:w="4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77"/>
              <w:spacing w:after="0" w:line="134"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270"/>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900" w:type="dxa"/>
            <w:vAlign w:val="bottom"/>
            <w:tcBorders>
              <w:top w:val="single" w:sz="8" w:color="auto"/>
            </w:tcBorders>
          </w:tcPr>
          <w:p>
            <w:pPr>
              <w:jc w:val="right"/>
              <w:ind w:right="77"/>
              <w:spacing w:after="0" w:line="134"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tcPr>
          <w:p>
            <w:pPr>
              <w:jc w:val="center"/>
              <w:ind w:right="270"/>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900" w:type="dxa"/>
            <w:vAlign w:val="bottom"/>
            <w:tcBorders>
              <w:top w:val="single" w:sz="8" w:color="auto"/>
            </w:tcBorders>
          </w:tcPr>
          <w:p>
            <w:pPr>
              <w:jc w:val="center"/>
              <w:ind w:right="37"/>
              <w:spacing w:after="0" w:line="134" w:lineRule="exact"/>
              <w:rPr>
                <w:sz w:val="20"/>
                <w:szCs w:val="20"/>
                <w:color w:val="auto"/>
              </w:rPr>
            </w:pPr>
            <w:r>
              <w:rPr>
                <w:rFonts w:ascii="Times New Roman" w:cs="Times New Roman" w:eastAsia="Times New Roman" w:hAnsi="Times New Roman"/>
                <w:sz w:val="14"/>
                <w:szCs w:val="14"/>
                <w:b w:val="1"/>
                <w:bCs w:val="1"/>
                <w:color w:val="auto"/>
              </w:rPr>
              <w:t>January 30,</w:t>
            </w:r>
          </w:p>
        </w:tc>
      </w:tr>
      <w:tr>
        <w:trPr>
          <w:trHeight w:val="189"/>
        </w:trPr>
        <w:tc>
          <w:tcPr>
            <w:tcW w:w="4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42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Short-term investments: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bl>
    <w:p>
      <w:pPr>
        <w:spacing w:after="0" w:line="44" w:lineRule="exact"/>
        <w:rPr>
          <w:sz w:val="20"/>
          <w:szCs w:val="20"/>
          <w:color w:val="auto"/>
        </w:rPr>
      </w:pPr>
    </w:p>
    <w:p>
      <w:pPr>
        <w:ind w:left="360" w:right="320" w:hanging="10"/>
        <w:spacing w:after="0" w:line="237" w:lineRule="auto"/>
        <w:tabs>
          <w:tab w:leader="none" w:pos="6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relate to a money market fund that has a maturity of three months or less at the date of purchase. Due to its short maturity, the Company believes the carrying value approximates fair value.</w:t>
      </w:r>
    </w:p>
    <w:p>
      <w:pPr>
        <w:spacing w:after="0" w:line="64" w:lineRule="exact"/>
        <w:rPr>
          <w:sz w:val="20"/>
          <w:szCs w:val="20"/>
          <w:color w:val="auto"/>
        </w:rPr>
      </w:pPr>
    </w:p>
    <w:p>
      <w:pPr>
        <w:ind w:left="340" w:right="40"/>
        <w:spacing w:after="0" w:line="255"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$0.1 million and $7.4 million in impairment charges related to store assets including property, plant, and equipment and lease right-of-use assets during the fiscal years ended January 29, 2022 and January 30, 2021. There were no impairment charges for the fiscal year ended February 1, 2020.</w:t>
      </w:r>
    </w:p>
    <w:p>
      <w:pPr>
        <w:spacing w:after="0" w:line="65"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Assets recognized or disclosed at fair value on the consolidated financial statements on a nonrecurring basis include items such as property, plant, and equipment, including leasehold improvements, and operating lease assets, as well as assets related to the Pura Vida acquisition including goodwill and intangible assets. These assets are measured at fair value if determined to be impaired. Refer to Note 14 herein for additional information on the methods used in the valuation of acquired intangible assets.</w:t>
      </w:r>
    </w:p>
    <w:p>
      <w:pPr>
        <w:spacing w:after="0" w:line="58" w:lineRule="exact"/>
        <w:rPr>
          <w:sz w:val="20"/>
          <w:szCs w:val="20"/>
          <w:color w:val="auto"/>
        </w:rPr>
      </w:pPr>
    </w:p>
    <w:p>
      <w:pPr>
        <w:ind w:left="340" w:right="60"/>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The Company accrues income taxes payable or refundable and recognizes deferred tax assets and liabilities based on differences between the book and tax bases of assets and liabilities. The Company measures deferred tax assets and liabilities using enacted rates in effect for the years in which the differences are expected to reverse, and recognizes the effect of a change in enacted rates in the period of enactment.</w:t>
      </w:r>
    </w:p>
    <w:p>
      <w:pPr>
        <w:spacing w:after="0" w:line="54" w:lineRule="exact"/>
        <w:rPr>
          <w:sz w:val="20"/>
          <w:szCs w:val="20"/>
          <w:color w:val="auto"/>
        </w:rPr>
      </w:pPr>
    </w:p>
    <w:p>
      <w:pPr>
        <w:ind w:left="340" w:right="780"/>
        <w:spacing w:after="0" w:line="282" w:lineRule="auto"/>
        <w:rPr>
          <w:sz w:val="20"/>
          <w:szCs w:val="20"/>
          <w:color w:val="auto"/>
        </w:rPr>
      </w:pPr>
      <w:r>
        <w:rPr>
          <w:rFonts w:ascii="Times New Roman" w:cs="Times New Roman" w:eastAsia="Times New Roman" w:hAnsi="Times New Roman"/>
          <w:sz w:val="18"/>
          <w:szCs w:val="18"/>
          <w:color w:val="auto"/>
        </w:rPr>
        <w:t>The Company establishes liabilities for uncertain positions taken or expected to be taken in income tax returns, using a more-likely-than-not recognition threshold. The Company includes in income tax expense any interest and penalties related to uncertain tax positions.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Cloud Computing Arrangements</w:t>
      </w:r>
    </w:p>
    <w:p>
      <w:pPr>
        <w:spacing w:after="0" w:line="94"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in the same line item within the Company's Consolidated Statements of Operations as the related hosting fees. The balance of the unamortized CCA implementation costs totaled $8.0 million and $8.1 million as of January 29, 2022 and January 30, 2021, respectively. Of this total, $2.8 million and $2.4 million was recorded within prepaid expenses and other current assets and $5.2 million and $5.7 million was recorded within other assets on the Company's Consolidated Balance Sheets as of January 29, 2022 and January 30, 2021, respectively. The CCA implementation costs are recorded within operating activities in the Company's Consolidated Statements of Cash Flows.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6" w:lineRule="exact"/>
        <w:rPr>
          <w:sz w:val="20"/>
          <w:szCs w:val="20"/>
          <w:color w:val="auto"/>
        </w:rPr>
      </w:pPr>
    </w:p>
    <w:p>
      <w:pPr>
        <w:ind w:left="340" w:right="20"/>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 – Changes to the Disclosure Requirements for Fair Value Measurements</w:t>
      </w:r>
      <w:r>
        <w:rPr>
          <w:rFonts w:ascii="Times New Roman" w:cs="Times New Roman" w:eastAsia="Times New Roman" w:hAnsi="Times New Roman"/>
          <w:sz w:val="18"/>
          <w:szCs w:val="18"/>
          <w:color w:val="auto"/>
        </w:rPr>
        <w:t xml:space="preserve">. The amendments in this update remove, modify, and add certain disclosure requirements to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This guidance is effective for interim and annual periods beginning on or after December 15, 2019 (fiscal 2021). Early adoption is permitted, and certain amendments are to be adopted prospectively for only the most recent annual or interim period presented in the initial year of adoption or retrospectively. The adoption of this standard in the first quarter of fiscal 2021 did not have a material impact on the Company's consolidated financial statements.</w:t>
      </w:r>
    </w:p>
    <w:p>
      <w:pPr>
        <w:spacing w:after="0" w:line="48" w:lineRule="exact"/>
        <w:rPr>
          <w:sz w:val="20"/>
          <w:szCs w:val="20"/>
          <w:color w:val="auto"/>
        </w:rPr>
      </w:pPr>
    </w:p>
    <w:p>
      <w:pPr>
        <w:ind w:left="340" w:right="40"/>
        <w:spacing w:after="0" w:line="277" w:lineRule="auto"/>
        <w:rPr>
          <w:sz w:val="20"/>
          <w:szCs w:val="20"/>
          <w:color w:val="auto"/>
        </w:rPr>
      </w:pPr>
      <w:r>
        <w:rPr>
          <w:rFonts w:ascii="Times New Roman" w:cs="Times New Roman" w:eastAsia="Times New Roman" w:hAnsi="Times New Roman"/>
          <w:sz w:val="17"/>
          <w:szCs w:val="17"/>
          <w:color w:val="auto"/>
        </w:rPr>
        <w:t xml:space="preserve">In June 2016, the FASB issued ASU 2016-13, </w:t>
      </w:r>
      <w:r>
        <w:rPr>
          <w:rFonts w:ascii="Times New Roman" w:cs="Times New Roman" w:eastAsia="Times New Roman" w:hAnsi="Times New Roman"/>
          <w:sz w:val="17"/>
          <w:szCs w:val="17"/>
          <w:i w:val="1"/>
          <w:iCs w:val="1"/>
          <w:color w:val="auto"/>
        </w:rPr>
        <w:t>Measurement of Credit Losses on Financial Instruments</w:t>
      </w:r>
      <w:r>
        <w:rPr>
          <w:rFonts w:ascii="Times New Roman" w:cs="Times New Roman" w:eastAsia="Times New Roman" w:hAnsi="Times New Roman"/>
          <w:sz w:val="17"/>
          <w:szCs w:val="17"/>
          <w:color w:val="auto"/>
        </w:rPr>
        <w:t>. This standard replaces the incurred loss impairment methodology in current GAAP with a methodology that uses a forward-looking approach to recording credit losses for certain financial instruments including debt securities, trade receivables, and other financial assets. This guidance is effective for fiscal years beginning after December 15, 2019, including interim periods within those fiscal years, for SEC filers, which is the Company's fiscal 2021. Early adoption is permitted. The adoption of this standard in the first quarter of fiscal 2021 did not have a material impact on the Company's consolidated financial statements.</w:t>
      </w:r>
    </w:p>
    <w:p>
      <w:pPr>
        <w:spacing w:after="0" w:line="46"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The amendments in this update remove certain exceptions to the general principals in Topic 740, as well as simplify GAAP for certain areas and improve consistency within the topic. This guidance is effective for interim and annual periods beginning on or after December 15, 2020 (fiscal 2022). Early adoption is permitted, with all amendments required to be adopted in the same period. The adoption of this standard in the first quarter of fiscal 2022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ind w:left="340" w:right="7780" w:hanging="332"/>
        <w:spacing w:after="0" w:line="354" w:lineRule="auto"/>
        <w:tabs>
          <w:tab w:leader="none" w:pos="331"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Disaggregation of Revenue</w:t>
      </w: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fifty-two weeks ended January 29, 2022, January 30, 2021, and February 1, 2020 (in thousands):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540" w:type="dxa"/>
            <w:vAlign w:val="bottom"/>
          </w:tcPr>
          <w:p>
            <w:pPr>
              <w:spacing w:after="0"/>
              <w:rPr>
                <w:sz w:val="11"/>
                <w:szCs w:val="11"/>
                <w:color w:val="auto"/>
              </w:rPr>
            </w:pPr>
          </w:p>
        </w:tc>
        <w:tc>
          <w:tcPr>
            <w:tcW w:w="13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138,910</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33,125</w:t>
            </w:r>
          </w:p>
        </w:tc>
        <w:tc>
          <w:tcPr>
            <w:tcW w:w="32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173,009</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82,507</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94,657</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186,488</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41,987</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46,403</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25,108</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354,875</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119,577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540,453</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360" w:right="100" w:hanging="10"/>
        <w:spacing w:after="0" w:line="234" w:lineRule="auto"/>
        <w:tabs>
          <w:tab w:leader="none" w:pos="6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$63.1 million of net revenues related to product sales recognized at a point in time and $2.9 million of net revenues related to sales-based royalties recognized over time.</w:t>
      </w:r>
    </w:p>
    <w:p>
      <w:pPr>
        <w:spacing w:after="0" w:line="1"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January 30, 2021</w:t>
            </w: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540" w:type="dxa"/>
            <w:vAlign w:val="bottom"/>
          </w:tcPr>
          <w:p>
            <w:pPr>
              <w:spacing w:after="0"/>
              <w:rPr>
                <w:sz w:val="11"/>
                <w:szCs w:val="11"/>
                <w:color w:val="auto"/>
              </w:rPr>
            </w:pPr>
          </w:p>
        </w:tc>
        <w:tc>
          <w:tcPr>
            <w:tcW w:w="13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105,197</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26,732</w:t>
            </w:r>
          </w:p>
        </w:tc>
        <w:tc>
          <w:tcPr>
            <w:tcW w:w="32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131,929</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59,606</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71,797</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106,547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164,332</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31,819</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34,072</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289,274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112,481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468,272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360" w:right="100" w:hanging="10"/>
        <w:spacing w:after="0" w:line="234" w:lineRule="auto"/>
        <w:tabs>
          <w:tab w:leader="none" w:pos="6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$63.5 million of net revenues related to product sales recognized at a point in time and $3.0 million of net revenues related to sales-based royalties recognized over time.</w:t>
      </w:r>
    </w:p>
    <w:p>
      <w:pPr>
        <w:spacing w:after="0" w:line="1"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540" w:type="dxa"/>
            <w:vAlign w:val="bottom"/>
          </w:tcPr>
          <w:p>
            <w:pPr>
              <w:spacing w:after="0"/>
              <w:rPr>
                <w:sz w:val="11"/>
                <w:szCs w:val="11"/>
                <w:color w:val="auto"/>
              </w:rPr>
            </w:pPr>
          </w:p>
        </w:tc>
        <w:tc>
          <w:tcPr>
            <w:tcW w:w="13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i w:val="1"/>
                <w:iCs w:val="1"/>
                <w:color w:val="auto"/>
              </w:rPr>
              <w:t>Product categories</w:t>
            </w:r>
            <w:r>
              <w:rPr>
                <w:rFonts w:ascii="Times New Roman" w:cs="Times New Roman" w:eastAsia="Times New Roman" w:hAnsi="Times New Roman"/>
                <w:sz w:val="23"/>
                <w:szCs w:val="23"/>
                <w:i w:val="1"/>
                <w:iCs w:val="1"/>
                <w:color w:val="auto"/>
                <w:vertAlign w:val="superscript"/>
              </w:rPr>
              <w:t>(1)</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136,509</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41,206</w:t>
            </w:r>
          </w:p>
        </w:tc>
        <w:tc>
          <w:tcPr>
            <w:tcW w:w="320" w:type="dxa"/>
            <w:vAlign w:val="bottom"/>
          </w:tcPr>
          <w:p>
            <w:pPr>
              <w:spacing w:after="0"/>
              <w:rPr>
                <w:sz w:val="19"/>
                <w:szCs w:val="19"/>
                <w:color w:val="auto"/>
              </w:rPr>
            </w:pPr>
          </w:p>
        </w:tc>
        <w:tc>
          <w:tcPr>
            <w:tcW w:w="68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177,715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91,732</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16,712</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108,444</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15,470</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155,200</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35,690</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12,431</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347,484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495,212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revenues have been recast to exclude Apparel/Footwear to conform with the current-year presentation.</w:t>
      </w:r>
    </w:p>
    <w:p>
      <w:pPr>
        <w:spacing w:after="0" w:line="27"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360" w:right="100" w:hanging="10"/>
        <w:spacing w:after="0" w:line="234" w:lineRule="auto"/>
        <w:tabs>
          <w:tab w:leader="none" w:pos="6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$78.0 million of net revenues related to product sales recognized at a point in time and $3.8 million of net revenues related to sales-based royalties recognized over time.</w:t>
      </w:r>
    </w:p>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94"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Contract liabilities as of January 29, 2022 and January 30, 2021, were $3.9 million and $4.1 million, respectively. The balance as of January 29, 2022 consisted of unearned revenue related to unredeemed gift cards, the monthly bracelet and jewelry clubs of the Pura Vida segment, Pura Vida loyalty club points, Pura Vida customer deposits and payments collected before shipment, and an immaterial amount of unearned revenue for pre-payments of royalties in certain of the Company’s licensing arrangements. The balance as of January 30, 2021 consisted of unearned revenue related to the monthly bracelet and jewelry clubs of the Pura Vida segment, unredeemed gift cards, Pura Vida loyalty club points, Pura Vida customer deposits and payments collected before shipment, and an immaterial amount of unearned revenue for pre-payments of royalties in certain of the Company’s licensing arrangements. These contract liabilities are recognized within other accrued liabilities on the Company’s Consolidated Balance Sheets. Substantially all contract liabilities are recognized within one year. The Company did not have contract assets as of January 29, 2022 and January 30, 2021.</w:t>
      </w:r>
    </w:p>
    <w:p>
      <w:pPr>
        <w:spacing w:after="0" w:line="70"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January 29, 2022 and January 30, 2021 was $18.1 million and $26.0 million, respectively, which is recognized within accounts receivable, net, on the Company’s Consolidated Balance Sheets. The provision for doubtful accounts was $1.2 million and $1.1 million as of January 29, 2022 and January 30, 2021, respectively. The provision for doubtful accounts is based upon the likelihood of default expected during the life of the receivable.</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0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9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January 29, 2022.</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Significant Judgments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92" w:lineRule="exact"/>
        <w:rPr>
          <w:sz w:val="20"/>
          <w:szCs w:val="20"/>
          <w:color w:val="auto"/>
        </w:rPr>
      </w:pPr>
    </w:p>
    <w:p>
      <w:pPr>
        <w:ind w:left="340" w:right="520"/>
        <w:spacing w:after="0" w:line="282" w:lineRule="auto"/>
        <w:rPr>
          <w:sz w:val="20"/>
          <w:szCs w:val="20"/>
          <w:color w:val="auto"/>
        </w:rPr>
      </w:pPr>
      <w:r>
        <w:rPr>
          <w:rFonts w:ascii="Times New Roman" w:cs="Times New Roman" w:eastAsia="Times New Roman" w:hAnsi="Times New Roman"/>
          <w:sz w:val="18"/>
          <w:szCs w:val="18"/>
          <w:color w:val="auto"/>
        </w:rPr>
        <w:t>In the Vera Bradley retail stores and the Pura Vida retail store (recognized within the VB Direct segment and the Pura Vida segments), control is transferred and net revenue is recognized at the point of sale. Product shipments for the Company’s 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200"/>
        <w:spacing w:after="0" w:line="258" w:lineRule="auto"/>
        <w:rPr>
          <w:sz w:val="20"/>
          <w:szCs w:val="20"/>
          <w:color w:val="auto"/>
        </w:rPr>
      </w:pPr>
      <w:r>
        <w:rPr>
          <w:rFonts w:ascii="Times New Roman" w:cs="Times New Roman" w:eastAsia="Times New Roman" w:hAnsi="Times New Roman"/>
          <w:sz w:val="18"/>
          <w:szCs w:val="18"/>
          <w:color w:val="auto"/>
        </w:rPr>
        <w:t>commerce channels (recognized within the VB Direct and Pura Vida segments) and shipments to its wholesale retailers (recognized within the VB Indirect segment and Pura Vida segment) are generally shipped Free on Board (“FOB”) shipping point typically from its distribution center in Roanoke, Indiana, for Vera Bradley products and primarily from its third-party fulfillment center in Tijuana, Mexico for Pura Vida products. Net revenue is recognized upon shipment consistent with when control is transferred to the customer. Upon shipment, the customer has the right to direct the use of, and obtain substantially all of the benefits from, the product.</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Licensing Royalties</w:t>
      </w:r>
    </w:p>
    <w:p>
      <w:pPr>
        <w:spacing w:after="0" w:line="106"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The Company grants rights to access its Vera Bradley IP and accounts for any resulting sales-based royalty revenue over time, as the subsequent sales occur. The Company has contractually guaranteed minimum royalties in certain of its sales-based royalty arrangements which are recognized straight-line over the remaining license period once determined that the minimum sales level will not be achieved. Licensing royalties are recognized within VB Indirect segment net revenues.</w:t>
      </w: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Price and Amounts Allocated to Performance Obligations</w:t>
      </w:r>
    </w:p>
    <w:p>
      <w:pPr>
        <w:spacing w:after="0" w:line="92" w:lineRule="exact"/>
        <w:rPr>
          <w:sz w:val="20"/>
          <w:szCs w:val="20"/>
          <w:color w:val="auto"/>
        </w:rPr>
      </w:pPr>
    </w:p>
    <w:p>
      <w:pPr>
        <w:ind w:left="340" w:right="140"/>
        <w:spacing w:after="0" w:line="258" w:lineRule="auto"/>
        <w:rPr>
          <w:sz w:val="20"/>
          <w:szCs w:val="20"/>
          <w:color w:val="auto"/>
        </w:rPr>
      </w:pPr>
      <w:r>
        <w:rPr>
          <w:rFonts w:ascii="Times New Roman" w:cs="Times New Roman" w:eastAsia="Times New Roman" w:hAnsi="Times New Roman"/>
          <w:sz w:val="18"/>
          <w:szCs w:val="18"/>
          <w:color w:val="auto"/>
        </w:rPr>
        <w:t>The transaction price is the amount of consideration the Company expects to be entitled to in a sales transaction. The transaction price is net of discounts, estimated variable consideration (if any), and any customer allowances offered or estimated, including those offered to certain Indirect retailers based on various contract terms. The transaction price also is net of allowances for product returns, which the Company is able to reasonably estimate based upon historical experience. The transaction price is allocated to each performance obligation in the contract based upon the standalone selling price.</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0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Sales commissions are paid to certain employees based upon specific sales achieved during a time period. As the Company’s contracts related to these sales commissions do not exceed one year, these incentive payments are expensed as incurred.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Practical Expedients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Significant Financing Components</w:t>
      </w:r>
    </w:p>
    <w:p>
      <w:pPr>
        <w:spacing w:after="0" w:line="10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does not adjust for the time value of money as the majority of its contracts have an original expected duration of one year or less; contracts that are greater than one year are related to net revenues that are constrained until the subsequent sales occur. The net revenues associated with these contracts are immaterial, and the Company does not adjust for the time value of money.</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Five customers represented approximately 40.0% of the balance of accounts receivable, net as of January 29, 2022.</w:t>
      </w:r>
    </w:p>
    <w:p>
      <w:pPr>
        <w:spacing w:after="0" w:line="275"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07" w:lineRule="exact"/>
        <w:rPr>
          <w:rFonts w:ascii="Times New Roman" w:cs="Times New Roman" w:eastAsia="Times New Roman" w:hAnsi="Times New Roman"/>
          <w:sz w:val="18"/>
          <w:szCs w:val="18"/>
          <w:b w:val="1"/>
          <w:bCs w:val="1"/>
          <w:color w:val="auto"/>
        </w:rPr>
      </w:pPr>
    </w:p>
    <w:p>
      <w:pPr>
        <w:ind w:left="34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prior-year, the Company temporarily closed its full-line and factory outlet stores beginning on March 19, 2020, due to the COVID-19 pandemic, for various lengths of time (from several weeks to several months). The stores began to re-open on May 5, 2020, with substantially all stores open by the end of July 2020. All of the Company's stores were open during fiscal 2022. As a result of the temporary closures in the prior-year, certain rent payments were deferred. An immaterial amount of rent abatements were received as of January 29, 2022 and January 30, 2021. An immaterial amount of rent deferrals were received as of January 30, 2021. No additional rent deferrals were received during fiscal 2022.</w:t>
      </w:r>
    </w:p>
    <w:p>
      <w:pPr>
        <w:spacing w:after="0" w:line="48" w:lineRule="exact"/>
        <w:rPr>
          <w:rFonts w:ascii="Times New Roman" w:cs="Times New Roman" w:eastAsia="Times New Roman" w:hAnsi="Times New Roman"/>
          <w:sz w:val="18"/>
          <w:szCs w:val="18"/>
          <w:b w:val="1"/>
          <w:bCs w:val="1"/>
          <w:color w:val="auto"/>
        </w:rPr>
      </w:pPr>
    </w:p>
    <w:p>
      <w:pPr>
        <w:jc w:val="both"/>
        <w:ind w:left="34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2020, the FASB issued guidance that allows a company to elect to account for COVID-19-related rent concessions as (1) if they were part of the enforceable rights and obligations under the existing lease contract or (2) lease modifications. Leases that are eligible under this guidance include those that do not have a substantial increase of obligations to the lessee.</w:t>
      </w:r>
    </w:p>
    <w:p>
      <w:pPr>
        <w:spacing w:after="0" w:line="54" w:lineRule="exact"/>
        <w:rPr>
          <w:rFonts w:ascii="Times New Roman" w:cs="Times New Roman" w:eastAsia="Times New Roman" w:hAnsi="Times New Roman"/>
          <w:sz w:val="18"/>
          <w:szCs w:val="18"/>
          <w:b w:val="1"/>
          <w:bCs w:val="1"/>
          <w:color w:val="auto"/>
        </w:rPr>
      </w:pPr>
    </w:p>
    <w:p>
      <w:pPr>
        <w:ind w:left="34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elected to treat COVID-19-related rent abatements as a reduction to its operating lease cost in the period the abatements are received for leases that do not have a substantial change in obligations. Lease abatements received which were coupled with lease extensions of greater than a month, or a substantial change of future lease payments, were recorded as a lease modification under ASC 842.</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The Company also received lease payment deferrals in some cases, extending the due date of the lease payments. The Company did not remeasure the lease liability and continued to account for the lease following the rights and obligations of the existing lease.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Nature of Leases</w:t>
      </w:r>
    </w:p>
    <w:p>
      <w:pPr>
        <w:spacing w:after="0" w:line="108" w:lineRule="exact"/>
        <w:rPr>
          <w:sz w:val="20"/>
          <w:szCs w:val="20"/>
          <w:color w:val="auto"/>
        </w:rPr>
      </w:pPr>
    </w:p>
    <w:p>
      <w:pPr>
        <w:jc w:val="both"/>
        <w:ind w:left="340" w:right="30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at all of its retail stores, including Pura Vida's retail store, as well as for its New York office, the California Pura Vida office, Asia sourcing office, and showrooms. The Company also has operating leases for certain equipment and storage spaces. The Company does not have residual value guarantees, restrictions, or covenants imposed by leases.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Determination of Lease Terms</w:t>
      </w:r>
    </w:p>
    <w:p>
      <w:pPr>
        <w:spacing w:after="0" w:line="94"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Retail store leases have remaining terms of up to 10 years as of January 29, 2022. These leases generally have early termination rights when certain sales thresholds are not met for a specified measurement period. The Company's other leases have remaining terms of up to approximately five years as of January 29, 2022. If the lease contains a renewal period at the Company's option, the renewal period is included in the lease term if determined the option is reasonably certain to be exercised at lease commencement. The Company's lease options generally do not include termination rights other than those mentioned. The Company did not have financing leases as of January 29, 2022.</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Variable Rental Payments</w:t>
      </w:r>
    </w:p>
    <w:p>
      <w:pPr>
        <w:spacing w:after="0" w:line="108"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All of the Company's retail store leases contain variable rental payments when the retail store's sales exceed a specified breakpoint. In addition, the majority of the Company's leases contain real estate taxes, common area maintenance, and similar items that are billed as pass-through charges from its landlords. These rental payments are not included in the measurement of the lease liability, but are recognized as variable lease cost in the period incurred.</w:t>
      </w:r>
    </w:p>
    <w:p>
      <w:pPr>
        <w:spacing w:after="0" w:line="45" w:lineRule="exact"/>
        <w:rPr>
          <w:sz w:val="20"/>
          <w:szCs w:val="20"/>
          <w:color w:val="auto"/>
        </w:rPr>
      </w:pPr>
    </w:p>
    <w:p>
      <w:pPr>
        <w:ind w:left="340" w:right="20"/>
        <w:spacing w:after="0" w:line="312" w:lineRule="auto"/>
        <w:rPr>
          <w:sz w:val="20"/>
          <w:szCs w:val="20"/>
          <w:color w:val="auto"/>
        </w:rPr>
      </w:pPr>
      <w:r>
        <w:rPr>
          <w:rFonts w:ascii="Times New Roman" w:cs="Times New Roman" w:eastAsia="Times New Roman" w:hAnsi="Times New Roman"/>
          <w:sz w:val="17"/>
          <w:szCs w:val="17"/>
          <w:color w:val="auto"/>
        </w:rPr>
        <w:t>Certain of the Company's leases also contain lease components with increases based upon an index or rate. These lease components are included on the Company's balance sheet at the rate as of lease commencement. Future changes in the index or rate will generally be included as variable lease cost.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Significant Judgments and Assumptions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Determination of Whether a Contract Contains a Lease</w:t>
      </w:r>
    </w:p>
    <w:p>
      <w:pPr>
        <w:spacing w:after="0" w:line="92"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the inception of the contract. The contract is, or contains, a lease if the contract conveys the right to control the use of identified property, plant, or equipment for a period of time in exchange for consideration. The Company generally must also have the right to obtain substantially all of the economic benefits from use of the property, plant, and equipment and have the right to direct its use.</w:t>
      </w:r>
    </w:p>
    <w:p>
      <w:pPr>
        <w:spacing w:after="0" w:line="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106" w:lineRule="exact"/>
        <w:rPr>
          <w:sz w:val="20"/>
          <w:szCs w:val="20"/>
          <w:color w:val="auto"/>
        </w:rPr>
      </w:pPr>
    </w:p>
    <w:p>
      <w:pPr>
        <w:ind w:left="340" w:right="300"/>
        <w:spacing w:after="0" w:line="266" w:lineRule="auto"/>
        <w:rPr>
          <w:sz w:val="20"/>
          <w:szCs w:val="20"/>
          <w:color w:val="auto"/>
        </w:rPr>
      </w:pPr>
      <w:r>
        <w:rPr>
          <w:rFonts w:ascii="Times New Roman" w:cs="Times New Roman" w:eastAsia="Times New Roman" w:hAnsi="Times New Roman"/>
          <w:sz w:val="18"/>
          <w:szCs w:val="18"/>
          <w:color w:val="auto"/>
        </w:rPr>
        <w:t>The weighted-average discount rate as of January 29, 2022 and January 30, 2021, was 4.7% and 4.8%, respectively. The discount rate is not readily determinable in the lease; therefore, the Company estimated the incremental borrowing rate, at the commencement or remeasurement date of each lease, which is the rate of interest it would have to borrow on a collateralized basis over a similar term with similar payments.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Leases Not Yet Commenced</w:t>
      </w:r>
    </w:p>
    <w:p>
      <w:pPr>
        <w:spacing w:after="0" w:line="108" w:lineRule="exact"/>
        <w:rPr>
          <w:sz w:val="20"/>
          <w:szCs w:val="20"/>
          <w:color w:val="auto"/>
        </w:rPr>
      </w:pPr>
    </w:p>
    <w:p>
      <w:pPr>
        <w:ind w:left="340" w:right="320"/>
        <w:spacing w:after="0" w:line="261" w:lineRule="auto"/>
        <w:rPr>
          <w:sz w:val="20"/>
          <w:szCs w:val="20"/>
          <w:color w:val="auto"/>
        </w:rPr>
      </w:pPr>
      <w:r>
        <w:rPr>
          <w:rFonts w:ascii="Times New Roman" w:cs="Times New Roman" w:eastAsia="Times New Roman" w:hAnsi="Times New Roman"/>
          <w:sz w:val="18"/>
          <w:szCs w:val="18"/>
          <w:color w:val="auto"/>
        </w:rPr>
        <w:t>As of January 29, 2022, the Company had three leases which were executed but did it not have control of the underlying assets; therefore, the lease liability and right-of-use asset are not recorded on the Condensed Consolidated Balance Sheet. These leases contain undiscounted lease payments, which will be included in the determination of the lease liability, totaling approximately $5.3 million and have terms of approximately 10 years commencing in fiscal year 2023.</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Practical Expedients (Policy Elections)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elected the following practical expedients as policy elections upon the adoption of ASC Topic 842.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1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Vera Bradley, Inc.</w:t>
            </w:r>
          </w:p>
        </w:tc>
      </w:tr>
      <w:tr>
        <w:trPr>
          <w:trHeight w:val="238"/>
        </w:trPr>
        <w:tc>
          <w:tcPr>
            <w:tcW w:w="3180" w:type="dxa"/>
            <w:vAlign w:val="bottom"/>
          </w:tcPr>
          <w:p>
            <w:pPr>
              <w:spacing w:after="0"/>
              <w:rPr>
                <w:sz w:val="20"/>
                <w:szCs w:val="20"/>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445"/>
        </w:trPr>
        <w:tc>
          <w:tcPr>
            <w:tcW w:w="3180" w:type="dxa"/>
            <w:vAlign w:val="bottom"/>
          </w:tcPr>
          <w:p>
            <w:pPr>
              <w:spacing w:after="0"/>
              <w:rPr>
                <w:sz w:val="24"/>
                <w:szCs w:val="24"/>
                <w:color w:val="auto"/>
              </w:rPr>
            </w:pPr>
          </w:p>
        </w:tc>
        <w:tc>
          <w:tcPr>
            <w:tcW w:w="7720" w:type="dxa"/>
            <w:vAlign w:val="bottom"/>
          </w:tcPr>
          <w:p>
            <w:pPr>
              <w:spacing w:after="0"/>
              <w:rPr>
                <w:sz w:val="24"/>
                <w:szCs w:val="24"/>
                <w:color w:val="auto"/>
              </w:rPr>
            </w:pPr>
          </w:p>
        </w:tc>
      </w:tr>
      <w:tr>
        <w:trPr>
          <w:trHeight w:val="176"/>
        </w:trPr>
        <w:tc>
          <w:tcPr>
            <w:tcW w:w="3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Short-Term Leases</w:t>
            </w:r>
          </w:p>
        </w:tc>
        <w:tc>
          <w:tcPr>
            <w:tcW w:w="77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The Company elected to exclude leases with a term of 12 months or less from recognition on the</w:t>
            </w:r>
          </w:p>
        </w:tc>
      </w:tr>
      <w:tr>
        <w:trPr>
          <w:trHeight w:val="229"/>
        </w:trPr>
        <w:tc>
          <w:tcPr>
            <w:tcW w:w="3180" w:type="dxa"/>
            <w:vAlign w:val="bottom"/>
            <w:shd w:val="clear" w:color="auto" w:fill="CCEEFF"/>
          </w:tcPr>
          <w:p>
            <w:pPr>
              <w:spacing w:after="0"/>
              <w:rPr>
                <w:sz w:val="19"/>
                <w:szCs w:val="19"/>
                <w:color w:val="auto"/>
              </w:rPr>
            </w:pPr>
          </w:p>
        </w:tc>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balance sheet for all leases.</w:t>
            </w:r>
          </w:p>
        </w:tc>
      </w:tr>
      <w:tr>
        <w:trPr>
          <w:trHeight w:val="176"/>
        </w:trPr>
        <w:tc>
          <w:tcPr>
            <w:tcW w:w="3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Not Separating Lease and Nonlease</w:t>
            </w:r>
          </w:p>
        </w:tc>
        <w:tc>
          <w:tcPr>
            <w:tcW w:w="77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The Company elected to combine lease and nonlease components and recognize as a single lease</w:t>
            </w:r>
          </w:p>
        </w:tc>
      </w:tr>
      <w:tr>
        <w:trPr>
          <w:trHeight w:val="238"/>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component for all leases.</w:t>
            </w:r>
          </w:p>
        </w:tc>
      </w:tr>
    </w:tbl>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Financial Statements</w:t>
      </w:r>
    </w:p>
    <w:p>
      <w:pPr>
        <w:spacing w:after="0" w:line="108" w:lineRule="exact"/>
        <w:rPr>
          <w:sz w:val="20"/>
          <w:szCs w:val="20"/>
          <w:color w:val="auto"/>
        </w:rPr>
      </w:pPr>
    </w:p>
    <w:p>
      <w:pPr>
        <w:jc w:val="both"/>
        <w:ind w:left="340" w:right="140"/>
        <w:spacing w:after="0" w:line="266" w:lineRule="auto"/>
        <w:rPr>
          <w:sz w:val="20"/>
          <w:szCs w:val="20"/>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Consolidated Statements of Operations for the fiscal years ended January 29, 2022, January 30, 2021, and February 1, 2020 (in thousands):</w:t>
      </w:r>
    </w:p>
    <w:p>
      <w:pPr>
        <w:spacing w:after="0" w:line="88"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160" w:type="dxa"/>
            <w:vAlign w:val="bottom"/>
          </w:tcPr>
          <w:p>
            <w:pPr>
              <w:spacing w:after="0"/>
              <w:rPr>
                <w:sz w:val="16"/>
                <w:szCs w:val="16"/>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January 30, 2021</w:t>
            </w:r>
          </w:p>
        </w:tc>
        <w:tc>
          <w:tcPr>
            <w:tcW w:w="260" w:type="dxa"/>
            <w:vAlign w:val="bottom"/>
          </w:tcPr>
          <w:p>
            <w:pPr>
              <w:spacing w:after="0"/>
              <w:rPr>
                <w:sz w:val="16"/>
                <w:szCs w:val="16"/>
                <w:color w:val="auto"/>
              </w:rPr>
            </w:pPr>
          </w:p>
        </w:tc>
        <w:tc>
          <w:tcPr>
            <w:tcW w:w="16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February 1, 2020</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28,808</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38,650</w:t>
            </w:r>
          </w:p>
        </w:tc>
      </w:tr>
      <w:tr>
        <w:trPr>
          <w:trHeight w:val="21"/>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remaining lease term as of January 29, 2022 and January 30, 2021 was 5.3 years and 5.4 years, respectively.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220" w:type="dxa"/>
            <w:vAlign w:val="bottom"/>
          </w:tcPr>
          <w:p>
            <w:pPr>
              <w:spacing w:after="0"/>
              <w:rPr>
                <w:sz w:val="16"/>
                <w:szCs w:val="16"/>
                <w:color w:val="auto"/>
              </w:rPr>
            </w:pP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30, 2021</w:t>
            </w:r>
          </w:p>
        </w:tc>
        <w:tc>
          <w:tcPr>
            <w:tcW w:w="320" w:type="dxa"/>
            <w:vAlign w:val="bottom"/>
          </w:tcPr>
          <w:p>
            <w:pPr>
              <w:spacing w:after="0"/>
              <w:rPr>
                <w:sz w:val="16"/>
                <w:szCs w:val="16"/>
                <w:color w:val="auto"/>
              </w:rPr>
            </w:pPr>
          </w:p>
        </w:tc>
        <w:tc>
          <w:tcPr>
            <w:tcW w:w="18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0" w:type="dxa"/>
            <w:vAlign w:val="bottom"/>
          </w:tcPr>
          <w:p>
            <w:pPr>
              <w:spacing w:after="0"/>
              <w:rPr>
                <w:sz w:val="1"/>
                <w:szCs w:val="1"/>
                <w:color w:val="auto"/>
              </w:rPr>
            </w:pPr>
          </w:p>
        </w:tc>
      </w:tr>
      <w:tr>
        <w:trPr>
          <w:trHeight w:val="156"/>
        </w:trPr>
        <w:tc>
          <w:tcPr>
            <w:tcW w:w="43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27,180</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32,702</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23"/>
                <w:szCs w:val="23"/>
                <w:color w:val="auto"/>
                <w:vertAlign w:val="superscript"/>
              </w:rPr>
              <w:t>(1)</w:t>
            </w:r>
          </w:p>
        </w:tc>
        <w:tc>
          <w:tcPr>
            <w:tcW w:w="320" w:type="dxa"/>
            <w:vAlign w:val="bottom"/>
            <w:vMerge w:val="continue"/>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increase as a result of new and modified</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11,584</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0" w:type="dxa"/>
            <w:vAlign w:val="bottom"/>
          </w:tcPr>
          <w:p>
            <w:pPr>
              <w:spacing w:after="0"/>
              <w:rPr>
                <w:sz w:val="1"/>
                <w:szCs w:val="1"/>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320" w:type="dxa"/>
            <w:vAlign w:val="bottom"/>
            <w:vMerge w:val="continue"/>
          </w:tcPr>
          <w:p>
            <w:pPr>
              <w:spacing w:after="0"/>
              <w:rPr>
                <w:sz w:val="20"/>
                <w:szCs w:val="20"/>
                <w:color w:val="auto"/>
              </w:rPr>
            </w:pPr>
          </w:p>
        </w:tc>
        <w:tc>
          <w:tcPr>
            <w:tcW w:w="18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360" w:right="100" w:hanging="10"/>
        <w:spacing w:after="0" w:line="231" w:lineRule="auto"/>
        <w:tabs>
          <w:tab w:leader="none" w:pos="6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of lease liabilities were recorded within accounts payable on the Company's Consolidated Balance Sheets as of January 30, 2021, and were paid in the first quarter of fiscal 2022.</w:t>
      </w:r>
    </w:p>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Maturity Analysis of Operating Lease Liabilities</w:t>
      </w:r>
    </w:p>
    <w:p>
      <w:pPr>
        <w:spacing w:after="0" w:line="94" w:lineRule="exact"/>
        <w:rPr>
          <w:sz w:val="20"/>
          <w:szCs w:val="20"/>
          <w:color w:val="auto"/>
        </w:rPr>
      </w:pPr>
    </w:p>
    <w:p>
      <w:pPr>
        <w:ind w:left="340" w:right="600"/>
        <w:spacing w:after="0" w:line="282" w:lineRule="auto"/>
        <w:rPr>
          <w:sz w:val="20"/>
          <w:szCs w:val="20"/>
          <w:color w:val="auto"/>
        </w:rPr>
      </w:pPr>
      <w:r>
        <w:rPr>
          <w:rFonts w:ascii="Times New Roman" w:cs="Times New Roman" w:eastAsia="Times New Roman" w:hAnsi="Times New Roman"/>
          <w:sz w:val="18"/>
          <w:szCs w:val="18"/>
          <w:color w:val="auto"/>
        </w:rPr>
        <w:t>Maturities of the Company's operating lease liabilities (undiscounted) reconciled to its lease liability as of January 29, 2022 were as follows (in thousands):</w:t>
      </w:r>
    </w:p>
    <w:p>
      <w:pPr>
        <w:spacing w:after="0" w:line="74"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88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28"/>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22,905</w:t>
            </w:r>
          </w:p>
        </w:tc>
      </w:tr>
      <w:tr>
        <w:trPr>
          <w:trHeight w:val="229"/>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23,465</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20,681</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w:t>
            </w:r>
          </w:p>
        </w:tc>
      </w:tr>
      <w:tr>
        <w:trPr>
          <w:trHeight w:val="229"/>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20,589</w:t>
            </w:r>
          </w:p>
        </w:tc>
      </w:tr>
      <w:tr>
        <w:trPr>
          <w:trHeight w:val="22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remaining obligations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113,455</w:t>
            </w:r>
          </w:p>
        </w:tc>
      </w:tr>
      <w:tr>
        <w:trPr>
          <w:trHeight w:val="229"/>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(13,895)</w:t>
            </w:r>
          </w:p>
        </w:tc>
      </w:tr>
      <w:tr>
        <w:trPr>
          <w:trHeight w:val="248"/>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99,560</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29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20" w:type="dxa"/>
            <w:vAlign w:val="bottom"/>
          </w:tcPr>
          <w:p>
            <w:pPr>
              <w:spacing w:after="0"/>
              <w:rPr>
                <w:sz w:val="13"/>
                <w:szCs w:val="13"/>
                <w:color w:val="auto"/>
              </w:rPr>
            </w:pP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January 30,</w:t>
            </w:r>
          </w:p>
        </w:tc>
      </w:tr>
      <w:tr>
        <w:trPr>
          <w:trHeight w:val="189"/>
        </w:trPr>
        <w:tc>
          <w:tcPr>
            <w:tcW w:w="8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leasehold improvements, computer equipment and software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84,223</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vehicles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3"/>
        </w:trPr>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164,218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(100,266)</w:t>
            </w: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63,952</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 associated with property, plant, and equipment, excluding impairment charges (in thousands):</w:t>
      </w:r>
    </w:p>
    <w:p>
      <w:pPr>
        <w:spacing w:after="0" w:line="32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3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2021</w:t>
            </w:r>
          </w:p>
        </w:tc>
        <w:tc>
          <w:tcPr>
            <w:tcW w:w="39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2020</w:t>
            </w:r>
          </w:p>
        </w:tc>
        <w:tc>
          <w:tcPr>
            <w:tcW w:w="39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18,447</w:t>
            </w:r>
          </w:p>
        </w:tc>
      </w:tr>
    </w:tbl>
    <w:p>
      <w:pPr>
        <w:spacing w:after="0" w:line="288"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7" w:lineRule="exact"/>
        <w:rPr>
          <w:rFonts w:ascii="Times New Roman" w:cs="Times New Roman" w:eastAsia="Times New Roman" w:hAnsi="Times New Roman"/>
          <w:sz w:val="18"/>
          <w:szCs w:val="18"/>
          <w:b w:val="1"/>
          <w:bCs w:val="1"/>
          <w:color w:val="auto"/>
        </w:rPr>
      </w:pPr>
    </w:p>
    <w:p>
      <w:pPr>
        <w:ind w:left="340" w:right="7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January 29, 2022 and January 30, 2021, the Company had no borrowings outstanding and availability of $75.0 million under its Credit Agreement.</w:t>
      </w:r>
    </w:p>
    <w:p>
      <w:pPr>
        <w:spacing w:after="0" w:line="18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Credit Agreement</w:t>
      </w:r>
    </w:p>
    <w:p>
      <w:pPr>
        <w:spacing w:after="0" w:line="105" w:lineRule="exact"/>
        <w:rPr>
          <w:rFonts w:ascii="Times New Roman" w:cs="Times New Roman" w:eastAsia="Times New Roman" w:hAnsi="Times New Roman"/>
          <w:sz w:val="18"/>
          <w:szCs w:val="18"/>
          <w:b w:val="1"/>
          <w:bCs w:val="1"/>
          <w:color w:val="auto"/>
        </w:rPr>
      </w:pPr>
    </w:p>
    <w:p>
      <w:pPr>
        <w:ind w:left="34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67" w:lineRule="exact"/>
        <w:rPr>
          <w:rFonts w:ascii="Times New Roman" w:cs="Times New Roman" w:eastAsia="Times New Roman" w:hAnsi="Times New Roman"/>
          <w:sz w:val="18"/>
          <w:szCs w:val="18"/>
          <w:b w:val="1"/>
          <w:bCs w:val="1"/>
          <w:color w:val="auto"/>
        </w:rPr>
      </w:pPr>
    </w:p>
    <w:p>
      <w:pPr>
        <w:ind w:left="34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53" w:lineRule="exact"/>
        <w:rPr>
          <w:rFonts w:ascii="Times New Roman" w:cs="Times New Roman" w:eastAsia="Times New Roman" w:hAnsi="Times New Roman"/>
          <w:sz w:val="18"/>
          <w:szCs w:val="18"/>
          <w:b w:val="1"/>
          <w:bCs w:val="1"/>
          <w:color w:val="auto"/>
        </w:rPr>
      </w:pPr>
    </w:p>
    <w:p>
      <w:pPr>
        <w:ind w:left="34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54" w:lineRule="exact"/>
        <w:rPr>
          <w:rFonts w:ascii="Times New Roman" w:cs="Times New Roman" w:eastAsia="Times New Roman" w:hAnsi="Times New Roman"/>
          <w:sz w:val="18"/>
          <w:szCs w:val="18"/>
          <w:b w:val="1"/>
          <w:bCs w:val="1"/>
          <w:color w:val="auto"/>
        </w:rPr>
      </w:pPr>
    </w:p>
    <w:p>
      <w:pPr>
        <w:ind w:left="34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indebtedness and certain charter and other organizational, governing, and material agreements. The Company may avoid certain of such restrictions by meeting payment conditions defined in the Credit Agreement.</w:t>
      </w:r>
    </w:p>
    <w:p>
      <w:pPr>
        <w:spacing w:after="0" w:line="27"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The Credit Agreement also requires the loan parties, as defined in the Credit Agreement,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58"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2"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Any commitments made under the Credit Agreement mature on September 7, 2023. There were no material fees or expenses associated with the Credit Agreement.</w:t>
      </w:r>
    </w:p>
    <w:p>
      <w:pPr>
        <w:spacing w:after="0" w:line="185"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income tax expense were as follows (in thousands):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20" w:type="dxa"/>
            <w:vAlign w:val="bottom"/>
          </w:tcPr>
          <w:p>
            <w:pPr>
              <w:spacing w:after="0"/>
              <w:rPr>
                <w:sz w:val="13"/>
                <w:szCs w:val="13"/>
                <w:color w:val="auto"/>
              </w:rPr>
            </w:pP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6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w:t>
            </w: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23"/>
        </w:trPr>
        <w:tc>
          <w:tcPr>
            <w:tcW w:w="6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29"/>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65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5,315</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breakdown of the Company’s income before income taxes is as follows (in thousands):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20" w:type="dxa"/>
            <w:vAlign w:val="bottom"/>
          </w:tcPr>
          <w:p>
            <w:pPr>
              <w:spacing w:after="0"/>
              <w:rPr>
                <w:sz w:val="13"/>
                <w:szCs w:val="13"/>
                <w:color w:val="auto"/>
              </w:rPr>
            </w:pPr>
          </w:p>
        </w:tc>
        <w:tc>
          <w:tcPr>
            <w:tcW w:w="11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6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16,267</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income tax expense to the amount computed at the federal statutory rate is as follows (in thousands):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3"/>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3"/>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2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taxes at statutory rate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176"/>
        </w:trPr>
        <w:tc>
          <w:tcPr>
            <w:tcW w:w="3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and local income taxes, net of federal</w:t>
            </w:r>
          </w:p>
        </w:tc>
        <w:tc>
          <w:tcPr>
            <w:tcW w:w="3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w:t>
            </w:r>
          </w:p>
        </w:tc>
        <w:tc>
          <w:tcPr>
            <w:tcW w:w="3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Impact related to redeemable</w:t>
            </w:r>
          </w:p>
        </w:tc>
        <w:tc>
          <w:tcPr>
            <w:tcW w:w="3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Shortfall from stock-based compensation</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rate differential</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provided by the CARES Act</w:t>
            </w:r>
          </w:p>
        </w:tc>
        <w:tc>
          <w:tcPr>
            <w:tcW w:w="3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For the tax year ending January 30, 2021, the effective tax rate reflects the favorable impact of the Coronavirus Aid, Relief and Economic Security (“CARES”) Act, enacted on March 27, 2020. The Company realized a $2.8 million tax benefit related to the net operating loss carryback provisions of the CARES Act.</w:t>
      </w:r>
    </w:p>
    <w:p>
      <w:pPr>
        <w:spacing w:after="0" w:line="203" w:lineRule="exact"/>
        <w:rPr>
          <w:sz w:val="20"/>
          <w:szCs w:val="20"/>
          <w:color w:val="auto"/>
        </w:rPr>
      </w:pPr>
    </w:p>
    <w:p>
      <w:pPr>
        <w:ind w:left="340" w:right="76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book and tax bases of assets and liabilities. Significant components of deferred tax assets and liabilities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20" w:type="dxa"/>
            <w:vAlign w:val="bottom"/>
          </w:tcPr>
          <w:p>
            <w:pPr>
              <w:spacing w:after="0"/>
              <w:rPr>
                <w:sz w:val="13"/>
                <w:szCs w:val="13"/>
                <w:color w:val="auto"/>
              </w:rPr>
            </w:pPr>
          </w:p>
        </w:tc>
        <w:tc>
          <w:tcPr>
            <w:tcW w:w="11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800" w:type="dxa"/>
            <w:vAlign w:val="bottom"/>
            <w:tcBorders>
              <w:bottom w:val="single" w:sz="8" w:color="CCEEFF"/>
            </w:tcBorders>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4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 deferred tax assets</w:t>
            </w: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valuation allowances</w:t>
            </w:r>
          </w:p>
        </w:tc>
        <w:tc>
          <w:tcPr>
            <w:tcW w:w="4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(23,519)</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4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220" w:type="dxa"/>
            <w:vAlign w:val="bottom"/>
            <w:vMerge w:val="restart"/>
          </w:tcPr>
          <w:p>
            <w:pPr>
              <w:jc w:val="right"/>
              <w:ind w:right="255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gross amount of unrecognized tax benefits (excluding interest and penalties) is as follows (in thousands):</w:t>
      </w:r>
    </w:p>
    <w:p>
      <w:pPr>
        <w:spacing w:after="0" w:line="29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62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6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8"/>
                <w:szCs w:val="18"/>
                <w:color w:val="auto"/>
                <w:w w:val="99"/>
              </w:rPr>
              <w:t>83</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increases in unrecognized tax benefits as a result of current year activity</w:t>
            </w:r>
          </w:p>
        </w:tc>
        <w:tc>
          <w:tcPr>
            <w:tcW w:w="1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88"/>
              </w:rPr>
              <w:t>11</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8"/>
                <w:szCs w:val="18"/>
                <w:color w:val="auto"/>
                <w:w w:val="99"/>
              </w:rPr>
              <w:t>(35)</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center"/>
              <w:ind w:left="816"/>
              <w:spacing w:after="0"/>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right="200"/>
        <w:spacing w:after="0" w:line="281" w:lineRule="auto"/>
        <w:rPr>
          <w:sz w:val="20"/>
          <w:szCs w:val="20"/>
          <w:color w:val="auto"/>
        </w:rPr>
      </w:pPr>
      <w:r>
        <w:rPr>
          <w:rFonts w:ascii="Times New Roman" w:cs="Times New Roman" w:eastAsia="Times New Roman" w:hAnsi="Times New Roman"/>
          <w:sz w:val="17"/>
          <w:szCs w:val="17"/>
          <w:color w:val="auto"/>
        </w:rPr>
        <w:t>As of January 29, 2022, $0.1 million of total unrecognized tax benefits, net of federal benefit, would, if recognized, favorably affect the effective tax rate in future periods. Total unrecognized tax benefits are currently not expected to decrease by a significant amount in the next twelve months. The Company recognized an immaterial amount of interest only, no penalties, related to unrecognized tax benefits in the fiscal years ended January 30, 2021 and February 1, 2020. Unrecognized tax benefits are included within other long-term liabilities in the Company's Consolidated Balance Sheets.</w:t>
      </w:r>
    </w:p>
    <w:p>
      <w:pPr>
        <w:spacing w:after="0" w:line="110"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U.S. state and foreign jurisdictions. The Company is subject to U.S. federal income tax examinations for fiscal years 2019 and forward. With a few exceptions, the Company is subject to audit by various state and foreign taxing authorities for fiscal 2018 through the current fiscal year.</w:t>
      </w:r>
    </w:p>
    <w:p>
      <w:pPr>
        <w:spacing w:after="0" w:line="199"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07" w:lineRule="exact"/>
        <w:rPr>
          <w:rFonts w:ascii="Times New Roman" w:cs="Times New Roman" w:eastAsia="Times New Roman" w:hAnsi="Times New Roman"/>
          <w:sz w:val="18"/>
          <w:szCs w:val="18"/>
          <w:b w:val="1"/>
          <w:bCs w:val="1"/>
          <w:color w:val="auto"/>
        </w:rPr>
      </w:pPr>
    </w:p>
    <w:p>
      <w:pPr>
        <w:ind w:left="34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stock-based compensation consists of awards of restricted stock and restricted stock units. The Company recognized stock-based compensation expense of $4.9 million, $5.7 million, and $5.9 million in the fiscal years ended January 29, 2022, January 30, 2021, and February 1, 2020, respectively.</w:t>
      </w:r>
    </w:p>
    <w:p>
      <w:pPr>
        <w:spacing w:after="0" w:line="21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Restricted-Stock Units</w:t>
      </w:r>
    </w:p>
    <w:p>
      <w:pPr>
        <w:spacing w:after="0" w:line="92" w:lineRule="exact"/>
        <w:rPr>
          <w:rFonts w:ascii="Times New Roman" w:cs="Times New Roman" w:eastAsia="Times New Roman" w:hAnsi="Times New Roman"/>
          <w:sz w:val="18"/>
          <w:szCs w:val="18"/>
          <w:b w:val="1"/>
          <w:bCs w:val="1"/>
          <w:color w:val="auto"/>
        </w:rPr>
      </w:pPr>
    </w:p>
    <w:p>
      <w:pPr>
        <w:ind w:left="34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3,000,000 shares of common stock for issuance or transfer under the 2020 Equity and Incentive Plan, which allows for grants of restricted stock units, as well as other equity awards. The Company maintains the 2010 Equity and Incentive Plan for awards granted prior to the effectiveness of the 2020 Equity and Incentive Plan.</w:t>
      </w:r>
    </w:p>
    <w:p>
      <w:pPr>
        <w:spacing w:after="0" w:line="54" w:lineRule="exact"/>
        <w:rPr>
          <w:rFonts w:ascii="Times New Roman" w:cs="Times New Roman" w:eastAsia="Times New Roman" w:hAnsi="Times New Roman"/>
          <w:sz w:val="18"/>
          <w:szCs w:val="18"/>
          <w:b w:val="1"/>
          <w:bCs w:val="1"/>
          <w:color w:val="auto"/>
        </w:rPr>
      </w:pPr>
    </w:p>
    <w:p>
      <w:pPr>
        <w:ind w:left="34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fiscal year ended January 29, 2022, the Company granted a total of 652,339 time-based and performance-based restricted stock units to certain employees and non-employee directors under the 2020 Equity and Incentive Plan with an aggregate fair value of $6.7 million. The Company determined the fair value of the units based on the closing price of the Company’s common stock on the grant date.</w:t>
      </w:r>
    </w:p>
    <w:p>
      <w:pPr>
        <w:spacing w:after="0" w:line="54" w:lineRule="exact"/>
        <w:rPr>
          <w:rFonts w:ascii="Times New Roman" w:cs="Times New Roman" w:eastAsia="Times New Roman" w:hAnsi="Times New Roman"/>
          <w:sz w:val="18"/>
          <w:szCs w:val="18"/>
          <w:b w:val="1"/>
          <w:bCs w:val="1"/>
          <w:color w:val="auto"/>
        </w:rPr>
      </w:pPr>
    </w:p>
    <w:p>
      <w:pPr>
        <w:ind w:left="340" w:right="2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time-based restricted stock units vest and settle in shares of the Company’s common stock, on a one-for-one basis, in equal installments on each of the first three anniversaries of the grant date. Restricted stock unit awards issued to non-employee directors vest after a one-year period from the grant date. The Company recognizes the expense relating to these awards, net of estimated forfeitures, on a straight-line basis over the vesting period.</w:t>
      </w:r>
    </w:p>
    <w:p>
      <w:pPr>
        <w:spacing w:after="0" w:line="44" w:lineRule="exact"/>
        <w:rPr>
          <w:rFonts w:ascii="Times New Roman" w:cs="Times New Roman" w:eastAsia="Times New Roman" w:hAnsi="Times New Roman"/>
          <w:sz w:val="18"/>
          <w:szCs w:val="18"/>
          <w:b w:val="1"/>
          <w:bCs w:val="1"/>
          <w:color w:val="auto"/>
        </w:rPr>
      </w:pPr>
    </w:p>
    <w:p>
      <w:pPr>
        <w:ind w:left="340" w:right="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majority of performance-based restricted stock units vest upon the completion of a three-year period of time (cliff vesting), subject to the employee’s continuing employment throughout the three-year performance period and the Company’s achievement of annual earnings per share targets, or other Company performance targets, during the three-year performance period. The Company recognizes the expense relating to these units, net of estimated forfeitures and based on the probable outcome of achievement of the financial targets, on a straight-line basis over the vesting period.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restricted-stock units as of and for the year ended January 29, 2022 (units in thousands):</w:t>
      </w:r>
    </w:p>
    <w:p>
      <w:pPr>
        <w:spacing w:after="0" w:line="29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820" w:type="dxa"/>
            <w:vAlign w:val="bottom"/>
            <w:gridSpan w:val="3"/>
          </w:tcPr>
          <w:p>
            <w:pPr>
              <w:jc w:val="center"/>
              <w:ind w:left="937"/>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4"/>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29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84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28"/>
        </w:trPr>
        <w:tc>
          <w:tcPr>
            <w:tcW w:w="51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259"/>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39"/>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4"/>
                <w:szCs w:val="14"/>
                <w:b w:val="1"/>
                <w:bCs w:val="1"/>
                <w:color w:val="auto"/>
              </w:rPr>
              <w:t>Grant</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39"/>
              <w:spacing w:after="0" w:line="135"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3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3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39"/>
              <w:spacing w:after="0" w:line="135"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39"/>
              <w:spacing w:after="0" w:line="13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13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3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30, 2021</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performance condition achievement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29, 2022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left="340" w:right="220"/>
        <w:spacing w:after="0" w:line="266" w:lineRule="auto"/>
        <w:rPr>
          <w:sz w:val="20"/>
          <w:szCs w:val="20"/>
          <w:color w:val="auto"/>
        </w:rPr>
      </w:pPr>
      <w:r>
        <w:rPr>
          <w:rFonts w:ascii="Times New Roman" w:cs="Times New Roman" w:eastAsia="Times New Roman" w:hAnsi="Times New Roman"/>
          <w:sz w:val="18"/>
          <w:szCs w:val="18"/>
          <w:color w:val="auto"/>
        </w:rPr>
        <w:t>As of January 29, 2022, there was $5.4 million of total unrecognized compensation cost, net of estimated forfeitures, related to nonvested restricted stock units. That cost is expected to be recognized over a weighted average period of 1.3 years, subject to meeting performance conditions. The total fair value of restricted stock units for which restrictions lapsed (vested) during fiscal 2022 was $9.0 million.</w:t>
      </w:r>
    </w:p>
    <w:p>
      <w:pPr>
        <w:spacing w:after="0" w:line="172"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94" w:lineRule="exact"/>
        <w:rPr>
          <w:rFonts w:ascii="Times New Roman" w:cs="Times New Roman" w:eastAsia="Times New Roman" w:hAnsi="Times New Roman"/>
          <w:sz w:val="18"/>
          <w:szCs w:val="18"/>
          <w:b w:val="1"/>
          <w:bCs w:val="1"/>
          <w:color w:val="auto"/>
        </w:rPr>
      </w:pPr>
    </w:p>
    <w:p>
      <w:pPr>
        <w:ind w:left="34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the aggregate, to have a material adverse effect on the Company’s financial condition, results of operations, or cash flows of a particular reporting period.</w:t>
      </w:r>
    </w:p>
    <w:p>
      <w:pPr>
        <w:spacing w:after="0" w:line="65" w:lineRule="exact"/>
        <w:rPr>
          <w:rFonts w:ascii="Times New Roman" w:cs="Times New Roman" w:eastAsia="Times New Roman" w:hAnsi="Times New Roman"/>
          <w:sz w:val="18"/>
          <w:szCs w:val="18"/>
          <w:b w:val="1"/>
          <w:bCs w:val="1"/>
          <w:color w:val="auto"/>
        </w:rPr>
      </w:pPr>
    </w:p>
    <w:p>
      <w:pPr>
        <w:ind w:left="34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Company has filed a motion for summary judgement asking the Court to dismiss all claims with prejudice and grant judgement on its counterclaim. The motion is fully briefed and the Company is awaiting a decision from the Court.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51" w:lineRule="exact"/>
        <w:rPr>
          <w:rFonts w:ascii="Times New Roman" w:cs="Times New Roman" w:eastAsia="Times New Roman" w:hAnsi="Times New Roman"/>
          <w:sz w:val="18"/>
          <w:szCs w:val="18"/>
          <w:b w:val="1"/>
          <w:bCs w:val="1"/>
          <w:color w:val="auto"/>
        </w:rPr>
      </w:pPr>
    </w:p>
    <w:p>
      <w:pPr>
        <w:ind w:left="34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of 2020, Chidimma Igboakaeze filed suit seeking class certification for all current and former hourly-paid employees who worked for the Company within the state of California during the four years preceding the filing until final judgement. The complaint alleged various violations of the California Labor Code related to wages, overtime, meal and rest breaks, non-compliant wage statements and records and other similar allegations related to employment. The Plaintiff also filed a Private Attorney General Act claim with the state of California regarding the same allegations. This case was settled in the first quarter of fiscal 2022 for an immaterial amount.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401(k) Profit Sharing Plan and Trust</w:t>
      </w:r>
    </w:p>
    <w:p>
      <w:pPr>
        <w:spacing w:after="0" w:line="108" w:lineRule="exact"/>
        <w:rPr>
          <w:sz w:val="20"/>
          <w:szCs w:val="20"/>
          <w:color w:val="auto"/>
        </w:rPr>
      </w:pPr>
    </w:p>
    <w:p>
      <w:pPr>
        <w:ind w:left="340" w:right="100"/>
        <w:spacing w:after="0" w:line="254" w:lineRule="auto"/>
        <w:rPr>
          <w:sz w:val="20"/>
          <w:szCs w:val="20"/>
          <w:color w:val="auto"/>
        </w:rPr>
      </w:pPr>
      <w:r>
        <w:rPr>
          <w:rFonts w:ascii="Times New Roman" w:cs="Times New Roman" w:eastAsia="Times New Roman" w:hAnsi="Times New Roman"/>
          <w:sz w:val="18"/>
          <w:szCs w:val="18"/>
          <w:color w:val="auto"/>
        </w:rPr>
        <w:t>The Company has a 401(k) profit sharing plan and trust for all qualified employees and provides a 100% match for the first 3% of employee contributions and a 50% match for the next 2% of employee contributions, for a maximum Company match of 4% of employee contributions, limited to the annual legal allowable limit. Additionally, the Company has the option of making discretionary profit sharing payments to the plan as approved by the board of directors. As of January 29, 2022, January 30, 2021, and February 1, 2020, no discretionary profit sharing payments had been approved. The 401(k) contribution match was temporarily suspended beginning in March 2020 as a result of the COVID-19 pandemic and resumed in January 2021. The Company recognizes 401(k) Company contributions within cost of sales for employees related to distribution center, sourcing, and other related functions and selling, general, and administrative expenses for all other employees. Total Company contributions to the plan were as follows (in thousands):</w:t>
      </w:r>
    </w:p>
    <w:p>
      <w:pPr>
        <w:spacing w:after="0" w:line="291"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3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2021</w:t>
            </w:r>
          </w:p>
        </w:tc>
        <w:tc>
          <w:tcPr>
            <w:tcW w:w="3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2020</w:t>
            </w:r>
          </w:p>
        </w:tc>
        <w:tc>
          <w:tcPr>
            <w:tcW w:w="3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r>
    </w:tbl>
    <w:p>
      <w:pPr>
        <w:spacing w:after="0" w:line="288" w:lineRule="exact"/>
        <w:rPr>
          <w:sz w:val="20"/>
          <w:szCs w:val="20"/>
          <w:color w:val="auto"/>
        </w:rPr>
      </w:pPr>
    </w:p>
    <w:p>
      <w:pPr>
        <w:ind w:left="400" w:hanging="392"/>
        <w:spacing w:after="0"/>
        <w:tabs>
          <w:tab w:leader="none" w:pos="4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06" w:lineRule="exact"/>
        <w:rPr>
          <w:sz w:val="20"/>
          <w:szCs w:val="20"/>
          <w:color w:val="auto"/>
        </w:rPr>
      </w:pPr>
    </w:p>
    <w:p>
      <w:pPr>
        <w:jc w:val="both"/>
        <w:ind w:left="340" w:right="20"/>
        <w:spacing w:after="0" w:line="261" w:lineRule="auto"/>
        <w:rPr>
          <w:sz w:val="20"/>
          <w:szCs w:val="20"/>
          <w:color w:val="auto"/>
        </w:rPr>
      </w:pPr>
      <w:r>
        <w:rPr>
          <w:rFonts w:ascii="Times New Roman" w:cs="Times New Roman" w:eastAsia="Times New Roman" w:hAnsi="Times New Roman"/>
          <w:sz w:val="18"/>
          <w:szCs w:val="18"/>
          <w:i w:val="1"/>
          <w:iCs w:val="1"/>
          <w:color w:val="auto"/>
        </w:rPr>
        <w:t>Charitable Contributions</w:t>
      </w:r>
      <w:r>
        <w:rPr>
          <w:rFonts w:ascii="Times New Roman" w:cs="Times New Roman" w:eastAsia="Times New Roman" w:hAnsi="Times New Roman"/>
          <w:sz w:val="18"/>
          <w:szCs w:val="18"/>
          <w:color w:val="auto"/>
        </w:rPr>
        <w:t>. The Vera Bradley Foundation for Breast Cancer (the “Foundation”) was founded by one of the Company’s directors, who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on the board of directors of the Foundation. The liability associated with commitments to the Foundation was approximately $0.1 million and $0.2 million as of January 29, 2022 and January 30, 2021, respectively. The liability consisted of pass-through donations from customers and is included in other accrued liabilities in the Consolidated Balance Sheets.</w:t>
      </w:r>
    </w:p>
    <w:p>
      <w:pPr>
        <w:spacing w:after="0" w:line="47" w:lineRule="exact"/>
        <w:rPr>
          <w:sz w:val="20"/>
          <w:szCs w:val="20"/>
          <w:color w:val="auto"/>
        </w:rPr>
      </w:pPr>
    </w:p>
    <w:p>
      <w:pPr>
        <w:ind w:left="340" w:right="460"/>
        <w:spacing w:after="0" w:line="282" w:lineRule="auto"/>
        <w:rPr>
          <w:sz w:val="20"/>
          <w:szCs w:val="20"/>
          <w:color w:val="auto"/>
        </w:rPr>
      </w:pPr>
      <w:r>
        <w:rPr>
          <w:rFonts w:ascii="Times New Roman" w:cs="Times New Roman" w:eastAsia="Times New Roman" w:hAnsi="Times New Roman"/>
          <w:sz w:val="18"/>
          <w:szCs w:val="18"/>
          <w:color w:val="auto"/>
        </w:rPr>
        <w:t>The associated expense for contributions to the Foundation, which is included in selling, general, and administrative expenses, was as follows (in thousands):</w:t>
      </w:r>
    </w:p>
    <w:p>
      <w:pPr>
        <w:spacing w:after="0" w:line="27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4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30, 2021</w:t>
            </w:r>
          </w:p>
        </w:tc>
        <w:tc>
          <w:tcPr>
            <w:tcW w:w="40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1, 2020</w:t>
            </w:r>
          </w:p>
        </w:tc>
        <w:tc>
          <w:tcPr>
            <w:tcW w:w="40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94" w:lineRule="exact"/>
        <w:rPr>
          <w:sz w:val="20"/>
          <w:szCs w:val="20"/>
          <w:color w:val="auto"/>
        </w:rPr>
      </w:pPr>
    </w:p>
    <w:p>
      <w:pPr>
        <w:ind w:left="340" w:right="140"/>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based on the weighted-average number of shares of common stock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income per share are as follows (in thousands, except per share data):</w:t>
      </w:r>
    </w:p>
    <w:p>
      <w:pPr>
        <w:spacing w:after="0" w:line="28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33"/>
        </w:trPr>
        <w:tc>
          <w:tcPr>
            <w:tcW w:w="6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20" w:type="dxa"/>
            <w:vAlign w:val="bottom"/>
          </w:tcPr>
          <w:p>
            <w:pPr>
              <w:spacing w:after="0"/>
              <w:rPr>
                <w:sz w:val="11"/>
                <w:szCs w:val="11"/>
                <w:color w:val="auto"/>
              </w:rPr>
            </w:pPr>
          </w:p>
        </w:tc>
        <w:tc>
          <w:tcPr>
            <w:tcW w:w="1180" w:type="dxa"/>
            <w:vAlign w:val="bottom"/>
          </w:tcPr>
          <w:p>
            <w:pPr>
              <w:jc w:val="right"/>
              <w:ind w:right="254"/>
              <w:spacing w:after="0" w:line="134" w:lineRule="exact"/>
              <w:rPr>
                <w:sz w:val="20"/>
                <w:szCs w:val="20"/>
                <w:color w:val="auto"/>
              </w:rPr>
            </w:pPr>
            <w:r>
              <w:rPr>
                <w:rFonts w:ascii="Times New Roman" w:cs="Times New Roman" w:eastAsia="Times New Roman" w:hAnsi="Times New Roman"/>
                <w:sz w:val="14"/>
                <w:szCs w:val="14"/>
                <w:b w:val="1"/>
                <w:bCs w:val="1"/>
                <w:color w:val="auto"/>
              </w:rPr>
              <w:t>February 1,</w:t>
            </w:r>
          </w:p>
        </w:tc>
      </w:tr>
      <w:tr>
        <w:trPr>
          <w:trHeight w:val="189"/>
        </w:trPr>
        <w:tc>
          <w:tcPr>
            <w:tcW w:w="6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15,244</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redeemable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16,047</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33,983</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income per share attributable to Vera Bradley, Inc.:</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r>
    </w:tbl>
    <w:p>
      <w:pPr>
        <w:spacing w:after="0" w:line="76" w:lineRule="exact"/>
        <w:rPr>
          <w:sz w:val="20"/>
          <w:szCs w:val="20"/>
          <w:color w:val="auto"/>
        </w:rPr>
      </w:pPr>
    </w:p>
    <w:p>
      <w:pPr>
        <w:jc w:val="both"/>
        <w:ind w:left="340" w:right="300"/>
        <w:spacing w:after="0" w:line="266" w:lineRule="auto"/>
        <w:rPr>
          <w:sz w:val="20"/>
          <w:szCs w:val="20"/>
          <w:color w:val="auto"/>
        </w:rPr>
      </w:pPr>
      <w:r>
        <w:rPr>
          <w:rFonts w:ascii="Times New Roman" w:cs="Times New Roman" w:eastAsia="Times New Roman" w:hAnsi="Times New Roman"/>
          <w:sz w:val="18"/>
          <w:szCs w:val="18"/>
          <w:color w:val="auto"/>
        </w:rPr>
        <w:t>As of January 29, 2022, January 30, 2021, and February 1, 2020, there were an immaterial number of additional shares issuable upon the vesting of restricted stock units that were excluded from the diluted share calculations because they were anti-dilutive. The diluted share calculations include performance-based restricted stock units for completed performance periods.</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94"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On November 29, 2018, the Company's board of directors approved a share repurchase plan (the “2018 Share Repurchase Program”) authorizing up to $50.0 million of repurchases of shares of the Company's common stock. On December 3, 2020, the 2018 Share Repurchase Program was extended through December 11, 2021. On March 20, 2020, the Company temporarily suspended the share repurchase program to conserve cash as a result of the COVID-19 pandemic. The board of directors authorized the resumption of the share repurchase program beginning on March 11, 2021.</w:t>
      </w:r>
    </w:p>
    <w:p>
      <w:pPr>
        <w:spacing w:after="0" w:line="58"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expires in December 2024.</w:t>
      </w:r>
    </w:p>
    <w:p>
      <w:pPr>
        <w:spacing w:after="0" w:line="54" w:lineRule="exact"/>
        <w:rPr>
          <w:sz w:val="20"/>
          <w:szCs w:val="20"/>
          <w:color w:val="auto"/>
        </w:rPr>
      </w:pPr>
    </w:p>
    <w:p>
      <w:pPr>
        <w:ind w:left="340" w:right="440"/>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29, 2022, the Company purchased and held 865,534 shares at an average price of $8.94 per share, excluding commissions, for an aggregate amount of $7.7 million, under the 2018 and 2021 Share Repurchase Programs.</w:t>
      </w:r>
    </w:p>
    <w:p>
      <w:pPr>
        <w:spacing w:after="0" w:line="27" w:lineRule="exact"/>
        <w:rPr>
          <w:sz w:val="20"/>
          <w:szCs w:val="20"/>
          <w:color w:val="auto"/>
        </w:rPr>
      </w:pPr>
    </w:p>
    <w:p>
      <w:pPr>
        <w:ind w:left="340" w:right="440"/>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30, 2021, the Company purchased and held 381,835 shares at an average price of $7.60 per share, excluding commissions, for an aggregate amount of $2.9 million, under the 2018 Share Repurchase Program.</w:t>
      </w:r>
    </w:p>
    <w:p>
      <w:pPr>
        <w:spacing w:after="0" w:line="40" w:lineRule="exact"/>
        <w:rPr>
          <w:sz w:val="20"/>
          <w:szCs w:val="20"/>
          <w:color w:val="auto"/>
        </w:rPr>
      </w:pPr>
    </w:p>
    <w:p>
      <w:pPr>
        <w:ind w:left="340" w:right="220"/>
        <w:spacing w:after="0" w:line="282" w:lineRule="auto"/>
        <w:rPr>
          <w:sz w:val="20"/>
          <w:szCs w:val="20"/>
          <w:color w:val="auto"/>
        </w:rPr>
      </w:pPr>
      <w:r>
        <w:rPr>
          <w:rFonts w:ascii="Times New Roman" w:cs="Times New Roman" w:eastAsia="Times New Roman" w:hAnsi="Times New Roman"/>
          <w:sz w:val="18"/>
          <w:szCs w:val="18"/>
          <w:color w:val="auto"/>
        </w:rPr>
        <w:t>During the fiscal year ended February 1, 2020, the Company purchased and held 1,075,749 shares at an average price of $10.52 per share, excluding commissions, for an aggregate amount of $11.3 million, under the 2018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460"/>
        <w:spacing w:after="0" w:line="282" w:lineRule="auto"/>
        <w:rPr>
          <w:sz w:val="20"/>
          <w:szCs w:val="20"/>
          <w:color w:val="auto"/>
        </w:rPr>
      </w:pPr>
      <w:r>
        <w:rPr>
          <w:rFonts w:ascii="Times New Roman" w:cs="Times New Roman" w:eastAsia="Times New Roman" w:hAnsi="Times New Roman"/>
          <w:sz w:val="18"/>
          <w:szCs w:val="18"/>
          <w:color w:val="auto"/>
        </w:rPr>
        <w:t>As of January 29, 2022, there was $45.8 million remaining available to repurchase shares of the Company’s common stock under the 2021 Share Repurchase Program.</w:t>
      </w:r>
    </w:p>
    <w:p>
      <w:pPr>
        <w:spacing w:after="0" w:line="27" w:lineRule="exact"/>
        <w:rPr>
          <w:sz w:val="20"/>
          <w:szCs w:val="20"/>
          <w:color w:val="auto"/>
        </w:rPr>
      </w:pPr>
    </w:p>
    <w:p>
      <w:pPr>
        <w:jc w:val="both"/>
        <w:ind w:left="340" w:right="100"/>
        <w:spacing w:after="0" w:line="266" w:lineRule="auto"/>
        <w:rPr>
          <w:sz w:val="20"/>
          <w:szCs w:val="20"/>
          <w:color w:val="auto"/>
        </w:rPr>
      </w:pPr>
      <w:r>
        <w:rPr>
          <w:rFonts w:ascii="Times New Roman" w:cs="Times New Roman" w:eastAsia="Times New Roman" w:hAnsi="Times New Roman"/>
          <w:sz w:val="18"/>
          <w:szCs w:val="18"/>
          <w:color w:val="auto"/>
        </w:rPr>
        <w:t>As of January 29, 2022, the Company held as treasury shares 9,258,741 shares of its common stock at an average price of $12.40 per share, excluding commissions, for an aggregate carrying amount of $114.8 million. The Company’s treasury shares may be issued under the 2010 Equity and Incentive Plan (with respect to outstanding awards under that plan), under the 2020 Equity and Incentive Plan, or for other corporate purposes.</w:t>
      </w:r>
    </w:p>
    <w:p>
      <w:pPr>
        <w:spacing w:after="0" w:line="1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tab/>
        <w:t>Acquisition of Pura Vida</w:t>
      </w:r>
    </w:p>
    <w:p>
      <w:pPr>
        <w:spacing w:after="0" w:line="94" w:lineRule="exact"/>
        <w:rPr>
          <w:sz w:val="20"/>
          <w:szCs w:val="20"/>
          <w:color w:val="auto"/>
        </w:rPr>
      </w:pPr>
    </w:p>
    <w:p>
      <w:pPr>
        <w:ind w:left="340" w:right="100"/>
        <w:spacing w:after="0" w:line="254" w:lineRule="auto"/>
        <w:rPr>
          <w:sz w:val="20"/>
          <w:szCs w:val="20"/>
          <w:color w:val="auto"/>
        </w:rPr>
      </w:pPr>
      <w:r>
        <w:rPr>
          <w:rFonts w:ascii="Times New Roman" w:cs="Times New Roman" w:eastAsia="Times New Roman" w:hAnsi="Times New Roman"/>
          <w:sz w:val="18"/>
          <w:szCs w:val="18"/>
          <w:color w:val="auto"/>
        </w:rPr>
        <w:t>On July 16, 2019, the Company completed its acquisition of a seventy-five percent (75%) ownership interest in Creative Genius, Inc. or “Pura Vida” (the “Transaction”) in exchange for cash consideration of approximately $75.0 million. During the third quarter of fiscal 2020, the Company provided additional cash consideration of approximately $3.0 million for a working capital adjustment. The Company also received a working capital reimbursement of $1.0 million during the first quarter of fiscal 2021. Additional measurement period adjustments were recorded for conditions that existed as of the acquisition date. Pura Vida, based in La Jolla, California, is a digitally native lifestyle brand that we believe deeply resonates with its loyal consumer following. The Pura Vida brand has a differentiated and expanding offering of bracelets, jewelry, and other lifestyle accessories. The Company believes that the acquisition will strengthen the Company by providing increased product diversification and future growth opportunities partially as a result of resource and knowledge-sharing.</w:t>
      </w:r>
    </w:p>
    <w:p>
      <w:pPr>
        <w:spacing w:after="0" w:line="70" w:lineRule="exact"/>
        <w:rPr>
          <w:sz w:val="20"/>
          <w:szCs w:val="20"/>
          <w:color w:val="auto"/>
        </w:rPr>
      </w:pPr>
    </w:p>
    <w:p>
      <w:pPr>
        <w:ind w:left="340" w:right="40"/>
        <w:spacing w:after="0" w:line="256" w:lineRule="auto"/>
        <w:rPr>
          <w:sz w:val="20"/>
          <w:szCs w:val="20"/>
          <w:color w:val="auto"/>
        </w:rPr>
      </w:pPr>
      <w:r>
        <w:rPr>
          <w:rFonts w:ascii="Times New Roman" w:cs="Times New Roman" w:eastAsia="Times New Roman" w:hAnsi="Times New Roman"/>
          <w:sz w:val="18"/>
          <w:szCs w:val="18"/>
          <w:color w:val="auto"/>
        </w:rPr>
        <w:t>In accordance with the Interest Purchase Agreement, the Company also agreed to a contingent payment of up to $22.5 million based on calendar year 2019 adjusted EBITDA of Pura Vida, as defined in the Interest Purchase Agreement. This contingent payment was paid in the first quarter of fiscal 2021 and totaled $18.7 million. The Company’s existing available cash, cash equivalents, and investments funded the purchase price due at the closing of the Transaction and subsequent to the closing. Pre-tax Transaction costs totaled $2.7 million for the fiscal year ended February 1, 2020. These costs are recorded within selling, general, and administrative expenses in the Consolidated Statements of Operations and within corporate unallocated expenses. There were no Transaction costs for the fiscal years ended January 29, 2022 and January 30, 2021.</w:t>
      </w:r>
    </w:p>
    <w:p>
      <w:pPr>
        <w:spacing w:after="0" w:line="66"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which was not acquired by the Company entered into a Put/Call Agreement. Refer to Note 2 herein for additional information regarding the Put/Call Agreement.</w:t>
      </w:r>
    </w:p>
    <w:p>
      <w:pPr>
        <w:spacing w:after="0" w:line="41" w:lineRule="exact"/>
        <w:rPr>
          <w:sz w:val="20"/>
          <w:szCs w:val="20"/>
          <w:color w:val="auto"/>
        </w:rPr>
      </w:pPr>
    </w:p>
    <w:p>
      <w:pPr>
        <w:ind w:left="340" w:right="120"/>
        <w:spacing w:after="0" w:line="282" w:lineRule="auto"/>
        <w:rPr>
          <w:sz w:val="20"/>
          <w:szCs w:val="20"/>
          <w:color w:val="auto"/>
        </w:rPr>
      </w:pPr>
      <w:r>
        <w:rPr>
          <w:rFonts w:ascii="Times New Roman" w:cs="Times New Roman" w:eastAsia="Times New Roman" w:hAnsi="Times New Roman"/>
          <w:sz w:val="18"/>
          <w:szCs w:val="18"/>
          <w:color w:val="auto"/>
        </w:rPr>
        <w:t>The following schedule summarizes the consideration paid for Pura Vida, the fair value of the assets acquired and liabilities assumed, the fair value of the noncontrolling interest, and the fair value of the contingent consideration related to the earn-out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1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30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Vera Bradley, Inc.</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930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9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 Acquisition</w:t>
            </w:r>
          </w:p>
        </w:tc>
        <w:tc>
          <w:tcPr>
            <w:tcW w:w="0" w:type="dxa"/>
            <w:vAlign w:val="bottom"/>
          </w:tcPr>
          <w:p>
            <w:pPr>
              <w:spacing w:after="0"/>
              <w:rPr>
                <w:sz w:val="1"/>
                <w:szCs w:val="1"/>
                <w:color w:val="auto"/>
              </w:rPr>
            </w:pPr>
          </w:p>
        </w:tc>
      </w:tr>
      <w:tr>
        <w:trPr>
          <w:trHeight w:val="189"/>
        </w:trPr>
        <w:tc>
          <w:tcPr>
            <w:tcW w:w="93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29"/>
        </w:trPr>
        <w:tc>
          <w:tcPr>
            <w:tcW w:w="9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Accounts receivable, net</w:t>
            </w:r>
            <w:r>
              <w:rPr>
                <w:rFonts w:ascii="Times New Roman" w:cs="Times New Roman" w:eastAsia="Times New Roman" w:hAnsi="Times New Roman"/>
                <w:sz w:val="23"/>
                <w:szCs w:val="23"/>
                <w:color w:val="auto"/>
                <w:vertAlign w:val="superscript"/>
              </w:rPr>
              <w:t>(5)</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Inventories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27,654</w:t>
            </w:r>
          </w:p>
        </w:tc>
        <w:tc>
          <w:tcPr>
            <w:tcW w:w="0" w:type="dxa"/>
            <w:vAlign w:val="bottom"/>
          </w:tcPr>
          <w:p>
            <w:pPr>
              <w:spacing w:after="0"/>
              <w:rPr>
                <w:sz w:val="1"/>
                <w:szCs w:val="1"/>
                <w:color w:val="auto"/>
              </w:rPr>
            </w:pP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44,254</w:t>
            </w:r>
          </w:p>
        </w:tc>
        <w:tc>
          <w:tcPr>
            <w:tcW w:w="0" w:type="dxa"/>
            <w:vAlign w:val="bottom"/>
          </w:tcPr>
          <w:p>
            <w:pPr>
              <w:spacing w:after="0"/>
              <w:rPr>
                <w:sz w:val="1"/>
                <w:szCs w:val="1"/>
                <w:color w:val="auto"/>
              </w:rPr>
            </w:pPr>
          </w:p>
        </w:tc>
      </w:tr>
      <w:tr>
        <w:trPr>
          <w:trHeight w:val="229"/>
        </w:trPr>
        <w:tc>
          <w:tcPr>
            <w:tcW w:w="9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Pura Vida brand</w:t>
            </w:r>
            <w:r>
              <w:rPr>
                <w:rFonts w:ascii="Times New Roman" w:cs="Times New Roman" w:eastAsia="Times New Roman" w:hAnsi="Times New Roman"/>
                <w:sz w:val="23"/>
                <w:szCs w:val="23"/>
                <w:color w:val="auto"/>
                <w:vertAlign w:val="superscript"/>
              </w:rPr>
              <w:t>(3)</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3"/>
                <w:szCs w:val="23"/>
                <w:color w:val="auto"/>
                <w:vertAlign w:val="superscript"/>
              </w:rPr>
              <w:t>(4)</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0" w:type="dxa"/>
            <w:vAlign w:val="bottom"/>
          </w:tcPr>
          <w:p>
            <w:pPr>
              <w:spacing w:after="0"/>
              <w:rPr>
                <w:sz w:val="1"/>
                <w:szCs w:val="1"/>
                <w:color w:val="auto"/>
              </w:rPr>
            </w:pPr>
          </w:p>
        </w:tc>
      </w:tr>
      <w:tr>
        <w:trPr>
          <w:trHeight w:val="223"/>
        </w:trPr>
        <w:tc>
          <w:tcPr>
            <w:tcW w:w="9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146,285</w:t>
            </w:r>
          </w:p>
        </w:tc>
        <w:tc>
          <w:tcPr>
            <w:tcW w:w="0" w:type="dxa"/>
            <w:vAlign w:val="bottom"/>
          </w:tcPr>
          <w:p>
            <w:pPr>
              <w:spacing w:after="0"/>
              <w:rPr>
                <w:sz w:val="1"/>
                <w:szCs w:val="1"/>
                <w:color w:val="auto"/>
              </w:rPr>
            </w:pPr>
          </w:p>
        </w:tc>
      </w:tr>
      <w:tr>
        <w:trPr>
          <w:trHeight w:val="250"/>
        </w:trPr>
        <w:tc>
          <w:tcPr>
            <w:tcW w:w="93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employment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30"/>
        </w:trPr>
        <w:tc>
          <w:tcPr>
            <w:tcW w:w="9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accrued liabilities</w:t>
            </w:r>
            <w:r>
              <w:rPr>
                <w:rFonts w:ascii="Times New Roman" w:cs="Times New Roman" w:eastAsia="Times New Roman" w:hAnsi="Times New Roman"/>
                <w:sz w:val="23"/>
                <w:szCs w:val="23"/>
                <w:color w:val="auto"/>
                <w:vertAlign w:val="superscript"/>
              </w:rPr>
              <w:t>(5)</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23"/>
        </w:trPr>
        <w:tc>
          <w:tcPr>
            <w:tcW w:w="9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17,443</w:t>
            </w:r>
          </w:p>
        </w:tc>
        <w:tc>
          <w:tcPr>
            <w:tcW w:w="0" w:type="dxa"/>
            <w:vAlign w:val="bottom"/>
          </w:tcPr>
          <w:p>
            <w:pPr>
              <w:spacing w:after="0"/>
              <w:rPr>
                <w:sz w:val="1"/>
                <w:szCs w:val="1"/>
                <w:color w:val="auto"/>
              </w:rPr>
            </w:pPr>
          </w:p>
        </w:tc>
      </w:tr>
      <w:tr>
        <w:trPr>
          <w:trHeight w:val="250"/>
        </w:trPr>
        <w:tc>
          <w:tcPr>
            <w:tcW w:w="93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Contingent consideration related to earn-out provision</w:t>
            </w:r>
            <w:r>
              <w:rPr>
                <w:rFonts w:ascii="Times New Roman" w:cs="Times New Roman" w:eastAsia="Times New Roman" w:hAnsi="Times New Roman"/>
                <w:sz w:val="23"/>
                <w:szCs w:val="23"/>
                <w:color w:val="auto"/>
                <w:vertAlign w:val="superscript"/>
              </w:rPr>
              <w:t>(6)</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0" w:type="dxa"/>
            <w:vAlign w:val="bottom"/>
          </w:tcPr>
          <w:p>
            <w:pPr>
              <w:spacing w:after="0"/>
              <w:rPr>
                <w:sz w:val="1"/>
                <w:szCs w:val="1"/>
                <w:color w:val="auto"/>
              </w:rPr>
            </w:pP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(32,210)</w:t>
            </w: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70"/>
        </w:trPr>
        <w:tc>
          <w:tcPr>
            <w:tcW w:w="93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93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closing consideration amount, net of cash acquired</w:t>
            </w:r>
            <w:r>
              <w:rPr>
                <w:rFonts w:ascii="Times New Roman" w:cs="Times New Roman" w:eastAsia="Times New Roman" w:hAnsi="Times New Roman"/>
                <w:sz w:val="23"/>
                <w:szCs w:val="23"/>
                <w:color w:val="auto"/>
                <w:vertAlign w:val="superscript"/>
              </w:rPr>
              <w:t>(7)</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75,039</w:t>
            </w:r>
          </w:p>
        </w:tc>
        <w:tc>
          <w:tcPr>
            <w:tcW w:w="0" w:type="dxa"/>
            <w:vAlign w:val="bottom"/>
          </w:tcPr>
          <w:p>
            <w:pPr>
              <w:spacing w:after="0"/>
              <w:rPr>
                <w:sz w:val="1"/>
                <w:szCs w:val="1"/>
                <w:color w:val="auto"/>
              </w:rPr>
            </w:pP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60" w:right="280" w:hanging="10"/>
        <w:spacing w:after="0" w:line="226" w:lineRule="auto"/>
        <w:tabs>
          <w:tab w:leader="none" w:pos="6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$8.3 million step-up adjustment which was recognized in cost of sales during the four months following the acquisition. Inventories were valued using the cost approach. The significant assumptions used for the valuation include inventory balances, projected gross and operating margins, and cost and time to dispose (sell) inventory on hand.</w:t>
      </w:r>
    </w:p>
    <w:p>
      <w:pPr>
        <w:ind w:left="600" w:hanging="250"/>
        <w:spacing w:after="0"/>
        <w:tabs>
          <w:tab w:leader="none" w:pos="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Notes 2 and 16 herein for additional information regarding goodwill.</w:t>
      </w:r>
    </w:p>
    <w:p>
      <w:pPr>
        <w:spacing w:after="0" w:line="22" w:lineRule="exact"/>
        <w:rPr>
          <w:rFonts w:ascii="Times New Roman" w:cs="Times New Roman" w:eastAsia="Times New Roman" w:hAnsi="Times New Roman"/>
          <w:sz w:val="18"/>
          <w:szCs w:val="18"/>
          <w:color w:val="auto"/>
        </w:rPr>
      </w:pPr>
    </w:p>
    <w:p>
      <w:pPr>
        <w:ind w:left="360" w:right="160" w:hanging="10"/>
        <w:spacing w:after="0" w:line="224" w:lineRule="auto"/>
        <w:tabs>
          <w:tab w:leader="none" w:pos="6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Pura Vida brand intangible asset was valued using the relief-from-royalty method. The significant assumptions used for the valuation include the royalty rate, estimated projected revenues, the long-term growth rate, and the discount rate. Refer to Note 16 herein for additional information regarding intangible assets.</w:t>
      </w:r>
    </w:p>
    <w:p>
      <w:pPr>
        <w:ind w:left="360" w:right="40" w:hanging="10"/>
        <w:spacing w:after="0" w:line="216" w:lineRule="auto"/>
        <w:tabs>
          <w:tab w:leader="none" w:pos="6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intangible assets include customer relationships and non-competition agreements. Customer relationships were valued using the multi-period excess earnings method. Significant assumptions used for the valuation include projected cash flows, the discount rate, and the customer attrition rate. The non-competition agreements were valued using the with-or-without method. Significant assumptions used for the valuation include projected cash flows, probability of competition, impact of competition on business, and the discount rate. Refer to Note 16 herein for additional information regarding intangible assets.</w:t>
      </w:r>
    </w:p>
    <w:p>
      <w:pPr>
        <w:ind w:left="600" w:hanging="250"/>
        <w:spacing w:after="0"/>
        <w:tabs>
          <w:tab w:leader="none" w:pos="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 million related to an indemnified liability.</w:t>
      </w:r>
    </w:p>
    <w:p>
      <w:pPr>
        <w:spacing w:after="0" w:line="22" w:lineRule="exact"/>
        <w:rPr>
          <w:rFonts w:ascii="Times New Roman" w:cs="Times New Roman" w:eastAsia="Times New Roman" w:hAnsi="Times New Roman"/>
          <w:sz w:val="18"/>
          <w:szCs w:val="18"/>
          <w:color w:val="auto"/>
        </w:rPr>
      </w:pPr>
    </w:p>
    <w:p>
      <w:pPr>
        <w:ind w:left="360" w:right="60" w:hanging="10"/>
        <w:spacing w:after="0" w:line="234" w:lineRule="auto"/>
        <w:tabs>
          <w:tab w:leader="none" w:pos="6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related to the earn-out provision was valued using a Monte Carlo simulation in order to forecast the value of the potential future payment. Significant assumptions used for the valuation include the discount rate, projected cash flows, and calculated volatility.</w:t>
      </w:r>
    </w:p>
    <w:p>
      <w:pPr>
        <w:spacing w:after="0" w:line="1" w:lineRule="exact"/>
        <w:rPr>
          <w:rFonts w:ascii="Times New Roman" w:cs="Times New Roman" w:eastAsia="Times New Roman" w:hAnsi="Times New Roman"/>
          <w:sz w:val="18"/>
          <w:szCs w:val="18"/>
          <w:color w:val="auto"/>
        </w:rPr>
      </w:pPr>
    </w:p>
    <w:p>
      <w:pPr>
        <w:ind w:left="360" w:right="200" w:hanging="10"/>
        <w:spacing w:after="0" w:line="234" w:lineRule="auto"/>
        <w:tabs>
          <w:tab w:leader="none" w:pos="6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$75.0 million closing consideration, $1.0 million was refunded to the Company through a working capital adjustment during the first quarter of fiscal 2021. Cash consideration paid during fiscal 2020 totaled $76.0 million.</w:t>
      </w:r>
    </w:p>
    <w:p>
      <w:pPr>
        <w:spacing w:after="0" w:line="172" w:lineRule="exact"/>
        <w:rPr>
          <w:sz w:val="20"/>
          <w:szCs w:val="20"/>
          <w:color w:val="auto"/>
        </w:rPr>
      </w:pPr>
    </w:p>
    <w:p>
      <w:pPr>
        <w:ind w:left="340" w:right="660"/>
        <w:spacing w:after="0" w:line="266" w:lineRule="auto"/>
        <w:rPr>
          <w:sz w:val="20"/>
          <w:szCs w:val="20"/>
          <w:color w:val="auto"/>
        </w:rPr>
      </w:pPr>
      <w:r>
        <w:rPr>
          <w:rFonts w:ascii="Times New Roman" w:cs="Times New Roman" w:eastAsia="Times New Roman" w:hAnsi="Times New Roman"/>
          <w:sz w:val="18"/>
          <w:szCs w:val="18"/>
          <w:color w:val="auto"/>
        </w:rPr>
        <w:t>The operations of Pura Vida are recorded in the Company’s Consolidated Statements of Operations for the fiscal year ended February 1, 2020, beginning on July 17, 2019, which represents the first full day following the acquisition. Refer to Note 17 herein for segment-level financial information associated with Pura Vida.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Redeemable Noncontrolling Interest</w:t>
      </w:r>
    </w:p>
    <w:p>
      <w:pPr>
        <w:spacing w:after="0" w:line="108" w:lineRule="exact"/>
        <w:rPr>
          <w:sz w:val="20"/>
          <w:szCs w:val="20"/>
          <w:color w:val="auto"/>
        </w:rPr>
      </w:pPr>
    </w:p>
    <w:p>
      <w:pPr>
        <w:ind w:left="340" w:right="220"/>
        <w:spacing w:after="0" w:line="282" w:lineRule="auto"/>
        <w:rPr>
          <w:sz w:val="20"/>
          <w:szCs w:val="20"/>
          <w:color w:val="auto"/>
        </w:rPr>
      </w:pPr>
      <w:r>
        <w:rPr>
          <w:rFonts w:ascii="Times New Roman" w:cs="Times New Roman" w:eastAsia="Times New Roman" w:hAnsi="Times New Roman"/>
          <w:sz w:val="18"/>
          <w:szCs w:val="18"/>
          <w:color w:val="auto"/>
        </w:rPr>
        <w:t>Redeemable noncontrolling interest represents the remaining twenty-five percent (25%) interest in Pura Vida not acquired by the Company. Refer to Note 2 herein for additional information.</w:t>
      </w:r>
    </w:p>
    <w:p>
      <w:pPr>
        <w:spacing w:after="0" w:line="27" w:lineRule="exact"/>
        <w:rPr>
          <w:sz w:val="20"/>
          <w:szCs w:val="20"/>
          <w:color w:val="auto"/>
        </w:rPr>
      </w:pPr>
    </w:p>
    <w:p>
      <w:pPr>
        <w:ind w:left="340" w:right="560"/>
        <w:spacing w:after="0" w:line="282" w:lineRule="auto"/>
        <w:rPr>
          <w:sz w:val="20"/>
          <w:szCs w:val="20"/>
          <w:color w:val="auto"/>
        </w:rPr>
      </w:pPr>
      <w:r>
        <w:rPr>
          <w:rFonts w:ascii="Times New Roman" w:cs="Times New Roman" w:eastAsia="Times New Roman" w:hAnsi="Times New Roman"/>
          <w:sz w:val="18"/>
          <w:szCs w:val="18"/>
          <w:color w:val="auto"/>
        </w:rPr>
        <w:t>Changes in redeemable noncontrolling interest for the fifty-two weeks ended January 29, 2022, January 30, 2021, and February 1, 2020 were as follows (in thousands):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 2019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noncontrolling interest at acquisition</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31,786</w:t>
            </w:r>
          </w:p>
        </w:tc>
        <w:tc>
          <w:tcPr>
            <w:tcW w:w="0" w:type="dxa"/>
            <w:vAlign w:val="bottom"/>
          </w:tcPr>
          <w:p>
            <w:pPr>
              <w:spacing w:after="0"/>
              <w:rPr>
                <w:sz w:val="1"/>
                <w:szCs w:val="1"/>
                <w:color w:val="auto"/>
              </w:rPr>
            </w:pPr>
          </w:p>
        </w:tc>
      </w:tr>
      <w:tr>
        <w:trPr>
          <w:trHeight w:val="22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measurement period adjustment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3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2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29"/>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to redemption value</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1, 2020</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30,049</w:t>
            </w:r>
          </w:p>
        </w:tc>
        <w:tc>
          <w:tcPr>
            <w:tcW w:w="0" w:type="dxa"/>
            <w:vAlign w:val="bottom"/>
          </w:tcPr>
          <w:p>
            <w:pPr>
              <w:spacing w:after="0"/>
              <w:rPr>
                <w:sz w:val="1"/>
                <w:szCs w:val="1"/>
                <w:color w:val="auto"/>
              </w:rPr>
            </w:pPr>
          </w:p>
        </w:tc>
      </w:tr>
      <w:tr>
        <w:trPr>
          <w:trHeight w:val="22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2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29"/>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to redemption value</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48"/>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30, 2021</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29,809</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2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30,974</w:t>
            </w:r>
          </w:p>
        </w:tc>
        <w:tc>
          <w:tcPr>
            <w:tcW w:w="0" w:type="dxa"/>
            <w:vAlign w:val="bottom"/>
          </w:tcPr>
          <w:p>
            <w:pPr>
              <w:spacing w:after="0"/>
              <w:rPr>
                <w:sz w:val="1"/>
                <w:szCs w:val="1"/>
                <w:color w:val="auto"/>
              </w:rPr>
            </w:pPr>
          </w:p>
        </w:tc>
      </w:tr>
      <w:tr>
        <w:trPr>
          <w:trHeight w:val="21"/>
        </w:trPr>
        <w:tc>
          <w:tcPr>
            <w:tcW w:w="9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Intangible Assets and Goodwill</w:t>
      </w:r>
    </w:p>
    <w:p>
      <w:pPr>
        <w:spacing w:after="0" w:line="108"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8"/>
          <w:szCs w:val="18"/>
          <w:color w:val="auto"/>
        </w:rPr>
        <w:t>The following tables detail the carrying value of the Company’s intangible assets other than goodwill related to the acquisition of a majority interest in Pura Vida.</w:t>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5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1"/>
                <w:szCs w:val="11"/>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200" w:type="dxa"/>
            <w:vAlign w:val="bottom"/>
          </w:tcPr>
          <w:p>
            <w:pPr>
              <w:spacing w:after="0"/>
              <w:rPr>
                <w:sz w:val="11"/>
                <w:szCs w:val="11"/>
                <w:color w:val="auto"/>
              </w:rPr>
            </w:pPr>
          </w:p>
        </w:tc>
        <w:tc>
          <w:tcPr>
            <w:tcW w:w="1520" w:type="dxa"/>
            <w:vAlign w:val="bottom"/>
            <w:gridSpan w:val="3"/>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4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89"/>
        </w:trPr>
        <w:tc>
          <w:tcPr>
            <w:tcW w:w="5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(17,041)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0" w:type="dxa"/>
            <w:vAlign w:val="bottom"/>
          </w:tcPr>
          <w:p>
            <w:pPr>
              <w:spacing w:after="0"/>
              <w:rPr>
                <w:sz w:val="1"/>
                <w:szCs w:val="1"/>
                <w:color w:val="auto"/>
              </w:rPr>
            </w:pPr>
          </w:p>
        </w:tc>
      </w:tr>
      <w:tr>
        <w:trPr>
          <w:trHeight w:val="250"/>
        </w:trPr>
        <w:tc>
          <w:tcPr>
            <w:tcW w:w="5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 Brand</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44,223</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 Amortization expense is recorded within the Pura Vida segment.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8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5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30, 2021</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1"/>
                <w:szCs w:val="11"/>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200" w:type="dxa"/>
            <w:vAlign w:val="bottom"/>
          </w:tcPr>
          <w:p>
            <w:pPr>
              <w:spacing w:after="0"/>
              <w:rPr>
                <w:sz w:val="11"/>
                <w:szCs w:val="11"/>
                <w:color w:val="auto"/>
              </w:rPr>
            </w:pPr>
          </w:p>
        </w:tc>
        <w:tc>
          <w:tcPr>
            <w:tcW w:w="1520" w:type="dxa"/>
            <w:vAlign w:val="bottom"/>
            <w:gridSpan w:val="3"/>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4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89"/>
        </w:trPr>
        <w:tc>
          <w:tcPr>
            <w:tcW w:w="5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jc w:val="center"/>
              <w:ind w:right="320"/>
              <w:spacing w:after="0" w:line="189" w:lineRule="exact"/>
              <w:rPr>
                <w:sz w:val="20"/>
                <w:szCs w:val="20"/>
                <w:color w:val="auto"/>
              </w:rPr>
            </w:pPr>
            <w:r>
              <w:rPr>
                <w:rFonts w:ascii="Times New Roman" w:cs="Times New Roman" w:eastAsia="Times New Roman" w:hAnsi="Times New Roman"/>
                <w:sz w:val="14"/>
                <w:szCs w:val="14"/>
                <w:b w:val="1"/>
                <w:bCs w:val="1"/>
                <w:color w:val="auto"/>
                <w:w w:val="97"/>
              </w:rPr>
              <w:t>Amortization</w:t>
            </w:r>
            <w:r>
              <w:rPr>
                <w:rFonts w:ascii="Times New Roman" w:cs="Times New Roman" w:eastAsia="Times New Roman" w:hAnsi="Times New Roman"/>
                <w:sz w:val="18"/>
                <w:szCs w:val="18"/>
                <w:b w:val="1"/>
                <w:bCs w:val="1"/>
                <w:color w:val="auto"/>
                <w:w w:val="97"/>
                <w:vertAlign w:val="superscript"/>
              </w:rPr>
              <w:t>(1)</w:t>
            </w: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0" w:type="dxa"/>
            <w:vAlign w:val="bottom"/>
          </w:tcPr>
          <w:p>
            <w:pPr>
              <w:spacing w:after="0"/>
              <w:rPr>
                <w:sz w:val="1"/>
                <w:szCs w:val="1"/>
                <w:color w:val="auto"/>
              </w:rPr>
            </w:pPr>
          </w:p>
        </w:tc>
      </w:tr>
      <w:tr>
        <w:trPr>
          <w:trHeight w:val="250"/>
        </w:trPr>
        <w:tc>
          <w:tcPr>
            <w:tcW w:w="5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 Brand</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47,296</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 Amortization expense is recorded within the Pura Vida segment.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The amortization expense for intangible assets is as follows (in thousands):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8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14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228"/>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right="640"/>
        <w:spacing w:after="0" w:line="282" w:lineRule="auto"/>
        <w:rPr>
          <w:sz w:val="20"/>
          <w:szCs w:val="20"/>
          <w:color w:val="auto"/>
        </w:rPr>
      </w:pPr>
      <w:r>
        <w:rPr>
          <w:rFonts w:ascii="Times New Roman" w:cs="Times New Roman" w:eastAsia="Times New Roman" w:hAnsi="Times New Roman"/>
          <w:sz w:val="18"/>
          <w:szCs w:val="18"/>
          <w:color w:val="auto"/>
        </w:rPr>
        <w:t>The total amount of the goodwill as of January 29, 2022 and January 30, 2021, was $44.3 million recorded within the Pura Vida segment upon acquisition. Goodwill is deductible for tax purposes, limited to the Company's 75% majority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right="120"/>
        <w:spacing w:after="0" w:line="282" w:lineRule="auto"/>
        <w:rPr>
          <w:sz w:val="20"/>
          <w:szCs w:val="20"/>
          <w:color w:val="auto"/>
        </w:rPr>
      </w:pPr>
      <w:r>
        <w:rPr>
          <w:rFonts w:ascii="Times New Roman" w:cs="Times New Roman" w:eastAsia="Times New Roman" w:hAnsi="Times New Roman"/>
          <w:sz w:val="18"/>
          <w:szCs w:val="18"/>
          <w:color w:val="auto"/>
        </w:rPr>
        <w:t>interest. Refer to Note 2 herein for addition information regarding goodwill. There were no changes in goodwill for the fiscal years ended January 29, 2022 and January 30, 2021.</w:t>
      </w:r>
    </w:p>
    <w:p>
      <w:pPr>
        <w:spacing w:after="0" w:line="121" w:lineRule="exact"/>
        <w:rPr>
          <w:sz w:val="20"/>
          <w:szCs w:val="20"/>
          <w:color w:val="auto"/>
        </w:rPr>
      </w:pPr>
    </w:p>
    <w:p>
      <w:pPr>
        <w:ind w:left="340" w:right="280"/>
        <w:spacing w:after="0" w:line="266" w:lineRule="auto"/>
        <w:rPr>
          <w:sz w:val="20"/>
          <w:szCs w:val="20"/>
          <w:color w:val="auto"/>
        </w:rPr>
      </w:pPr>
      <w:r>
        <w:rPr>
          <w:rFonts w:ascii="Times New Roman" w:cs="Times New Roman" w:eastAsia="Times New Roman" w:hAnsi="Times New Roman"/>
          <w:sz w:val="18"/>
          <w:szCs w:val="18"/>
          <w:color w:val="auto"/>
        </w:rPr>
        <w:t>Future impacts of COVID-19, including but not limited to the duration and magnitude of the pandemic, may have an impact on the triggering event assessment or future fair value estimate of goodwill, brand intangible asset, and definite-lived intangible assets, which could lead to material impairment charges. Refer to Note 2 herein for additional information regarding the fair value measurement.</w:t>
      </w:r>
    </w:p>
    <w:p>
      <w:pPr>
        <w:spacing w:after="0" w:line="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08"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The Company has three operating segments, which are also its reportable segments: VB 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41" w:lineRule="exact"/>
        <w:rPr>
          <w:sz w:val="20"/>
          <w:szCs w:val="20"/>
          <w:color w:val="auto"/>
        </w:rPr>
      </w:pPr>
    </w:p>
    <w:p>
      <w:pPr>
        <w:jc w:val="both"/>
        <w:ind w:left="340" w:right="200"/>
        <w:spacing w:after="0" w:line="266" w:lineRule="auto"/>
        <w:rPr>
          <w:sz w:val="20"/>
          <w:szCs w:val="20"/>
          <w:color w:val="auto"/>
        </w:rPr>
      </w:pPr>
      <w:r>
        <w:rPr>
          <w:rFonts w:ascii="Times New Roman" w:cs="Times New Roman" w:eastAsia="Times New Roman" w:hAnsi="Times New Roman"/>
          <w:sz w:val="18"/>
          <w:szCs w:val="18"/>
          <w:color w:val="auto"/>
        </w:rPr>
        <w:t>The VB Direct segment includes Vera Bradley full-line and factory outlet stores, the Vera Bradley websites, verabradley.com and verabradley.ca, the Vera Bradley online outlet site, and the Vera Bradley annual outlet sale. Revenues generated through this segment are driven through the sale of Vera Bradley-branded products from Vera Bradley to end consumers.</w:t>
      </w:r>
    </w:p>
    <w:p>
      <w:pPr>
        <w:spacing w:after="0" w:line="54"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The VB Indirect segment represents revenues generated through the distribution of Company-branded products to specialty retailers representing approximately 1,800 locations, substantially all of which are located in the United States, as well as select department stores, national accounts, third-party e-commerce sites, third-party inventory liquidators, and licensing agreements related to the Vera Bradley brand. No customer accounted for 10% or more of the Company’s net revenues during fiscal years 2022, 2021, and 2020.</w:t>
      </w:r>
    </w:p>
    <w:p>
      <w:pPr>
        <w:spacing w:after="0" w:line="58" w:lineRule="exact"/>
        <w:rPr>
          <w:sz w:val="20"/>
          <w:szCs w:val="20"/>
          <w:color w:val="auto"/>
        </w:rPr>
      </w:pPr>
    </w:p>
    <w:p>
      <w:pPr>
        <w:jc w:val="both"/>
        <w:ind w:left="340" w:right="200"/>
        <w:spacing w:after="0" w:line="266" w:lineRule="auto"/>
        <w:rPr>
          <w:sz w:val="20"/>
          <w:szCs w:val="20"/>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www.puravidabracelets.eu, and www.puravidabracelets.ca, the Pura Vida retail store, and through the distribution of Pura Vida-branded products to wholesale retailers, substantially all of which are located in the United States.</w:t>
      </w:r>
    </w:p>
    <w:p>
      <w:pPr>
        <w:spacing w:after="0" w:line="41"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58" w:lineRule="exact"/>
        <w:rPr>
          <w:sz w:val="20"/>
          <w:szCs w:val="20"/>
          <w:color w:val="auto"/>
        </w:rPr>
      </w:pPr>
    </w:p>
    <w:p>
      <w:pPr>
        <w:ind w:left="340" w:right="200"/>
        <w:spacing w:after="0" w:line="266" w:lineRule="auto"/>
        <w:rPr>
          <w:sz w:val="20"/>
          <w:szCs w:val="20"/>
          <w:color w:val="auto"/>
        </w:rPr>
      </w:pPr>
      <w:r>
        <w:rPr>
          <w:rFonts w:ascii="Times New Roman" w:cs="Times New Roman" w:eastAsia="Times New Roman" w:hAnsi="Times New Roman"/>
          <w:sz w:val="18"/>
          <w:szCs w:val="18"/>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VB Direct, VB Indirect, and Pura Vida.</w:t>
      </w:r>
    </w:p>
    <w:p>
      <w:pPr>
        <w:spacing w:after="0" w:line="54"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revenues and operating income information for the Company’s reportable segments consisted of the following (in thousands):</w:t>
      </w: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January 30,</w:t>
            </w:r>
          </w:p>
        </w:tc>
        <w:tc>
          <w:tcPr>
            <w:tcW w:w="220" w:type="dxa"/>
            <w:vAlign w:val="bottom"/>
          </w:tcPr>
          <w:p>
            <w:pPr>
              <w:spacing w:after="0"/>
              <w:rPr>
                <w:sz w:val="11"/>
                <w:szCs w:val="11"/>
                <w:color w:val="auto"/>
              </w:rPr>
            </w:pPr>
          </w:p>
        </w:tc>
        <w:tc>
          <w:tcPr>
            <w:tcW w:w="1180" w:type="dxa"/>
            <w:vAlign w:val="bottom"/>
          </w:tcPr>
          <w:p>
            <w:pPr>
              <w:jc w:val="right"/>
              <w:ind w:right="253"/>
              <w:spacing w:after="0" w:line="134"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289,274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347,484</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81,811</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119,577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65,917</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495,212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68,505</w:t>
            </w:r>
          </w:p>
        </w:tc>
        <w:tc>
          <w:tcPr>
            <w:tcW w:w="0" w:type="dxa"/>
            <w:vAlign w:val="bottom"/>
          </w:tcPr>
          <w:p>
            <w:pPr>
              <w:spacing w:after="0"/>
              <w:rPr>
                <w:sz w:val="1"/>
                <w:szCs w:val="1"/>
                <w:color w:val="auto"/>
              </w:rPr>
            </w:pP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31,077</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23"/>
        </w:trPr>
        <w:tc>
          <w:tcPr>
            <w:tcW w:w="6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103,348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96,403</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96,403</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(76,929)</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outside of the United States were immaterial for all periods presented.</w:t>
      </w:r>
    </w:p>
    <w:p>
      <w:pPr>
        <w:spacing w:after="0" w:line="104" w:lineRule="exact"/>
        <w:rPr>
          <w:sz w:val="20"/>
          <w:szCs w:val="20"/>
          <w:color w:val="auto"/>
        </w:rPr>
      </w:pPr>
    </w:p>
    <w:p>
      <w:pPr>
        <w:ind w:left="340" w:right="280"/>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for Vera Bradley brand products are attributable to sales of bags, accessories, travel, apparel/footwear, and home items. Other revenues from Vera Bradley external customers primarily include revenues associated with our stationery, freight, licensing, merchandising, and gift card breakage.</w:t>
      </w:r>
    </w:p>
    <w:p>
      <w:pPr>
        <w:spacing w:after="0" w:line="54" w:lineRule="exact"/>
        <w:rPr>
          <w:sz w:val="20"/>
          <w:szCs w:val="20"/>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Revenues from external customers for Pura Vida brand products are primarily attributable to sales of accessories and apparel. Other revenues from Pura Vida external customers include revenues associated with freight.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3 herein for disaggregation of net revenues by reportable segment.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29, 2022 and January 30, 2021, substantially all of the Company’s long-lived assets were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44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5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the evaluation of the Company’s disclosure controls and procedures, as that term is defined in Rule 13a-15(e) under the Securities Exchange Act of 1934, as amended (the “Exchange Act”), each of Robert Wallstrom, the Chief Executive Officer of the Company, and John Enwright, the Chief Financial Officer of the Company, has concluded that the Company’s disclosure controls and procedures are effective as of January 29,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 Management, under the supervision and with the participation of the Company’s Chief Executive Officer and Chief Financial Officer, has evaluated the effectiveness of the Company’s internal control over financial reporting using the criteria set forth by the Committee of Sponsoring Organizations (COSO) of the Treadway Commission (2013 framework) in Internal Control-Integrated Framework. Based on the results of that evaluation, management has concluded that such internal control over financial reporting was effective as of January 29, 2022.</w:t>
      </w:r>
    </w:p>
    <w:p>
      <w:pPr>
        <w:spacing w:after="0" w:line="6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January 29, 2022, has been audited by Deloitte and Touche LLP, an independent registered public accounting firm, as stated in their report which appears in Item 8 of this Annual Report on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ind w:right="514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Proxy Statement for the 2022 Annual Meeting of Shareholders under the headings “The Board of Directors,” “Family</w:t>
      </w:r>
    </w:p>
    <w:p>
      <w:pPr>
        <w:spacing w:after="0" w:line="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Relationships,” “Delinquent Section 16(a) Reports,” “Conflict of Interest and Business Ethics Policy,” “Code of Ethics for Senior Financial Officers,” and “Standing Committees and Meetings of the Board”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under the heading “Item 1: Business – Executive Officers of the Company” in this Form 10-K is incorporated herein by reference.</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2022 Annual Meeting of Shareholders under the headings “Executive Compensation Discussion and Analysis,” “Compensation Committee Interlocks and Insider Participation,” “Compensation Tables,” and “Compensation Committee Report”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2022 Annual Meeting of Shareholders under the heading “Share Ownership of Certain Beneficial Owners and Management”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equity securities authorized for issuance under our equity compensation plans as of January 29, 2022:</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080" w:type="dxa"/>
            <w:vAlign w:val="bottom"/>
            <w:gridSpan w:val="2"/>
            <w:vMerge w:val="continue"/>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the Equity</w:t>
            </w: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35"/>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89"/>
        </w:trPr>
        <w:tc>
          <w:tcPr>
            <w:tcW w:w="5040" w:type="dxa"/>
            <w:vAlign w:val="bottom"/>
            <w:gridSpan w:val="2"/>
            <w:vMerge w:val="continue"/>
          </w:tcPr>
          <w:p>
            <w:pPr>
              <w:spacing w:after="0"/>
              <w:rPr>
                <w:sz w:val="16"/>
                <w:szCs w:val="16"/>
                <w:color w:val="auto"/>
              </w:rPr>
            </w:pPr>
          </w:p>
        </w:tc>
        <w:tc>
          <w:tcPr>
            <w:tcW w:w="20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4"/>
                <w:szCs w:val="14"/>
                <w:b w:val="1"/>
                <w:bCs w:val="1"/>
                <w:color w:val="auto"/>
                <w:w w:val="99"/>
              </w:rPr>
              <w:t xml:space="preserve">and Rights (a) </w:t>
            </w:r>
            <w:r>
              <w:rPr>
                <w:rFonts w:ascii="Times New Roman" w:cs="Times New Roman" w:eastAsia="Times New Roman" w:hAnsi="Times New Roman"/>
                <w:sz w:val="18"/>
                <w:szCs w:val="18"/>
                <w:b w:val="1"/>
                <w:bCs w:val="1"/>
                <w:color w:val="auto"/>
                <w:w w:val="99"/>
                <w:vertAlign w:val="superscript"/>
              </w:rPr>
              <w:t>(1)</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and Rights (b) ($)</w:t>
            </w: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7"/>
              </w:rPr>
              <w:t xml:space="preserve">(a)) (c) </w:t>
            </w:r>
            <w:r>
              <w:rPr>
                <w:rFonts w:ascii="Times New Roman" w:cs="Times New Roman" w:eastAsia="Times New Roman" w:hAnsi="Times New Roman"/>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1,563,038</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2,443,829</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1,563,038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2,443,829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580" w:right="360" w:hanging="572"/>
        <w:spacing w:after="0" w:line="261" w:lineRule="auto"/>
        <w:tabs>
          <w:tab w:leader="none" w:pos="5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target performance requirements will be achieved for performance shares with incomplete performance periods. These securities represent awards to be issued under the 2010 and 2020 Equity and Incentive Plans.</w:t>
      </w:r>
    </w:p>
    <w:p>
      <w:pPr>
        <w:ind w:left="560" w:hanging="552"/>
        <w:spacing w:after="0"/>
        <w:tabs>
          <w:tab w:leader="none" w:pos="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available for issuance under the 2020 Equity and Incentive Plan.</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2022 Annual Meeting of Shareholders under the headings “Policy on Party Transactions,” “Related Party Transactions for Fiscal 2022,” and “Board Independence”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9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2022 Proxy Statement under the caption “Principal Accounting Fees and Services.” The Proxy Statement will be filed with the Commission within 120 days after the end of the fiscal year covered by this Form 10-K pursuant to Regulation 14A under the Securities Exchange Act of 1934, as amended.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Vera Bradley, Inc. are filed as part of this report under Item 8. Financial Statements and Supplementary Data:</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3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53">
              <w:r>
                <w:rPr>
                  <w:rFonts w:ascii="Times New Roman" w:cs="Times New Roman" w:eastAsia="Times New Roman" w:hAnsi="Times New Roman"/>
                  <w:sz w:val="18"/>
                  <w:szCs w:val="18"/>
                  <w:color w:val="0000FF"/>
                  <w:w w:val="99"/>
                </w:rPr>
                <w:t>Reports of Independent Registered Public Accounting Firm</w:t>
              </w:r>
            </w:hyperlink>
          </w:p>
        </w:tc>
        <w:tc>
          <w:tcPr>
            <w:tcW w:w="6020" w:type="dxa"/>
            <w:vAlign w:val="bottom"/>
            <w:gridSpan w:val="6"/>
          </w:tcPr>
          <w:p>
            <w:pPr>
              <w:spacing w:after="0"/>
              <w:rPr>
                <w:sz w:val="17"/>
                <w:szCs w:val="17"/>
                <w:color w:val="auto"/>
              </w:rPr>
            </w:pPr>
          </w:p>
        </w:tc>
        <w:tc>
          <w:tcPr>
            <w:tcW w:w="860" w:type="dxa"/>
            <w:vAlign w:val="bottom"/>
          </w:tcPr>
          <w:p>
            <w:pPr>
              <w:jc w:val="right"/>
              <w:spacing w:after="0"/>
              <w:rPr>
                <w:rFonts w:ascii="Times New Roman" w:cs="Times New Roman" w:eastAsia="Times New Roman" w:hAnsi="Times New Roman"/>
                <w:sz w:val="18"/>
                <w:szCs w:val="18"/>
                <w:color w:val="auto"/>
              </w:rPr>
            </w:pPr>
            <w:hyperlink w:anchor="page53">
              <w:r>
                <w:rPr>
                  <w:rFonts w:ascii="Times New Roman" w:cs="Times New Roman" w:eastAsia="Times New Roman" w:hAnsi="Times New Roman"/>
                  <w:sz w:val="18"/>
                  <w:szCs w:val="18"/>
                  <w:color w:val="auto"/>
                </w:rPr>
                <w:t>53</w:t>
              </w:r>
            </w:hyperlink>
          </w:p>
        </w:tc>
        <w:tc>
          <w:tcPr>
            <w:tcW w:w="0" w:type="dxa"/>
            <w:vAlign w:val="bottom"/>
          </w:tcPr>
          <w:p>
            <w:pPr>
              <w:spacing w:after="0"/>
              <w:rPr>
                <w:sz w:val="1"/>
                <w:szCs w:val="1"/>
                <w:color w:val="auto"/>
              </w:rPr>
            </w:pPr>
          </w:p>
        </w:tc>
      </w:tr>
      <w:tr>
        <w:trPr>
          <w:trHeight w:val="209"/>
        </w:trPr>
        <w:tc>
          <w:tcPr>
            <w:tcW w:w="5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56">
              <w:r>
                <w:rPr>
                  <w:rFonts w:ascii="Times New Roman" w:cs="Times New Roman" w:eastAsia="Times New Roman" w:hAnsi="Times New Roman"/>
                  <w:sz w:val="18"/>
                  <w:szCs w:val="18"/>
                  <w:color w:val="0000FF"/>
                  <w:w w:val="99"/>
                </w:rPr>
                <w:t>Consolidated Balance Sheets as of January 29, 2022, and January 30, 2021</w:t>
              </w:r>
            </w:hyperlink>
          </w:p>
        </w:tc>
        <w:tc>
          <w:tcPr>
            <w:tcW w:w="4920" w:type="dxa"/>
            <w:vAlign w:val="bottom"/>
            <w:gridSpan w:val="5"/>
          </w:tcPr>
          <w:p>
            <w:pPr>
              <w:spacing w:after="0"/>
              <w:rPr>
                <w:sz w:val="18"/>
                <w:szCs w:val="18"/>
                <w:color w:val="auto"/>
              </w:rPr>
            </w:pPr>
          </w:p>
        </w:tc>
        <w:tc>
          <w:tcPr>
            <w:tcW w:w="860" w:type="dxa"/>
            <w:vAlign w:val="bottom"/>
          </w:tcPr>
          <w:p>
            <w:pPr>
              <w:jc w:val="right"/>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56</w:t>
              </w:r>
            </w:hyperlink>
          </w:p>
        </w:tc>
        <w:tc>
          <w:tcPr>
            <w:tcW w:w="0" w:type="dxa"/>
            <w:vAlign w:val="bottom"/>
          </w:tcPr>
          <w:p>
            <w:pPr>
              <w:spacing w:after="0"/>
              <w:rPr>
                <w:sz w:val="1"/>
                <w:szCs w:val="1"/>
                <w:color w:val="auto"/>
              </w:rPr>
            </w:pPr>
          </w:p>
        </w:tc>
      </w:tr>
      <w:tr>
        <w:trPr>
          <w:trHeight w:val="209"/>
        </w:trPr>
        <w:tc>
          <w:tcPr>
            <w:tcW w:w="10320" w:type="dxa"/>
            <w:vAlign w:val="bottom"/>
            <w:gridSpan w:val="9"/>
          </w:tcPr>
          <w:p>
            <w:pPr>
              <w:spacing w:after="0"/>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Consolidated Statements of Operations for the fiscal years ended January 29, 2022, January 30, 2021, and February 1, 2020</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57</w:t>
              </w:r>
            </w:hyperlink>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57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20" w:type="dxa"/>
            <w:vAlign w:val="bottom"/>
            <w:gridSpan w:val="9"/>
          </w:tcPr>
          <w:p>
            <w:pPr>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Consolidated Statements of Comprehensive Income for the fiscal years ended January 29, 2022, January 30, 2021, and February 1,</w:t>
              </w:r>
            </w:hyperlink>
          </w:p>
        </w:tc>
        <w:tc>
          <w:tcPr>
            <w:tcW w:w="860" w:type="dxa"/>
            <w:vAlign w:val="bottom"/>
            <w:vMerge w:val="restart"/>
          </w:tcPr>
          <w:p>
            <w:pPr>
              <w:jc w:val="right"/>
              <w:spacing w:after="0"/>
              <w:rPr>
                <w:rFonts w:ascii="Times New Roman" w:cs="Times New Roman" w:eastAsia="Times New Roman" w:hAnsi="Times New Roman"/>
                <w:sz w:val="18"/>
                <w:szCs w:val="18"/>
                <w:color w:val="auto"/>
              </w:rPr>
            </w:pPr>
            <w:hyperlink w:anchor="page58">
              <w:r>
                <w:rPr>
                  <w:rFonts w:ascii="Times New Roman" w:cs="Times New Roman" w:eastAsia="Times New Roman" w:hAnsi="Times New Roman"/>
                  <w:sz w:val="18"/>
                  <w:szCs w:val="18"/>
                  <w:color w:val="auto"/>
                </w:rPr>
                <w:t>58</w:t>
              </w:r>
            </w:hyperlink>
          </w:p>
        </w:tc>
        <w:tc>
          <w:tcPr>
            <w:tcW w:w="0" w:type="dxa"/>
            <w:vAlign w:val="bottom"/>
          </w:tcPr>
          <w:p>
            <w:pPr>
              <w:spacing w:after="0"/>
              <w:rPr>
                <w:sz w:val="1"/>
                <w:szCs w:val="1"/>
                <w:color w:val="auto"/>
              </w:rPr>
            </w:pPr>
          </w:p>
        </w:tc>
      </w:tr>
      <w:tr>
        <w:trPr>
          <w:trHeight w:val="156"/>
        </w:trPr>
        <w:tc>
          <w:tcPr>
            <w:tcW w:w="4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w:anchor="page58">
              <w:r>
                <w:rPr>
                  <w:rFonts w:ascii="Times New Roman" w:cs="Times New Roman" w:eastAsia="Times New Roman" w:hAnsi="Times New Roman"/>
                  <w:sz w:val="18"/>
                  <w:szCs w:val="18"/>
                  <w:color w:val="0000FF"/>
                  <w:w w:val="98"/>
                </w:rPr>
                <w:t>2020,</w:t>
              </w:r>
            </w:hyperlink>
          </w:p>
        </w:tc>
        <w:tc>
          <w:tcPr>
            <w:tcW w:w="274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35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w:anchor="page59">
              <w:r>
                <w:rPr>
                  <w:rFonts w:ascii="Times New Roman" w:cs="Times New Roman" w:eastAsia="Times New Roman" w:hAnsi="Times New Roman"/>
                  <w:sz w:val="18"/>
                  <w:szCs w:val="18"/>
                  <w:color w:val="0000FF"/>
                  <w:w w:val="99"/>
                </w:rPr>
                <w:t>Consolidated Statements of Shareholders’ Equity for the fiscal years ended January 29, 2022, January 30, 2021, and February 1, 2020</w:t>
              </w:r>
            </w:hyperlink>
          </w:p>
        </w:tc>
        <w:tc>
          <w:tcPr>
            <w:tcW w:w="680" w:type="dxa"/>
            <w:vAlign w:val="bottom"/>
          </w:tcPr>
          <w:p>
            <w:pPr>
              <w:spacing w:after="0"/>
              <w:rPr>
                <w:sz w:val="18"/>
                <w:szCs w:val="18"/>
                <w:color w:val="auto"/>
              </w:rPr>
            </w:pPr>
          </w:p>
        </w:tc>
        <w:tc>
          <w:tcPr>
            <w:tcW w:w="860" w:type="dxa"/>
            <w:vAlign w:val="bottom"/>
          </w:tcPr>
          <w:p>
            <w:pPr>
              <w:jc w:val="right"/>
              <w:spacing w:after="0"/>
              <w:rPr>
                <w:rFonts w:ascii="Times New Roman" w:cs="Times New Roman" w:eastAsia="Times New Roman" w:hAnsi="Times New Roman"/>
                <w:sz w:val="18"/>
                <w:szCs w:val="18"/>
                <w:color w:val="auto"/>
              </w:rPr>
            </w:pPr>
            <w:hyperlink w:anchor="page59">
              <w:r>
                <w:rPr>
                  <w:rFonts w:ascii="Times New Roman" w:cs="Times New Roman" w:eastAsia="Times New Roman" w:hAnsi="Times New Roman"/>
                  <w:sz w:val="18"/>
                  <w:szCs w:val="18"/>
                  <w:color w:val="auto"/>
                </w:rPr>
                <w:t>59</w:t>
              </w:r>
            </w:hyperlink>
          </w:p>
        </w:tc>
        <w:tc>
          <w:tcPr>
            <w:tcW w:w="0" w:type="dxa"/>
            <w:vAlign w:val="bottom"/>
          </w:tcPr>
          <w:p>
            <w:pPr>
              <w:spacing w:after="0"/>
              <w:rPr>
                <w:sz w:val="1"/>
                <w:szCs w:val="1"/>
                <w:color w:val="auto"/>
              </w:rPr>
            </w:pPr>
          </w:p>
        </w:tc>
      </w:tr>
      <w:tr>
        <w:trPr>
          <w:trHeight w:val="210"/>
        </w:trPr>
        <w:tc>
          <w:tcPr>
            <w:tcW w:w="10320" w:type="dxa"/>
            <w:vAlign w:val="bottom"/>
            <w:gridSpan w:val="9"/>
          </w:tcPr>
          <w:p>
            <w:pPr>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Consolidated Statements of Cash Flows for the fiscal years ended January 29, 2022, January 30, 2021, and February 1, 2020</w:t>
              </w:r>
            </w:hyperlink>
          </w:p>
        </w:tc>
        <w:tc>
          <w:tcPr>
            <w:tcW w:w="860" w:type="dxa"/>
            <w:vAlign w:val="bottom"/>
          </w:tcPr>
          <w:p>
            <w:pPr>
              <w:jc w:val="right"/>
              <w:spacing w:after="0"/>
              <w:rPr>
                <w:rFonts w:ascii="Times New Roman" w:cs="Times New Roman" w:eastAsia="Times New Roman" w:hAnsi="Times New Roman"/>
                <w:sz w:val="18"/>
                <w:szCs w:val="18"/>
                <w:color w:val="auto"/>
              </w:rPr>
            </w:pPr>
            <w:hyperlink w:anchor="page60">
              <w:r>
                <w:rPr>
                  <w:rFonts w:ascii="Times New Roman" w:cs="Times New Roman" w:eastAsia="Times New Roman" w:hAnsi="Times New Roman"/>
                  <w:sz w:val="18"/>
                  <w:szCs w:val="18"/>
                  <w:color w:val="auto"/>
                </w:rPr>
                <w:t>60</w:t>
              </w:r>
            </w:hyperlink>
          </w:p>
        </w:tc>
        <w:tc>
          <w:tcPr>
            <w:tcW w:w="0" w:type="dxa"/>
            <w:vAlign w:val="bottom"/>
          </w:tcPr>
          <w:p>
            <w:pPr>
              <w:spacing w:after="0"/>
              <w:rPr>
                <w:sz w:val="1"/>
                <w:szCs w:val="1"/>
                <w:color w:val="auto"/>
              </w:rPr>
            </w:pPr>
          </w:p>
        </w:tc>
      </w:tr>
      <w:tr>
        <w:trPr>
          <w:trHeight w:val="210"/>
        </w:trPr>
        <w:tc>
          <w:tcPr>
            <w:tcW w:w="316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62">
              <w:r>
                <w:rPr>
                  <w:rFonts w:ascii="Times New Roman" w:cs="Times New Roman" w:eastAsia="Times New Roman" w:hAnsi="Times New Roman"/>
                  <w:sz w:val="18"/>
                  <w:szCs w:val="18"/>
                  <w:color w:val="0000FF"/>
                  <w:w w:val="99"/>
                </w:rPr>
                <w:t>Notes to Consolidated Financial Statements</w:t>
              </w:r>
            </w:hyperlink>
          </w:p>
        </w:tc>
        <w:tc>
          <w:tcPr>
            <w:tcW w:w="5800" w:type="dxa"/>
            <w:vAlign w:val="bottom"/>
            <w:tcBorders>
              <w:top w:val="single" w:sz="8" w:color="0000FF"/>
            </w:tcBorders>
            <w:gridSpan w:val="4"/>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tcPr>
          <w:p>
            <w:pPr>
              <w:jc w:val="right"/>
              <w:spacing w:after="0"/>
              <w:rPr>
                <w:rFonts w:ascii="Times New Roman" w:cs="Times New Roman" w:eastAsia="Times New Roman" w:hAnsi="Times New Roman"/>
                <w:sz w:val="18"/>
                <w:szCs w:val="18"/>
                <w:color w:val="auto"/>
              </w:rPr>
            </w:pPr>
            <w:hyperlink w:anchor="page62">
              <w:r>
                <w:rPr>
                  <w:rFonts w:ascii="Times New Roman" w:cs="Times New Roman" w:eastAsia="Times New Roman" w:hAnsi="Times New Roman"/>
                  <w:sz w:val="18"/>
                  <w:szCs w:val="18"/>
                  <w:color w:val="auto"/>
                </w:rPr>
                <w:t>62</w:t>
              </w:r>
            </w:hyperlink>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List of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34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0" w:type="dxa"/>
            <w:vAlign w:val="bottom"/>
            <w:gridSpan w:val="27"/>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4"/>
        </w:trPr>
        <w:tc>
          <w:tcPr>
            <w:tcW w:w="20" w:type="dxa"/>
            <w:vAlign w:val="bottom"/>
          </w:tcPr>
          <w:p>
            <w:pPr>
              <w:spacing w:after="0"/>
              <w:rPr>
                <w:sz w:val="24"/>
                <w:szCs w:val="24"/>
                <w:color w:val="auto"/>
              </w:rPr>
            </w:pPr>
          </w:p>
        </w:tc>
        <w:tc>
          <w:tcPr>
            <w:tcW w:w="12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gridSpan w:val="25"/>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6"/>
        </w:trPr>
        <w:tc>
          <w:tcPr>
            <w:tcW w:w="260" w:type="dxa"/>
            <w:vAlign w:val="bottom"/>
            <w:tcBorders>
              <w:top w:val="single" w:sz="8" w:color="auto"/>
            </w:tcBorders>
            <w:gridSpan w:val="2"/>
          </w:tcPr>
          <w:p>
            <w:pPr>
              <w:ind w:left="20"/>
              <w:spacing w:after="0"/>
              <w:rPr>
                <w:rFonts w:ascii="Times New Roman" w:cs="Times New Roman" w:eastAsia="Times New Roman" w:hAnsi="Times New Roman"/>
                <w:sz w:val="18"/>
                <w:szCs w:val="18"/>
                <w:color w:val="0000FF"/>
                <w:w w:val="97"/>
              </w:rPr>
            </w:pPr>
            <w:hyperlink r:id="rId11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tcBorders>
              <w:top w:val="single" w:sz="8" w:color="auto"/>
            </w:tcBorders>
            <w:gridSpan w:val="35"/>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Amended and Restated Articles of Incorporation (Incorporated by reference to Exhibit 3.1 to the Current Report on Form 8-K filed June</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6"/>
              </w:rPr>
            </w:pPr>
            <w:hyperlink r:id="rId110">
              <w:r>
                <w:rPr>
                  <w:rFonts w:ascii="Times New Roman" w:cs="Times New Roman" w:eastAsia="Times New Roman" w:hAnsi="Times New Roman"/>
                  <w:sz w:val="18"/>
                  <w:szCs w:val="18"/>
                  <w:color w:val="0000FF"/>
                  <w:w w:val="96"/>
                </w:rPr>
                <w:t>8, 2021)</w:t>
              </w:r>
            </w:hyperlink>
          </w:p>
        </w:tc>
        <w:tc>
          <w:tcPr>
            <w:tcW w:w="6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23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85"/>
        </w:trPr>
        <w:tc>
          <w:tcPr>
            <w:tcW w:w="20" w:type="dxa"/>
            <w:vAlign w:val="bottom"/>
          </w:tcPr>
          <w:p>
            <w:pPr>
              <w:spacing w:after="0"/>
              <w:rPr>
                <w:sz w:val="24"/>
                <w:szCs w:val="24"/>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1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Amended and Restated Bylaws (Incorporated by reference to Exhibit 3.2 to the Current Report on Form 8-K filed March 6, 2019)</w:t>
              </w:r>
            </w:hyperlink>
          </w:p>
        </w:tc>
        <w:tc>
          <w:tcPr>
            <w:tcW w:w="640" w:type="dxa"/>
            <w:vAlign w:val="bottom"/>
            <w:gridSpan w:val="17"/>
          </w:tcPr>
          <w:p>
            <w:pPr>
              <w:spacing w:after="0"/>
              <w:rPr>
                <w:sz w:val="24"/>
                <w:szCs w:val="24"/>
                <w:color w:val="auto"/>
              </w:rPr>
            </w:pPr>
          </w:p>
        </w:tc>
      </w:tr>
      <w:tr>
        <w:trPr>
          <w:trHeight w:val="372"/>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11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Specimen Common Stock Certificate (Incorporated by reference to Exhibit 4.1 to the Registration Statement on Form S-1, Registration</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No. 333-167934)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11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Description of Registrant’s Securities (Incorporated by reference to Exhibit 4.2 to the Annual Report on Form 10-K for the fiscal year</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ended February 1, 2020)</w:t>
              </w:r>
            </w:hyperlink>
          </w:p>
        </w:tc>
        <w:tc>
          <w:tcPr>
            <w:tcW w:w="78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72"/>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Vera Bradley, Inc. 2010 Equity and Incentive Plan (Incorporated by reference to Exhibit 10.1 to the Registration Statement on Form S-1,</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Registration No. 333-167934)</w:t>
              </w:r>
            </w:hyperlink>
          </w:p>
        </w:tc>
        <w:tc>
          <w:tcPr>
            <w:tcW w:w="766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71"/>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Indemnification Agreement (Incorporated by reference to Exhibit 10.5 to the Registration Statement on Form S-1, Registration</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No. 333-167934)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Outside Director Restricted Stock Unit Terms and Conditions (Incorporated by reference to Exhibit 10.4 to the Quarterly Report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on Form 10-Q for the quarter ended May 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Vera Bradley, Inc. 2014 Executive Severance Plan (Amended May 30, 2018) (Incorporated by reference to Exhibit 10.4 to the Annual</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Report on Form 10-K for the year ended February 2, 2019)</w:t>
              </w:r>
            </w:hyperlink>
          </w:p>
        </w:tc>
        <w:tc>
          <w:tcPr>
            <w:tcW w:w="5400" w:type="dxa"/>
            <w:vAlign w:val="bottom"/>
            <w:tcBorders>
              <w:top w:val="single" w:sz="8" w:color="0000FF"/>
            </w:tcBorders>
            <w:gridSpan w:val="1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72"/>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Credit Agreement dated as of September 7, 2018 among Vera Bradley Designs, Inc., JPMorgan Chase Bank, N.A., and the lenders party</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thereto (Incorporated by reference to Exhibit 10.1 to the Quarterly Report on Form 10-Q for the quarter ended August 4, 2018)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Pledge and Security Agreement dated as of September 7, 2018 among Vera Bradley Designs, Inc., Vera Bradley, Inc., Vera Bradley</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International, LLC, Vera Bradley Sales, LLC, and JP Morgan Chase Bank, N.A. (Incorporated by reference to Exhibit 10.2 to the</w:t>
              </w:r>
            </w:hyperlink>
          </w:p>
        </w:tc>
        <w:tc>
          <w:tcPr>
            <w:tcW w:w="1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3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Quarterly Report on Form 10-Q for the quarter ended August 4, 2018)</w:t>
              </w:r>
            </w:hyperlink>
          </w:p>
        </w:tc>
        <w:tc>
          <w:tcPr>
            <w:tcW w:w="260" w:type="dxa"/>
            <w:vAlign w:val="bottom"/>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Fiscal 2022 Annual Incentive Compensation Plan (Executives) (Incorporated by reference to Exhibit 10.1 to the Quarterly Report on</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Form 10-Q for the quarter ended May 1, 2021)</w:t>
              </w:r>
            </w:hyperlink>
          </w:p>
        </w:tc>
        <w:tc>
          <w:tcPr>
            <w:tcW w:w="6180" w:type="dxa"/>
            <w:vAlign w:val="bottom"/>
            <w:tcBorders>
              <w:top w:val="single" w:sz="8" w:color="0000FF"/>
            </w:tcBorders>
            <w:gridSpan w:val="13"/>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71"/>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Employment Agreement for Robert Wallstrom dated November 11, 2013 (Incorporated by reference to Exhibit 10.1 to the Current Report</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on Form 8-K filed November 5, 2013)</w:t>
              </w:r>
            </w:hyperlink>
          </w:p>
        </w:tc>
        <w:tc>
          <w:tcPr>
            <w:tcW w:w="7160" w:type="dxa"/>
            <w:vAlign w:val="bottom"/>
            <w:tcBorders>
              <w:top w:val="single" w:sz="8" w:color="0000FF"/>
            </w:tcBorders>
            <w:gridSpan w:val="28"/>
          </w:tcPr>
          <w:p>
            <w:pPr>
              <w:spacing w:after="0"/>
              <w:rPr>
                <w:sz w:val="13"/>
                <w:szCs w:val="13"/>
                <w:color w:val="auto"/>
              </w:rPr>
            </w:pPr>
          </w:p>
        </w:tc>
        <w:tc>
          <w:tcPr>
            <w:tcW w:w="60" w:type="dxa"/>
            <w:vAlign w:val="bottom"/>
          </w:tcPr>
          <w:p>
            <w:pPr>
              <w:spacing w:after="0"/>
              <w:rPr>
                <w:sz w:val="13"/>
                <w:szCs w:val="13"/>
                <w:color w:val="auto"/>
              </w:rPr>
            </w:pPr>
          </w:p>
        </w:tc>
      </w:tr>
      <w:tr>
        <w:trPr>
          <w:trHeight w:val="372"/>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Second Amendment of Employment Agreement for Robert Wallstrom dated June 17, 2016 (Incorporated by reference to Exhibit 10.1 to</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the Current Report on Form 8-K filed June 22, 2016)</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72"/>
        </w:trPr>
        <w:tc>
          <w:tcPr>
            <w:tcW w:w="1100" w:type="dxa"/>
            <w:vAlign w:val="bottom"/>
            <w:gridSpan w:val="6"/>
          </w:tcPr>
          <w:p>
            <w:pPr>
              <w:ind w:left="20"/>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Performance-Based Award Agreement under the 2010 Equity and Incentive Plan (Incorporated by reference to Exhibit 10.3 to</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the Quarterly Report on Form 10-Q for the quarter ended April 29, 2017)</w:t>
              </w:r>
            </w:hyperlink>
          </w:p>
        </w:tc>
        <w:tc>
          <w:tcPr>
            <w:tcW w:w="44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71"/>
        </w:trPr>
        <w:tc>
          <w:tcPr>
            <w:tcW w:w="440" w:type="dxa"/>
            <w:vAlign w:val="bottom"/>
            <w:gridSpan w:val="5"/>
          </w:tcPr>
          <w:p>
            <w:pPr>
              <w:ind w:left="20"/>
              <w:spacing w:after="0"/>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Restricted Stock Unit/Performance Unit Terms and Conditions (Revised Fiscal 2019) (Incorporated by reference to Exhibit 10.2</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to the Quarterly Report on Form 10-Q for the quarter ended May 5,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100" w:type="dxa"/>
            <w:vAlign w:val="bottom"/>
            <w:gridSpan w:val="6"/>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2740" w:type="dxa"/>
            <w:vAlign w:val="bottom"/>
            <w:gridSpan w:val="8"/>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71"/>
        </w:trPr>
        <w:tc>
          <w:tcPr>
            <w:tcW w:w="1100" w:type="dxa"/>
            <w:vAlign w:val="bottom"/>
            <w:gridSpan w:val="6"/>
          </w:tcPr>
          <w:p>
            <w:pPr>
              <w:ind w:left="20"/>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Interest Purchase Agreement dated July 16, 2019, among Vera Bradley Holdings, LLC; Creative Genius Holdings, Inc.; Creative Genius,</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Inc.; Griffin Thall; and Paul Goodman (Incorporated by reference to Exhibit 10.1 to the Quarterly Report on Form 10-Q for the quarter</w:t>
              </w:r>
            </w:hyperlink>
          </w:p>
        </w:tc>
        <w:tc>
          <w:tcPr>
            <w:tcW w:w="8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ended August 3, 2019, as amended)</w:t>
              </w:r>
            </w:hyperlink>
          </w:p>
        </w:tc>
        <w:tc>
          <w:tcPr>
            <w:tcW w:w="160" w:type="dxa"/>
            <w:vAlign w:val="bottom"/>
            <w:gridSpan w:val="8"/>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0"/>
        </w:trPr>
        <w:tc>
          <w:tcPr>
            <w:tcW w:w="1100" w:type="dxa"/>
            <w:vAlign w:val="bottom"/>
            <w:gridSpan w:val="6"/>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720" w:type="dxa"/>
            <w:vAlign w:val="bottom"/>
            <w:gridSpan w:val="1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72"/>
        </w:trPr>
        <w:tc>
          <w:tcPr>
            <w:tcW w:w="1100" w:type="dxa"/>
            <w:vAlign w:val="bottom"/>
            <w:gridSpan w:val="6"/>
          </w:tcPr>
          <w:p>
            <w:pPr>
              <w:ind w:left="20"/>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2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Put/Call Agreement dated July 16, 2019, among Vera Bradley Holdings, LLC; Creative Genius Holdings, Inc.; Creative Genius</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1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Investments, Inc.; Griffin Thall; Paul Goodman; Vera Bradley Designs, Inc.; and Vera Bradley, Inc. (Incorporated by reference</w:t>
              </w:r>
            </w:hyperlink>
          </w:p>
        </w:tc>
        <w:tc>
          <w:tcPr>
            <w:tcW w:w="820" w:type="dxa"/>
            <w:vAlign w:val="bottom"/>
            <w:gridSpan w:val="19"/>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to Exhibit</w:t>
              </w:r>
            </w:hyperlink>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Quarterly Report on Form 10-Q for the quarter ended August 3, 2019, as amended)</w:t>
              </w:r>
            </w:hyperlink>
          </w:p>
        </w:tc>
        <w:tc>
          <w:tcPr>
            <w:tcW w:w="100" w:type="dxa"/>
            <w:vAlign w:val="bottom"/>
            <w:gridSpan w:val="3"/>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20" w:type="dxa"/>
            <w:vAlign w:val="bottom"/>
            <w:gridSpan w:val="13"/>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6"/>
        </w:trPr>
        <w:tc>
          <w:tcPr>
            <w:tcW w:w="440" w:type="dxa"/>
            <w:vAlign w:val="bottom"/>
            <w:tcBorders>
              <w:top w:val="single" w:sz="8" w:color="auto"/>
            </w:tcBorders>
            <w:gridSpan w:val="2"/>
          </w:tcPr>
          <w:p>
            <w:pPr>
              <w:ind w:left="20"/>
              <w:spacing w:after="0"/>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720" w:type="dxa"/>
            <w:vAlign w:val="bottom"/>
            <w:tcBorders>
              <w:top w:val="single" w:sz="8" w:color="auto"/>
            </w:tcBorders>
            <w:gridSpan w:val="18"/>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First Amendment to Credit Agreement dated June 19, 2019, among Vera Bradley Designs, Inc., JP Morgan Chase Bank,</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N.A., and the lenders party thereto (Incorporated by reference to Exhibit 10.3 to the Quarterly Report on Form 10-Q for</w:t>
              </w:r>
            </w:hyperlink>
          </w:p>
        </w:tc>
        <w:tc>
          <w:tcPr>
            <w:tcW w:w="6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the quarter ended August 3, 2019, as amended)</w:t>
              </w:r>
            </w:hyperlink>
          </w:p>
        </w:tc>
        <w:tc>
          <w:tcPr>
            <w:tcW w:w="5220" w:type="dxa"/>
            <w:vAlign w:val="bottom"/>
            <w:tcBorders>
              <w:top w:val="single" w:sz="8" w:color="0000FF"/>
            </w:tcBorders>
            <w:gridSpan w:val="12"/>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72"/>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Second Amendment to Credit Agreement dated July 16, 2019, among Vera Bradley Designs, Inc., JP Morgan Chase</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Bank, N.A., and the lenders party thereto (Incorporated by reference to Exhibit 10.4 to the Quarterly Report on Form</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gridSpan w:val="14"/>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10-Q for the quarter ended August 3, 2019, as amended)</w:t>
              </w:r>
            </w:hyperlink>
          </w:p>
        </w:tc>
        <w:tc>
          <w:tcPr>
            <w:tcW w:w="1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72"/>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16</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Vera Bradley, Inc. 2020 Equity and Incentive Plan (Incorporated by reference to Appendix A to the registrant’s</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Definitive Proxy Statement filed April 30, 2020)</w:t>
              </w:r>
            </w:hyperlink>
          </w:p>
        </w:tc>
        <w:tc>
          <w:tcPr>
            <w:tcW w:w="3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71"/>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17</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Performance-Based Award Agreement under the 2020 Equity and Incentive Plan (Incorporated by reference to</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Exhibit 10.2 to the Quarterly Report on Form 10-Q for the quarter ended May 1, 2021)</w:t>
              </w:r>
            </w:hyperlink>
          </w:p>
        </w:tc>
        <w:tc>
          <w:tcPr>
            <w:tcW w:w="120" w:type="dxa"/>
            <w:vAlign w:val="bottom"/>
            <w:gridSpan w:val="3"/>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Restricted Stock Unit/Performance Unit Terms and Conditions (under the 2020 Equity and Incentive Plan)</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(Incorporated by reference to Exhibit 10.3 to the Quarterly Report on Form 10-Q for the quarter ended May 1, 2021)</w:t>
              </w:r>
            </w:hyperlink>
          </w:p>
        </w:tc>
        <w:tc>
          <w:tcPr>
            <w:tcW w:w="100" w:type="dxa"/>
            <w:vAlign w:val="bottom"/>
            <w:tcBorders>
              <w:bottom w:val="single" w:sz="8" w:color="0000FF"/>
            </w:tcBorders>
            <w:gridSpan w:val="2"/>
          </w:tcPr>
          <w:p>
            <w:pPr>
              <w:spacing w:after="0"/>
              <w:rPr>
                <w:sz w:val="13"/>
                <w:szCs w:val="13"/>
                <w:color w:val="auto"/>
              </w:rPr>
            </w:pPr>
          </w:p>
        </w:tc>
        <w:tc>
          <w:tcPr>
            <w:tcW w:w="320" w:type="dxa"/>
            <w:vAlign w:val="bottom"/>
            <w:gridSpan w:val="5"/>
          </w:tcPr>
          <w:p>
            <w:pPr>
              <w:spacing w:after="0"/>
              <w:rPr>
                <w:sz w:val="13"/>
                <w:szCs w:val="13"/>
                <w:color w:val="auto"/>
              </w:rPr>
            </w:pPr>
          </w:p>
        </w:tc>
      </w:tr>
      <w:tr>
        <w:trPr>
          <w:trHeight w:val="371"/>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w:anchor="page96">
              <w:r>
                <w:rPr>
                  <w:rFonts w:ascii="Times New Roman" w:cs="Times New Roman" w:eastAsia="Times New Roman" w:hAnsi="Times New Roman"/>
                  <w:sz w:val="18"/>
                  <w:szCs w:val="18"/>
                  <w:color w:val="0000FF"/>
                  <w:w w:val="98"/>
                </w:rPr>
                <w:t>21.</w:t>
              </w:r>
              <w:r>
                <w:rPr>
                  <w:rFonts w:ascii="Times New Roman" w:cs="Times New Roman" w:eastAsia="Times New Roman" w:hAnsi="Times New Roman"/>
                  <w:sz w:val="18"/>
                  <w:szCs w:val="18"/>
                  <w:u w:val="single" w:color="auto"/>
                  <w:color w:val="0000FF"/>
                  <w:w w:val="98"/>
                </w:rPr>
                <w:t>1*</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7"/>
              </w:rPr>
            </w:pPr>
            <w:hyperlink w:anchor="page96">
              <w:r>
                <w:rPr>
                  <w:rFonts w:ascii="Times New Roman" w:cs="Times New Roman" w:eastAsia="Times New Roman" w:hAnsi="Times New Roman"/>
                  <w:sz w:val="18"/>
                  <w:szCs w:val="18"/>
                  <w:color w:val="0000FF"/>
                  <w:w w:val="97"/>
                </w:rPr>
                <w:t>Subsidiaries of Vera Bradley, Inc.</w:t>
              </w:r>
            </w:hyperlink>
          </w:p>
        </w:tc>
        <w:tc>
          <w:tcPr>
            <w:tcW w:w="6300" w:type="dxa"/>
            <w:vAlign w:val="bottom"/>
            <w:gridSpan w:val="16"/>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420" w:type="dxa"/>
            <w:vAlign w:val="bottom"/>
          </w:tcPr>
          <w:p>
            <w:pPr>
              <w:spacing w:after="0"/>
              <w:rPr>
                <w:rFonts w:ascii="Times New Roman" w:cs="Times New Roman" w:eastAsia="Times New Roman" w:hAnsi="Times New Roman"/>
                <w:sz w:val="18"/>
                <w:szCs w:val="18"/>
                <w:color w:val="0000FF"/>
                <w:w w:val="98"/>
              </w:rPr>
            </w:pPr>
            <w:hyperlink w:anchor="page97">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FF"/>
              </w:rPr>
            </w:pPr>
            <w:hyperlink w:anchor="page97">
              <w:r>
                <w:rPr>
                  <w:rFonts w:ascii="Times New Roman" w:cs="Times New Roman" w:eastAsia="Times New Roman" w:hAnsi="Times New Roman"/>
                  <w:sz w:val="18"/>
                  <w:szCs w:val="18"/>
                  <w:color w:val="0000FF"/>
                </w:rPr>
                <w:t>Consent of Deloitte &amp; Touche LLP</w:t>
              </w:r>
            </w:hyperlink>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60" w:type="dxa"/>
            <w:vAlign w:val="bottom"/>
            <w:gridSpan w:val="10"/>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20" w:type="dxa"/>
            <w:vAlign w:val="bottom"/>
          </w:tcPr>
          <w:p>
            <w:pPr>
              <w:spacing w:after="0"/>
              <w:rPr>
                <w:rFonts w:ascii="Times New Roman" w:cs="Times New Roman" w:eastAsia="Times New Roman" w:hAnsi="Times New Roman"/>
                <w:sz w:val="18"/>
                <w:szCs w:val="18"/>
                <w:color w:val="0000FF"/>
                <w:w w:val="98"/>
              </w:rPr>
            </w:pPr>
            <w:hyperlink w:anchor="page98">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FF"/>
              </w:rPr>
            </w:pPr>
            <w:hyperlink w:anchor="page98">
              <w:r>
                <w:rPr>
                  <w:rFonts w:ascii="Times New Roman" w:cs="Times New Roman" w:eastAsia="Times New Roman" w:hAnsi="Times New Roman"/>
                  <w:sz w:val="18"/>
                  <w:szCs w:val="18"/>
                  <w:color w:val="0000FF"/>
                </w:rPr>
                <w:t>Rule 13a-14(a)/15d-14(a) Certification of Chief Executive Officer</w:t>
              </w:r>
            </w:hyperlink>
          </w:p>
        </w:tc>
      </w:tr>
      <w:tr>
        <w:trPr>
          <w:trHeight w:val="372"/>
        </w:trPr>
        <w:tc>
          <w:tcPr>
            <w:tcW w:w="20" w:type="dxa"/>
            <w:vAlign w:val="bottom"/>
          </w:tcPr>
          <w:p>
            <w:pPr>
              <w:spacing w:after="0"/>
              <w:rPr>
                <w:sz w:val="24"/>
                <w:szCs w:val="24"/>
                <w:color w:val="auto"/>
              </w:rPr>
            </w:pPr>
          </w:p>
        </w:tc>
        <w:tc>
          <w:tcPr>
            <w:tcW w:w="42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8"/>
              </w:rPr>
            </w:pPr>
            <w:hyperlink w:anchor="page99">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9"/>
              </w:rPr>
            </w:pPr>
            <w:hyperlink w:anchor="page99">
              <w:r>
                <w:rPr>
                  <w:rFonts w:ascii="Times New Roman" w:cs="Times New Roman" w:eastAsia="Times New Roman" w:hAnsi="Times New Roman"/>
                  <w:sz w:val="18"/>
                  <w:szCs w:val="18"/>
                  <w:color w:val="0000FF"/>
                  <w:w w:val="99"/>
                </w:rPr>
                <w:t>Rule 13a-14(a)/15d-14(a) Certification of Chief Financial Officer</w:t>
              </w:r>
            </w:hyperlink>
          </w:p>
        </w:tc>
        <w:tc>
          <w:tcPr>
            <w:tcW w:w="40" w:type="dxa"/>
            <w:vAlign w:val="bottom"/>
            <w:tcBorders>
              <w:top w:val="single" w:sz="8" w:color="0000FF"/>
            </w:tcBorders>
          </w:tcPr>
          <w:p>
            <w:pPr>
              <w:spacing w:after="0"/>
              <w:rPr>
                <w:sz w:val="24"/>
                <w:szCs w:val="24"/>
                <w:color w:val="auto"/>
              </w:rPr>
            </w:pPr>
          </w:p>
        </w:tc>
        <w:tc>
          <w:tcPr>
            <w:tcW w:w="3960" w:type="dxa"/>
            <w:vAlign w:val="bottom"/>
            <w:gridSpan w:val="10"/>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420" w:type="dxa"/>
            <w:vAlign w:val="bottom"/>
          </w:tcPr>
          <w:p>
            <w:pPr>
              <w:spacing w:after="0"/>
              <w:rPr>
                <w:rFonts w:ascii="Times New Roman" w:cs="Times New Roman" w:eastAsia="Times New Roman" w:hAnsi="Times New Roman"/>
                <w:sz w:val="18"/>
                <w:szCs w:val="18"/>
                <w:color w:val="0000FF"/>
                <w:w w:val="98"/>
              </w:rPr>
            </w:pPr>
            <w:hyperlink w:anchor="page100">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FF"/>
              </w:rPr>
            </w:pPr>
            <w:hyperlink w:anchor="page100">
              <w:r>
                <w:rPr>
                  <w:rFonts w:ascii="Times New Roman" w:cs="Times New Roman" w:eastAsia="Times New Roman" w:hAnsi="Times New Roman"/>
                  <w:sz w:val="18"/>
                  <w:szCs w:val="18"/>
                  <w:color w:val="0000FF"/>
                </w:rPr>
                <w:t>Section 1350 Certifications</w:t>
              </w:r>
            </w:hyperlink>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760" w:type="dxa"/>
            <w:vAlign w:val="bottom"/>
            <w:gridSpan w:val="17"/>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79"/>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4"/>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49" w:lineRule="exact"/>
        <w:rPr>
          <w:sz w:val="20"/>
          <w:szCs w:val="20"/>
          <w:color w:val="auto"/>
        </w:rPr>
      </w:pPr>
    </w:p>
    <w:p>
      <w:pPr>
        <w:ind w:left="1080" w:hanging="105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on March 29, 2022.</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Vera Bradley, Inc.</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Enwright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John Enwright and Robert Wallstrom,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3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Registrant and in the capacities indicated on March 29, 2022.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Enwright</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Barbara Bradley Baekgaard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Barbara Bradley Baekgaard</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Kristina Cashman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Kristina Cashman</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J. Hall</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Lou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Lou Kelley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E.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E. Kyees</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Frances P.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Frances P. Philip</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Edward M. Schmults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Edward M. Schmults</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Carrie Tharp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Carrie Tharp</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Nancy R. Twine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Nancy R. Twine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Director and 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2">
            <w:col w:w="4820" w:space="720"/>
            <w:col w:w="4860"/>
          </w:cols>
          <w:pgMar w:left="320" w:top="117" w:right="117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6840" w:type="dxa"/>
            <w:vAlign w:val="bottom"/>
            <w:gridSpan w:val="3"/>
          </w:tcPr>
          <w:p>
            <w:pPr>
              <w:jc w:val="center"/>
              <w:ind w:right="427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r>
      <w:tr>
        <w:trPr>
          <w:trHeight w:val="229"/>
        </w:trPr>
        <w:tc>
          <w:tcPr>
            <w:tcW w:w="4340" w:type="dxa"/>
            <w:vAlign w:val="bottom"/>
          </w:tcPr>
          <w:p>
            <w:pPr>
              <w:spacing w:after="0"/>
              <w:rPr>
                <w:sz w:val="19"/>
                <w:szCs w:val="19"/>
                <w:color w:val="auto"/>
              </w:rPr>
            </w:pPr>
          </w:p>
        </w:tc>
        <w:tc>
          <w:tcPr>
            <w:tcW w:w="6840" w:type="dxa"/>
            <w:vAlign w:val="bottom"/>
            <w:gridSpan w:val="3"/>
          </w:tcPr>
          <w:p>
            <w:pPr>
              <w:jc w:val="center"/>
              <w:ind w:right="425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r>
      <w:tr>
        <w:trPr>
          <w:trHeight w:val="238"/>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r>
      <w:tr>
        <w:trPr>
          <w:trHeight w:val="21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Designs, Inc</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International, LLC</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Sales, LLC</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Handbag Design (Dongguan) Co., Ltd.</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People's Republic of China</w:t>
            </w: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Hong Kong Co., Limited</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Holdings, LLC</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Creative Genius, LLC</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Pura Vida Europe Limited</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200"/>
          </w:cols>
          <w:pgMar w:left="360" w:top="88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94" w:lineRule="exact"/>
        <w:rPr>
          <w:sz w:val="20"/>
          <w:szCs w:val="20"/>
          <w:color w:val="auto"/>
        </w:rPr>
      </w:pPr>
    </w:p>
    <w:p>
      <w:pPr>
        <w:ind w:right="420"/>
        <w:spacing w:after="0" w:line="23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333-249701 and 333-170062 on Form S-8 of our reports dated March 29, 2022, relating to the financial statements of Vera Bradley, Inc. and the effectiveness of Vera Bradley, Inc.’s internal control over financial reporting appearing in this Annual Report on Form 10-K for the year ended January 29, 2022.</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2022</w:t>
      </w:r>
    </w:p>
    <w:p>
      <w:pPr>
        <w:sectPr>
          <w:pgSz w:w="11900" w:h="16838" w:orient="portrait"/>
          <w:cols w:equalWidth="0" w:num="1">
            <w:col w:w="11240"/>
          </w:cols>
          <w:pgMar w:left="320" w:top="981"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Wallstrom, certify that:</w:t>
      </w:r>
    </w:p>
    <w:p>
      <w:pPr>
        <w:spacing w:after="0" w:line="104"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 Bradley, Inc.;</w:t>
      </w:r>
    </w:p>
    <w:p>
      <w:pPr>
        <w:spacing w:after="0" w:line="9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4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480" w:firstLine="4"/>
        <w:spacing w:after="0" w:line="282" w:lineRule="auto"/>
        <w:tabs>
          <w:tab w:leader="none" w:pos="155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2022</w:t>
            </w: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Wallstrom</w:t>
            </w:r>
          </w:p>
        </w:tc>
      </w:tr>
      <w:tr>
        <w:trPr>
          <w:trHeight w:val="216"/>
        </w:trPr>
        <w:tc>
          <w:tcPr>
            <w:tcW w:w="562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Wallstrom</w:t>
            </w:r>
          </w:p>
        </w:tc>
      </w:tr>
      <w:tr>
        <w:trPr>
          <w:trHeight w:val="236"/>
        </w:trPr>
        <w:tc>
          <w:tcPr>
            <w:tcW w:w="562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ectPr>
          <w:pgSz w:w="11900" w:h="16838" w:orient="portrait"/>
          <w:cols w:equalWidth="0" w:num="1">
            <w:col w:w="11240"/>
          </w:cols>
          <w:pgMar w:left="320" w:top="88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Enwright, certify that:</w:t>
      </w:r>
    </w:p>
    <w:p>
      <w:pPr>
        <w:spacing w:after="0" w:line="104"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 Bradley, Inc.;</w:t>
      </w:r>
    </w:p>
    <w:p>
      <w:pPr>
        <w:spacing w:after="0" w:line="9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4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480" w:firstLine="4"/>
        <w:spacing w:after="0" w:line="282" w:lineRule="auto"/>
        <w:tabs>
          <w:tab w:leader="none" w:pos="155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2022</w:t>
            </w: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Enwright</w:t>
            </w:r>
          </w:p>
        </w:tc>
      </w:tr>
      <w:tr>
        <w:trPr>
          <w:trHeight w:val="216"/>
        </w:trPr>
        <w:tc>
          <w:tcPr>
            <w:tcW w:w="562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Enwright</w:t>
            </w:r>
          </w:p>
        </w:tc>
      </w:tr>
      <w:tr>
        <w:trPr>
          <w:trHeight w:val="236"/>
        </w:trPr>
        <w:tc>
          <w:tcPr>
            <w:tcW w:w="562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88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 Section 906 of the Sarbanes - Oxley Act of 2002</w:t>
      </w:r>
    </w:p>
    <w:p>
      <w:pPr>
        <w:spacing w:after="0" w:line="108"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Robert Wallstrom, the Chief Executive Officer of Vera Bradley, Inc., certify that (i) the annual report on Form 10-K for the fiscal year ended January 29, 2022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8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7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March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Date</w:t>
      </w:r>
    </w:p>
    <w:p>
      <w:pPr>
        <w:spacing w:after="0" w:line="104" w:lineRule="exact"/>
        <w:rPr>
          <w:sz w:val="20"/>
          <w:szCs w:val="20"/>
          <w:color w:val="auto"/>
        </w:rPr>
      </w:pPr>
    </w:p>
    <w:p>
      <w:pPr>
        <w:ind w:right="80" w:firstLine="180"/>
        <w:spacing w:after="0" w:line="261" w:lineRule="auto"/>
        <w:rPr>
          <w:sz w:val="20"/>
          <w:szCs w:val="20"/>
          <w:color w:val="auto"/>
        </w:rPr>
      </w:pPr>
      <w:r>
        <w:rPr>
          <w:rFonts w:ascii="Times New Roman" w:cs="Times New Roman" w:eastAsia="Times New Roman" w:hAnsi="Times New Roman"/>
          <w:sz w:val="18"/>
          <w:szCs w:val="18"/>
          <w:color w:val="auto"/>
        </w:rPr>
        <w:t>I, John Enwright, the Chief Financial Officer of Vera Bradley, Inc., certify that (i) the annual report on Form 10-K for the fiscal year ended January 29, 2022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9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John Enwright</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7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March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lowerRoman"/>
      <w:start w:val="3"/>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lvl w:ilvl="1">
      <w:lvlJc w:val="left"/>
      <w:lvlText w:val="•"/>
      <w:numFmt w:val="bullet"/>
      <w:start w:val="1"/>
    </w:lvl>
  </w:abstractNum>
  <w:abstractNum w:abstractNumId="15">
    <w:nsid w:val="3006C83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614FD4A1"/>
    <w:multiLevelType w:val="hybridMultilevel"/>
    <w:lvl w:ilvl="0">
      <w:lvlJc w:val="left"/>
      <w:lvlText w:val="•"/>
      <w:numFmt w:val="bullet"/>
      <w:start w:val="1"/>
    </w:lvl>
    <w:lvl w:ilvl="1">
      <w:lvlJc w:val="left"/>
      <w:lvlText w:val="•"/>
      <w:numFmt w:val="bullet"/>
      <w:start w:val="1"/>
    </w:lvl>
  </w:abstractNum>
  <w:abstractNum w:abstractNumId="17">
    <w:nsid w:val="419AC241"/>
    <w:multiLevelType w:val="hybridMultilevel"/>
    <w:lvl w:ilvl="0">
      <w:lvlJc w:val="left"/>
      <w:lvlText w:val="•"/>
      <w:numFmt w:val="bullet"/>
      <w:start w:val="1"/>
    </w:lvl>
    <w:lvl w:ilvl="1">
      <w:lvlJc w:val="left"/>
      <w:lvlText w:val="•"/>
      <w:numFmt w:val="bullet"/>
      <w:start w:val="1"/>
    </w:lvl>
  </w:abstractNum>
  <w:abstractNum w:abstractNumId="18">
    <w:nsid w:val="5577F8E1"/>
    <w:multiLevelType w:val="hybridMultilevel"/>
    <w:lvl w:ilvl="0">
      <w:lvlJc w:val="left"/>
      <w:lvlText w:val="•"/>
      <w:numFmt w:val="bullet"/>
      <w:start w:val="1"/>
    </w:lvl>
    <w:lvl w:ilvl="1">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lowerRoman"/>
      <w:start w:val="2"/>
    </w:lvl>
  </w:abstractNum>
  <w:abstractNum w:abstractNumId="29">
    <w:nsid w:val="580BD78F"/>
    <w:multiLevelType w:val="hybridMultilevel"/>
    <w:lvl w:ilvl="0">
      <w:lvlJc w:val="left"/>
      <w:lvlText w:val="•"/>
      <w:numFmt w:val="bullet"/>
      <w:start w:val="1"/>
    </w:lvl>
    <w:lvl w:ilvl="1">
      <w:lvlJc w:val="left"/>
      <w:lvlText w:val="◦"/>
      <w:numFmt w:val="bullet"/>
      <w:start w:val="1"/>
    </w:lvl>
  </w:abstractNum>
  <w:abstractNum w:abstractNumId="30">
    <w:nsid w:val="153EA438"/>
    <w:multiLevelType w:val="hybridMultilevel"/>
    <w:lvl w:ilvl="0">
      <w:lvlJc w:val="left"/>
      <w:lvlText w:val="%1."/>
      <w:numFmt w:val="decimal"/>
      <w:start w:val="1"/>
    </w:lvl>
    <w:lvl w:ilvl="1">
      <w:lvlJc w:val="left"/>
      <w:lvlText w:val="•"/>
      <w:numFmt w:val="bullet"/>
      <w:start w:val="1"/>
    </w:lvl>
  </w:abstractNum>
  <w:abstractNum w:abstractNumId="31">
    <w:nsid w:val="3855585C"/>
    <w:multiLevelType w:val="hybridMultilevel"/>
    <w:lvl w:ilvl="0">
      <w:lvlJc w:val="left"/>
      <w:lvlText w:val="%1."/>
      <w:numFmt w:val="decimal"/>
      <w:start w:val="2"/>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3"/>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4"/>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6"/>
    </w:lvl>
  </w:abstractNum>
  <w:abstractNum w:abstractNumId="42">
    <w:nsid w:val="6DE91B18"/>
    <w:multiLevelType w:val="hybridMultilevel"/>
    <w:lvl w:ilvl="0">
      <w:lvlJc w:val="left"/>
      <w:lvlText w:val="%1."/>
      <w:numFmt w:val="decimal"/>
      <w:start w:val="7"/>
    </w:lvl>
  </w:abstractNum>
  <w:abstractNum w:abstractNumId="43">
    <w:nsid w:val="38437FDB"/>
    <w:multiLevelType w:val="hybridMultilevel"/>
    <w:lvl w:ilvl="0">
      <w:lvlJc w:val="left"/>
      <w:lvlText w:val="%1."/>
      <w:numFmt w:val="decimal"/>
      <w:start w:val="8"/>
    </w:lvl>
  </w:abstractNum>
  <w:abstractNum w:abstractNumId="44">
    <w:nsid w:val="7644A45C"/>
    <w:multiLevelType w:val="hybridMultilevel"/>
    <w:lvl w:ilvl="0">
      <w:lvlJc w:val="left"/>
      <w:lvlText w:val="%1."/>
      <w:numFmt w:val="decimal"/>
      <w:start w:val="9"/>
    </w:lvl>
  </w:abstractNum>
  <w:abstractNum w:abstractNumId="45">
    <w:nsid w:val="32FFF902"/>
    <w:multiLevelType w:val="hybridMultilevel"/>
    <w:lvl w:ilvl="0">
      <w:lvlJc w:val="left"/>
      <w:lvlText w:val="%1."/>
      <w:numFmt w:val="decimal"/>
      <w:start w:val="1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7"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10" Type="http://schemas.openxmlformats.org/officeDocument/2006/relationships/hyperlink" Target="https://www.sec.gov/Archives/edgar/data/1495320/000149532021000027/vra-20210603xex31.htm" TargetMode="External"/><Relationship Id="rId111" Type="http://schemas.openxmlformats.org/officeDocument/2006/relationships/hyperlink" Target="http://www.sec.gov/Archives/edgar/data/1495320/000149532019000003/vra-20190228xex32.htm" TargetMode="External"/><Relationship Id="rId112" Type="http://schemas.openxmlformats.org/officeDocument/2006/relationships/hyperlink" Target="http://www.sec.gov/Archives/edgar/data/1495320/000119312510231184/dex41.htm" TargetMode="External"/><Relationship Id="rId113" Type="http://schemas.openxmlformats.org/officeDocument/2006/relationships/hyperlink" Target="https://www.sec.gov/Archives/edgar/data/1495320/000149532020000010/vra-20200201xex42.htm" TargetMode="External"/><Relationship Id="rId114" Type="http://schemas.openxmlformats.org/officeDocument/2006/relationships/hyperlink" Target="http://www.sec.gov/Archives/edgar/data/1495320/000119312510231184/dex101.htm" TargetMode="External"/><Relationship Id="rId115" Type="http://schemas.openxmlformats.org/officeDocument/2006/relationships/hyperlink" Target="http://www.sec.gov/Archives/edgar/data/1495320/000119312510224879/dex105.htm" TargetMode="External"/><Relationship Id="rId116" Type="http://schemas.openxmlformats.org/officeDocument/2006/relationships/hyperlink" Target="https://www.sec.gov/Archives/edgar/data/1495320/000149532021000036/vra-20210501xex104.htm" TargetMode="External"/><Relationship Id="rId117" Type="http://schemas.openxmlformats.org/officeDocument/2006/relationships/hyperlink" Target="http://www.sec.gov/Archives/edgar/data/1495320/000149532019000010/vra-20190202xex104.htm" TargetMode="External"/><Relationship Id="rId118" Type="http://schemas.openxmlformats.org/officeDocument/2006/relationships/hyperlink" Target="http://www.sec.gov/Archives/edgar/data/1495320/000149532018000031/vra-20180804xex101.htm" TargetMode="External"/><Relationship Id="rId119" Type="http://schemas.openxmlformats.org/officeDocument/2006/relationships/hyperlink" Target="http://www.sec.gov/Archives/edgar/data/1495320/000149532018000031/vra-20180804xex102.htm" TargetMode="External"/><Relationship Id="rId120" Type="http://schemas.openxmlformats.org/officeDocument/2006/relationships/hyperlink" Target="https://www.sec.gov/Archives/edgar/data/1495320/000149532021000036/vra-20210501xex101.htm" TargetMode="External"/><Relationship Id="rId121" Type="http://schemas.openxmlformats.org/officeDocument/2006/relationships/hyperlink" Target="http://www.sec.gov/Archives/edgar/data/1495320/000144530513002695/vra_8kx11-05x2013ex101.htm" TargetMode="External"/><Relationship Id="rId122" Type="http://schemas.openxmlformats.org/officeDocument/2006/relationships/hyperlink" Target="http://www.sec.gov/Archives/edgar/data/1495320/000149532016000079/vra-2016617xex101.htm" TargetMode="External"/><Relationship Id="rId123" Type="http://schemas.openxmlformats.org/officeDocument/2006/relationships/hyperlink" Target="http://www.sec.gov/Archives/edgar/data/1495320/000149532017000023/vra-2017429xex103.htm" TargetMode="External"/><Relationship Id="rId124" Type="http://schemas.openxmlformats.org/officeDocument/2006/relationships/hyperlink" Target="http://www.sec.gov/Archives/edgar/data/1495320/000149532018000019/vra-20180505xex102.htm" TargetMode="External"/><Relationship Id="rId125" Type="http://schemas.openxmlformats.org/officeDocument/2006/relationships/hyperlink" Target="http://www.sec.gov/Archives/edgar/data/1495320/000149532019000037/vra-20190803xex101.htm" TargetMode="External"/><Relationship Id="rId126" Type="http://schemas.openxmlformats.org/officeDocument/2006/relationships/hyperlink" Target="http://www.sec.gov/Archives/edgar/data/1495320/000149532019000037/vra-20190803xex102.htm" TargetMode="External"/><Relationship Id="rId128" Type="http://schemas.openxmlformats.org/officeDocument/2006/relationships/hyperlink" Target="http://www.sec.gov/Archives/edgar/data/1495320/000149532019000039/vra-20180803xex103a.htm" TargetMode="External"/><Relationship Id="rId129" Type="http://schemas.openxmlformats.org/officeDocument/2006/relationships/hyperlink" Target="http://www.sec.gov/Archives/edgar/data/1495320/000149532019000037/vra-20190803xex103.htm" TargetMode="External"/><Relationship Id="rId130" Type="http://schemas.openxmlformats.org/officeDocument/2006/relationships/hyperlink" Target="https://www.sec.gov/Archives/edgar/data/1495320/000119312520128410/d862379ddef14a.htm" TargetMode="External"/><Relationship Id="rId131" Type="http://schemas.openxmlformats.org/officeDocument/2006/relationships/hyperlink" Target="https://www.sec.gov/Archives/edgar/data/1495320/000149532021000036/vra-20210501xex102.htm" TargetMode="External"/><Relationship Id="rId132" Type="http://schemas.openxmlformats.org/officeDocument/2006/relationships/hyperlink" Target="https://www.sec.gov/Archives/edgar/data/1495320/000149532021000036/vra-20210501x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2022-03-29T14:17:09Z</dcterms:created>
  <dcterms:modified xsi:type="dcterms:W3CDTF">2022-03-29T14:17:09Z</dcterms:modified>
</cp:coreProperties>
</file>