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574675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540385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4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50"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1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May 2, 2020</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700"/>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w:t>
      </w:r>
    </w:p>
    <w:p>
      <w:pPr>
        <w:spacing w:after="0" w:line="14"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OF 1934</w:t>
      </w:r>
    </w:p>
    <w:p>
      <w:pPr>
        <w:spacing w:after="0" w:line="164" w:lineRule="exact"/>
        <w:rPr>
          <w:sz w:val="24"/>
          <w:szCs w:val="24"/>
          <w:color w:val="auto"/>
        </w:rPr>
      </w:pPr>
    </w:p>
    <w:p>
      <w:pPr>
        <w:ind w:left="33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14605</wp:posOffset>
            </wp:positionV>
            <wp:extent cx="2477135" cy="1251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7135" cy="12515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VERA BRADLEY,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48" w:lineRule="exact"/>
        <w:rPr>
          <w:sz w:val="24"/>
          <w:szCs w:val="24"/>
          <w:color w:val="auto"/>
        </w:rPr>
      </w:pPr>
    </w:p>
    <w:tbl>
      <w:tblPr>
        <w:tblLayout w:type="fixed"/>
        <w:tblInd w:w="154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5"/>
              </w:rPr>
              <w:t>Indiana</w:t>
            </w:r>
          </w:p>
        </w:tc>
        <w:tc>
          <w:tcPr>
            <w:tcW w:w="510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c>
          <w:tcPr>
            <w:tcW w:w="0" w:type="dxa"/>
            <w:vAlign w:val="bottom"/>
          </w:tcPr>
          <w:p>
            <w:pPr>
              <w:spacing w:after="0"/>
              <w:rPr>
                <w:sz w:val="1"/>
                <w:szCs w:val="1"/>
                <w:color w:val="auto"/>
              </w:rPr>
            </w:pP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5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00" w:type="dxa"/>
            <w:vAlign w:val="bottom"/>
            <w:vMerge w:val="restart"/>
          </w:tcPr>
          <w:p>
            <w:pPr>
              <w:jc w:val="right"/>
              <w:ind w:right="260"/>
              <w:spacing w:after="0"/>
              <w:rPr>
                <w:sz w:val="20"/>
                <w:szCs w:val="20"/>
                <w:color w:val="auto"/>
              </w:rPr>
            </w:pPr>
            <w:r>
              <w:rPr>
                <w:rFonts w:ascii="Arial" w:cs="Arial" w:eastAsia="Arial" w:hAnsi="Arial"/>
                <w:sz w:val="18"/>
                <w:szCs w:val="18"/>
                <w:b w:val="1"/>
                <w:bCs w:val="1"/>
                <w:color w:val="auto"/>
              </w:rPr>
              <w:t>46783</w:t>
            </w:r>
          </w:p>
        </w:tc>
        <w:tc>
          <w:tcPr>
            <w:tcW w:w="0" w:type="dxa"/>
            <w:vAlign w:val="bottom"/>
          </w:tcPr>
          <w:p>
            <w:pPr>
              <w:spacing w:after="0"/>
              <w:rPr>
                <w:sz w:val="1"/>
                <w:szCs w:val="1"/>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67"/>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Arial" w:cs="Arial" w:eastAsia="Arial" w:hAnsi="Arial"/>
                <w:sz w:val="18"/>
                <w:szCs w:val="18"/>
                <w:b w:val="1"/>
                <w:bCs w:val="1"/>
                <w:color w:val="auto"/>
              </w:rPr>
              <w:t>(877) 708-8372</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6"/>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VRA</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ectPr>
          <w:pgSz w:w="11900" w:h="16838" w:orient="portrait"/>
          <w:cols w:equalWidth="0" w:num="1">
            <w:col w:w="11260"/>
          </w:cols>
          <w:pgMar w:left="320" w:top="229" w:right="319" w:bottom="105" w:gutter="0" w:footer="0" w:header="0"/>
        </w:sectPr>
      </w:pPr>
    </w:p>
    <w:bookmarkStart w:id="1" w:name="page2"/>
    <w:bookmarkEnd w:id="1"/>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53"/>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490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3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1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6" w:lineRule="exact"/>
        <w:rPr>
          <w:sz w:val="20"/>
          <w:szCs w:val="20"/>
          <w:color w:val="auto"/>
        </w:rPr>
      </w:pPr>
    </w:p>
    <w:p>
      <w:pPr>
        <w:jc w:val="both"/>
        <w:ind w:lef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7" w:lineRule="exact"/>
        <w:rPr>
          <w:sz w:val="20"/>
          <w:szCs w:val="20"/>
          <w:color w:val="auto"/>
        </w:rPr>
      </w:pPr>
    </w:p>
    <w:p>
      <w:pPr>
        <w:ind w:right="166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33,400,064 shares of its common stock outstanding as of June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909320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86360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52070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FINANCIAL INFORMATION</w:t>
        </w:r>
      </w:hyperlink>
    </w:p>
    <w:p>
      <w:pPr>
        <w:spacing w:after="0" w:line="81" w:lineRule="exact"/>
        <w:rPr>
          <w:sz w:val="20"/>
          <w:szCs w:val="20"/>
          <w:color w:val="auto"/>
        </w:rPr>
      </w:pPr>
    </w:p>
    <w:p>
      <w:pPr>
        <w:ind w:left="2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5">
        <w:r>
          <w:rPr>
            <w:rFonts w:ascii="Arial" w:cs="Arial" w:eastAsia="Arial" w:hAnsi="Arial"/>
            <w:sz w:val="16"/>
            <w:szCs w:val="16"/>
            <w:u w:val="single" w:color="auto"/>
            <w:color w:val="0000FF"/>
          </w:rPr>
          <w:t>Financial Statements (unaudited)</w:t>
        </w:r>
      </w:hyperlink>
    </w:p>
    <w:p>
      <w:pPr>
        <w:spacing w:after="0" w:line="117" w:lineRule="exact"/>
        <w:rPr>
          <w:sz w:val="20"/>
          <w:szCs w:val="20"/>
          <w:color w:val="auto"/>
        </w:rPr>
      </w:pPr>
    </w:p>
    <w:p>
      <w:pPr>
        <w:ind w:left="9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as of May 2, 2020, and February 1, 2020</w:t>
        </w:r>
      </w:hyperlink>
    </w:p>
    <w:p>
      <w:pPr>
        <w:spacing w:after="0" w:line="77" w:lineRule="exact"/>
        <w:rPr>
          <w:sz w:val="20"/>
          <w:szCs w:val="20"/>
          <w:color w:val="auto"/>
        </w:rPr>
      </w:pPr>
    </w:p>
    <w:p>
      <w:pPr>
        <w:ind w:left="9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 for the Thirteen Weeks Ended May 2, 2020, and May 4, 2019</w:t>
        </w:r>
      </w:hyperlink>
    </w:p>
    <w:p>
      <w:pPr>
        <w:spacing w:after="0" w:line="77" w:lineRule="exact"/>
        <w:rPr>
          <w:sz w:val="20"/>
          <w:szCs w:val="20"/>
          <w:color w:val="auto"/>
        </w:rPr>
      </w:pPr>
    </w:p>
    <w:p>
      <w:pPr>
        <w:ind w:left="94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Comprehensive Income for the Thirteen Weeks Ended May 2, 2020, and May 4, 2019</w:t>
        </w:r>
      </w:hyperlink>
    </w:p>
    <w:p>
      <w:pPr>
        <w:spacing w:after="0" w:line="100" w:lineRule="exact"/>
        <w:rPr>
          <w:sz w:val="20"/>
          <w:szCs w:val="20"/>
          <w:color w:val="auto"/>
        </w:rPr>
      </w:pPr>
    </w:p>
    <w:p>
      <w:pPr>
        <w:ind w:left="94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Condensed Consolidated Statements of Shareholders' Equity for the Thirteen Weeks Ended May 2, 2020, and May 4, 2019</w:t>
        </w:r>
      </w:hyperlink>
    </w:p>
    <w:p>
      <w:pPr>
        <w:spacing w:after="0" w:line="100" w:lineRule="exact"/>
        <w:rPr>
          <w:sz w:val="20"/>
          <w:szCs w:val="20"/>
          <w:color w:val="auto"/>
        </w:rPr>
      </w:pPr>
    </w:p>
    <w:p>
      <w:pPr>
        <w:ind w:left="940"/>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Condensed Consolidated Statements of Cash Flows for the Thirteen Weeks Ended May 2, 2020, and May 4, 2019</w:t>
        </w:r>
      </w:hyperlink>
    </w:p>
    <w:p>
      <w:pPr>
        <w:spacing w:after="0" w:line="88" w:lineRule="exact"/>
        <w:rPr>
          <w:sz w:val="20"/>
          <w:szCs w:val="20"/>
          <w:color w:val="auto"/>
        </w:rPr>
      </w:pPr>
    </w:p>
    <w:p>
      <w:pPr>
        <w:ind w:left="9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the Condensed Consolidated Financial Statements</w:t>
        </w:r>
      </w:hyperlink>
    </w:p>
    <w:p>
      <w:pPr>
        <w:spacing w:after="0" w:line="77" w:lineRule="exact"/>
        <w:rPr>
          <w:sz w:val="20"/>
          <w:szCs w:val="20"/>
          <w:color w:val="auto"/>
        </w:rPr>
      </w:pPr>
    </w:p>
    <w:p>
      <w:pPr>
        <w:ind w:left="2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27">
        <w:r>
          <w:rPr>
            <w:rFonts w:ascii="Arial" w:cs="Arial" w:eastAsia="Arial" w:hAnsi="Arial"/>
            <w:sz w:val="16"/>
            <w:szCs w:val="16"/>
            <w:u w:val="single" w:color="auto"/>
            <w:color w:val="0000FF"/>
          </w:rPr>
          <w:t>Management’s Discussion and Analysis of Financial Condition and Results of Operations</w:t>
        </w:r>
      </w:hyperlink>
    </w:p>
    <w:p>
      <w:pPr>
        <w:spacing w:after="0" w:line="117" w:lineRule="exact"/>
        <w:rPr>
          <w:sz w:val="20"/>
          <w:szCs w:val="20"/>
          <w:color w:val="auto"/>
        </w:rPr>
      </w:pPr>
    </w:p>
    <w:p>
      <w:pPr>
        <w:ind w:left="2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38">
        <w:r>
          <w:rPr>
            <w:rFonts w:ascii="Arial" w:cs="Arial" w:eastAsia="Arial" w:hAnsi="Arial"/>
            <w:sz w:val="16"/>
            <w:szCs w:val="16"/>
            <w:u w:val="single" w:color="auto"/>
            <w:color w:val="0000FF"/>
          </w:rPr>
          <w:t>Quantitative and Qualitative Disclosures About Market Risk</w:t>
        </w:r>
      </w:hyperlink>
    </w:p>
    <w:p>
      <w:pPr>
        <w:spacing w:after="0" w:line="117" w:lineRule="exact"/>
        <w:rPr>
          <w:sz w:val="20"/>
          <w:szCs w:val="20"/>
          <w:color w:val="auto"/>
        </w:rPr>
      </w:pPr>
    </w:p>
    <w:p>
      <w:pPr>
        <w:ind w:left="20"/>
        <w:spacing w:after="0"/>
        <w:tabs>
          <w:tab w:leader="none" w:pos="920" w:val="left"/>
        </w:tabs>
        <w:rPr>
          <w:rFonts w:ascii="Arial" w:cs="Arial" w:eastAsia="Arial" w:hAnsi="Arial"/>
          <w:sz w:val="15"/>
          <w:szCs w:val="15"/>
          <w:u w:val="single" w:color="auto"/>
          <w:color w:val="0000FF"/>
        </w:rPr>
      </w:pPr>
      <w:r>
        <w:rPr>
          <w:rFonts w:ascii="Arial" w:cs="Arial" w:eastAsia="Arial" w:hAnsi="Arial"/>
          <w:sz w:val="18"/>
          <w:szCs w:val="18"/>
          <w:color w:val="auto"/>
        </w:rPr>
        <w:t>Item 4.</w:t>
      </w:r>
      <w:r>
        <w:rPr>
          <w:sz w:val="20"/>
          <w:szCs w:val="20"/>
          <w:color w:val="auto"/>
        </w:rPr>
        <w:tab/>
      </w:r>
      <w:hyperlink w:anchor="page39">
        <w:r>
          <w:rPr>
            <w:rFonts w:ascii="Arial" w:cs="Arial" w:eastAsia="Arial" w:hAnsi="Arial"/>
            <w:sz w:val="15"/>
            <w:szCs w:val="15"/>
            <w:u w:val="single" w:color="auto"/>
            <w:color w:val="0000FF"/>
          </w:rPr>
          <w:t>Controls and Procedures</w:t>
        </w:r>
      </w:hyperlink>
    </w:p>
    <w:p>
      <w:pPr>
        <w:spacing w:after="0" w:line="11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PART II. OTHER INFORMATION</w:t>
        </w:r>
      </w:hyperlink>
    </w:p>
    <w:p>
      <w:pPr>
        <w:spacing w:after="0" w:line="81" w:lineRule="exact"/>
        <w:rPr>
          <w:sz w:val="20"/>
          <w:szCs w:val="20"/>
          <w:color w:val="auto"/>
        </w:rPr>
      </w:pPr>
    </w:p>
    <w:p>
      <w:pPr>
        <w:ind w:left="20"/>
        <w:spacing w:after="0"/>
        <w:tabs>
          <w:tab w:leader="none" w:pos="920" w:val="left"/>
        </w:tabs>
        <w:rPr>
          <w:rFonts w:ascii="Arial" w:cs="Arial" w:eastAsia="Arial" w:hAnsi="Arial"/>
          <w:sz w:val="15"/>
          <w:szCs w:val="15"/>
          <w:u w:val="single" w:color="auto"/>
          <w:color w:val="0000FF"/>
        </w:rPr>
      </w:pPr>
      <w:r>
        <w:rPr>
          <w:rFonts w:ascii="Arial" w:cs="Arial" w:eastAsia="Arial" w:hAnsi="Arial"/>
          <w:sz w:val="18"/>
          <w:szCs w:val="18"/>
          <w:color w:val="auto"/>
        </w:rPr>
        <w:t>Item 1.</w:t>
      </w:r>
      <w:r>
        <w:rPr>
          <w:sz w:val="20"/>
          <w:szCs w:val="20"/>
          <w:color w:val="auto"/>
        </w:rPr>
        <w:tab/>
      </w:r>
      <w:hyperlink w:anchor="page40">
        <w:r>
          <w:rPr>
            <w:rFonts w:ascii="Arial" w:cs="Arial" w:eastAsia="Arial" w:hAnsi="Arial"/>
            <w:sz w:val="15"/>
            <w:szCs w:val="15"/>
            <w:u w:val="single" w:color="auto"/>
            <w:color w:val="0000FF"/>
          </w:rPr>
          <w:t>Legal Proceedings</w:t>
        </w:r>
      </w:hyperlink>
    </w:p>
    <w:p>
      <w:pPr>
        <w:spacing w:after="0" w:line="117" w:lineRule="exact"/>
        <w:rPr>
          <w:sz w:val="20"/>
          <w:szCs w:val="20"/>
          <w:color w:val="auto"/>
        </w:rPr>
      </w:pPr>
    </w:p>
    <w:p>
      <w:pPr>
        <w:ind w:left="2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Item 1A.</w:t>
      </w:r>
      <w:r>
        <w:rPr>
          <w:sz w:val="20"/>
          <w:szCs w:val="20"/>
          <w:color w:val="auto"/>
        </w:rPr>
        <w:tab/>
      </w:r>
      <w:hyperlink w:anchor="page40">
        <w:r>
          <w:rPr>
            <w:rFonts w:ascii="Arial" w:cs="Arial" w:eastAsia="Arial" w:hAnsi="Arial"/>
            <w:sz w:val="16"/>
            <w:szCs w:val="16"/>
            <w:u w:val="single" w:color="auto"/>
            <w:color w:val="0000FF"/>
          </w:rPr>
          <w:t>Risk Factors</w:t>
        </w:r>
      </w:hyperlink>
    </w:p>
    <w:p>
      <w:pPr>
        <w:spacing w:after="0" w:line="117" w:lineRule="exact"/>
        <w:rPr>
          <w:sz w:val="20"/>
          <w:szCs w:val="20"/>
          <w:color w:val="auto"/>
        </w:rPr>
      </w:pPr>
    </w:p>
    <w:p>
      <w:pPr>
        <w:ind w:left="2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41">
        <w:r>
          <w:rPr>
            <w:rFonts w:ascii="Arial" w:cs="Arial" w:eastAsia="Arial" w:hAnsi="Arial"/>
            <w:sz w:val="16"/>
            <w:szCs w:val="16"/>
            <w:u w:val="single" w:color="auto"/>
            <w:color w:val="0000FF"/>
          </w:rPr>
          <w:t>Unregistered Sales of Equity Securities and Use of Proceeds</w:t>
        </w:r>
      </w:hyperlink>
    </w:p>
    <w:p>
      <w:pPr>
        <w:spacing w:after="0" w:line="117" w:lineRule="exact"/>
        <w:rPr>
          <w:sz w:val="20"/>
          <w:szCs w:val="20"/>
          <w:color w:val="auto"/>
        </w:rPr>
      </w:pPr>
    </w:p>
    <w:p>
      <w:pPr>
        <w:ind w:left="20"/>
        <w:spacing w:after="0"/>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Item 6.</w:t>
      </w:r>
      <w:r>
        <w:rPr>
          <w:sz w:val="20"/>
          <w:szCs w:val="20"/>
          <w:color w:val="auto"/>
        </w:rPr>
        <w:tab/>
      </w:r>
      <w:hyperlink w:anchor="page41">
        <w:r>
          <w:rPr>
            <w:rFonts w:ascii="Arial" w:cs="Arial" w:eastAsia="Arial" w:hAnsi="Arial"/>
            <w:sz w:val="17"/>
            <w:szCs w:val="17"/>
            <w:u w:val="single" w:color="auto"/>
            <w:color w:val="0000FF"/>
          </w:rPr>
          <w:t>Exhibits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p>
      <w:pPr>
        <w:spacing w:after="0" w:line="77" w:lineRule="exact"/>
        <w:rPr>
          <w:sz w:val="20"/>
          <w:szCs w:val="20"/>
          <w:color w:val="auto"/>
        </w:rPr>
      </w:pPr>
    </w:p>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10</w:t>
        </w:r>
      </w:hyperlink>
    </w:p>
    <w:p>
      <w:pPr>
        <w:spacing w:after="0" w:line="140" w:lineRule="exact"/>
        <w:rPr>
          <w:sz w:val="20"/>
          <w:szCs w:val="20"/>
          <w:color w:val="auto"/>
        </w:rPr>
      </w:pPr>
    </w:p>
    <w:p>
      <w:pPr>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140" w:lineRule="exact"/>
        <w:rPr>
          <w:sz w:val="20"/>
          <w:szCs w:val="20"/>
          <w:color w:val="auto"/>
        </w:rPr>
      </w:pPr>
    </w:p>
    <w:p>
      <w:pPr>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38</w:t>
        </w:r>
      </w:hyperlink>
    </w:p>
    <w:p>
      <w:pPr>
        <w:spacing w:after="0" w:line="140" w:lineRule="exact"/>
        <w:rPr>
          <w:sz w:val="20"/>
          <w:szCs w:val="20"/>
          <w:color w:val="auto"/>
        </w:rPr>
      </w:pPr>
    </w:p>
    <w:p>
      <w:pPr>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38</w:t>
        </w:r>
      </w:hyperlink>
    </w:p>
    <w:p>
      <w:pPr>
        <w:spacing w:after="0" w:line="200" w:lineRule="exact"/>
        <w:rPr>
          <w:sz w:val="20"/>
          <w:szCs w:val="20"/>
          <w:color w:val="auto"/>
        </w:rPr>
      </w:pPr>
    </w:p>
    <w:p>
      <w:pPr>
        <w:spacing w:after="0" w:line="224" w:lineRule="exact"/>
        <w:rPr>
          <w:sz w:val="20"/>
          <w:szCs w:val="20"/>
          <w:color w:val="auto"/>
        </w:rPr>
      </w:pPr>
    </w:p>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39</w:t>
        </w:r>
      </w:hyperlink>
    </w:p>
    <w:p>
      <w:pPr>
        <w:spacing w:after="0" w:line="140" w:lineRule="exact"/>
        <w:rPr>
          <w:sz w:val="20"/>
          <w:szCs w:val="20"/>
          <w:color w:val="auto"/>
        </w:rPr>
      </w:pPr>
    </w:p>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39</w:t>
        </w:r>
      </w:hyperlink>
    </w:p>
    <w:p>
      <w:pPr>
        <w:spacing w:after="0" w:line="140" w:lineRule="exact"/>
        <w:rPr>
          <w:sz w:val="20"/>
          <w:szCs w:val="20"/>
          <w:color w:val="auto"/>
        </w:rPr>
      </w:pPr>
    </w:p>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40</w:t>
        </w:r>
      </w:hyperlink>
    </w:p>
    <w:p>
      <w:pPr>
        <w:spacing w:after="0" w:line="140" w:lineRule="exact"/>
        <w:rPr>
          <w:sz w:val="20"/>
          <w:szCs w:val="20"/>
          <w:color w:val="auto"/>
        </w:rPr>
      </w:pPr>
    </w:p>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41</w:t>
        </w:r>
      </w:hyperlink>
    </w:p>
    <w:p>
      <w:pPr>
        <w:sectPr>
          <w:pgSz w:w="11900" w:h="16838" w:orient="portrait"/>
          <w:cols w:equalWidth="0" w:num="2">
            <w:col w:w="10300" w:space="720"/>
            <w:col w:w="180"/>
          </w:cols>
          <w:pgMar w:left="320" w:top="121"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99" w:lineRule="exact"/>
        <w:rPr>
          <w:sz w:val="20"/>
          <w:szCs w:val="20"/>
          <w:color w:val="auto"/>
        </w:rPr>
      </w:pPr>
    </w:p>
    <w:p>
      <w:pPr>
        <w:ind w:left="660" w:right="620" w:hanging="328"/>
        <w:spacing w:after="0" w:line="3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pandemics, including the continued outbreak of the novel coronavirus (COVID-19) and the measures taken by governmental authorities and other actors to address it, which may precipitate or exacerbate other risks and/or uncertainties;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civil unrest and its impact on consumer behavior and potential damage or closures to our locations;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 including our Vision 20/20 initiatives;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declines in our comparable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03" w:lineRule="exact"/>
        <w:rPr>
          <w:rFonts w:ascii="Arial" w:cs="Arial" w:eastAsia="Arial" w:hAnsi="Arial"/>
          <w:sz w:val="18"/>
          <w:szCs w:val="18"/>
          <w:color w:val="auto"/>
        </w:rPr>
      </w:pPr>
    </w:p>
    <w:p>
      <w:pPr>
        <w:ind w:left="660" w:right="180" w:hanging="328"/>
        <w:spacing w:after="0" w:line="3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 including as may be related to the continued outbreak of COVID-19;</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that could lead to increased product costs and lower profit margins;</w:t>
      </w:r>
    </w:p>
    <w:p>
      <w:pPr>
        <w:spacing w:after="0" w:line="103" w:lineRule="exact"/>
        <w:rPr>
          <w:rFonts w:ascii="Arial" w:cs="Arial" w:eastAsia="Arial" w:hAnsi="Arial"/>
          <w:sz w:val="18"/>
          <w:szCs w:val="18"/>
          <w:color w:val="auto"/>
        </w:rPr>
      </w:pPr>
    </w:p>
    <w:p>
      <w:pPr>
        <w:ind w:left="660" w:right="660" w:hanging="328"/>
        <w:spacing w:after="0" w:line="3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Pura Vida acquisition benefits to materialize as expected, including the possibility that the business may not perform as anticipated;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integration strategies related to the Pura Vida business.</w:t>
      </w:r>
    </w:p>
    <w:p>
      <w:pPr>
        <w:spacing w:after="0" w:line="21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February 1, 2020.</w:t>
      </w:r>
    </w:p>
    <w:p>
      <w:pPr>
        <w:spacing w:after="0" w:line="11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w:t>
            </w:r>
          </w:p>
        </w:tc>
        <w:tc>
          <w:tcPr>
            <w:tcW w:w="220" w:type="dxa"/>
            <w:vAlign w:val="bottom"/>
          </w:tcPr>
          <w:p>
            <w:pPr>
              <w:spacing w:after="0"/>
              <w:rPr>
                <w:sz w:val="14"/>
                <w:szCs w:val="14"/>
                <w:color w:val="auto"/>
              </w:rPr>
            </w:pPr>
          </w:p>
        </w:tc>
        <w:tc>
          <w:tcPr>
            <w:tcW w:w="1200" w:type="dxa"/>
            <w:vAlign w:val="bottom"/>
          </w:tcPr>
          <w:p>
            <w:pPr>
              <w:jc w:val="right"/>
              <w:ind w:right="259"/>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82,286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49,917</w:t>
            </w:r>
          </w:p>
        </w:tc>
        <w:tc>
          <w:tcPr>
            <w:tcW w:w="0" w:type="dxa"/>
            <w:vAlign w:val="bottom"/>
          </w:tcPr>
          <w:p>
            <w:pPr>
              <w:spacing w:after="0"/>
              <w:rPr>
                <w:sz w:val="1"/>
                <w:szCs w:val="1"/>
                <w:color w:val="auto"/>
              </w:rPr>
            </w:pPr>
          </w:p>
        </w:tc>
      </w:tr>
      <w:tr>
        <w:trPr>
          <w:trHeight w:val="224"/>
        </w:trPr>
        <w:tc>
          <w:tcPr>
            <w:tcW w:w="824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8,977</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24,290</w:t>
            </w:r>
          </w:p>
        </w:tc>
        <w:tc>
          <w:tcPr>
            <w:tcW w:w="0" w:type="dxa"/>
            <w:vAlign w:val="bottom"/>
          </w:tcPr>
          <w:p>
            <w:pPr>
              <w:spacing w:after="0"/>
              <w:rPr>
                <w:sz w:val="1"/>
                <w:szCs w:val="1"/>
                <w:color w:val="auto"/>
              </w:rPr>
            </w:pPr>
          </w:p>
        </w:tc>
      </w:tr>
      <w:tr>
        <w:trPr>
          <w:trHeight w:val="224"/>
        </w:trPr>
        <w:tc>
          <w:tcPr>
            <w:tcW w:w="82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132,855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123,606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taxes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23"/>
        </w:trPr>
        <w:tc>
          <w:tcPr>
            <w:tcW w:w="82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14,610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10,956</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261,722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218,789</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Arial" w:cs="Arial" w:eastAsia="Arial" w:hAnsi="Arial"/>
                <w:sz w:val="16"/>
                <w:szCs w:val="16"/>
                <w:color w:val="auto"/>
              </w:rPr>
              <w:t>Operating right-of-use assets</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106,430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114,790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69,669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73,027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53,865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56,305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44,254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14,912</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7,656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551,397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535,061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Redeemable Noncontrolling Interest,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23,735</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20,235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employment costs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11,412</w:t>
            </w:r>
          </w:p>
        </w:tc>
        <w:tc>
          <w:tcPr>
            <w:tcW w:w="0" w:type="dxa"/>
            <w:vAlign w:val="bottom"/>
          </w:tcPr>
          <w:p>
            <w:pPr>
              <w:spacing w:after="0"/>
              <w:rPr>
                <w:sz w:val="1"/>
                <w:szCs w:val="1"/>
                <w:color w:val="auto"/>
              </w:rPr>
            </w:pPr>
          </w:p>
        </w:tc>
      </w:tr>
      <w:tr>
        <w:trPr>
          <w:trHeight w:val="224"/>
        </w:trPr>
        <w:tc>
          <w:tcPr>
            <w:tcW w:w="8240" w:type="dxa"/>
            <w:vAlign w:val="bottom"/>
          </w:tcPr>
          <w:p>
            <w:pPr>
              <w:ind w:left="200"/>
              <w:spacing w:after="0"/>
              <w:rPr>
                <w:sz w:val="20"/>
                <w:szCs w:val="20"/>
                <w:color w:val="auto"/>
              </w:rPr>
            </w:pPr>
            <w:r>
              <w:rPr>
                <w:rFonts w:ascii="Arial" w:cs="Arial" w:eastAsia="Arial" w:hAnsi="Arial"/>
                <w:sz w:val="16"/>
                <w:szCs w:val="16"/>
                <w:color w:val="auto"/>
              </w:rPr>
              <w:t>Short-term operating lease liabilities</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27,048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21,347</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Earn-out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23"/>
        </w:trPr>
        <w:tc>
          <w:tcPr>
            <w:tcW w:w="8240" w:type="dxa"/>
            <w:vAlign w:val="bottom"/>
          </w:tcPr>
          <w:p>
            <w:pPr>
              <w:ind w:left="20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12,644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13,850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17"/>
        </w:trPr>
        <w:tc>
          <w:tcPr>
            <w:tcW w:w="824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69,177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87,405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107,699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113,775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8240" w:type="dxa"/>
            <w:vAlign w:val="bottom"/>
          </w:tcPr>
          <w:p>
            <w:pPr>
              <w:ind w:left="4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236,965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201,242</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38,858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30,049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20"/>
              <w:spacing w:after="0"/>
              <w:rPr>
                <w:sz w:val="20"/>
                <w:szCs w:val="20"/>
                <w:color w:val="auto"/>
              </w:rPr>
            </w:pPr>
            <w:r>
              <w:rPr>
                <w:rFonts w:ascii="Arial" w:cs="Arial" w:eastAsia="Arial" w:hAnsi="Arial"/>
                <w:sz w:val="16"/>
                <w:szCs w:val="16"/>
                <w:color w:val="auto"/>
              </w:rPr>
              <w:t>Preferred stock; 5,000 shares authorized, no shares issued or outstanding</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24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w w:val="94"/>
              </w:rPr>
              <w:t>Common stock, without par value; 200,000 shares authorized, 41,792 and 41,515 shares issued and 33,399 and 33,503</w:t>
            </w:r>
          </w:p>
        </w:tc>
        <w:tc>
          <w:tcPr>
            <w:tcW w:w="3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outstanding, respectively</w:t>
            </w:r>
          </w:p>
        </w:tc>
        <w:tc>
          <w:tcPr>
            <w:tcW w:w="3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0"/>
              <w:spacing w:after="0"/>
              <w:rPr>
                <w:sz w:val="20"/>
                <w:szCs w:val="20"/>
                <w:color w:val="auto"/>
              </w:rPr>
            </w:pPr>
            <w:r>
              <w:rPr>
                <w:rFonts w:ascii="Arial" w:cs="Arial" w:eastAsia="Arial" w:hAnsi="Arial"/>
                <w:sz w:val="16"/>
                <w:szCs w:val="16"/>
                <w:color w:val="auto"/>
              </w:rPr>
              <w:t>Additional paid-in-capital</w:t>
            </w:r>
          </w:p>
        </w:tc>
        <w:tc>
          <w:tcPr>
            <w:tcW w:w="3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99,879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100,357</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282,772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307,414</w:t>
            </w:r>
          </w:p>
        </w:tc>
        <w:tc>
          <w:tcPr>
            <w:tcW w:w="0" w:type="dxa"/>
            <w:vAlign w:val="bottom"/>
          </w:tcPr>
          <w:p>
            <w:pPr>
              <w:spacing w:after="0"/>
              <w:rPr>
                <w:sz w:val="1"/>
                <w:szCs w:val="1"/>
                <w:color w:val="auto"/>
              </w:rPr>
            </w:pPr>
          </w:p>
        </w:tc>
      </w:tr>
      <w:tr>
        <w:trPr>
          <w:trHeight w:val="223"/>
        </w:trPr>
        <w:tc>
          <w:tcPr>
            <w:tcW w:w="8240" w:type="dxa"/>
            <w:vAlign w:val="bottom"/>
          </w:tcPr>
          <w:p>
            <w:pPr>
              <w:ind w:left="200"/>
              <w:spacing w:after="0"/>
              <w:rPr>
                <w:sz w:val="20"/>
                <w:szCs w:val="20"/>
                <w:color w:val="auto"/>
              </w:rPr>
            </w:pPr>
            <w:r>
              <w:rPr>
                <w:rFonts w:ascii="Arial" w:cs="Arial" w:eastAsia="Arial" w:hAnsi="Arial"/>
                <w:sz w:val="16"/>
                <w:szCs w:val="16"/>
                <w:color w:val="auto"/>
              </w:rPr>
              <w:t>Accumulated other comprehensive (loss) income</w:t>
            </w:r>
          </w:p>
        </w:tc>
        <w:tc>
          <w:tcPr>
            <w:tcW w:w="3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Treasury stock</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(104,159)</w:t>
            </w:r>
          </w:p>
        </w:tc>
        <w:tc>
          <w:tcPr>
            <w:tcW w:w="0" w:type="dxa"/>
            <w:vAlign w:val="bottom"/>
          </w:tcPr>
          <w:p>
            <w:pPr>
              <w:spacing w:after="0"/>
              <w:rPr>
                <w:sz w:val="1"/>
                <w:szCs w:val="1"/>
                <w:color w:val="auto"/>
              </w:rPr>
            </w:pPr>
          </w:p>
        </w:tc>
      </w:tr>
      <w:tr>
        <w:trPr>
          <w:trHeight w:val="217"/>
        </w:trPr>
        <w:tc>
          <w:tcPr>
            <w:tcW w:w="8240" w:type="dxa"/>
            <w:vAlign w:val="bottom"/>
          </w:tcPr>
          <w:p>
            <w:pPr>
              <w:ind w:left="440"/>
              <w:spacing w:after="0"/>
              <w:rPr>
                <w:sz w:val="20"/>
                <w:szCs w:val="20"/>
                <w:color w:val="auto"/>
              </w:rPr>
            </w:pPr>
            <w:r>
              <w:rPr>
                <w:rFonts w:ascii="Arial" w:cs="Arial" w:eastAsia="Arial" w:hAnsi="Arial"/>
                <w:sz w:val="16"/>
                <w:szCs w:val="16"/>
                <w:color w:val="auto"/>
              </w:rPr>
              <w:t>Total shareholders’ equity of Vera Bradley, Inc.</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275,574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303,770</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 redeemable noncontrolling interest, and shareholders’ equity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551,397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535,061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20"/>
          </w:cols>
          <w:pgMar w:left="320" w:top="121" w:right="359" w:bottom="609"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609"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2,</w:t>
            </w:r>
          </w:p>
        </w:tc>
        <w:tc>
          <w:tcPr>
            <w:tcW w:w="320" w:type="dxa"/>
            <w:vAlign w:val="bottom"/>
          </w:tcPr>
          <w:p>
            <w:pPr>
              <w:spacing w:after="0"/>
              <w:rPr>
                <w:sz w:val="13"/>
                <w:szCs w:val="13"/>
                <w:color w:val="auto"/>
              </w:rPr>
            </w:pPr>
          </w:p>
        </w:tc>
        <w:tc>
          <w:tcPr>
            <w:tcW w:w="112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May 4,</w:t>
            </w:r>
          </w:p>
        </w:tc>
      </w:tr>
      <w:tr>
        <w:trPr>
          <w:trHeight w:val="192"/>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91,003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35,096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40,535</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50,468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59,782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54,297</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184</w:t>
            </w:r>
          </w:p>
        </w:tc>
      </w:tr>
      <w:tr>
        <w:trPr>
          <w:trHeight w:val="237"/>
        </w:trPr>
        <w:tc>
          <w:tcPr>
            <w:tcW w:w="82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(3,645)</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r>
      <w:tr>
        <w:trPr>
          <w:trHeight w:val="237"/>
        </w:trPr>
        <w:tc>
          <w:tcPr>
            <w:tcW w:w="826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(25,646)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(3,198)</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w:t>
            </w:r>
          </w:p>
        </w:tc>
      </w:tr>
      <w:tr>
        <w:trPr>
          <w:trHeight w:val="237"/>
        </w:trPr>
        <w:tc>
          <w:tcPr>
            <w:tcW w:w="82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(2,405)</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loss attributable to redeemable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7"/>
        </w:trPr>
        <w:tc>
          <w:tcPr>
            <w:tcW w:w="8260" w:type="dxa"/>
            <w:vAlign w:val="bottom"/>
          </w:tcPr>
          <w:p>
            <w:pPr>
              <w:ind w:left="220"/>
              <w:spacing w:after="0"/>
              <w:rPr>
                <w:sz w:val="20"/>
                <w:szCs w:val="20"/>
                <w:color w:val="auto"/>
              </w:rPr>
            </w:pPr>
            <w:r>
              <w:rPr>
                <w:rFonts w:ascii="Arial" w:cs="Arial" w:eastAsia="Arial" w:hAnsi="Arial"/>
                <w:sz w:val="18"/>
                <w:szCs w:val="18"/>
                <w:color w:val="auto"/>
              </w:rPr>
              <w:t>Net loss attributable to Vera Bradley, Inc.</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(15,337)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(2,405)</w:t>
            </w:r>
          </w:p>
        </w:tc>
      </w:tr>
      <w:tr>
        <w:trPr>
          <w:trHeight w:val="27"/>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33,330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34,228</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34,228</w:t>
            </w:r>
          </w:p>
        </w:tc>
      </w:tr>
      <w:tr>
        <w:trPr>
          <w:trHeight w:val="270"/>
        </w:trPr>
        <w:tc>
          <w:tcPr>
            <w:tcW w:w="8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 available to Vera Bradley, Inc. common shareholders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Diluted net loss per share available to Vera Bradley, Inc. common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(0.07)</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Reconciliation of net loss available to Vera Bradley, Inc. common shareholders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Vera Bradley,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Excess portion of redeemable noncontrolling interest redemption value adjustment</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available to Vera Bradley, Inc. common shareholders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(22,137)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2,</w:t>
            </w:r>
          </w:p>
        </w:tc>
        <w:tc>
          <w:tcPr>
            <w:tcW w:w="320" w:type="dxa"/>
            <w:vAlign w:val="bottom"/>
          </w:tcPr>
          <w:p>
            <w:pPr>
              <w:spacing w:after="0"/>
              <w:rPr>
                <w:sz w:val="13"/>
                <w:szCs w:val="13"/>
                <w:color w:val="auto"/>
              </w:rPr>
            </w:pPr>
          </w:p>
        </w:tc>
        <w:tc>
          <w:tcPr>
            <w:tcW w:w="112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May 4,</w:t>
            </w:r>
          </w:p>
        </w:tc>
      </w:tr>
      <w:tr>
        <w:trPr>
          <w:trHeight w:val="192"/>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Unrealized (loss) gain on available-for-sale debt investments</w:t>
            </w:r>
          </w:p>
        </w:tc>
        <w:tc>
          <w:tcPr>
            <w:tcW w:w="3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132</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r>
      <w:tr>
        <w:trPr>
          <w:trHeight w:val="237"/>
        </w:trPr>
        <w:tc>
          <w:tcPr>
            <w:tcW w:w="8260" w:type="dxa"/>
            <w:vAlign w:val="bottom"/>
          </w:tcPr>
          <w:p>
            <w:pPr>
              <w:ind w:left="220"/>
              <w:spacing w:after="0"/>
              <w:rPr>
                <w:sz w:val="20"/>
                <w:szCs w:val="20"/>
                <w:color w:val="auto"/>
              </w:rPr>
            </w:pPr>
            <w:r>
              <w:rPr>
                <w:rFonts w:ascii="Arial" w:cs="Arial" w:eastAsia="Arial" w:hAnsi="Arial"/>
                <w:sz w:val="18"/>
                <w:szCs w:val="18"/>
                <w:color w:val="auto"/>
              </w:rPr>
              <w:t>Comprehensive loss, net of tax</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(15,712)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(2,272)</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Comprehensive loss attributable to redeemable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37"/>
        </w:trPr>
        <w:tc>
          <w:tcPr>
            <w:tcW w:w="8260" w:type="dxa"/>
            <w:vAlign w:val="bottom"/>
          </w:tcPr>
          <w:p>
            <w:pPr>
              <w:ind w:left="220"/>
              <w:spacing w:after="0"/>
              <w:rPr>
                <w:sz w:val="20"/>
                <w:szCs w:val="20"/>
                <w:color w:val="auto"/>
              </w:rPr>
            </w:pPr>
            <w:r>
              <w:rPr>
                <w:rFonts w:ascii="Arial" w:cs="Arial" w:eastAsia="Arial" w:hAnsi="Arial"/>
                <w:sz w:val="18"/>
                <w:szCs w:val="18"/>
                <w:color w:val="auto"/>
              </w:rPr>
              <w:t>Comprehensive loss attributable to Vera Bradley, Inc.</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(2,272)</w:t>
            </w:r>
          </w:p>
        </w:tc>
      </w:tr>
      <w:tr>
        <w:trPr>
          <w:trHeight w:val="27"/>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6"/>
          </w:tcPr>
          <w:p>
            <w:pPr>
              <w:ind w:left="30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Permanent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6"/>
                <w:szCs w:val="16"/>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(Loss) 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ind w:left="18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1, 2020</w:t>
            </w:r>
          </w:p>
        </w:tc>
        <w:tc>
          <w:tcPr>
            <w:tcW w:w="960" w:type="dxa"/>
            <w:vAlign w:val="bottom"/>
            <w:tcBorders>
              <w:top w:val="single" w:sz="8" w:color="auto"/>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88"/>
              </w:rPr>
              <w:t>33,503,249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9"/>
              </w:rPr>
              <w:t>8,011,372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9"/>
              </w:rPr>
              <w:t>$ 100,357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89"/>
              </w:rPr>
              <w:t>$ 307,414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1"/>
              </w:rPr>
              <w:t>$ (104,159)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w w:val="87"/>
              </w:rPr>
              <w:t>$ 303,770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Vera Bradley, Inc.</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3"/>
              <w:spacing w:after="0"/>
              <w:rPr>
                <w:sz w:val="20"/>
                <w:szCs w:val="20"/>
                <w:color w:val="auto"/>
              </w:rPr>
            </w:pPr>
            <w:r>
              <w:rPr>
                <w:rFonts w:ascii="Arial" w:cs="Arial" w:eastAsia="Arial" w:hAnsi="Arial"/>
                <w:sz w:val="18"/>
                <w:szCs w:val="18"/>
                <w:color w:val="auto"/>
              </w:rPr>
              <w:t>(15,337)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
              <w:spacing w:after="0"/>
              <w:rPr>
                <w:sz w:val="20"/>
                <w:szCs w:val="20"/>
                <w:color w:val="auto"/>
              </w:rPr>
            </w:pPr>
            <w:r>
              <w:rPr>
                <w:rFonts w:ascii="Arial" w:cs="Arial" w:eastAsia="Arial" w:hAnsi="Arial"/>
                <w:sz w:val="18"/>
                <w:szCs w:val="18"/>
                <w:color w:val="auto"/>
              </w:rPr>
              <w:t>(15,337)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color w:val="auto"/>
                <w:w w:val="96"/>
              </w:rPr>
              <w:t>Unrealized loss on available-for-sale debt investments</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Restricted shares vested, net of repurchase for taxes</w:t>
            </w:r>
          </w:p>
        </w:tc>
        <w:tc>
          <w:tcPr>
            <w:tcW w:w="9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277,687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8"/>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purchased</w:t>
            </w:r>
          </w:p>
        </w:tc>
        <w:tc>
          <w:tcPr>
            <w:tcW w:w="9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(381,835)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381,835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(2,901)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w w:val="97"/>
              </w:rPr>
              <w:t>Redeemable noncontrolling interest redemption value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3"/>
              <w:spacing w:after="0"/>
              <w:rPr>
                <w:sz w:val="20"/>
                <w:szCs w:val="20"/>
                <w:color w:val="auto"/>
              </w:rPr>
            </w:pPr>
            <w:r>
              <w:rPr>
                <w:rFonts w:ascii="Arial" w:cs="Arial" w:eastAsia="Arial" w:hAnsi="Arial"/>
                <w:sz w:val="18"/>
                <w:szCs w:val="18"/>
                <w:color w:val="auto"/>
              </w:rPr>
              <w:t>(9,305)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
              <w:spacing w:after="0"/>
              <w:rPr>
                <w:sz w:val="20"/>
                <w:szCs w:val="20"/>
                <w:color w:val="auto"/>
              </w:rPr>
            </w:pPr>
            <w:r>
              <w:rPr>
                <w:rFonts w:ascii="Arial" w:cs="Arial" w:eastAsia="Arial" w:hAnsi="Arial"/>
                <w:sz w:val="18"/>
                <w:szCs w:val="18"/>
                <w:color w:val="auto"/>
              </w:rPr>
              <w:t>(9,305)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2, 2020</w:t>
            </w:r>
          </w:p>
        </w:tc>
        <w:tc>
          <w:tcPr>
            <w:tcW w:w="9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88"/>
              </w:rPr>
              <w:t>33,399,101</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9"/>
              </w:rPr>
              <w:t>8,393,207</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$ 99,879</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89"/>
              </w:rPr>
              <w:t>$ 282,772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1"/>
              </w:rPr>
              <w:t>$ (107,060)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w w:val="87"/>
              </w:rPr>
              <w:t>$ 275,574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February 2, 2019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34,347,420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6,935,623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95,572</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$ 291,994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(92,839)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w w:val="89"/>
              </w:rPr>
              <w:t>$ 294,703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(2,405)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5"/>
              </w:rPr>
              <w:t>Unrealized gain on available-for-sale debt investments</w:t>
            </w:r>
          </w:p>
        </w:tc>
        <w:tc>
          <w:tcPr>
            <w:tcW w:w="1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Restricted shares vested, net of repurchase for taxes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183,346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(791)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1,238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Treasury stock purchased</w:t>
            </w:r>
          </w:p>
        </w:tc>
        <w:tc>
          <w:tcPr>
            <w:tcW w:w="10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w w:val="93"/>
              </w:rPr>
              <w:t>(284,088)</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284,088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(2,908)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Cumulative adjustment for ASC 842 adoption</w:t>
            </w:r>
          </w:p>
        </w:tc>
        <w:tc>
          <w:tcPr>
            <w:tcW w:w="1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4, 2019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34,246,678</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7,219,711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96,019</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$ 289,393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(95,747)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w w:val="89"/>
              </w:rPr>
              <w:t>$ 289,774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3"/>
                <w:szCs w:val="13"/>
                <w:color w:val="auto"/>
              </w:rPr>
            </w:pPr>
          </w:p>
        </w:tc>
        <w:tc>
          <w:tcPr>
            <w:tcW w:w="1140" w:type="dxa"/>
            <w:vAlign w:val="bottom"/>
          </w:tcPr>
          <w:p>
            <w:pPr>
              <w:jc w:val="right"/>
              <w:ind w:right="431"/>
              <w:spacing w:after="0" w:line="153" w:lineRule="exact"/>
              <w:rPr>
                <w:sz w:val="20"/>
                <w:szCs w:val="20"/>
                <w:color w:val="auto"/>
              </w:rPr>
            </w:pPr>
            <w:r>
              <w:rPr>
                <w:rFonts w:ascii="Arial" w:cs="Arial" w:eastAsia="Arial" w:hAnsi="Arial"/>
                <w:sz w:val="14"/>
                <w:szCs w:val="14"/>
                <w:b w:val="1"/>
                <w:bCs w:val="1"/>
                <w:color w:val="auto"/>
              </w:rPr>
              <w:t>May 4,</w:t>
            </w:r>
          </w:p>
        </w:tc>
      </w:tr>
      <w:tr>
        <w:trPr>
          <w:trHeight w:val="192"/>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(2,405)</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of property, plant, and equipment</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4,170</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operating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5,471</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1,238</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102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Adjustment of earn-out liability</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non-cash (gain) 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(1,934)</w:t>
            </w:r>
          </w:p>
        </w:tc>
      </w:tr>
      <w:tr>
        <w:trPr>
          <w:trHeight w:val="243"/>
        </w:trPr>
        <w:tc>
          <w:tcPr>
            <w:tcW w:w="824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1,488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3,427</w:t>
            </w:r>
          </w:p>
        </w:tc>
      </w:tr>
      <w:tr>
        <w:trPr>
          <w:trHeight w:val="243"/>
        </w:trPr>
        <w:tc>
          <w:tcPr>
            <w:tcW w:w="824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1,273</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(3,773)</w:t>
            </w:r>
          </w:p>
        </w:tc>
      </w:tr>
      <w:tr>
        <w:trPr>
          <w:trHeight w:val="243"/>
        </w:trPr>
        <w:tc>
          <w:tcPr>
            <w:tcW w:w="8240" w:type="dxa"/>
            <w:vAlign w:val="bottom"/>
          </w:tcPr>
          <w:p>
            <w:pPr>
              <w:ind w:left="460"/>
              <w:spacing w:after="0"/>
              <w:rPr>
                <w:sz w:val="20"/>
                <w:szCs w:val="20"/>
                <w:color w:val="auto"/>
              </w:rPr>
            </w:pPr>
            <w:r>
              <w:rPr>
                <w:rFonts w:ascii="Arial" w:cs="Arial" w:eastAsia="Arial" w:hAnsi="Arial"/>
                <w:sz w:val="18"/>
                <w:szCs w:val="18"/>
                <w:color w:val="auto"/>
              </w:rPr>
              <w:t>Operating lease liabilities, net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(8,926)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(5,395)</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(5,215)</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(3,421)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(9,615)</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Proceeds from maturities and sales of investments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21,788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8,403</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received for business acquisition</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19,692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(4,633)</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Tax withholdings for equity compensation</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(3,055)</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Distributions to redeemable noncontrolling interest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Borrowings under asset-based revolving credit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Payment of contingent consideration for business acquisition</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(18,677)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37,413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(3,846)</w:t>
            </w:r>
          </w:p>
        </w:tc>
      </w:tr>
      <w:tr>
        <w:trPr>
          <w:trHeight w:val="236"/>
        </w:trPr>
        <w:tc>
          <w:tcPr>
            <w:tcW w:w="82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(13,693)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49,917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113,493</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82,286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99,800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8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3"/>
                <w:szCs w:val="13"/>
                <w:color w:val="auto"/>
              </w:rPr>
            </w:pPr>
          </w:p>
        </w:tc>
        <w:tc>
          <w:tcPr>
            <w:tcW w:w="11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Cash paid for income taxes,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activity</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60"/>
              <w:spacing w:after="0"/>
              <w:rPr>
                <w:sz w:val="20"/>
                <w:szCs w:val="20"/>
                <w:color w:val="auto"/>
              </w:rPr>
            </w:pPr>
            <w:r>
              <w:rPr>
                <w:rFonts w:ascii="Arial" w:cs="Arial" w:eastAsia="Arial" w:hAnsi="Arial"/>
                <w:sz w:val="18"/>
                <w:szCs w:val="18"/>
                <w:color w:val="auto"/>
              </w:rPr>
              <w:t>Expenditures incurred but not yet paid as of May 2, 2020 and May 4, 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Expenditures incurred but not yet paid as of February 1, 2020 and February 2, 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Expenditures incurred but not yet paid as of May 2, 2020 and May 4, 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Expenditures incurred but not yet paid as of February 1, 2020 and February 2, 2019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107"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“Company” refers to Vera Bradley, Inc. and its wholly and majority owned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 Vera Bradley offers a unique, multi-channel sales model, as well as a focus on service and a high level of customer engagement.</w:t>
      </w:r>
    </w:p>
    <w:p>
      <w:pPr>
        <w:spacing w:after="0" w:line="65" w:lineRule="exact"/>
        <w:rPr>
          <w:rFonts w:ascii="Arial" w:cs="Arial" w:eastAsia="Arial" w:hAnsi="Arial"/>
          <w:sz w:val="18"/>
          <w:szCs w:val="18"/>
          <w:b w:val="1"/>
          <w:bCs w:val="1"/>
          <w:color w:val="auto"/>
        </w:rPr>
      </w:pPr>
    </w:p>
    <w:p>
      <w:pPr>
        <w:ind w:left="6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In July 2019, Vera Bradley, Inc. acquired a 75% interest in Creative Genius, Inc., which also operates under the name Pura Vida Bracelets (“Pura Vida”). Pura Vida, based in La Jolla, California, is a rapidly growing, digitally native lifestyle brand that we believe deeply resonates with its loyal consumer following. The Pura Vida brand has a differentiated and expanding offering of bracelets, jewelry, and other lifestyle accessories.</w:t>
      </w:r>
    </w:p>
    <w:p>
      <w:pPr>
        <w:spacing w:after="0" w:line="27" w:lineRule="exact"/>
        <w:rPr>
          <w:rFonts w:ascii="Arial" w:cs="Arial" w:eastAsia="Arial" w:hAnsi="Arial"/>
          <w:sz w:val="18"/>
          <w:szCs w:val="18"/>
          <w:b w:val="1"/>
          <w:bCs w:val="1"/>
          <w:color w:val="auto"/>
        </w:rPr>
      </w:pPr>
    </w:p>
    <w:p>
      <w:pPr>
        <w:ind w:left="660" w:right="140"/>
        <w:spacing w:after="0" w:line="334" w:lineRule="auto"/>
        <w:rPr>
          <w:rFonts w:ascii="Arial" w:cs="Arial" w:eastAsia="Arial" w:hAnsi="Arial"/>
          <w:sz w:val="18"/>
          <w:szCs w:val="18"/>
          <w:b w:val="1"/>
          <w:bCs w:val="1"/>
          <w:color w:val="auto"/>
        </w:rPr>
      </w:pPr>
      <w:r>
        <w:rPr>
          <w:rFonts w:ascii="Arial" w:cs="Arial" w:eastAsia="Arial" w:hAnsi="Arial"/>
          <w:sz w:val="16"/>
          <w:szCs w:val="16"/>
          <w:color w:val="auto"/>
        </w:rPr>
        <w:t>Beginning in the second quarter of fiscal 2020, the Company has included an additional segment for Pura Vida due to its acquisition. As a result, the Company now has three reportable segments: Vera Bradley Direct (“VB Direct”), Vera Bradley Indirect (“VB Indirect”), and Pura Vida.</w:t>
      </w:r>
    </w:p>
    <w:p>
      <w:pPr>
        <w:ind w:left="980" w:right="180" w:hanging="324"/>
        <w:spacing w:after="0" w:line="279" w:lineRule="auto"/>
        <w:tabs>
          <w:tab w:leader="none" w:pos="97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VB Direct business consists of sales of Vera Bradley products through Vera Bradley full-line and factory outlet stores in the United States; verabradley.com; the Vera Bradley online outlet site; and the Vera Bradley annual outlet sale in Fort Wayne, Indiana. As of May 2, 2020, the Company operated 83 full-line stores and 63 factory outlet stores. In light of the COVID-19 pandemic, the Company cancelled its 2020 annual outlet sale. The 2021 annual outlet sale is planned for April 2021.</w:t>
      </w:r>
    </w:p>
    <w:p>
      <w:pPr>
        <w:spacing w:after="0" w:line="49" w:lineRule="exact"/>
        <w:rPr>
          <w:rFonts w:ascii="Arial" w:cs="Arial" w:eastAsia="Arial" w:hAnsi="Arial"/>
          <w:sz w:val="17"/>
          <w:szCs w:val="17"/>
          <w:color w:val="auto"/>
        </w:rPr>
      </w:pPr>
    </w:p>
    <w:p>
      <w:pPr>
        <w:ind w:left="980" w:right="300" w:hanging="324"/>
        <w:spacing w:after="0" w:line="286" w:lineRule="auto"/>
        <w:tabs>
          <w:tab w:leader="none" w:pos="97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VB Indirect business consists of sales of Vera Bradley products to approximately 2,100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3" w:lineRule="exact"/>
        <w:rPr>
          <w:rFonts w:ascii="Arial" w:cs="Arial" w:eastAsia="Arial" w:hAnsi="Arial"/>
          <w:sz w:val="17"/>
          <w:szCs w:val="17"/>
          <w:color w:val="auto"/>
        </w:rPr>
      </w:pPr>
    </w:p>
    <w:p>
      <w:pPr>
        <w:ind w:left="980" w:right="80" w:hanging="324"/>
        <w:spacing w:after="0" w:line="263"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49"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1, 2020, filed with the SEC.</w:t>
      </w:r>
    </w:p>
    <w:p>
      <w:pPr>
        <w:spacing w:after="0" w:line="7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2, 2020, are not necessarily indicative of the results to be expected for the full fiscal year. Further, the COVID-19 pandemic had a material impact on the Company's current-year period results.</w:t>
      </w:r>
    </w:p>
    <w:p>
      <w:pPr>
        <w:spacing w:after="0" w:line="6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The COVID-19 pandemic resulted in travel restrictions both domestically and internationally, community and self quarantines, certain factory closures or reduced operations, as well as mall closures or reduced mall operating hours during the first quarter of fiscal 2021. Although the Vera Bradley and Pura Vida e-commerce operations remained open, the aforementioned items had a material adverse impact on overall consumer demand, traffic, and sales. Furthermore, the pandemic materially impacted the Company's first quarter operating results. The Company cannot currently predict the extent that COVID-19 will impact its future liquidity, operating results, and financial condition, but it could have a significant adverse effect on these metrics. Beginning in mid-March 2020, the Company began taking several actions to navigate the COVID-19 pandemic, protect its financial position, maximize its liquidity, and to position the Company for a strong reopening and future. These actions included:</w:t>
      </w:r>
    </w:p>
    <w:p>
      <w:pPr>
        <w:spacing w:after="0" w:line="3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Temporarily closing all Vera Bradley store locations on March 19;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Temporarily furloughing approximately 80% of its workforce mid-quarter;</w:t>
      </w:r>
    </w:p>
    <w:p>
      <w:pPr>
        <w:spacing w:after="0" w:line="90"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Temporarily reducing base compensation for remaining salaried associates, with reductions on a graduated scale ranging from 15% to 30%, and 75% for the Company's Chief Executive Officer;</w:t>
      </w:r>
    </w:p>
    <w:p>
      <w:pPr>
        <w:spacing w:after="0" w:line="4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Temporarily suspending cash compensation to the Company's Board of Directors;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Temporarily suspending the share repurchase program;</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Drawing $60.0 million of its $75.0 million Credit Agreement;</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Temporarily eliminating the Company 401(k) and associate charitable contribution matches;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Tightly managing inventory levels through the cancellation of purchase orders, delay of receipts, or seeking price concessions where possible;</w:t>
      </w:r>
    </w:p>
    <w:p>
      <w:pPr>
        <w:spacing w:after="0" w:line="113" w:lineRule="exact"/>
        <w:rPr>
          <w:rFonts w:ascii="Arial" w:cs="Arial" w:eastAsia="Arial" w:hAnsi="Arial"/>
          <w:sz w:val="16"/>
          <w:szCs w:val="16"/>
          <w:color w:val="auto"/>
        </w:rPr>
      </w:pPr>
    </w:p>
    <w:p>
      <w:pPr>
        <w:ind w:left="980" w:right="6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Actively working with landlords on addressing rent abatement, payment terms, accelerating store closures, and delaying or cancelling certain planned new store openings;</w:t>
      </w:r>
    </w:p>
    <w:p>
      <w:pPr>
        <w:spacing w:after="0" w:line="4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non-payroll operating expenses, including but not limited to, marketing and travel;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Extending vendor payment terms.</w:t>
      </w:r>
    </w:p>
    <w:p>
      <w:pPr>
        <w:spacing w:after="0" w:line="90"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In addition, the Company is leveraging elements of the Coronavirus Aid Relief and Economic Security (CARES) Act to enhance the financial well-being of associates and to maximize the financial health of the Company.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left="660" w:right="360"/>
        <w:spacing w:after="0" w:line="342" w:lineRule="auto"/>
        <w:rPr>
          <w:sz w:val="20"/>
          <w:szCs w:val="20"/>
          <w:color w:val="auto"/>
        </w:rPr>
      </w:pPr>
      <w:r>
        <w:rPr>
          <w:rFonts w:ascii="Arial" w:cs="Arial" w:eastAsia="Arial" w:hAnsi="Arial"/>
          <w:sz w:val="16"/>
          <w:szCs w:val="16"/>
          <w:color w:val="auto"/>
        </w:rPr>
        <w:t>The condensed consolidated financial statements include the accounts of the Company, its wholly owned subsidiaries, and its majority owned subsidiary, Pura Vida beginning on July 17, 2019. The Company has eliminated intercompany balances and transactions in consolidation.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108"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May 2, 2020 and May 4, 2019 refer to the thirteen-week periods ended on those dates.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04"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 Measurements</w:t>
      </w:r>
      <w:r>
        <w:rPr>
          <w:rFonts w:ascii="Arial" w:cs="Arial" w:eastAsia="Arial" w:hAnsi="Arial"/>
          <w:sz w:val="18"/>
          <w:szCs w:val="18"/>
          <w:color w:val="auto"/>
        </w:rPr>
        <w:t>. The amendments in this update remove, modify, and add certain disclosure requirements to ASC 820, Fair Value Measurement.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adoption of this standard in the first quarter of fiscal 2021 did not have a material impact on the Company's consolidated financial statements.</w:t>
      </w:r>
    </w:p>
    <w:p>
      <w:pPr>
        <w:spacing w:after="0" w:line="57"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This standard replaces the incurred loss impairment methodology in current GAAP with a methodology that uses a forward-looking approach to recording credit losses for certain financial instruments including debt securities, trade receivables, and other financial assets. This guidance is effective for fiscal years beginning after December 15, 2019, including interim periods within those fiscal years, for Securities and Exchange Commission (SEC) filers, which is the Company's fiscal 2021. Early adoption is permitted. The adoption of this standard in the first quarter of fiscal 2021 did not have a material impact on the Company's consolidated financial statements.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04" w:lineRule="exact"/>
        <w:rPr>
          <w:sz w:val="20"/>
          <w:szCs w:val="20"/>
          <w:color w:val="auto"/>
        </w:rPr>
      </w:pPr>
    </w:p>
    <w:p>
      <w:pPr>
        <w:jc w:val="both"/>
        <w:ind w:left="660" w:right="80"/>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this update remove certain exceptions to the general principals in Topic 740, as well as simplify GAAP for certain areas and improve consistency within the topic. This guidance is effective for interim and annual periods beginning on or after December 15, 2020 (fiscal 2022). Early adoption is permitted, with all</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amendments required to be adopted in the same period. The Company is currently evaluating the impact of the guidance on its consolidated financial statements.</w:t>
      </w:r>
    </w:p>
    <w:p>
      <w:pPr>
        <w:spacing w:after="0" w:line="19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Disaggregation of Revenue</w:t>
      </w:r>
    </w:p>
    <w:p>
      <w:pPr>
        <w:spacing w:after="0" w:line="94"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presents the Company's net revenues disaggregated by product category for the thirteen weeks ended May 2, 2020 and May 4, 2019 (in thousands):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May 2, 2020</w:t>
            </w: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VB Indirect</w:t>
            </w:r>
          </w:p>
        </w:tc>
        <w:tc>
          <w:tcPr>
            <w:tcW w:w="38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Pura Vida Segment</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16,491</w:t>
            </w:r>
          </w:p>
        </w:tc>
        <w:tc>
          <w:tcPr>
            <w:tcW w:w="3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4,600</w:t>
            </w:r>
          </w:p>
        </w:tc>
        <w:tc>
          <w:tcPr>
            <w:tcW w:w="380" w:type="dxa"/>
            <w:vAlign w:val="bottom"/>
          </w:tcPr>
          <w:p>
            <w:pPr>
              <w:spacing w:after="0"/>
              <w:rPr>
                <w:sz w:val="21"/>
                <w:szCs w:val="21"/>
                <w:color w:val="auto"/>
              </w:rPr>
            </w:pPr>
          </w:p>
        </w:tc>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9,441</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2,397</w:t>
            </w: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7,247</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1,322</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20,539</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29,108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2,349</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231</w:t>
            </w: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1,309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2,679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(2)</w:t>
            </w:r>
          </w:p>
        </w:tc>
        <w:tc>
          <w:tcPr>
            <w:tcW w:w="58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679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(3)</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36,837</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11,229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(5)</w:t>
            </w: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21,218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69,284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apparel/footwear, stationery, freight, and gift card breakage.</w:t>
      </w:r>
    </w:p>
    <w:p>
      <w:pPr>
        <w:spacing w:after="0" w:line="63"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apparel/footwear, licensing agreements, freight, and merchandising.</w:t>
      </w:r>
    </w:p>
    <w:p>
      <w:pPr>
        <w:spacing w:after="0" w:line="63"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63"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49" w:lineRule="exact"/>
        <w:rPr>
          <w:rFonts w:ascii="Arial" w:cs="Arial" w:eastAsia="Arial" w:hAnsi="Arial"/>
          <w:sz w:val="18"/>
          <w:szCs w:val="18"/>
          <w:color w:val="auto"/>
        </w:rPr>
      </w:pPr>
    </w:p>
    <w:p>
      <w:pPr>
        <w:ind w:left="680" w:right="840" w:hanging="6"/>
        <w:spacing w:after="0" w:line="235"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$10.6 million of net revenues related to product sales recognized at a point in time and $0.6 million of net revenues related to sales-based royalties recognized over time.</w:t>
      </w:r>
    </w:p>
    <w:p>
      <w:pPr>
        <w:spacing w:after="0" w:line="200" w:lineRule="exact"/>
        <w:rPr>
          <w:sz w:val="20"/>
          <w:szCs w:val="20"/>
          <w:color w:val="auto"/>
        </w:rPr>
      </w:pP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May 4, 2019</w:t>
            </w:r>
          </w:p>
        </w:tc>
        <w:tc>
          <w:tcPr>
            <w:tcW w:w="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VB Indirect</w:t>
            </w:r>
          </w:p>
        </w:tc>
        <w:tc>
          <w:tcPr>
            <w:tcW w:w="380" w:type="dxa"/>
            <w:vAlign w:val="bottom"/>
          </w:tcPr>
          <w:p>
            <w:pPr>
              <w:spacing w:after="0"/>
              <w:rPr>
                <w:sz w:val="13"/>
                <w:szCs w:val="13"/>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Pura Vida Segment</w:t>
            </w:r>
          </w:p>
        </w:tc>
        <w:tc>
          <w:tcPr>
            <w:tcW w:w="300" w:type="dxa"/>
            <w:vAlign w:val="bottom"/>
          </w:tcPr>
          <w:p>
            <w:pPr>
              <w:spacing w:after="0"/>
              <w:rPr>
                <w:sz w:val="13"/>
                <w:szCs w:val="13"/>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27,667</w:t>
            </w:r>
          </w:p>
        </w:tc>
        <w:tc>
          <w:tcPr>
            <w:tcW w:w="3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9,991</w:t>
            </w:r>
          </w:p>
        </w:tc>
        <w:tc>
          <w:tcPr>
            <w:tcW w:w="380" w:type="dxa"/>
            <w:vAlign w:val="bottom"/>
          </w:tcPr>
          <w:p>
            <w:pPr>
              <w:spacing w:after="0"/>
              <w:rPr>
                <w:sz w:val="21"/>
                <w:szCs w:val="21"/>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19,926</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3,722</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16,060</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4,202</w:t>
            </w: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20,262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5,685</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584</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1,798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1,368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(2)</w:t>
            </w:r>
          </w:p>
        </w:tc>
        <w:tc>
          <w:tcPr>
            <w:tcW w:w="720" w:type="dxa"/>
            <w:vAlign w:val="bottom"/>
          </w:tcPr>
          <w:p>
            <w:pPr>
              <w:spacing w:after="0"/>
              <w:rPr>
                <w:sz w:val="21"/>
                <w:szCs w:val="21"/>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71,136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19,867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91,003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apparel/footwear, stationery, and freight.</w:t>
      </w:r>
    </w:p>
    <w:p>
      <w:pPr>
        <w:spacing w:after="0" w:line="63"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and merchandising.</w:t>
      </w:r>
    </w:p>
    <w:p>
      <w:pPr>
        <w:spacing w:after="0" w:line="63"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49" w:lineRule="exact"/>
        <w:rPr>
          <w:rFonts w:ascii="Arial" w:cs="Arial" w:eastAsia="Arial" w:hAnsi="Arial"/>
          <w:sz w:val="18"/>
          <w:szCs w:val="18"/>
          <w:color w:val="auto"/>
        </w:rPr>
      </w:pPr>
    </w:p>
    <w:p>
      <w:pPr>
        <w:ind w:left="680" w:right="840" w:hanging="6"/>
        <w:spacing w:after="0" w:line="235" w:lineRule="auto"/>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$18.9 million of net revenues related to product sales recognized at a point in time and $1.0 million of net revenues related to sales-based royalties recognized over time.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108"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Contract liabilities as of May 2, 2020 and February 1, 2020, were $4.4 million and $3.9 million, respectively. The balance as of May 2, 2020 consisted of unearned revenue related to the monthly bracelet and jewelry clubs of the Pura Vida segment, unredeemed gift cards, Pura Vida customer deposits and payments collected before shipment, and Pura Vida loyalty club points. The balance as of February 1, 2020 consisted of unearned revenue related to the monthly bracelet and jewelry clubs of the Pura Vida segment, unredeemed gift cards, Pura Vida payments collected before shipment, and an immaterial amount of unearned revenue for pre-payments of royalties in certain of the Company’s licensing arrangements. These contract liabilities are recognized within other accrued liabilities on the Company’s Condensed Consolidated Balance Sheets. The Company did not have contract assets as of May 2, 2020 and February 1, 2020.</w:t>
      </w:r>
    </w:p>
    <w:p>
      <w:pPr>
        <w:spacing w:after="0" w:line="42"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The balance for accounts receivable from contracts with customers, net of allowances, as of May 2, 2020 and February 1, 2020, was $14.3 million and $16.3 million, respectively, which is recognized within accounts receivable, net, on the Company’s Condensed Consolidated Balance Sheets. The provision for doubtful accounts was $1.0 million and $0.5 million as of May 2, 2020 and February 1, 2020, respectively. The provision for doubtful accounts is based upon the likelihood of default expected during the life of the receivable.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10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May 2, 2020.</w:t>
      </w:r>
    </w:p>
    <w:p>
      <w:pPr>
        <w:spacing w:after="0" w:line="19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7" w:lineRule="exact"/>
        <w:rPr>
          <w:rFonts w:ascii="Arial" w:cs="Arial" w:eastAsia="Arial" w:hAnsi="Arial"/>
          <w:sz w:val="18"/>
          <w:szCs w:val="18"/>
          <w:b w:val="1"/>
          <w:bCs w:val="1"/>
          <w:color w:val="auto"/>
        </w:rPr>
      </w:pPr>
    </w:p>
    <w:p>
      <w:pPr>
        <w:ind w:left="660"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temporarily closed its full-line and factory outlet stores on March 19, 2020, due to the COVID-19 pandemic, further discussed in Note 1 herein. As a result, it deferred certain rent payments for the time of closure. The Company has not received significant rent abatements as of May 2, 2020.</w:t>
      </w:r>
    </w:p>
    <w:p>
      <w:pPr>
        <w:spacing w:after="0" w:line="6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Discount Rate</w:t>
      </w:r>
    </w:p>
    <w:p>
      <w:pPr>
        <w:spacing w:after="0" w:line="90" w:lineRule="exact"/>
        <w:rPr>
          <w:rFonts w:ascii="Arial" w:cs="Arial" w:eastAsia="Arial" w:hAnsi="Arial"/>
          <w:sz w:val="18"/>
          <w:szCs w:val="18"/>
          <w:b w:val="1"/>
          <w:bCs w:val="1"/>
          <w:color w:val="auto"/>
        </w:rPr>
      </w:pPr>
    </w:p>
    <w:p>
      <w:pPr>
        <w:ind w:left="66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weighted-average discount rate as of May 2, 2020, was 4.9%.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20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 Not Yet Commenced</w:t>
      </w:r>
    </w:p>
    <w:p>
      <w:pPr>
        <w:spacing w:after="0" w:line="107" w:lineRule="exact"/>
        <w:rPr>
          <w:rFonts w:ascii="Arial" w:cs="Arial" w:eastAsia="Arial" w:hAnsi="Arial"/>
          <w:sz w:val="18"/>
          <w:szCs w:val="18"/>
          <w:b w:val="1"/>
          <w:bCs w:val="1"/>
          <w:color w:val="auto"/>
        </w:rPr>
      </w:pPr>
    </w:p>
    <w:p>
      <w:pPr>
        <w:ind w:left="660"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of May 2, 2020, the Company had retail store leases and a showroom lease which were executed, but did not have control of the underlying assets; therefore, the lease liabilities and right-of-use assets are not recorded on the Condensed Consolidated Balance Sheet. These leases contain undiscounted lease payments, which will be included in the determination of the lease liability, totaling approximately $5.9 million and have approximate terms of 5 to 10 years commencing in fiscal 2021 and fiscal 2022.</w:t>
      </w:r>
    </w:p>
    <w:p>
      <w:pPr>
        <w:spacing w:after="0" w:line="19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Amounts Recognized in the Condensed Consolidated Financial Statements</w:t>
      </w:r>
    </w:p>
    <w:p>
      <w:pPr>
        <w:spacing w:after="0" w:line="107"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lease expense is recorded within cost of sales for the Asia sourcing office and certain equipment leases and within selling, general, and administrative expenses for all other leases, including retail store leases, in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Company's Condensed Consolidated Statement of Operations for the thirteen weeks ended May 2, 2020 and May 4, 2019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6"/>
          </w:tcPr>
          <w:p>
            <w:pPr>
              <w:jc w:val="right"/>
              <w:ind w:right="1095"/>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May 2, 2020</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May 4,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7,234</w:t>
            </w:r>
          </w:p>
        </w:tc>
        <w:tc>
          <w:tcPr>
            <w:tcW w:w="6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7,357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2,237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4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8,121</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9,784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660" w:type="dxa"/>
            <w:vAlign w:val="bottom"/>
            <w:vMerge w:val="restart"/>
          </w:tcPr>
          <w:p>
            <w:pPr>
              <w:spacing w:after="0"/>
              <w:rPr>
                <w:sz w:val="20"/>
                <w:szCs w:val="20"/>
                <w:color w:val="auto"/>
              </w:rPr>
            </w:pPr>
            <w:r>
              <w:rPr>
                <w:rFonts w:ascii="Arial" w:cs="Arial" w:eastAsia="Arial" w:hAnsi="Arial"/>
                <w:sz w:val="18"/>
                <w:szCs w:val="18"/>
                <w:color w:val="auto"/>
                <w:w w:val="90"/>
              </w:rPr>
              <w:t>The weighted-average remaining lease term as of May 2, 2020 was 5.8 years.</w:t>
            </w: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56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60" w:type="dxa"/>
            <w:vAlign w:val="bottom"/>
          </w:tcPr>
          <w:p>
            <w:pPr>
              <w:spacing w:after="0"/>
              <w:rPr>
                <w:sz w:val="20"/>
                <w:szCs w:val="20"/>
                <w:color w:val="auto"/>
              </w:rPr>
            </w:pPr>
            <w:r>
              <w:rPr>
                <w:rFonts w:ascii="Arial" w:cs="Arial" w:eastAsia="Arial" w:hAnsi="Arial"/>
                <w:sz w:val="18"/>
                <w:szCs w:val="18"/>
                <w:color w:val="auto"/>
                <w:w w:val="92"/>
              </w:rPr>
              <w:t>Supplemental operating cash flow information was as follows (in thousands):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6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May 2, 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right"/>
              <w:ind w:right="555"/>
              <w:spacing w:after="0"/>
              <w:rPr>
                <w:sz w:val="20"/>
                <w:szCs w:val="20"/>
                <w:color w:val="auto"/>
              </w:rPr>
            </w:pPr>
            <w:r>
              <w:rPr>
                <w:rFonts w:ascii="Arial" w:cs="Arial" w:eastAsia="Arial" w:hAnsi="Arial"/>
                <w:sz w:val="14"/>
                <w:szCs w:val="14"/>
                <w:b w:val="1"/>
                <w:bCs w:val="1"/>
                <w:color w:val="auto"/>
                <w:w w:val="92"/>
              </w:rPr>
              <w:t>May 4,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Cash paid for amounts included in the measurement of operating lease</w:t>
            </w: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8,099</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w w:val="89"/>
              </w:rPr>
              <w:t>Right-of-use assets increase (decrease) as a result of modified operating lease</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liabilities, net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121"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7" w:lineRule="exact"/>
        <w:rPr>
          <w:rFonts w:ascii="Arial" w:cs="Arial" w:eastAsia="Arial" w:hAnsi="Arial"/>
          <w:sz w:val="18"/>
          <w:szCs w:val="18"/>
          <w:b w:val="1"/>
          <w:bCs w:val="1"/>
          <w:color w:val="auto"/>
        </w:rPr>
      </w:pPr>
    </w:p>
    <w:p>
      <w:pPr>
        <w:ind w:left="660" w:right="1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13" w:lineRule="exact"/>
        <w:rPr>
          <w:rFonts w:ascii="Arial" w:cs="Arial" w:eastAsia="Arial" w:hAnsi="Arial"/>
          <w:sz w:val="18"/>
          <w:szCs w:val="18"/>
          <w:b w:val="1"/>
          <w:bCs w:val="1"/>
          <w:color w:val="auto"/>
        </w:rPr>
      </w:pPr>
    </w:p>
    <w:p>
      <w:pPr>
        <w:ind w:left="660"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59" w:lineRule="exact"/>
        <w:rPr>
          <w:rFonts w:ascii="Arial" w:cs="Arial" w:eastAsia="Arial" w:hAnsi="Arial"/>
          <w:sz w:val="18"/>
          <w:szCs w:val="18"/>
          <w:b w:val="1"/>
          <w:bCs w:val="1"/>
          <w:color w:val="auto"/>
        </w:rPr>
      </w:pPr>
    </w:p>
    <w:p>
      <w:pPr>
        <w:ind w:left="6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loss or net loss attributable to Vera Bradley, Inc. When calculating earnings per share attributable to Vera Bradley, Inc., the Company adjusts the net loss attributable to Vera Bradley, Inc. for the measurement period adjustment to the extent the redemption value exceeds the fair value of the noncontrolling interest on a cumulative basis.</w:t>
      </w:r>
    </w:p>
    <w:p>
      <w:pPr>
        <w:spacing w:after="0" w:line="4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basic and diluted earnings per share were as follows (in thousands, except per share data):</w:t>
      </w:r>
    </w:p>
    <w:p>
      <w:pPr>
        <w:spacing w:after="0" w:line="35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7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May 2,</w:t>
            </w:r>
          </w:p>
        </w:tc>
        <w:tc>
          <w:tcPr>
            <w:tcW w:w="220" w:type="dxa"/>
            <w:vAlign w:val="bottom"/>
          </w:tcPr>
          <w:p>
            <w:pPr>
              <w:spacing w:after="0"/>
              <w:rPr>
                <w:sz w:val="13"/>
                <w:szCs w:val="13"/>
                <w:color w:val="auto"/>
              </w:rPr>
            </w:pPr>
          </w:p>
        </w:tc>
        <w:tc>
          <w:tcPr>
            <w:tcW w:w="90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May 4,</w:t>
            </w:r>
          </w:p>
        </w:tc>
      </w:tr>
      <w:tr>
        <w:trPr>
          <w:trHeight w:val="192"/>
        </w:trPr>
        <w:tc>
          <w:tcPr>
            <w:tcW w:w="7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r>
      <w:tr>
        <w:trPr>
          <w:trHeight w:val="236"/>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(15,537)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(2,405)</w:t>
            </w: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loss attributable to redeemable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37"/>
        </w:trPr>
        <w:tc>
          <w:tcPr>
            <w:tcW w:w="7580" w:type="dxa"/>
            <w:vAlign w:val="bottom"/>
          </w:tcPr>
          <w:p>
            <w:pPr>
              <w:ind w:left="120"/>
              <w:spacing w:after="0"/>
              <w:rPr>
                <w:sz w:val="20"/>
                <w:szCs w:val="20"/>
                <w:color w:val="auto"/>
              </w:rPr>
            </w:pPr>
            <w:r>
              <w:rPr>
                <w:rFonts w:ascii="Arial" w:cs="Arial" w:eastAsia="Arial" w:hAnsi="Arial"/>
                <w:sz w:val="18"/>
                <w:szCs w:val="18"/>
                <w:color w:val="auto"/>
              </w:rPr>
              <w:t>Net loss attributable to Vera Bradley, Inc.</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(2,405)</w:t>
            </w: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Plus: Excess portion of redeemable noncontrolling interest redemption value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37"/>
        </w:trPr>
        <w:tc>
          <w:tcPr>
            <w:tcW w:w="7580" w:type="dxa"/>
            <w:vAlign w:val="bottom"/>
          </w:tcPr>
          <w:p>
            <w:pPr>
              <w:ind w:left="100"/>
              <w:spacing w:after="0"/>
              <w:rPr>
                <w:sz w:val="20"/>
                <w:szCs w:val="20"/>
                <w:color w:val="auto"/>
              </w:rPr>
            </w:pPr>
            <w:r>
              <w:rPr>
                <w:rFonts w:ascii="Arial" w:cs="Arial" w:eastAsia="Arial" w:hAnsi="Arial"/>
                <w:sz w:val="18"/>
                <w:szCs w:val="18"/>
                <w:color w:val="auto"/>
              </w:rPr>
              <w:t>Net loss available to Vera Bradley, Inc. common shareholders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(2,405)</w:t>
            </w:r>
          </w:p>
        </w:tc>
      </w:tr>
      <w:tr>
        <w:trPr>
          <w:trHeight w:val="27"/>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7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i w:val="1"/>
                <w:iCs w:val="1"/>
                <w:color w:val="auto"/>
              </w:rPr>
              <w:t>Denominator:</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34,228</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2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7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33,330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34,228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loss per share available to Vera Bradley, Inc.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(0.07)</w:t>
            </w: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(0.07)</w:t>
            </w:r>
          </w:p>
        </w:tc>
      </w:tr>
      <w:tr>
        <w:trPr>
          <w:trHeight w:val="27"/>
        </w:trPr>
        <w:tc>
          <w:tcPr>
            <w:tcW w:w="7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thirteen weeks ended May 2, 2020 and May 4, 2019,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7"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8" w:lineRule="exact"/>
        <w:rPr>
          <w:rFonts w:ascii="Arial" w:cs="Arial" w:eastAsia="Arial" w:hAnsi="Arial"/>
          <w:sz w:val="18"/>
          <w:szCs w:val="18"/>
          <w:b w:val="1"/>
          <w:bCs w:val="1"/>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27"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accounts receivable, other current assets, and accounts payable as of May 2, 2020 and February 1, 2020, approximated their fair values.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fair value measurements of the Company's investments as of May 2, 2020 and February 1, 2020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May 2, 2020</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May 2, 2020</w:t>
            </w: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May 2, 2020</w:t>
            </w:r>
          </w:p>
        </w:tc>
        <w:tc>
          <w:tcPr>
            <w:tcW w:w="1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8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w w:val="95"/>
              </w:rPr>
              <w:t>February 1,</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U.S. corporate debt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Municipal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00"/>
              <w:spacing w:after="0"/>
              <w:rPr>
                <w:sz w:val="20"/>
                <w:szCs w:val="20"/>
                <w:color w:val="auto"/>
              </w:rPr>
            </w:pPr>
            <w:r>
              <w:rPr>
                <w:rFonts w:ascii="Arial" w:cs="Arial" w:eastAsia="Arial" w:hAnsi="Arial"/>
                <w:sz w:val="18"/>
                <w:szCs w:val="18"/>
                <w:color w:val="auto"/>
              </w:rPr>
              <w:t>Non-U.S. corporate debt securities</w:t>
            </w:r>
          </w:p>
        </w:tc>
        <w:tc>
          <w:tcPr>
            <w:tcW w:w="1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U.S. asset-backed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Long-term investments:</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U.S. corporate debt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00"/>
              <w:spacing w:after="0"/>
              <w:rPr>
                <w:sz w:val="20"/>
                <w:szCs w:val="20"/>
                <w:color w:val="auto"/>
              </w:rPr>
            </w:pPr>
            <w:r>
              <w:rPr>
                <w:rFonts w:ascii="Arial" w:cs="Arial" w:eastAsia="Arial" w:hAnsi="Arial"/>
                <w:sz w:val="18"/>
                <w:szCs w:val="18"/>
                <w:color w:val="auto"/>
              </w:rPr>
              <w:t>U.S. asset-backed securities</w:t>
            </w:r>
          </w:p>
        </w:tc>
        <w:tc>
          <w:tcPr>
            <w:tcW w:w="1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Non-U.S. corporate debt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00"/>
              <w:spacing w:after="0"/>
              <w:rPr>
                <w:sz w:val="20"/>
                <w:szCs w:val="20"/>
                <w:color w:val="auto"/>
              </w:rPr>
            </w:pPr>
            <w:r>
              <w:rPr>
                <w:rFonts w:ascii="Arial" w:cs="Arial" w:eastAsia="Arial" w:hAnsi="Arial"/>
                <w:sz w:val="18"/>
                <w:szCs w:val="18"/>
                <w:color w:val="auto"/>
              </w:rPr>
              <w:t>Other foreign securities</w:t>
            </w:r>
          </w:p>
        </w:tc>
        <w:tc>
          <w:tcPr>
            <w:tcW w:w="1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Non-U.S. asset-backed securities</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80" w:right="1020" w:hanging="6"/>
        <w:spacing w:after="0" w:line="277" w:lineRule="auto"/>
        <w:tabs>
          <w:tab w:leader="none" w:pos="9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equivalents include a money market fund that has a maturity of three months or less at the date of purchase. Due to its short maturity, the Company believes the carrying value approximates fair value.</w:t>
      </w:r>
    </w:p>
    <w:p>
      <w:pPr>
        <w:spacing w:after="0" w:line="89"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including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$3.8 million in impairment charges for the thirteen weeks ended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May 2, 2020 related to store assets including property, plant, and equipment and lease right-of-use assets. There were no impairment charges recorded for the thirteen weeks ended May 4, 2019.</w:t>
      </w:r>
    </w:p>
    <w:p>
      <w:pPr>
        <w:spacing w:after="0" w:line="35"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Assets recognized or disclosed at fair value on the consolidated financial statements on a nonrecurring basis include items such as property, plant, and equipment, including leasehold improvements, and lease right-of-use assets, as well as assets related to the Pura Vida acquisition including goodwill and intangible assets. These assets are measured at fair value if determined to be impaired. Although the Company determined that no impairment exists for its goodwill and intangible assets, the assets could be at risk for impairment should economic conditions continue to deteriorate as a result of COVID-19 or other factors. Refer to Note 12 herein for additional information on the methods used in the valuation of acquired intangible assets.</w:t>
      </w:r>
    </w:p>
    <w:p>
      <w:pPr>
        <w:spacing w:after="0" w:line="71"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9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660" w:right="1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September 7, 2018,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55" w:lineRule="exact"/>
        <w:rPr>
          <w:rFonts w:ascii="Arial" w:cs="Arial" w:eastAsia="Arial" w:hAnsi="Arial"/>
          <w:sz w:val="18"/>
          <w:szCs w:val="18"/>
          <w:b w:val="1"/>
          <w:bCs w:val="1"/>
          <w:color w:val="auto"/>
        </w:rPr>
      </w:pPr>
    </w:p>
    <w:p>
      <w:pPr>
        <w:ind w:left="6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44" w:lineRule="exact"/>
        <w:rPr>
          <w:rFonts w:ascii="Arial" w:cs="Arial" w:eastAsia="Arial" w:hAnsi="Arial"/>
          <w:sz w:val="18"/>
          <w:szCs w:val="18"/>
          <w:b w:val="1"/>
          <w:bCs w:val="1"/>
          <w:color w:val="auto"/>
        </w:rPr>
      </w:pPr>
    </w:p>
    <w:p>
      <w:pPr>
        <w:ind w:left="660"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8" w:lineRule="exact"/>
        <w:rPr>
          <w:rFonts w:ascii="Arial" w:cs="Arial" w:eastAsia="Arial" w:hAnsi="Arial"/>
          <w:sz w:val="18"/>
          <w:szCs w:val="18"/>
          <w:b w:val="1"/>
          <w:bCs w:val="1"/>
          <w:color w:val="auto"/>
        </w:rPr>
      </w:pPr>
    </w:p>
    <w:p>
      <w:pPr>
        <w:ind w:left="660"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54"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120"/>
        <w:spacing w:after="0" w:line="287" w:lineRule="auto"/>
        <w:rPr>
          <w:sz w:val="20"/>
          <w:szCs w:val="20"/>
          <w:color w:val="auto"/>
        </w:rPr>
      </w:pPr>
      <w:r>
        <w:rPr>
          <w:rFonts w:ascii="Arial" w:cs="Arial" w:eastAsia="Arial" w:hAnsi="Arial"/>
          <w:sz w:val="16"/>
          <w:szCs w:val="16"/>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sz w:val="20"/>
          <w:szCs w:val="20"/>
          <w:color w:val="auto"/>
        </w:rPr>
      </w:pPr>
    </w:p>
    <w:p>
      <w:pPr>
        <w:ind w:left="660" w:right="460" w:hanging="4"/>
        <w:spacing w:after="0" w:line="255" w:lineRule="auto"/>
        <w:tabs>
          <w:tab w:leader="none" w:pos="9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104" w:lineRule="exact"/>
        <w:rPr>
          <w:sz w:val="20"/>
          <w:szCs w:val="20"/>
          <w:color w:val="auto"/>
        </w:rPr>
      </w:pPr>
    </w:p>
    <w:p>
      <w:pPr>
        <w:ind w:left="660" w:right="480"/>
        <w:spacing w:after="0" w:line="342" w:lineRule="auto"/>
        <w:rPr>
          <w:sz w:val="20"/>
          <w:szCs w:val="20"/>
          <w:color w:val="auto"/>
        </w:rPr>
      </w:pPr>
      <w:r>
        <w:rPr>
          <w:rFonts w:ascii="Arial" w:cs="Arial" w:eastAsia="Arial" w:hAnsi="Arial"/>
          <w:sz w:val="16"/>
          <w:szCs w:val="16"/>
          <w:color w:val="auto"/>
        </w:rPr>
        <w:t>As of May 2, 2020 the Company had outstanding borrowings of $60.0 million and availability of $15.0 million under the Credit Agreement, compared to no borrowings outstanding and availability of $75.0 million as of February 1, 2020 under the Credit Agreement.</w:t>
      </w:r>
    </w:p>
    <w:p>
      <w:pPr>
        <w:spacing w:after="0" w:line="14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6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rFonts w:ascii="Arial" w:cs="Arial" w:eastAsia="Arial" w:hAnsi="Arial"/>
          <w:sz w:val="18"/>
          <w:szCs w:val="18"/>
          <w:b w:val="1"/>
          <w:bCs w:val="1"/>
          <w:color w:val="auto"/>
        </w:rPr>
      </w:pPr>
    </w:p>
    <w:p>
      <w:pPr>
        <w:ind w:left="660" w:right="220"/>
        <w:spacing w:after="0" w:line="257" w:lineRule="auto"/>
        <w:rPr>
          <w:rFonts w:ascii="Arial" w:cs="Arial" w:eastAsia="Arial" w:hAnsi="Arial"/>
          <w:sz w:val="18"/>
          <w:szCs w:val="18"/>
          <w:b w:val="1"/>
          <w:bCs w:val="1"/>
          <w:color w:val="auto"/>
        </w:rPr>
      </w:pPr>
      <w:r>
        <w:rPr>
          <w:rFonts w:ascii="Arial" w:cs="Arial" w:eastAsia="Arial" w:hAnsi="Arial"/>
          <w:sz w:val="17"/>
          <w:szCs w:val="17"/>
          <w:color w:val="auto"/>
        </w:rPr>
        <w:t>The effective tax rate for the thirteen weeks ended May 2, 2020, was 39.4%, compared to 24.8% for the thirteen weeks ended May 4, 2019. The year-over-year effective tax rate increase was primarily due to the net operating loss (“NOL”) carryback in the current-year period as a result of the Coronavirus Aid, Relief, and Economic Security Act (“CARES Act”) that was enacted on March 27, 2020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w:t>
      </w:r>
    </w:p>
    <w:p>
      <w:pPr>
        <w:spacing w:after="0" w:line="292" w:lineRule="exact"/>
        <w:rPr>
          <w:rFonts w:ascii="Arial" w:cs="Arial" w:eastAsia="Arial" w:hAnsi="Arial"/>
          <w:sz w:val="18"/>
          <w:szCs w:val="18"/>
          <w:b w:val="1"/>
          <w:bCs w:val="1"/>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35" w:lineRule="exact"/>
        <w:rPr>
          <w:rFonts w:ascii="Arial" w:cs="Arial" w:eastAsia="Arial" w:hAnsi="Arial"/>
          <w:sz w:val="18"/>
          <w:szCs w:val="18"/>
          <w:b w:val="1"/>
          <w:bCs w:val="1"/>
          <w:color w:val="auto"/>
        </w:rPr>
      </w:pPr>
    </w:p>
    <w:p>
      <w:pPr>
        <w:ind w:left="6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21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252" w:lineRule="exact"/>
        <w:rPr>
          <w:rFonts w:ascii="Arial" w:cs="Arial" w:eastAsia="Arial" w:hAnsi="Arial"/>
          <w:sz w:val="18"/>
          <w:szCs w:val="18"/>
          <w:b w:val="1"/>
          <w:bCs w:val="1"/>
          <w:color w:val="auto"/>
        </w:rPr>
      </w:pPr>
    </w:p>
    <w:p>
      <w:pPr>
        <w:ind w:left="660" w:right="2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the thirteen weeks ended May 2, 2020, the Company granted 1,412,024 time-based and performance-based restricted stock units with an aggregate fair value of $5.8 million to certain employees and non-employee directors under the 2010 Equity and Incentive Plan compared</w:t>
      </w:r>
    </w:p>
    <w:p>
      <w:pPr>
        <w:ind w:left="660" w:right="3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to 407,264 time-based and performance-based restricted stock units with an aggregate fair value of $5.3 million in the same period of the prior year.</w:t>
      </w:r>
    </w:p>
    <w:p>
      <w:pPr>
        <w:spacing w:after="0" w:line="131"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2" w:lineRule="exact"/>
        <w:rPr>
          <w:rFonts w:ascii="Arial" w:cs="Arial" w:eastAsia="Arial" w:hAnsi="Arial"/>
          <w:sz w:val="18"/>
          <w:szCs w:val="18"/>
          <w:b w:val="1"/>
          <w:bCs w:val="1"/>
          <w:color w:val="auto"/>
        </w:rPr>
      </w:pPr>
    </w:p>
    <w:p>
      <w:pPr>
        <w:ind w:left="660"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thirteen weeks ended May 2, 2020 (units in thousands):</w:t>
      </w: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w w:val="98"/>
              </w:rPr>
              <w:t>(per unit)</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1, 2020</w:t>
            </w: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433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671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58"/>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280" w:type="dxa"/>
            <w:vAlign w:val="bottom"/>
          </w:tcPr>
          <w:p>
            <w:pPr>
              <w:jc w:val="right"/>
              <w:ind w:right="58"/>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6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May 2, 2020</w:t>
            </w: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1,026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1,085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300"/>
        <w:spacing w:after="0" w:line="342" w:lineRule="auto"/>
        <w:rPr>
          <w:sz w:val="20"/>
          <w:szCs w:val="20"/>
          <w:color w:val="auto"/>
        </w:rPr>
      </w:pPr>
      <w:r>
        <w:rPr>
          <w:rFonts w:ascii="Arial" w:cs="Arial" w:eastAsia="Arial" w:hAnsi="Arial"/>
          <w:sz w:val="16"/>
          <w:szCs w:val="16"/>
          <w:color w:val="auto"/>
        </w:rPr>
        <w:t>As of May 2, 2020, there was $7.7 million of total unrecognized compensation cost, net of estimated forfeitures, related to nonvested restricted stock units. That cost is expected to be recognized over a weighted-average period of 2.3 years, subject to meeting performance conditions.</w:t>
      </w:r>
    </w:p>
    <w:p>
      <w:pPr>
        <w:spacing w:after="0" w:line="22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07"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70" w:lineRule="exact"/>
        <w:rPr>
          <w:rFonts w:ascii="Arial" w:cs="Arial" w:eastAsia="Arial" w:hAnsi="Arial"/>
          <w:sz w:val="18"/>
          <w:szCs w:val="18"/>
          <w:b w:val="1"/>
          <w:bCs w:val="1"/>
          <w:color w:val="auto"/>
        </w:rPr>
      </w:pPr>
    </w:p>
    <w:p>
      <w:pPr>
        <w:ind w:left="6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30" w:lineRule="exact"/>
        <w:rPr>
          <w:rFonts w:ascii="Arial" w:cs="Arial" w:eastAsia="Arial" w:hAnsi="Arial"/>
          <w:sz w:val="18"/>
          <w:szCs w:val="18"/>
          <w:b w:val="1"/>
          <w:bCs w:val="1"/>
          <w:color w:val="auto"/>
        </w:rPr>
      </w:pPr>
    </w:p>
    <w:p>
      <w:pPr>
        <w:ind w:left="6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alleges various violations of the California Labor Code related to wages, overtime, meal and rest breaks, non-compliant wage statements and records and other similar allegations related to employment. The Plaintiff has also filed a Private Attorney General Act claim with the state of California regarding the same allegations. The Company denies all liability and intends to vigorously defend itself in the case. The case is currently awaiting a status conference before proceeding, which has been delayed due to the COVID-19 pandemic.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7"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29, 2018, the Company's board of directors approved a share repurchase plan (the “2018 Share Repurchase Program”) authorizing up to $50.0 million of repurchases of shares of the Company's common stock. The 2018 Share Repurchase Program is scheduled to expire on December 14, 2020. On March 20, 2020, the Company temporarily suspended the share repurchase program to conserve cash as a result of the COVID-19 pandemic.</w:t>
      </w:r>
    </w:p>
    <w:p>
      <w:pPr>
        <w:spacing w:after="0" w:line="51" w:lineRule="exact"/>
        <w:rPr>
          <w:rFonts w:ascii="Arial" w:cs="Arial" w:eastAsia="Arial" w:hAnsi="Arial"/>
          <w:sz w:val="18"/>
          <w:szCs w:val="18"/>
          <w:b w:val="1"/>
          <w:bCs w:val="1"/>
          <w:color w:val="auto"/>
        </w:rPr>
      </w:pPr>
    </w:p>
    <w:p>
      <w:pPr>
        <w:jc w:val="both"/>
        <w:ind w:left="66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purchased 381,835 shares at an average price of $7.60 per share, excluding commissions, for an aggregate amount of $2.9 million during the thirteen weeks ended May 2, 2020, there was $32.9 million remaining available to repurchase shares of the Company's common stock under the 2018 Share Repurchase Program.</w:t>
      </w:r>
    </w:p>
    <w:p>
      <w:pPr>
        <w:spacing w:after="0" w:line="62" w:lineRule="exact"/>
        <w:rPr>
          <w:rFonts w:ascii="Arial" w:cs="Arial" w:eastAsia="Arial" w:hAnsi="Arial"/>
          <w:sz w:val="18"/>
          <w:szCs w:val="18"/>
          <w:b w:val="1"/>
          <w:bCs w:val="1"/>
          <w:color w:val="auto"/>
        </w:rPr>
      </w:pPr>
    </w:p>
    <w:p>
      <w:pPr>
        <w:ind w:left="66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May 2, 2020, the Company held as treasury shares 8,393,207 shares of its common stock at an average price of $12.76 per share, excluding commissions, for an aggregate carrying amount of $107.1 million. The Company’s treasury shares may be issued under the 2010 Equity and Incentive Plan or for other corporate purposes.</w:t>
      </w:r>
    </w:p>
    <w:p>
      <w:pPr>
        <w:spacing w:after="0" w:line="301" w:lineRule="exact"/>
        <w:rPr>
          <w:rFonts w:ascii="Arial" w:cs="Arial" w:eastAsia="Arial" w:hAnsi="Arial"/>
          <w:sz w:val="18"/>
          <w:szCs w:val="18"/>
          <w:b w:val="1"/>
          <w:bCs w:val="1"/>
          <w:color w:val="auto"/>
        </w:rPr>
      </w:pPr>
    </w:p>
    <w:p>
      <w:pPr>
        <w:ind w:left="660" w:right="9280" w:hanging="652"/>
        <w:spacing w:after="0" w:line="398" w:lineRule="auto"/>
        <w:tabs>
          <w:tab w:leader="none" w:pos="645"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i w:val="1"/>
          <w:iCs w:val="1"/>
          <w:color w:val="auto"/>
        </w:rPr>
        <w:t>Cash Equivalents</w:t>
      </w:r>
    </w:p>
    <w:p>
      <w:pPr>
        <w:spacing w:after="0" w:line="1" w:lineRule="exact"/>
        <w:rPr>
          <w:rFonts w:ascii="Arial" w:cs="Arial" w:eastAsia="Arial" w:hAnsi="Arial"/>
          <w:sz w:val="16"/>
          <w:szCs w:val="16"/>
          <w:b w:val="1"/>
          <w:bCs w:val="1"/>
          <w:color w:val="auto"/>
        </w:rPr>
      </w:pPr>
    </w:p>
    <w:p>
      <w:pPr>
        <w:jc w:val="both"/>
        <w:ind w:left="66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Investments classified as cash equivalents relate to highly-liquid investments with a maturity of three months or less at the date of purchase. As of May 2, 2020 and February 1, 2020, these investments in the Company's portfolio consisted of a money market fund. The balance as of February 1, 2020 also included commercial paper.</w:t>
      </w:r>
    </w:p>
    <w:p>
      <w:pPr>
        <w:spacing w:after="0" w:line="62"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Short-Term Investments</w:t>
      </w:r>
    </w:p>
    <w:p>
      <w:pPr>
        <w:spacing w:after="0" w:line="90" w:lineRule="exact"/>
        <w:rPr>
          <w:rFonts w:ascii="Arial" w:cs="Arial" w:eastAsia="Arial" w:hAnsi="Arial"/>
          <w:sz w:val="16"/>
          <w:szCs w:val="16"/>
          <w:b w:val="1"/>
          <w:bCs w:val="1"/>
          <w:color w:val="auto"/>
        </w:rPr>
      </w:pPr>
    </w:p>
    <w:p>
      <w:pPr>
        <w:ind w:left="660" w:right="1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As of May 2, 2020 and February 1, 2020 short-term investments consisted of U.S. and non-U.S. corporate debt securities with a maturity within one year of the balance sheet date. The balance as of February 1, 2020 also included commercial paper, municipal securities, and U.S. asset-backed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66" w:lineRule="exact"/>
        <w:rPr>
          <w:rFonts w:ascii="Arial" w:cs="Arial" w:eastAsia="Arial" w:hAnsi="Arial"/>
          <w:sz w:val="16"/>
          <w:szCs w:val="16"/>
          <w:b w:val="1"/>
          <w:bCs w:val="1"/>
          <w:color w:val="auto"/>
        </w:rPr>
      </w:pPr>
    </w:p>
    <w:p>
      <w:pPr>
        <w:ind w:left="660" w:right="1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held $0.5 million and $9.0 million in short-term investments as of May 2, 2020 and February 1, 2020, respectively. The following table summarizes the Company's short-term investments (in thousands):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2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2, 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February 1, 2020</w:t>
            </w: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128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3,435</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8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2,489</w:t>
            </w:r>
          </w:p>
        </w:tc>
      </w:tr>
      <w:tr>
        <w:trPr>
          <w:trHeight w:val="27"/>
        </w:trPr>
        <w:tc>
          <w:tcPr>
            <w:tcW w:w="6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1,594</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128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1,136</w:t>
            </w:r>
          </w:p>
        </w:tc>
      </w:tr>
      <w:tr>
        <w:trPr>
          <w:trHeight w:val="27"/>
        </w:trPr>
        <w:tc>
          <w:tcPr>
            <w:tcW w:w="6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asset-backed securities</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323</w:t>
            </w:r>
          </w:p>
        </w:tc>
      </w:tr>
      <w:tr>
        <w:trPr>
          <w:trHeight w:val="264"/>
        </w:trPr>
        <w:tc>
          <w:tcPr>
            <w:tcW w:w="626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28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499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8,977</w:t>
            </w:r>
          </w:p>
        </w:tc>
      </w:tr>
      <w:tr>
        <w:trPr>
          <w:trHeight w:val="20"/>
        </w:trPr>
        <w:tc>
          <w:tcPr>
            <w:tcW w:w="6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90"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As of May 2, 2020 and February 1, 2020, long-term investments consisted of U.S. and non-U.S. corporate debt securities and U.S. asset-backed securities with a maturity greater than one year from the balance sheet date. The balance as of February 1, 2020 also included non-U.S. asset-backed securities and other foreign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Company held $2.3 million and $14.9 million in long-term investments as of May 2, 2020 and February 1, 2020, respectively. The following table summarizes the Company's long-term investments (in thousands):</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 2020</w:t>
            </w:r>
          </w:p>
        </w:tc>
        <w:tc>
          <w:tcPr>
            <w:tcW w:w="220" w:type="dxa"/>
            <w:vAlign w:val="bottom"/>
          </w:tcPr>
          <w:p>
            <w:pPr>
              <w:spacing w:after="0"/>
              <w:rPr>
                <w:sz w:val="16"/>
                <w:szCs w:val="16"/>
                <w:color w:val="auto"/>
              </w:rPr>
            </w:pPr>
          </w:p>
        </w:tc>
        <w:tc>
          <w:tcPr>
            <w:tcW w:w="1480" w:type="dxa"/>
            <w:vAlign w:val="bottom"/>
          </w:tcPr>
          <w:p>
            <w:pPr>
              <w:jc w:val="right"/>
              <w:ind w:right="233"/>
              <w:spacing w:after="0"/>
              <w:rPr>
                <w:sz w:val="20"/>
                <w:szCs w:val="20"/>
                <w:color w:val="auto"/>
              </w:rPr>
            </w:pPr>
            <w:r>
              <w:rPr>
                <w:rFonts w:ascii="Arial" w:cs="Arial" w:eastAsia="Arial" w:hAnsi="Arial"/>
                <w:sz w:val="14"/>
                <w:szCs w:val="14"/>
                <w:b w:val="1"/>
                <w:bCs w:val="1"/>
                <w:color w:val="auto"/>
              </w:rPr>
              <w:t>February 1, 2020</w:t>
            </w:r>
          </w:p>
        </w:tc>
      </w:tr>
      <w:tr>
        <w:trPr>
          <w:trHeight w:val="250"/>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5,613</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U.S. asset-backed securities</w:t>
            </w:r>
          </w:p>
        </w:tc>
        <w:tc>
          <w:tcPr>
            <w:tcW w:w="300" w:type="dxa"/>
            <w:vAlign w:val="bottom"/>
          </w:tcPr>
          <w:p>
            <w:pPr>
              <w:spacing w:after="0"/>
              <w:rPr>
                <w:sz w:val="21"/>
                <w:szCs w:val="21"/>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5,498</w:t>
            </w:r>
          </w:p>
        </w:tc>
      </w:tr>
      <w:tr>
        <w:trPr>
          <w:trHeight w:val="27"/>
        </w:trPr>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2,409</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Other foreign securities</w:t>
            </w:r>
          </w:p>
        </w:tc>
        <w:tc>
          <w:tcPr>
            <w:tcW w:w="30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810</w:t>
            </w:r>
          </w:p>
        </w:tc>
      </w:tr>
      <w:tr>
        <w:trPr>
          <w:trHeight w:val="27"/>
        </w:trPr>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asset-backed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582</w:t>
            </w:r>
          </w:p>
        </w:tc>
      </w:tr>
      <w:tr>
        <w:trPr>
          <w:trHeight w:val="264"/>
        </w:trPr>
        <w:tc>
          <w:tcPr>
            <w:tcW w:w="6260" w:type="dxa"/>
            <w:vAlign w:val="bottom"/>
          </w:tcPr>
          <w:p>
            <w:pPr>
              <w:ind w:left="20"/>
              <w:spacing w:after="0"/>
              <w:rPr>
                <w:sz w:val="20"/>
                <w:szCs w:val="20"/>
                <w:color w:val="auto"/>
              </w:rPr>
            </w:pPr>
            <w:r>
              <w:rPr>
                <w:rFonts w:ascii="Arial" w:cs="Arial" w:eastAsia="Arial" w:hAnsi="Arial"/>
                <w:sz w:val="18"/>
                <w:szCs w:val="18"/>
                <w:color w:val="auto"/>
              </w:rPr>
              <w:t>Total long-term investments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2,271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14,912</w:t>
            </w: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material gross unrealized gains or losses on available-for-sale debt securities as of May 2, 2020 and February 1, 2020.</w:t>
      </w:r>
    </w:p>
    <w:p>
      <w:pPr>
        <w:spacing w:after="0" w:line="35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Pura Vida</w:t>
      </w:r>
    </w:p>
    <w:p>
      <w:pPr>
        <w:spacing w:after="0" w:line="107" w:lineRule="exact"/>
        <w:rPr>
          <w:rFonts w:ascii="Arial" w:cs="Arial" w:eastAsia="Arial" w:hAnsi="Arial"/>
          <w:sz w:val="18"/>
          <w:szCs w:val="18"/>
          <w:b w:val="1"/>
          <w:bCs w:val="1"/>
          <w:color w:val="auto"/>
        </w:rPr>
      </w:pPr>
    </w:p>
    <w:p>
      <w:pPr>
        <w:ind w:left="6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July 16, 2019, the Company completed its acquisition of a seventy-five percent (75%) ownership interest in Creative Genius, Inc. or “Pura Vida” (the “Transaction”) in exchange for total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30" w:lineRule="exact"/>
        <w:rPr>
          <w:rFonts w:ascii="Arial" w:cs="Arial" w:eastAsia="Arial" w:hAnsi="Arial"/>
          <w:sz w:val="18"/>
          <w:szCs w:val="18"/>
          <w:b w:val="1"/>
          <w:bCs w:val="1"/>
          <w:color w:val="auto"/>
        </w:rPr>
      </w:pPr>
    </w:p>
    <w:p>
      <w:pPr>
        <w:ind w:left="6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 There were no transaction costs during the thirteen weeks ended May 2, 2020. Pre-tax Transaction costs totaled $0.8 million for the thirteen weeks ended May 4, 2019. These costs are recorded within selling, general, and administrative expenses in the Condensed Consolidated Statements of Operations and within corporate unallocated expenses.</w:t>
      </w:r>
    </w:p>
    <w:p>
      <w:pPr>
        <w:spacing w:after="0" w:line="73" w:lineRule="exact"/>
        <w:rPr>
          <w:rFonts w:ascii="Arial" w:cs="Arial" w:eastAsia="Arial" w:hAnsi="Arial"/>
          <w:sz w:val="18"/>
          <w:szCs w:val="18"/>
          <w:b w:val="1"/>
          <w:bCs w:val="1"/>
          <w:color w:val="auto"/>
        </w:rPr>
      </w:pPr>
    </w:p>
    <w:p>
      <w:pPr>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July 16, 2019, as contemplated by the Interest Purchase Agreement, the Company and certain of its subsidiaries and the owners of the remaining twenty-five percent (25%) ownership interest in Pura Vida which was not acquired by the Company entered into a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 in control of the Company, the parties may exercise a portion of their put and call rights prior to the fifth anniversary of the closing date (as defined in the Put/Call Agreement).</w:t>
      </w:r>
    </w:p>
    <w:p>
      <w:pPr>
        <w:spacing w:after="0" w:line="63" w:lineRule="exact"/>
        <w:rPr>
          <w:rFonts w:ascii="Arial" w:cs="Arial" w:eastAsia="Arial" w:hAnsi="Arial"/>
          <w:sz w:val="18"/>
          <w:szCs w:val="18"/>
          <w:b w:val="1"/>
          <w:bCs w:val="1"/>
          <w:color w:val="auto"/>
        </w:rPr>
      </w:pPr>
    </w:p>
    <w:p>
      <w:pPr>
        <w:ind w:left="66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schedule summarizes the consideration paid for Pura Vida, the fair value of the assets acquired and liabilities assumed, the fair value of the noncontrolling interest, and the fair value of the contingent consideration related to the earn-out provision. The accounting for the acquisition is substantially complete.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4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0760"/>
          </w:cols>
          <w:pgMar w:left="320" w:top="121"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619760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97600" cy="179705"/>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Cash and cash equivalents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Accounts receivable, net</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wp:posOffset>
            </wp:positionV>
            <wp:extent cx="619760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Inventories</w:t>
      </w:r>
      <w:r>
        <w:rPr>
          <w:rFonts w:ascii="Arial" w:cs="Arial" w:eastAsia="Arial" w:hAnsi="Arial"/>
          <w:sz w:val="23"/>
          <w:szCs w:val="23"/>
          <w:color w:val="auto"/>
          <w:vertAlign w:val="superscript"/>
        </w:rPr>
        <w:t>(1)</w:t>
      </w:r>
    </w:p>
    <w:p>
      <w:pPr>
        <w:ind w:left="68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19760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Operating right of use asset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619760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Intangible asset, brand</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wp:posOffset>
            </wp:positionV>
            <wp:extent cx="619760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ind w:left="680"/>
        <w:spacing w:after="0" w:line="237" w:lineRule="auto"/>
        <w:rPr>
          <w:sz w:val="20"/>
          <w:szCs w:val="20"/>
          <w:color w:val="auto"/>
        </w:rPr>
      </w:pPr>
      <w:r>
        <w:rPr>
          <w:rFonts w:ascii="Arial" w:cs="Arial" w:eastAsia="Arial" w:hAnsi="Arial"/>
          <w:sz w:val="18"/>
          <w:szCs w:val="18"/>
          <w:color w:val="auto"/>
        </w:rPr>
        <w:t>Other intangible assets</w:t>
      </w:r>
      <w:r>
        <w:rPr>
          <w:rFonts w:ascii="Arial" w:cs="Arial" w:eastAsia="Arial" w:hAnsi="Arial"/>
          <w:sz w:val="23"/>
          <w:szCs w:val="23"/>
          <w:color w:val="auto"/>
          <w:vertAlign w:val="superscript"/>
        </w:rPr>
        <w:t>(4)</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19760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97600" cy="137160"/>
                    </a:xfrm>
                    <a:prstGeom prst="rect">
                      <a:avLst/>
                    </a:prstGeom>
                    <a:noFill/>
                  </pic:spPr>
                </pic:pic>
              </a:graphicData>
            </a:graphic>
          </wp:anchor>
        </w:drawing>
      </w:r>
    </w:p>
    <w:p>
      <w:pPr>
        <w:spacing w:after="0" w:line="2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619760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Accrued employment costs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Other accrued liabilities</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9760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Operating lease liability</w:t>
      </w:r>
    </w:p>
    <w:p>
      <w:pPr>
        <w:spacing w:after="0" w:line="6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61976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97600" cy="137160"/>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619760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Contingent consideration related to earn-out provision</w:t>
      </w:r>
      <w:r>
        <w:rPr>
          <w:rFonts w:ascii="Arial" w:cs="Arial" w:eastAsia="Arial" w:hAnsi="Arial"/>
          <w:sz w:val="22"/>
          <w:szCs w:val="22"/>
          <w:color w:val="auto"/>
          <w:vertAlign w:val="superscript"/>
        </w:rPr>
        <w:t>(6)</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19760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168910</wp:posOffset>
            </wp:positionV>
            <wp:extent cx="6197600"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97600" cy="196850"/>
                    </a:xfrm>
                    <a:prstGeom prst="rect">
                      <a:avLst/>
                    </a:prstGeom>
                    <a:noFill/>
                  </pic:spPr>
                </pic:pic>
              </a:graphicData>
            </a:graphic>
          </wp:anchor>
        </w:drawing>
      </w:r>
    </w:p>
    <w:p>
      <w:pPr>
        <w:spacing w:after="0" w:line="32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Total closing consideration amount, net of cash acquired </w:t>
      </w:r>
      <w:r>
        <w:rPr>
          <w:rFonts w:ascii="Arial" w:cs="Arial" w:eastAsia="Arial" w:hAnsi="Arial"/>
          <w:sz w:val="20"/>
          <w:szCs w:val="20"/>
          <w:color w:val="auto"/>
          <w:vertAlign w:val="superscript"/>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Fair Value at</w:t>
      </w:r>
    </w:p>
    <w:p>
      <w:pPr>
        <w:spacing w:after="0" w:line="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Acquisition Date</w:t>
      </w:r>
    </w:p>
    <w:p>
      <w:pPr>
        <w:spacing w:after="0" w:line="47" w:lineRule="exact"/>
        <w:rPr>
          <w:sz w:val="20"/>
          <w:szCs w:val="20"/>
          <w:color w:val="auto"/>
        </w:rPr>
      </w:pPr>
    </w:p>
    <w:p>
      <w:pPr>
        <w:ind w:left="1020" w:hanging="101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1,495</w:t>
      </w:r>
    </w:p>
    <w:p>
      <w:pPr>
        <w:spacing w:after="0" w:line="7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7,680</w:t>
      </w:r>
    </w:p>
    <w:p>
      <w:pPr>
        <w:spacing w:after="0" w:line="75"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27,654</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1,537</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1,250</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751</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44,254</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36,668</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24,996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9944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146,285</w:t>
      </w:r>
    </w:p>
    <w:p>
      <w:pPr>
        <w:spacing w:after="0" w:line="27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6,818</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2,351</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6,637</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9944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17,443</w:t>
      </w:r>
    </w:p>
    <w:p>
      <w:pPr>
        <w:spacing w:after="0" w:line="200" w:lineRule="exact"/>
        <w:rPr>
          <w:sz w:val="20"/>
          <w:szCs w:val="20"/>
          <w:color w:val="auto"/>
        </w:rPr>
      </w:pPr>
    </w:p>
    <w:p>
      <w:pPr>
        <w:spacing w:after="0" w:line="34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(20,098)</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(32,210)</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(1,495)</w:t>
      </w:r>
    </w:p>
    <w:p>
      <w:pPr>
        <w:spacing w:after="0" w:line="293" w:lineRule="exact"/>
        <w:rPr>
          <w:sz w:val="20"/>
          <w:szCs w:val="20"/>
          <w:color w:val="auto"/>
        </w:rPr>
      </w:pPr>
    </w:p>
    <w:p>
      <w:pPr>
        <w:ind w:left="920" w:hanging="912"/>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75,039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9944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8140" w:space="720"/>
            <w:col w:w="1900"/>
          </w:cols>
          <w:pgMar w:left="320" w:top="121" w:right="819" w:bottom="1440" w:gutter="0" w:footer="0" w:header="0"/>
          <w:type w:val="continuous"/>
        </w:sectPr>
      </w:pPr>
    </w:p>
    <w:p>
      <w:pPr>
        <w:ind w:left="680" w:right="880" w:hanging="6"/>
        <w:spacing w:after="0" w:line="237" w:lineRule="auto"/>
        <w:tabs>
          <w:tab w:leader="none" w:pos="9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an $8.3 million step-up adjustment which was recognized in cost of sales within four months of the acquisition. Inventories were valued using the cost approach. The significant assumptions used for the valuation include inventory balances, projected gross and operating margins, and cost and time to dispose (sell) inventory on hand.</w:t>
      </w:r>
    </w:p>
    <w:p>
      <w:pPr>
        <w:spacing w:after="0" w:line="14" w:lineRule="exact"/>
        <w:rPr>
          <w:rFonts w:ascii="Arial" w:cs="Arial" w:eastAsia="Arial" w:hAnsi="Arial"/>
          <w:sz w:val="17"/>
          <w:szCs w:val="17"/>
          <w:color w:val="auto"/>
        </w:rPr>
      </w:pPr>
    </w:p>
    <w:p>
      <w:pPr>
        <w:ind w:left="920" w:hanging="24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 to Note 14 herein for additional information regarding goodwill.</w:t>
      </w:r>
    </w:p>
    <w:p>
      <w:pPr>
        <w:spacing w:after="0" w:line="63" w:lineRule="exact"/>
        <w:rPr>
          <w:rFonts w:ascii="Arial" w:cs="Arial" w:eastAsia="Arial" w:hAnsi="Arial"/>
          <w:sz w:val="18"/>
          <w:szCs w:val="18"/>
          <w:color w:val="auto"/>
        </w:rPr>
      </w:pPr>
    </w:p>
    <w:p>
      <w:pPr>
        <w:ind w:left="680" w:right="680" w:hanging="6"/>
        <w:spacing w:after="0" w:line="263" w:lineRule="auto"/>
        <w:tabs>
          <w:tab w:leader="none" w:pos="9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brand intangible asset was valued using the relief-from-royalty method. The significant assumptions used for the valuation include the royalty rate, estimated projected revenues, long-term growth rate, and the discount rate. Refer to Note 14 herein for additional information regarding intangible assets.</w:t>
      </w:r>
    </w:p>
    <w:p>
      <w:pPr>
        <w:spacing w:after="0" w:line="21" w:lineRule="exact"/>
        <w:rPr>
          <w:rFonts w:ascii="Arial" w:cs="Arial" w:eastAsia="Arial" w:hAnsi="Arial"/>
          <w:sz w:val="18"/>
          <w:szCs w:val="18"/>
          <w:color w:val="auto"/>
        </w:rPr>
      </w:pPr>
    </w:p>
    <w:p>
      <w:pPr>
        <w:ind w:left="680" w:right="440" w:hanging="6"/>
        <w:spacing w:after="0" w:line="275" w:lineRule="auto"/>
        <w:tabs>
          <w:tab w:leader="none" w:pos="9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intangible assets include customer relationships and non-competition agreements. Customer relationships were valued using the multi-period excess earnings method. Significant assumptions used for the valuation include projected cash flows, the discount rate, and customer attrition rate. The non-competition agreements were valued using the with-or-without method. Significant assumptions used for the valuation include projected cash flows, probability of competition, impact of competition on business, and the discount rate. Refer to Note 14 herein for additional information regarding intangible assets.</w:t>
      </w:r>
    </w:p>
    <w:p>
      <w:pPr>
        <w:ind w:left="920" w:hanging="24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$4.1 million related to an indemnified liability.</w:t>
      </w:r>
    </w:p>
    <w:p>
      <w:pPr>
        <w:spacing w:after="0" w:line="36" w:lineRule="exact"/>
        <w:rPr>
          <w:rFonts w:ascii="Arial" w:cs="Arial" w:eastAsia="Arial" w:hAnsi="Arial"/>
          <w:sz w:val="18"/>
          <w:szCs w:val="18"/>
          <w:color w:val="auto"/>
        </w:rPr>
      </w:pPr>
    </w:p>
    <w:p>
      <w:pPr>
        <w:ind w:left="680" w:right="380" w:hanging="6"/>
        <w:spacing w:after="0" w:line="263" w:lineRule="auto"/>
        <w:tabs>
          <w:tab w:leader="none" w:pos="9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p>
      <w:pPr>
        <w:spacing w:after="0" w:line="8" w:lineRule="exact"/>
        <w:rPr>
          <w:rFonts w:ascii="Arial" w:cs="Arial" w:eastAsia="Arial" w:hAnsi="Arial"/>
          <w:sz w:val="18"/>
          <w:szCs w:val="18"/>
          <w:color w:val="auto"/>
        </w:rPr>
      </w:pPr>
    </w:p>
    <w:p>
      <w:pPr>
        <w:ind w:left="680" w:right="360" w:hanging="6"/>
        <w:spacing w:after="0" w:line="246" w:lineRule="auto"/>
        <w:tabs>
          <w:tab w:leader="none" w:pos="9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the total $75.0 million closing consideration, $1.0 million was refunded to the Company through a working capital adjustment during the first quarter of fiscal 2021. Cash consideration paid during fiscal 2020 totaled $76.0 million.</w:t>
      </w:r>
    </w:p>
    <w:p>
      <w:pPr>
        <w:spacing w:after="0" w:line="1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operations of Pura Vida are recorded in the Company's Condensed Consolidated Statements of Operations for the thirteen weeks ending May 2, 2020, beginning on July 17, 2019, which represents the first full day following the</w:t>
      </w:r>
    </w:p>
    <w:p>
      <w:pPr>
        <w:sectPr>
          <w:pgSz w:w="11900" w:h="16838" w:orient="portrait"/>
          <w:cols w:equalWidth="0" w:num="1">
            <w:col w:w="10760"/>
          </w:cols>
          <w:pgMar w:left="320" w:top="121" w:right="81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acquisition. As such, the Company's financial statements are not comparable with the prior-year period presented. Refer to Note 16 herein for segment-level financial information associated with Pura Vida.</w:t>
      </w:r>
    </w:p>
    <w:p>
      <w:pPr>
        <w:spacing w:after="0" w:line="35"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The following pro forma financial information is intended to provide a sense for what the Company's operating results may have been if the Pura Vida acquisition had occurred at the beginning of fiscal 2019. The pro forma financial information is not indicative of the results that would have been reflected had the transaction actually occurred as of that date, nor is it necessarily indicative of the Company’s future results. The financial information includes expense related to supplemental officer wages and fully indemnified state sales tax matters for time periods before the acquisition date. The Company does not expect these items to have a continuing impact on its consolidated financial statements. The following adjustments have been made:</w:t>
      </w:r>
    </w:p>
    <w:p>
      <w:pPr>
        <w:spacing w:after="0" w:line="7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Definite-lived intangible amortization that exceeds one year has been reflected as if it occurred at the beginning of fiscal 2019;</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Transaction costs have been excluded; and</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Tax expense has been estimated at an effective tax rate of 39.4% for the current-year period and 25.0% for the prior-year period..</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4"/>
                <w:szCs w:val="14"/>
                <w:b w:val="1"/>
                <w:bCs w:val="1"/>
                <w:color w:val="auto"/>
              </w:rPr>
              <w:t>Thirteen Weeks Ended</w:t>
            </w:r>
          </w:p>
        </w:tc>
      </w:tr>
      <w:tr>
        <w:trPr>
          <w:trHeight w:val="250"/>
        </w:trPr>
        <w:tc>
          <w:tcPr>
            <w:tcW w:w="58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40" w:type="dxa"/>
            <w:vAlign w:val="bottom"/>
          </w:tcPr>
          <w:p>
            <w:pPr>
              <w:spacing w:after="0"/>
              <w:rPr>
                <w:sz w:val="21"/>
                <w:szCs w:val="21"/>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2, 2020</w:t>
            </w:r>
          </w:p>
        </w:tc>
        <w:tc>
          <w:tcPr>
            <w:tcW w:w="340" w:type="dxa"/>
            <w:vAlign w:val="bottom"/>
          </w:tcPr>
          <w:p>
            <w:pPr>
              <w:spacing w:after="0"/>
              <w:rPr>
                <w:sz w:val="21"/>
                <w:szCs w:val="21"/>
                <w:color w:val="auto"/>
              </w:rPr>
            </w:pPr>
          </w:p>
        </w:tc>
        <w:tc>
          <w:tcPr>
            <w:tcW w:w="1560" w:type="dxa"/>
            <w:vAlign w:val="bottom"/>
          </w:tcPr>
          <w:p>
            <w:pPr>
              <w:jc w:val="right"/>
              <w:ind w:right="493"/>
              <w:spacing w:after="0"/>
              <w:rPr>
                <w:sz w:val="20"/>
                <w:szCs w:val="20"/>
                <w:color w:val="auto"/>
              </w:rPr>
            </w:pPr>
            <w:r>
              <w:rPr>
                <w:rFonts w:ascii="Arial" w:cs="Arial" w:eastAsia="Arial" w:hAnsi="Arial"/>
                <w:sz w:val="14"/>
                <w:szCs w:val="14"/>
                <w:b w:val="1"/>
                <w:bCs w:val="1"/>
                <w:color w:val="auto"/>
              </w:rPr>
              <w:t>May 4, 2019</w:t>
            </w:r>
          </w:p>
        </w:tc>
      </w:tr>
      <w:tr>
        <w:trPr>
          <w:trHeight w:val="249"/>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69,284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107,992</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(14,528)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(2,880)</w:t>
            </w:r>
          </w:p>
        </w:tc>
      </w:tr>
      <w:tr>
        <w:trPr>
          <w:trHeight w:val="27"/>
        </w:trPr>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 attributable to Vera Bradley, Inc.</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(2,539)</w:t>
            </w:r>
          </w:p>
        </w:tc>
      </w:tr>
      <w:tr>
        <w:trPr>
          <w:trHeight w:val="270"/>
        </w:trPr>
        <w:tc>
          <w:tcPr>
            <w:tcW w:w="5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Pro forma basic net loss per share available to Vera Bradley, Inc.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(0.07)</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w w:val="91"/>
              </w:rPr>
              <w:t>Pro forma diluted net loss per share available to Vera Bradley, Inc. 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(0.07)</w:t>
            </w:r>
          </w:p>
        </w:tc>
      </w:tr>
    </w:tbl>
    <w:p>
      <w:pPr>
        <w:spacing w:after="0" w:line="360"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Redeemable noncontrolling interest represents the remaining twenty-five percent (25%) interest in Pura Vida not acquired by the Company. Refer to Note 1 herein for additional information.</w:t>
      </w:r>
    </w:p>
    <w:p>
      <w:pPr>
        <w:spacing w:after="0" w:line="3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redeemable noncontrolling interest for the thirteen weeks ended May 2, 2020, were as follows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1, 2020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30,049</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Adjustment to redemption value</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9,305</w:t>
            </w:r>
          </w:p>
        </w:tc>
      </w:tr>
      <w:tr>
        <w:trPr>
          <w:trHeight w:val="27"/>
        </w:trPr>
        <w:tc>
          <w:tcPr>
            <w:tcW w:w="8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2, 2020</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38,858</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07" w:lineRule="exact"/>
        <w:rPr>
          <w:rFonts w:ascii="Arial" w:cs="Arial" w:eastAsia="Arial" w:hAnsi="Arial"/>
          <w:sz w:val="18"/>
          <w:szCs w:val="18"/>
          <w:b w:val="1"/>
          <w:bCs w:val="1"/>
          <w:color w:val="auto"/>
        </w:rPr>
      </w:pPr>
    </w:p>
    <w:p>
      <w:pPr>
        <w:ind w:left="66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tables detail the carrying value of the Company's intangible assets other than goodwill related to the acquisition of a majority interest in Pura Vida. The comparable prior-year period did not include intangible assets or goodwill.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May 2, 2020</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r>
              <w:rPr>
                <w:rFonts w:ascii="Arial" w:cs="Arial" w:eastAsia="Arial" w:hAnsi="Arial"/>
                <w:sz w:val="9"/>
                <w:szCs w:val="9"/>
                <w:b w:val="1"/>
                <w:bCs w:val="1"/>
                <w:color w:val="auto"/>
                <w:w w:val="95"/>
              </w:rPr>
              <w:t>(1)</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16,533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24,996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36,668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(7,799)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53,865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Amortization expense is recorded within the Pura Vida segment.</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February 1, 2020</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r>
              <w:rPr>
                <w:rFonts w:ascii="Arial" w:cs="Arial" w:eastAsia="Arial" w:hAnsi="Arial"/>
                <w:sz w:val="9"/>
                <w:szCs w:val="9"/>
                <w:b w:val="1"/>
                <w:bCs w:val="1"/>
                <w:color w:val="auto"/>
                <w:w w:val="95"/>
              </w:rPr>
              <w:t>(1)</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24,996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36,668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56,305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Amortization expense is recorded within the Pura Vida segment.</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weighted-average amortization period for the definite-lived intangible assets in total is 3.6 years. The weighted-average amortization period is 3.6 years and 5.0 years for customer relationships and non-competition agreements, respectively. The amortization expense for intangible assets is as follows (in thousands):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9"/>
              </w:rPr>
              <w:t>Amortization Expense</w:t>
            </w: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 (remaining nine months)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6,569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4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3,073</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3,073</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4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3,073</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1,409</w:t>
            </w:r>
          </w:p>
        </w:tc>
      </w:tr>
      <w:tr>
        <w:trPr>
          <w:trHeight w:val="264"/>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17,197</w:t>
            </w: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total amount of the goodwill as of May 2, 2020, was $44.3 million recorded within the Pura Vida segment upon acquisition. Goodwill is expected to be deductible for tax purposes, limited to the Company's 75% majority ownership</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interest. Refer to Note 12 herein for addition information regarding goodwill. There were no changes to goodwill for the thirteen weeks ended May 2, 2020.</w:t>
      </w:r>
    </w:p>
    <w:p>
      <w:pPr>
        <w:spacing w:after="0" w:line="143" w:lineRule="exact"/>
        <w:rPr>
          <w:sz w:val="20"/>
          <w:szCs w:val="20"/>
          <w:color w:val="auto"/>
        </w:rPr>
      </w:pPr>
    </w:p>
    <w:p>
      <w:pPr>
        <w:jc w:val="both"/>
        <w:ind w:left="660" w:right="340"/>
        <w:spacing w:after="0" w:line="311" w:lineRule="auto"/>
        <w:rPr>
          <w:sz w:val="20"/>
          <w:szCs w:val="20"/>
          <w:color w:val="auto"/>
        </w:rPr>
      </w:pPr>
      <w:r>
        <w:rPr>
          <w:rFonts w:ascii="Arial" w:cs="Arial" w:eastAsia="Arial" w:hAnsi="Arial"/>
          <w:sz w:val="16"/>
          <w:szCs w:val="16"/>
          <w:color w:val="auto"/>
        </w:rPr>
        <w:t>Future impacts of COVID-19, including but not limited to the duration and magnitude of the pandemic, may have an impact on the triggering event assessment or future fair value estimate of the goodwill, brand intangible asset, and definite-lived intangible assets, which could lead to material impairment charges. Refer to Note 5 herein for additional information regarding the fair value measurement.</w:t>
      </w:r>
    </w:p>
    <w:p>
      <w:pPr>
        <w:spacing w:after="0" w:line="34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May 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jc w:val="right"/>
              <w:ind w:right="597"/>
              <w:spacing w:after="0"/>
              <w:rPr>
                <w:sz w:val="20"/>
                <w:szCs w:val="20"/>
                <w:color w:val="auto"/>
              </w:rPr>
            </w:pPr>
            <w:r>
              <w:rPr>
                <w:rFonts w:ascii="Arial" w:cs="Arial" w:eastAsia="Arial" w:hAnsi="Arial"/>
                <w:sz w:val="14"/>
                <w:szCs w:val="14"/>
                <w:b w:val="1"/>
                <w:bCs w:val="1"/>
                <w:color w:val="auto"/>
              </w:rPr>
              <w:t>February 1,</w:t>
            </w:r>
          </w:p>
        </w:tc>
      </w:tr>
      <w:tr>
        <w:trPr>
          <w:trHeight w:val="192"/>
        </w:trPr>
        <w:tc>
          <w:tcPr>
            <w:tcW w:w="55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2020</w:t>
            </w: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r>
              <w:rPr>
                <w:rFonts w:ascii="Arial" w:cs="Arial" w:eastAsia="Arial" w:hAnsi="Arial"/>
                <w:sz w:val="23"/>
                <w:szCs w:val="23"/>
                <w:color w:val="auto"/>
                <w:vertAlign w:val="superscript"/>
              </w:rPr>
              <w:t>(1)</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1,056</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131,743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jc w:val="right"/>
              <w:ind w:right="57"/>
              <w:spacing w:after="0"/>
              <w:rPr>
                <w:sz w:val="20"/>
                <w:szCs w:val="20"/>
                <w:color w:val="auto"/>
              </w:rPr>
            </w:pPr>
            <w:r>
              <w:rPr>
                <w:rFonts w:ascii="Arial" w:cs="Arial" w:eastAsia="Arial" w:hAnsi="Arial"/>
                <w:sz w:val="18"/>
                <w:szCs w:val="18"/>
                <w:color w:val="auto"/>
              </w:rPr>
              <w:t>122,550</w:t>
            </w:r>
          </w:p>
        </w:tc>
      </w:tr>
      <w:tr>
        <w:trPr>
          <w:trHeight w:val="27"/>
        </w:trPr>
        <w:tc>
          <w:tcPr>
            <w:tcW w:w="5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28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132,855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123,606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ind w:left="920" w:hanging="246"/>
        <w:spacing w:after="0"/>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Relates solely to Pura Vida operations.</w:t>
      </w:r>
    </w:p>
    <w:p>
      <w:pPr>
        <w:spacing w:after="0" w:line="368" w:lineRule="exact"/>
        <w:rPr>
          <w:rFonts w:ascii="Arial" w:cs="Arial" w:eastAsia="Arial" w:hAnsi="Arial"/>
          <w:sz w:val="18"/>
          <w:szCs w:val="18"/>
          <w:color w:val="auto"/>
        </w:rPr>
      </w:pPr>
    </w:p>
    <w:p>
      <w:pPr>
        <w:ind w:left="700" w:hanging="692"/>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08"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Beginning in the second quarter of fiscal 2020, the Company has included an additional segment for Pura Vida due to its acquisition. As a result, the Company now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3" w:lineRule="exact"/>
        <w:rPr>
          <w:sz w:val="20"/>
          <w:szCs w:val="20"/>
          <w:color w:val="auto"/>
        </w:rPr>
      </w:pPr>
    </w:p>
    <w:p>
      <w:pPr>
        <w:jc w:val="both"/>
        <w:ind w:left="660" w:right="280"/>
        <w:spacing w:after="0" w:line="263" w:lineRule="auto"/>
        <w:rPr>
          <w:sz w:val="20"/>
          <w:szCs w:val="20"/>
          <w:color w:val="auto"/>
        </w:rPr>
      </w:pPr>
      <w:r>
        <w:rPr>
          <w:rFonts w:ascii="Arial" w:cs="Arial" w:eastAsia="Arial" w:hAnsi="Arial"/>
          <w:sz w:val="18"/>
          <w:szCs w:val="18"/>
          <w:color w:val="auto"/>
        </w:rPr>
        <w:t>The VB Direct segment includes Vera Bradley full-line and factory outlet stores; the Vera Bradley website, verabradley.com; the Vera Bradley online outlet site; and the Vera Bradley annual outlet sale. Revenues generated from this segment are driven through the sale of Vera Bradley-branded products from Vera Bradley to end consumers.</w:t>
      </w:r>
    </w:p>
    <w:p>
      <w:pPr>
        <w:spacing w:after="0" w:line="62"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The VB Indirect segment represents revenues generated through the distribution of Vera Bradley-branded products to specialty retailers representing approximately 2,100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65" w:lineRule="exact"/>
        <w:rPr>
          <w:sz w:val="20"/>
          <w:szCs w:val="20"/>
          <w:color w:val="auto"/>
        </w:rPr>
      </w:pPr>
    </w:p>
    <w:p>
      <w:pPr>
        <w:jc w:val="both"/>
        <w:ind w:left="660" w:right="160"/>
        <w:spacing w:after="0" w:line="263" w:lineRule="auto"/>
        <w:rPr>
          <w:sz w:val="20"/>
          <w:szCs w:val="20"/>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4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weeks ended May 2, 2020 and May 4, 2019, respectively, consisted of the following (in thousands):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6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May 2,</w:t>
            </w:r>
          </w:p>
        </w:tc>
        <w:tc>
          <w:tcPr>
            <w:tcW w:w="340" w:type="dxa"/>
            <w:vAlign w:val="bottom"/>
          </w:tcPr>
          <w:p>
            <w:pPr>
              <w:spacing w:after="0"/>
              <w:rPr>
                <w:sz w:val="13"/>
                <w:szCs w:val="13"/>
                <w:color w:val="auto"/>
              </w:rPr>
            </w:pPr>
          </w:p>
        </w:tc>
        <w:tc>
          <w:tcPr>
            <w:tcW w:w="1220" w:type="dxa"/>
            <w:vAlign w:val="bottom"/>
          </w:tcPr>
          <w:p>
            <w:pPr>
              <w:jc w:val="right"/>
              <w:ind w:right="493"/>
              <w:spacing w:after="0" w:line="153" w:lineRule="exact"/>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92"/>
        </w:trPr>
        <w:tc>
          <w:tcPr>
            <w:tcW w:w="6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VB Direct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36,837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71,136</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VB Indirect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19,867</w:t>
            </w:r>
          </w:p>
        </w:tc>
        <w:tc>
          <w:tcPr>
            <w:tcW w:w="0" w:type="dxa"/>
            <w:vAlign w:val="bottom"/>
          </w:tcPr>
          <w:p>
            <w:pPr>
              <w:spacing w:after="0"/>
              <w:rPr>
                <w:sz w:val="1"/>
                <w:szCs w:val="1"/>
                <w:color w:val="auto"/>
              </w:rPr>
            </w:pP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Pura Vida</w:t>
            </w:r>
          </w:p>
        </w:tc>
        <w:tc>
          <w:tcPr>
            <w:tcW w:w="34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21,218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69,284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91,003</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operating (loss)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VB Direct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VB Indirect</w:t>
            </w:r>
          </w:p>
        </w:tc>
        <w:tc>
          <w:tcPr>
            <w:tcW w:w="34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Pura Vida</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20" w:type="dxa"/>
            <w:vAlign w:val="bottom"/>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Segment operating (loss)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Unallocated corporate expenses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(19,712)</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the Company as of and for the thirteen weeks ended May 2, 2020 and May 4, 2019. The following discussion should be read in conjunction with our Annual Report on Form 10-K for the fiscal year ended February 1, 2020, and our unaudited condensed consolidated financial statements and the related notes included in Item 1 of this Quarterly Report. The results of operations for the thirteen weeks ended May 2, 2020, are not necessarily indicative of the results to be expected for the full fiscal year.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COVID-19 pandemic resulted in travel restrictions both domestically and internationally, community and self quarantines, certain factory closures or reduced operations, as well as mall closures or reduced mall operating hours during the first quarter of fiscal 2021. Although the Vera Bradley and Pura Vida e-commerce operations remained open, the aforementioned items had a material adverse impact on overall consumer demand, traffic, and sales. Furthermore, the pandemic materially impacted the Company's first quarter operating results. We cannot currently predict the extent that COVID-19 will impact our future liquidity, operating results, and financial condition of the Company, but it could have a significant adverse effect on these metrics. Beginning in mid-March 2020, we began taking several actions to navigate the COVID-19 pandemic, protect our financial position, maximize our liquidity, and to position the Company for a strong reopening and future. These actions included:</w:t>
      </w:r>
    </w:p>
    <w:p>
      <w:pPr>
        <w:spacing w:after="0" w:line="5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closing all Vera Bradley store locations on March 19;</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furloughing approximately 80% of our workforce mid-quarter;</w:t>
      </w:r>
    </w:p>
    <w:p>
      <w:pPr>
        <w:spacing w:after="0" w:line="10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reducing base compensation for remaining salaried associates, with reductions on a graduated scale ranging from 15% to 30%, and 75% for our Chief Executive Officer;</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suspending cash compensation to our Board of Directors;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suspending our share repurchase program;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Drawing $60.0 million of our $75.0 million Credit Agreement;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eliminating the Company 401(k) and associate charitable contribution matches;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Tightly managing inventory levels through the cancellation of purchase orders, delay of receipts, or seeking price concessions where possible;</w:t>
      </w:r>
    </w:p>
    <w:p>
      <w:pPr>
        <w:spacing w:after="0" w:line="126" w:lineRule="exact"/>
        <w:rPr>
          <w:rFonts w:ascii="Arial" w:cs="Arial" w:eastAsia="Arial" w:hAnsi="Arial"/>
          <w:sz w:val="16"/>
          <w:szCs w:val="16"/>
          <w:color w:val="auto"/>
        </w:rPr>
      </w:pPr>
    </w:p>
    <w:p>
      <w:pPr>
        <w:ind w:left="660" w:right="4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Actively working with landlords on addressing rent abatement, payment terms, accelerating store closures, and delaying or cancelling certain planned new store openings;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non-payroll operating expenses, including but not limited to, marketing and travel;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Extending vendor payment terms.</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the Company is leveraging elements of the Coronavirus Aid Relief and Economic Security (CARES) Act to enhance the financial well-being of associates and to maximize the financial health of the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Reopening Vera Bradley Retail Stores</w:t>
      </w:r>
    </w:p>
    <w:p>
      <w:pPr>
        <w:spacing w:after="0" w:line="10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May 5, 2020, subsequent to the end of the first quarter, we began to open our Vera Bradley retail stores in a phased approach, with 18 out of 83 full-line stores and 40 out of 64 factory stores open as of the end of May 2020. The Company expects that nearly the entire store base will be open by the end of June 2020 barring any material public reopening setbacks. As of the end of May 2020, approximately 65% of our associates remain on furlough.</w:t>
      </w:r>
    </w:p>
    <w:p>
      <w:pPr>
        <w:spacing w:after="0" w:line="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While we are making no assumptions of future performance based upon a limited number of days of sales data, the 27 stores that have been opened for two weeks or more since May 5, 2020, generated revenues, in the aggregate, of approximately 75% of the prior year’s sales through May 31, 2020, while operating at reduced staffing and hours. While traffic is generally down, conversion and units per transaction are up. First quarter Vera Bradley e-commerce revenues increased over the comparable-prior year period and continued to exceed the prior year's performance in May. The sales of cotton face masks are helping to drive revenues at Vera Bradley.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first quarter of fiscal 2021:</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108"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COVID-19 has significantly impacted our Vision 20/20 goal of robust growth. However, despite the COVID-19 situation, we remain focused on our core Vision 20/20 strategies of enhancing our brands and long-term growth through heightened customer engagement and continued product innovation while navigating through the crisis.</w:t>
      </w:r>
    </w:p>
    <w:p>
      <w:pPr>
        <w:spacing w:after="0" w:line="4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At Vera Bradley, we launched our newest Disney collection in March and designed, manufactured, and began selling personal cotton face masks in April. We continued the process of re-platforming our technology systems to be more streamlined, nimble, and efficient. We also continued to see success in our data-driven marketing and data science and were able to quickly adjust marketing spending into different product categories due to the changes in consumer demand related to COVID-19.</w:t>
      </w:r>
    </w:p>
    <w:p>
      <w:pPr>
        <w:spacing w:after="0" w:line="65"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At Pura Vida, we introduced new products with our spring launch including our popular Open Heart bracelet; gained momentum in our newly introduced engraveable collection; launched a new loyalty program called the Shore Club; and entered into an agreement with TikTok star Charli D'Amelio to create a Pura Vida bracelet influencer style pack this holiday season.</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first quarter of fiscal 2020)</w:t>
      </w:r>
    </w:p>
    <w:p>
      <w:pPr>
        <w:spacing w:after="0" w:line="94"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revenues decreased 23.9% to $69.3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Vera Bradley Direct (“VB Direct”) segment sales decreased 48.2% to $36.8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Vera Bradley Indirect segment (“VB Indirect”) sales decreased 43.5% to $11.2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Pura Vida segment sales were $21.2 million.</w:t>
      </w:r>
    </w:p>
    <w:p>
      <w:pPr>
        <w:spacing w:after="0" w:line="103"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profit was $34.2 million, or 49.3% of net revenue. Gross profit was negatively impacted by $1.3 million, or 1.9% of net revenue, for charges related to the cancellation of certain purchase orders as a result of COVID-19.</w:t>
      </w:r>
    </w:p>
    <w:p>
      <w:pPr>
        <w:spacing w:after="0" w:line="48" w:lineRule="exact"/>
        <w:rPr>
          <w:rFonts w:ascii="Arial" w:cs="Arial" w:eastAsia="Arial" w:hAnsi="Arial"/>
          <w:sz w:val="18"/>
          <w:szCs w:val="18"/>
          <w:color w:val="auto"/>
        </w:rPr>
      </w:pPr>
    </w:p>
    <w:p>
      <w:pPr>
        <w:ind w:left="980" w:right="100" w:hanging="324"/>
        <w:spacing w:after="0" w:line="259"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loss was $(25.6) million and net loss attributable to Vera Bradley, Inc. was $(15.3) million. Operating loss included store impairment charges of $3.8 million; intangible asset amortization related to the Pura Vida acquisition of $2.4 million; $1.5 million of charges related to the Company's technology-related re-platforming; and $1.3 million of charges related to the cancellation of certain purchase orders as a result of COVID-19.</w:t>
      </w:r>
    </w:p>
    <w:p>
      <w:pPr>
        <w:spacing w:after="0" w:line="5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$2.2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and cash equivalents and investments were $85.1 million at May 2,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and through the distribution of Pura Vida-branded products to wholesale retailers.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Comparable sales are calculated based upon our stores that have been open for at least 12 full fiscal months and net revenues from our Vera Bradley e-commerce operations. Pura Vida e-commerce operations are not currently included within comparable sales, but will be considered comparable sales once reflected in the Company’s operations for 12 full fiscal months.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of the temporary closure of all Vera Bradley stores due to COVID-19, the Company's fiscal 2021 first quarter comparable store sales and comparable sales calculations were not meaningful and therefore were not provided. Non-comparable sales include sales from stores not included in comparable sales or comparable store sales.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4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w:t>
      </w:r>
    </w:p>
    <w:p>
      <w:pPr>
        <w:spacing w:after="0" w:line="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VB Direct business expenses, such as store expenses, employee compensation, and store occupancy and supply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VB Indirect business expenses consisting primarily of employee compensation and other expenses associated with sales to Indirect retailers; and</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Pura Vida business expenses primarily related to employee compensation.</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includes certain legal settlements, proceeds from the sales of tickets to our annual outlet sale, and sales tax credits received for timely filings. In addition, we support many of our Indirect retailers’ marketing efforts by distributing certain catalogs and promotional mailers to current and prospective customers. Our Indirect retailers reimburse us for a portion of the</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 to produce these materials. Reimbursement received is recorded as other income. The related cost to design, produce, and distribute the catalogs and mailers is recorded as SG&amp;A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is equal to gross profit less SG&amp;A expenses plus other income. Operating loss excludes interest income, interest expense, and income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loss is equal to operating loss plus net interest income less income taxes.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Redeemable Noncontrolling Interest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Net loss attributable to redeemable noncontrolling interest represents the operating results of Pura Vida that are not attributable to Vera Bradley, Inc.</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Vera Bradley,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Vera Bradley, Inc. is equal to net loss less net loss attributable to redeemable noncontrolling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Pura Vida Acquisition</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July 16, 2019, the Company completed its acquisition of a seventy-five percent (75%) ownership interest in Creative Genius, Inc. or “Pura Vida” (the “Transaction”) in exchange for total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5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 There were no transaction costs during the thirteen weeks ended May 2, 2020. Pre-tax Transaction costs totaled $0.8 million for the thirteen weeks ended May 4, 2019.</w:t>
      </w:r>
    </w:p>
    <w:p>
      <w:pPr>
        <w:spacing w:after="0" w:line="4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Pura Vida has been fully consolidated within our financial statements beginning on July 17, 2019, the first full day following the acquisition. Pura Vida was also added as a reportable segment as a result of the acquisition. Refer to Note 12 to the Notes to the Condensed Consolidated Financial Statements herein for additional information regarding the Pura Vida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10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Impairment charges of $3.8 million were recognized during the thirteen weeks ended May 2, 2020, for property, plant, and equipment and lease right-of-use assets related to underperforming stores and are included in selling, general, and administrative expenses in the Condensed Consolidated Statements of Operations and in impairment charges in the Condensed Consolidated Statements of Cash Flows. The impairment charges are included in the Direct segment. The COVID-19 pandemic, including the temporary closure of Vera Bradley retail stores beginning in mid-March, significantly impacted the Company's operations and cash flows which was the main driver of the impairment charges.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and may be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272"/>
              <w:spacing w:after="0" w:line="153" w:lineRule="exact"/>
              <w:rPr>
                <w:sz w:val="20"/>
                <w:szCs w:val="20"/>
                <w:color w:val="auto"/>
              </w:rPr>
            </w:pPr>
            <w:r>
              <w:rPr>
                <w:rFonts w:ascii="Arial" w:cs="Arial" w:eastAsia="Arial" w:hAnsi="Arial"/>
                <w:sz w:val="14"/>
                <w:szCs w:val="14"/>
                <w:b w:val="1"/>
                <w:bCs w:val="1"/>
                <w:color w:val="auto"/>
              </w:rPr>
              <w:t>May 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May 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69,284</w:t>
            </w:r>
          </w:p>
        </w:tc>
        <w:tc>
          <w:tcPr>
            <w:tcW w:w="6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91,003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35,096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40,535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50,468</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59,782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30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(25,574)</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30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(25,646)</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0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(15,537)</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Less: Net loss attributable to redeemable noncontrolling interest</w:t>
            </w:r>
          </w:p>
        </w:tc>
        <w:tc>
          <w:tcPr>
            <w:tcW w:w="3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20"/>
              <w:spacing w:after="0"/>
              <w:rPr>
                <w:sz w:val="20"/>
                <w:szCs w:val="20"/>
                <w:color w:val="auto"/>
              </w:rPr>
            </w:pPr>
            <w:r>
              <w:rPr>
                <w:rFonts w:ascii="Arial" w:cs="Arial" w:eastAsia="Arial" w:hAnsi="Arial"/>
                <w:sz w:val="18"/>
                <w:szCs w:val="18"/>
                <w:color w:val="auto"/>
              </w:rPr>
              <w:t>Net loss attributable to Vera Bradley, Inc.</w:t>
            </w:r>
          </w:p>
        </w:tc>
        <w:tc>
          <w:tcPr>
            <w:tcW w:w="30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(15,337)</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Revenues:</w:t>
            </w:r>
          </w:p>
        </w:tc>
        <w:tc>
          <w:tcPr>
            <w:tcW w:w="30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7"/>
        </w:trPr>
        <w:tc>
          <w:tcPr>
            <w:tcW w:w="50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4"/>
          </w:tcPr>
          <w:p>
            <w:pPr>
              <w:jc w:val="right"/>
              <w:ind w:right="35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3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3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3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w w:val="99"/>
              </w:rPr>
              <w:t>Less: Net loss attributable to redeemable noncontrolling interest</w:t>
            </w:r>
          </w:p>
        </w:tc>
        <w:tc>
          <w:tcPr>
            <w:tcW w:w="3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attributable to Vera Bradley, Inc.</w:t>
            </w:r>
          </w:p>
        </w:tc>
        <w:tc>
          <w:tcPr>
            <w:tcW w:w="30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Arial" w:cs="Arial" w:eastAsia="Arial" w:hAnsi="Arial"/>
                <w:sz w:val="18"/>
                <w:szCs w:val="18"/>
                <w:color w:val="auto"/>
              </w:rPr>
              <w:t>31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0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8"/>
              </w:rPr>
              <w:t>May 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center"/>
              <w:ind w:right="53"/>
              <w:spacing w:after="0" w:line="153" w:lineRule="exact"/>
              <w:rPr>
                <w:sz w:val="20"/>
                <w:szCs w:val="20"/>
                <w:color w:val="auto"/>
              </w:rPr>
            </w:pPr>
            <w:r>
              <w:rPr>
                <w:rFonts w:ascii="Arial" w:cs="Arial" w:eastAsia="Arial" w:hAnsi="Arial"/>
                <w:sz w:val="14"/>
                <w:szCs w:val="14"/>
                <w:b w:val="1"/>
                <w:bCs w:val="1"/>
                <w:color w:val="auto"/>
                <w:w w:val="98"/>
              </w:rPr>
              <w:t>May 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Revenues by Segment: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36,837</w:t>
            </w:r>
          </w:p>
        </w:tc>
        <w:tc>
          <w:tcPr>
            <w:tcW w:w="6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71,136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11,229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19,867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69,284</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91,003</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Revenues by Segment: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VB Direct</w:t>
            </w: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78.2 %</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VB Indirect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Pura Vida</w:t>
            </w: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8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8"/>
              </w:rPr>
              <w:t>May 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center"/>
              <w:ind w:right="53"/>
              <w:spacing w:after="0" w:line="153" w:lineRule="exact"/>
              <w:rPr>
                <w:sz w:val="20"/>
                <w:szCs w:val="20"/>
                <w:color w:val="auto"/>
              </w:rPr>
            </w:pPr>
            <w:r>
              <w:rPr>
                <w:rFonts w:ascii="Arial" w:cs="Arial" w:eastAsia="Arial" w:hAnsi="Arial"/>
                <w:sz w:val="14"/>
                <w:szCs w:val="14"/>
                <w:b w:val="1"/>
                <w:bCs w:val="1"/>
                <w:color w:val="auto"/>
                <w:w w:val="98"/>
              </w:rPr>
              <w:t>May 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Operating (Loss) Income by Segment: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(10,965)</w:t>
            </w:r>
          </w:p>
        </w:tc>
        <w:tc>
          <w:tcPr>
            <w:tcW w:w="6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Less: Corporate unallocated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(16,564)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(25,574)</w:t>
            </w:r>
          </w:p>
        </w:tc>
        <w:tc>
          <w:tcPr>
            <w:tcW w:w="6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(Loss) Income as a Percentage of Net Revenues by Segment: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stores opened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Total stores closed during period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stores open at end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 xml:space="preserve">Comparable sales (including e-commerce) increase </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square footage at end of period (all stores)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376,205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394,478</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8140" w:type="dxa"/>
            <w:vAlign w:val="bottom"/>
          </w:tcPr>
          <w:p>
            <w:pPr>
              <w:ind w:left="2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3"/>
                <w:szCs w:val="23"/>
                <w:color w:val="auto"/>
                <w:vertAlign w:val="superscript"/>
              </w:rPr>
              <w:t>(3)</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6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Vera Bradley full-line and factory outlet stores.</w:t>
      </w:r>
    </w:p>
    <w:p>
      <w:pPr>
        <w:spacing w:after="0" w:line="23" w:lineRule="exact"/>
        <w:rPr>
          <w:rFonts w:ascii="Arial" w:cs="Arial" w:eastAsia="Arial" w:hAnsi="Arial"/>
          <w:sz w:val="18"/>
          <w:szCs w:val="18"/>
          <w:color w:val="auto"/>
        </w:rPr>
      </w:pPr>
    </w:p>
    <w:p>
      <w:pPr>
        <w:ind w:left="580" w:right="40" w:hanging="572"/>
        <w:spacing w:after="0" w:line="265" w:lineRule="auto"/>
        <w:tabs>
          <w:tab w:leader="none" w:pos="574"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a result of the temporary closure of Vera Bradley stores due to COVID-19, the Company's fiscal 2021 first quarter comparable store sales and comparable sales calculations were not meaningful and therefore were not provided. Comparable sales are calculated based upon Vera Bradley stores that have been open for at least 12 full fiscal months and net revenues from our Vera Bradley e-commerce operations. Pura Vida e-commerce operations are not currently included within comparable sales. Increase or decrease is reported as a percentage of the comparable sales for the same period in the prior fiscal year. Remodeled stores are included in comparable sales unless the store was closed for a more than one week of the current or comparable prior period, in which case the non-comparable temporary closure periods are not included, or the remodel resulted in a significant change in square footage.</w:t>
      </w:r>
    </w:p>
    <w:p>
      <w:pPr>
        <w:spacing w:after="0" w:line="1" w:lineRule="exact"/>
        <w:rPr>
          <w:rFonts w:ascii="Arial" w:cs="Arial" w:eastAsia="Arial" w:hAnsi="Arial"/>
          <w:sz w:val="17"/>
          <w:szCs w:val="17"/>
          <w:color w:val="auto"/>
        </w:rPr>
      </w:pPr>
    </w:p>
    <w:p>
      <w:pPr>
        <w:ind w:left="580" w:right="20" w:hanging="572"/>
        <w:spacing w:after="0" w:line="253" w:lineRule="auto"/>
        <w:tabs>
          <w:tab w:leader="none" w:pos="5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As a result of the temporary closure of Vera Bradley stores due to COVID-19,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Company's fiscal 2021 first quarter average net revenues per gross square foot calculations were not meaningful and therefore were not provided.</w:t>
      </w:r>
    </w:p>
    <w:p>
      <w:pPr>
        <w:spacing w:after="0" w:line="285" w:lineRule="exact"/>
        <w:rPr>
          <w:sz w:val="20"/>
          <w:szCs w:val="20"/>
          <w:color w:val="auto"/>
        </w:rPr>
      </w:pPr>
    </w:p>
    <w:p>
      <w:pPr>
        <w:ind w:right="4600"/>
        <w:spacing w:after="0" w:line="354" w:lineRule="auto"/>
        <w:rPr>
          <w:sz w:val="20"/>
          <w:szCs w:val="20"/>
          <w:color w:val="auto"/>
        </w:rPr>
      </w:pPr>
      <w:r>
        <w:rPr>
          <w:rFonts w:ascii="Arial" w:cs="Arial" w:eastAsia="Arial" w:hAnsi="Arial"/>
          <w:sz w:val="18"/>
          <w:szCs w:val="18"/>
          <w:b w:val="1"/>
          <w:bCs w:val="1"/>
          <w:color w:val="auto"/>
        </w:rPr>
        <w:t xml:space="preserve">Thirteen Weeks Ended May 2, 2020, Compared to Thirteen Weeks Ended May 4, 2019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thirteen weeks ended May 2, 2020, net revenues decreased $21.7 million, or 23.9%, to $69.3 million, from $91.0 million in the comparable prior-year period.</w:t>
      </w:r>
    </w:p>
    <w:p>
      <w:pPr>
        <w:spacing w:after="0" w:line="292" w:lineRule="exact"/>
        <w:rPr>
          <w:sz w:val="20"/>
          <w:szCs w:val="20"/>
          <w:color w:val="auto"/>
        </w:rPr>
      </w:pPr>
    </w:p>
    <w:p>
      <w:pPr>
        <w:jc w:val="both"/>
        <w:ind w:right="280"/>
        <w:spacing w:after="0" w:line="262" w:lineRule="auto"/>
        <w:rPr>
          <w:sz w:val="20"/>
          <w:szCs w:val="20"/>
          <w:color w:val="auto"/>
        </w:rPr>
      </w:pPr>
      <w:r>
        <w:rPr>
          <w:rFonts w:ascii="Arial" w:cs="Arial" w:eastAsia="Arial" w:hAnsi="Arial"/>
          <w:sz w:val="17"/>
          <w:szCs w:val="17"/>
          <w:i w:val="1"/>
          <w:iCs w:val="1"/>
          <w:color w:val="auto"/>
        </w:rPr>
        <w:t>VB Direct</w:t>
      </w:r>
      <w:r>
        <w:rPr>
          <w:rFonts w:ascii="Arial" w:cs="Arial" w:eastAsia="Arial" w:hAnsi="Arial"/>
          <w:sz w:val="17"/>
          <w:szCs w:val="17"/>
          <w:color w:val="auto"/>
        </w:rPr>
        <w:t>. For the thirteen weeks ended May 2, 2020, net revenues in the VB Direct segment decreased $34.3 million, or 48.2%, to $36.8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$71.1 million in the comparable prior-year period. The decline primarily resulted from the Company’s stores that were temporarily closed as a result of COVID-19 beginning in mid-March, as well as the cancellation of our annual outlet sale which typically occurs in April. First quarter e-commerce sales included in Direct segment net revenues increased 20.5% over the comparable period in the prior-year.</w:t>
      </w:r>
    </w:p>
    <w:p>
      <w:pPr>
        <w:spacing w:after="0" w:line="199"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i w:val="1"/>
          <w:iCs w:val="1"/>
          <w:color w:val="auto"/>
        </w:rPr>
        <w:t>VB Indirect</w:t>
      </w:r>
      <w:r>
        <w:rPr>
          <w:rFonts w:ascii="Arial" w:cs="Arial" w:eastAsia="Arial" w:hAnsi="Arial"/>
          <w:sz w:val="17"/>
          <w:szCs w:val="17"/>
          <w:color w:val="auto"/>
        </w:rPr>
        <w:t>. For the thirteen weeks ended May 2, 2020, net revenues in the VB Indirect segment decreased $8.7 million, or 43.5%, to $11.2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$19.9 million in the comparable prior-year period. The decline was primarily due to a reduction in orders from specialty, department stores and other key accounts, largely related to COVID-19, as well as a reduction in the number of specialty and department store accounts.</w:t>
      </w:r>
    </w:p>
    <w:p>
      <w:pPr>
        <w:spacing w:after="0" w:line="1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thirteen weeks ended May 2, 2020, net revenues in the Pura Vida segment were $21.2 million. Refer to Note 12 to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herein for additional information regarding the Pura Vida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the thirteen weeks ended May 2, 2020, gross profit decreased $16.3 million, or 32.3%, to $34.2 million, from $50.5 million in the comparable prior-year period. As a percentage of net revenues, gross profit decreased to 49.3% for the thirteen weeks ended May 2, 2020, from 55.5% in the comparable prior-year period. Charges for the cancellation of certain purchase orders due to COVID-19 totaled $1.3 million and negatively impacted gross margin as a percentage of net revenues by 1.9%. The remaining decrease as a percentage of net revenues was primarily due to increased shipping costs and product mix changes partially as a result of temporary store closures associated with COVID-19.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thirteen weeks ended May 2, 2020, SG&amp;A expenses increased $5.5 million, or 10.1%, to $59.8 million, from $54.3 million in the comparable prior-year period. As a percentage of net revenues, SG&amp;A expenses increased to 86.3% for the thirteen weeks ended May 2, 2020, from 59.7% in the comparable prior-year period. The increase in SG&amp;A expenses for the thirteen weeks ended May 2, 2020 was primarily due to Pura Vida operating expenses of</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$10.2 million; store impairment charges of $3.8 million; amortization of intangible assets associated with the Pura Vida acquisition of $2.4 million; and $1.5 million of certain professional fees and accelerated depreciation charges related to our information technology re-platforming. These charges were partially offset by initiatives to reduce expenses in light of COVID-19 including the temporary furlough of approximately 80% of our workforce mid-quarter; temporarily reducing the base compensation for all other salaried associates; and reducing other non-payroll expenses including marketing, professional fees, and travel. In addition, there was a reduction in incentive compensation expense as a result of Company performance driven by COVID-</w:t>
      </w:r>
    </w:p>
    <w:p>
      <w:pPr>
        <w:spacing w:after="0" w:line="3" w:lineRule="exact"/>
        <w:rPr>
          <w:sz w:val="20"/>
          <w:szCs w:val="20"/>
          <w:color w:val="auto"/>
        </w:rPr>
      </w:pPr>
    </w:p>
    <w:p>
      <w:pPr>
        <w:ind w:right="60" w:firstLine="8"/>
        <w:spacing w:after="0" w:line="260"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SG&amp;A expenses as a percentage of net revenues increased primarily due to the aforementioned items, as well as SG&amp;A expense de-leverage associated with decreased sales.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thirteen weeks ended May 2, 2020, other income decreased $0.2 million to $20.0 thousand compared to $0.2 million in the comparable prior-year period. The decrease in other income was primarily due to outlet sale ticket sales not received in the current-year period due to the cancellation of our 2020 annual outlet sale as a result of COVID-19.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Income</w:t>
      </w:r>
    </w:p>
    <w:p>
      <w:pPr>
        <w:spacing w:after="0" w:line="10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thirteen weeks ended May 2, 2020, operating loss increased $22.0 million to $(25.6) million in the current-year period, from $(3.6) million in the comparable prior-year period. As a percentage of net revenues, operating loss was (36.9)% and (4.0)% for the thirteen weeks ended May 2, 2020 and May 4, 2019, respectively. Operating loss increased due to the factors described above.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For the thirteen weeks ended May 2, 2020, operating loss in the VB Direct segment increased $19.4 million, to $(11.0) million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$8.4 million in the comparable prior-year period. As a percentage of VB Direct segment net revenues, operating (loss) income in the VB Direct segment was (29.8)% and 11.8% for the thirteen weeks ended May 2, 2020 and May 4, 2019, respectively. The increase in operating loss as a percentage of VB Direct segment net revenues was primarily due to SG&amp;A expense de-leverage associated with lower sales primarily as a result of temporary store closures due to COVID-19, a decrease in gross margin as a percentage of net revenues as described above, store impairment charges, an allocation of charges for the cancellation of certain purchase orders related to COVID-19, and certain professional fees and accelerated depreciation charges for the Company’s technology re-platforming.</w:t>
      </w:r>
    </w:p>
    <w:p>
      <w:pPr>
        <w:spacing w:after="0" w:line="1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thirteen weeks ended May 2, 2020, operating income in the VB Indirect segment decreased $4.9 million, or 64.2%, to $2.8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$7.7 million in the comparable prior-year period. As a percentage of VB Indirect segment net revenues, operating income in the VB Indirect segment was 24.5% and 38.8% for the thirteen weeks ended May 2, 2020 and May 4, 2019, respectively. The decrease in operating income as a percentage of VB Indirect segment net revenues was primarily due to SG&amp;A expense deleverage associated with lower sales and a decrease in gross margin as a percentage of net revenues as described above.</w:t>
      </w:r>
    </w:p>
    <w:p>
      <w:pPr>
        <w:spacing w:after="0" w:line="13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thirteen weeks ended May 2, 2020, operating loss in the Pura Vida segment was $(0.8) million, or (3.8)% of Pura Vida segment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These operating results included $2.4 million of intangible asset amortization expense. Refer to Note 12 to the Notes to the Condensed Consolidated Financial Statements herein for additional information regarding the Pura Vida acquisition.</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thirteen weeks ended May 2, 2020, unallocated expenses decreased $3.1 million, or 16.0%, to $16.6 million from $19.7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The decrease in unallocated expenses was primarily due to initiatives to reduce expenses in light of COVID-19 including the temporary furlough of approximately 80% of our workforce mid-quarter; temporarily reducing the base compensation for all other associates; and reducing other non-payroll expenses including marketing, professional fees, and travel. In addition, there was a decrease in incentive compensation expense compared to the prior-year period as a result of Company performance driven by COVID-19.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effective tax rate for the thirteen weeks ended May 2, 2020, was 39.4%, compared to 24.8% for the thirteen weeks ended May 4, 2019. The year-over year effective tax rate increase was primarily due to the net operating loss (“NOL”) carryback in the current-year period as a result of the Coronavirus Aid, Relief, and Economic Security Act (“CARES Act”) that was enacted on March 27, 2020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thirteen weeks ended May 2, 2020, net loss increased $13.1 million to $(15.5) million from $(2.4) million in the comparable prior-year period due to the factors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Redeemable Noncontrolling Interest</w:t>
      </w:r>
    </w:p>
    <w:p>
      <w:pPr>
        <w:spacing w:after="0" w:line="10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the thirteen weeks ended May 2, 2020, net loss attributable to redeemable noncontrolling interest was $(0.2) million. This represents the allocation of the Pura Vida net loss to the noncontrolling interest. The net loss was due to the factors described above in the Pura Vida operating segment.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Vera Bradley, Inc.</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thirteen weeks ended May 2, 2020, net loss attributable to Vera Bradley, Inc. increased $12.9 million to $(15.3) million from $(2.4) million in the comparable prior-year period due to the factors described above.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primary sources of liquidity are cash on hand and cash equivalents, investments, and cash flow from operations. We also have access to additional liquidity, if needed, through incremental borrowings under our $75.0 million asset-based revolving credit agreement (the “Credit Agreement”) which began on September 7, 2018. Borrowings under the credit agreement totaled $60.0 million during the thirteen weeks ended May 2, 2020, and there was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$60.0 million in debt outstanding as of May 2, 2020.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light of the COVID-19 pandemic, we anticipate that we will have increased needs for cash due to store closures and a general decline in sales related to the pandemic. While we believe that cash on hand and cash equivalents, investments, cash flows from operating activities, and the additional availability of borrowings under our Credit Agreement or other financing arrangements will be sufficient to meet working capital requirements and anticipated capital expenditures, other strategic uses of cash, if any, and debt payments for the foreseeable future, we cannot predict the full cash needs of the Company during the pandemic, which may be substantial.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0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Investments classified as cash equivalents relate to highly-liquid investments with a maturity of three months or less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As of May 2, 2020 and February 1, 2020, these investments in the Company's portfolio consisted of a money market fund. The balance as of February 1, 2020 also included commercial paper.</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As of May 2, 2020 and February 1, 2020 short-term investments consisted of U.S. and non-U.S. corporate debt securities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within one year of the balance sheet date. The balance as of February 1, 2020 also included commercial paper, municipal securities, and U.S. asset-backed securities.</w:t>
      </w:r>
    </w:p>
    <w:p>
      <w:pPr>
        <w:spacing w:after="0" w:line="4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As of May 2, 2020 and February 1, 2020, long-term investments consisted of U.S. and non-U.S. corporate debt securities and U.S.</w:t>
      </w:r>
      <w:r>
        <w:rPr>
          <w:rFonts w:ascii="Arial" w:cs="Arial" w:eastAsia="Arial" w:hAnsi="Arial"/>
          <w:sz w:val="18"/>
          <w:szCs w:val="18"/>
          <w:i w:val="1"/>
          <w:iCs w:val="1"/>
          <w:color w:val="auto"/>
        </w:rPr>
        <w:t xml:space="preserve"> </w:t>
      </w:r>
      <w:r>
        <w:rPr>
          <w:rFonts w:ascii="Arial" w:cs="Arial" w:eastAsia="Arial" w:hAnsi="Arial"/>
          <w:sz w:val="18"/>
          <w:szCs w:val="18"/>
          <w:color w:val="auto"/>
        </w:rPr>
        <w:t>asset-backed securities with a maturity greater than one year from the balance sheet date. The balance as of February 1, 2020 also included non-U.S. asset-backed securities and other foreign securities.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11 “Investments” within Item 1 “Financial Statements” of this Quarterly Report on Form 10-Q for additional detail regarding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May 2,</w:t>
            </w:r>
          </w:p>
        </w:tc>
        <w:tc>
          <w:tcPr>
            <w:tcW w:w="300" w:type="dxa"/>
            <w:vAlign w:val="bottom"/>
          </w:tcPr>
          <w:p>
            <w:pPr>
              <w:spacing w:after="0"/>
              <w:rPr>
                <w:sz w:val="13"/>
                <w:szCs w:val="13"/>
                <w:color w:val="auto"/>
              </w:rPr>
            </w:pPr>
          </w:p>
        </w:tc>
        <w:tc>
          <w:tcPr>
            <w:tcW w:w="1140" w:type="dxa"/>
            <w:vAlign w:val="bottom"/>
          </w:tcPr>
          <w:p>
            <w:pPr>
              <w:jc w:val="right"/>
              <w:ind w:right="437"/>
              <w:spacing w:after="0" w:line="153" w:lineRule="exact"/>
              <w:rPr>
                <w:sz w:val="20"/>
                <w:szCs w:val="20"/>
                <w:color w:val="auto"/>
              </w:rPr>
            </w:pPr>
            <w:r>
              <w:rPr>
                <w:rFonts w:ascii="Arial" w:cs="Arial" w:eastAsia="Arial" w:hAnsi="Arial"/>
                <w:sz w:val="14"/>
                <w:szCs w:val="14"/>
                <w:b w:val="1"/>
                <w:bCs w:val="1"/>
                <w:color w:val="auto"/>
              </w:rPr>
              <w:t>May 4,</w:t>
            </w:r>
          </w:p>
        </w:tc>
      </w:tr>
      <w:tr>
        <w:trPr>
          <w:trHeight w:val="192"/>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(5,215)</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19,692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(4,633)</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37,413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(3,846)</w:t>
            </w:r>
          </w:p>
        </w:tc>
      </w:tr>
      <w:tr>
        <w:trPr>
          <w:trHeight w:val="27"/>
        </w:trPr>
        <w:tc>
          <w:tcPr>
            <w:tcW w:w="8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0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Net cash used in operating activities consists primarily of net loss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3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Net cash used in operating activities for the thirteen weeks ended May 2, 2020 was $24.7 million compared to $5.2 million for the thirteen weeks ended May 4, 2019. The increase in cash used in operating activities was primarily related to an increase in the net loss compared to the prior-year period, as well as the change in inventories, income taxes, and prepaid expenses and other assets resulting in an increased use of cash, partially offset by the change in net operating lease liabilities and accounts receivable resulting in an increased source of cash. The increases in use of cash were primarily related to temporary store closures and the cancellation of our annual outlet sale as a result of COVID-19; an increase in the income tax receivable due to the increased net loss compared to the prior-year period; and payments made for Pura Vida operations not in the prior-year period, as well as certain Vera Bradley technology project expenditures. Increases resulting in a source of cash were primarily related to the deferral of rent payments as a result of COVID-19 and a decrease in trade accounts receivable also primarily due to COVID-19.</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1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Net cash provided by investing activities was $19.7 million for the thirteen weeks ended May 2, 2020 compared to cash used in investing activities of $4.6 million for the thirteen weeks ended May 4, 2019. The increase in cash provided by investing activities was primarily a result of net investment activity in the current-year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2021 are expected to be approximately $8.0 million to $10.0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financing activities was $37.4 million for the thirteen weeks ended May 2, 2020 compared to cash used in financing activities of $3.8 million for the thirteen weeks ended May 4, 2019. The increase in cash provided by financing activities was primarily due to borrowings of $60.0 million under our Credit Agreement, partially offset by the $18.7 million payment of the contingent consideration associated with the July 2019 acquisition of Pura Vida.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May 2, 2020.</w:t>
      </w:r>
    </w:p>
    <w:p>
      <w:pPr>
        <w:spacing w:after="0" w:line="40"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2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May 2, 2020 the Company had outstanding borrowings of $60.0 million and availability of $15.0 million under the Credit Agreement, compared to no borrowings outstanding and availability of $75.0 million as of February 1, 2020 under the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1, 2020.</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1, 2020. There were no significant changes to any of the critical accounting policies and estimates described in the Annual Report as of May 2,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May 2, 2020, there was no material change in the market risks described in “Quantitative and Qualitative Disclosures About Market Risks” in the Company’s Annual Report on Form 10-K for the fiscal year ended February 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May 2, 2020.</w:t>
      </w:r>
    </w:p>
    <w:p>
      <w:pPr>
        <w:spacing w:after="0" w:line="13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16, 2019, the Company completed its acquisition of a majority interest in Pura Vida. Pura Vida constitutes approximately 24% of total assets and 5% of total liabilities as of May 2, 2020, and approximately 31% of net revenues for the thirteen weeks ended May 2, 2020. The Company is in the process of evaluating the existing controls and procedures of the acquired business and integrating the acquired business into its system of internal control over financial reporting. In accordance with SEC Staff guidance permitting a company to exclude an acquired business from management’s assessment of the effectiveness of internal control over financial reporting for the year in which the acquisition is completed, we have excluded from the above assessment of the Company’s disclosure controls and procedures the disclosure controls and procedures of the acquired business that are subsumed by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alleges various violations of the California Labor Code related to wages, overtime, meal and rest breaks, non-compliant wage statements and records and other similar allegations related to employment. The Plaintiff has also filed a Private Attorney General Act claim with the state of California regarding the same allegations. The Company denies all liability and intends to vigorously defend itself in the case. The case is currently awaiting a status conference before proceeding, which has been delayed due to the COVID-19 pandemic.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Except as follows, there have been no material changes to the risk factors previously set forth in the Company’s Annual Report on Form 10-K for the fiscal year ended February 1, 2020.</w:t>
      </w:r>
    </w:p>
    <w:p>
      <w:pPr>
        <w:spacing w:after="0" w:line="35" w:lineRule="exact"/>
        <w:rPr>
          <w:sz w:val="20"/>
          <w:szCs w:val="20"/>
          <w:color w:val="auto"/>
        </w:rPr>
      </w:pPr>
    </w:p>
    <w:p>
      <w:pPr>
        <w:ind w:right="300"/>
        <w:spacing w:after="0" w:line="366" w:lineRule="auto"/>
        <w:rPr>
          <w:sz w:val="20"/>
          <w:szCs w:val="20"/>
          <w:color w:val="auto"/>
        </w:rPr>
      </w:pPr>
      <w:r>
        <w:rPr>
          <w:rFonts w:ascii="Arial" w:cs="Arial" w:eastAsia="Arial" w:hAnsi="Arial"/>
          <w:sz w:val="15"/>
          <w:szCs w:val="15"/>
          <w:b w:val="1"/>
          <w:bCs w:val="1"/>
          <w:i w:val="1"/>
          <w:iCs w:val="1"/>
          <w:color w:val="auto"/>
        </w:rPr>
        <w:t>The outbreak of the novel coronavirus (COVID-19) may continue to cause significant disruptions in our revenue streams, operations, global supply chain and other facets of our business, which may continue to adversely impact our results of operations, financial condition, and share price.</w:t>
      </w:r>
    </w:p>
    <w:p>
      <w:pPr>
        <w:ind w:right="80"/>
        <w:spacing w:after="0" w:line="271" w:lineRule="auto"/>
        <w:rPr>
          <w:sz w:val="20"/>
          <w:szCs w:val="20"/>
          <w:color w:val="auto"/>
        </w:rPr>
      </w:pPr>
      <w:r>
        <w:rPr>
          <w:rFonts w:ascii="Arial" w:cs="Arial" w:eastAsia="Arial" w:hAnsi="Arial"/>
          <w:sz w:val="17"/>
          <w:szCs w:val="17"/>
          <w:color w:val="auto"/>
        </w:rPr>
        <w:t>Our operations are currently subject to significant disruptions as a result of the COVID-19 pandemic, which began in Wuhan, China. The pandemic has resulted in travel restrictions both domestically and internationally, community and self quarantines, certain factory closures or reduced operations, as well as mall closures and reduced mall operating hours. We temporarily closed our retail stores on March 19, 2020. On May 5, 2020, we began to reopen our retail stores in a phased approach, with 18 out of 83 full-line stores and 40 out of 64 factory stores open as of the end of May. We expect that we will reopen nearly the entire store base by the end of June, barring any material public reopening setbacks. Despite the ongoing reopening of our retail stores, we have experienced, and may continue to experience, significantly reduced traffic, demand, and sales. Further, as guidance and mandates from governments and public health officials continue to evolve, additional closures to some, or all, of our retail stores, the stores of our Indirect segment partners, and other aspects of our operations may occur.</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Among other impacts, COVID-19 has led to temporary factory closures and production and logistics constraints due to workforce availability in China. Although we continue to reduce our reliance on production from China, we expect our China production to be approximately 20% during fiscal 2021. As a result of the aforementioned restrictions, we may experience delayed shipments and increased shipping costs for some of our fiscal 2021 merchandise. We may also be adversely impacted should the pandemic compromise operations at our corporate headquarters and distribution center located in Roanoke, Indiana.</w:t>
      </w:r>
    </w:p>
    <w:p>
      <w:pPr>
        <w:spacing w:after="0" w:line="5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extent of the pandemic’s continued impact on our results of operations, financial condition, and share price will likely depend on future developments including, but not limited to, the duration of the spread of the outbreak, including the potential for spikes in the number of COVID-19 cases in future periods; mitigation activities undertaken by governments and the general public; and the overall economic impacts of quarantines and business closures.</w:t>
      </w:r>
    </w:p>
    <w:p>
      <w:pPr>
        <w:spacing w:after="0" w:line="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 above-mentioned factors, the Company’s liquidity, results of operations, and financial condition have been, and are likely to continue to be, adversely impacted.</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in mid-March 2020, we began taking several actions to navigate the COVID-19 pandemic, protect our financial position, maximize our liquidity, and to position the Company for a strong reopening and future. In addition to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aforementioned store closures, these actions included: temporarily furloughing approximately 80% of our workforce during the first quarter; temporarily reducing compensation for remaining salaried associates based on a graduated scale; temporarily suspending cash compensation to our board of directors; temporarily suspending our share repurchase program; drawing $60.0 million of our $75.0 million Credit Agreement; temporarily eliminating the Company 401(k) and associate charitable contribution matches; tightly managing inventory levels through the cancellation of purchase orders, delay of receipts, or seeking price concessions where possible; actively working with landlords on addressing rent abatements, payments terms, accelerating store closures, and delaying or cancelling certain planned new store openings; reducing non-payroll operating expenses; and extending vendor payment terms. We are also leveraging the Coronavirus Aid Relief and Economic Security (CARES) Act to enhance the financial well-being of associates and to maximize the financial health of the Company. Measures to mitigate COVID-19 impacts to our business may result in additional risk exposure or prove ineffectual. For example, we have and may continue to incur additional interest costs associated with increased borrowings under our Credit Agreement. As of the end of May, approximately 65% of our associates remain on furlough.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On November 29, 2018, the Company's board of directors approved a share repurchase plan (the “2018 Share Repurchase Program”) authorizing up</w:t>
      </w:r>
    </w:p>
    <w:p>
      <w:pPr>
        <w:spacing w:after="0" w:line="3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to $50.0 million of repurchases of shares of the Company's common stock. The 2018 Share Repurchase Program is scheduled to expire on December 14, 2020. To conserve cash as a result of COVID-19, the Company temporarily suspended the share repurchase program.</w:t>
      </w:r>
    </w:p>
    <w:p>
      <w:pPr>
        <w:spacing w:after="0" w:line="5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purchased 381,835 shares at an average price of $7.60 per share, excluding commissions, for an aggregate amount of $2.9 million during the thirteen weeks ended May 2,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activity under the program during the thirteen weeks ended May 2, 2020 are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40" w:type="dxa"/>
            <w:vAlign w:val="bottom"/>
          </w:tcPr>
          <w:p>
            <w:pPr>
              <w:spacing w:after="0"/>
              <w:rPr>
                <w:sz w:val="12"/>
                <w:szCs w:val="12"/>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8"/>
        </w:trPr>
        <w:tc>
          <w:tcPr>
            <w:tcW w:w="35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 Plans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Under the Plans or Program</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 2020 - February 29, 2020</w:t>
            </w:r>
          </w:p>
        </w:tc>
        <w:tc>
          <w:tcPr>
            <w:tcW w:w="1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178,824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178,824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34,190,967</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March 1, 2020 - April 4, 2020</w:t>
            </w:r>
          </w:p>
        </w:tc>
        <w:tc>
          <w:tcPr>
            <w:tcW w:w="1820" w:type="dxa"/>
            <w:vAlign w:val="bottom"/>
          </w:tcPr>
          <w:p>
            <w:pPr>
              <w:jc w:val="right"/>
              <w:ind w:right="76"/>
              <w:spacing w:after="0"/>
              <w:rPr>
                <w:sz w:val="20"/>
                <w:szCs w:val="20"/>
                <w:color w:val="auto"/>
              </w:rPr>
            </w:pPr>
            <w:r>
              <w:rPr>
                <w:rFonts w:ascii="Arial" w:cs="Arial" w:eastAsia="Arial" w:hAnsi="Arial"/>
                <w:sz w:val="18"/>
                <w:szCs w:val="18"/>
                <w:color w:val="auto"/>
              </w:rPr>
              <w:t>203,011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76"/>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820" w:type="dxa"/>
            <w:vAlign w:val="bottom"/>
          </w:tcPr>
          <w:p>
            <w:pPr>
              <w:jc w:val="right"/>
              <w:ind w:right="79"/>
              <w:spacing w:after="0"/>
              <w:rPr>
                <w:sz w:val="20"/>
                <w:szCs w:val="20"/>
                <w:color w:val="auto"/>
              </w:rPr>
            </w:pPr>
            <w:r>
              <w:rPr>
                <w:rFonts w:ascii="Arial" w:cs="Arial" w:eastAsia="Arial" w:hAnsi="Arial"/>
                <w:sz w:val="18"/>
                <w:szCs w:val="18"/>
                <w:color w:val="auto"/>
              </w:rPr>
              <w:t>203,011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77"/>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5, 2020 - May 2, 2020</w:t>
            </w:r>
          </w:p>
        </w:tc>
        <w:tc>
          <w:tcPr>
            <w:tcW w:w="1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8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381,835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381,835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8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w:t>
            </w:r>
          </w:p>
        </w:tc>
        <w:tc>
          <w:tcPr>
            <w:tcW w:w="8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0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10.1</w:t>
              </w:r>
            </w:hyperlink>
          </w:p>
        </w:tc>
        <w:tc>
          <w:tcPr>
            <w:tcW w:w="80" w:type="dxa"/>
            <w:vAlign w:val="bottom"/>
          </w:tcPr>
          <w:p>
            <w:pPr>
              <w:spacing w:after="0"/>
              <w:rPr>
                <w:sz w:val="23"/>
                <w:szCs w:val="23"/>
                <w:color w:val="auto"/>
              </w:rPr>
            </w:pPr>
          </w:p>
        </w:tc>
        <w:tc>
          <w:tcPr>
            <w:tcW w:w="874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Fiscal 2021 Annual Incentive Compensation Plan (Executives)</w:t>
              </w:r>
            </w:hyperlink>
          </w:p>
        </w:tc>
        <w:tc>
          <w:tcPr>
            <w:tcW w:w="0" w:type="dxa"/>
            <w:vAlign w:val="bottom"/>
          </w:tcPr>
          <w:p>
            <w:pPr>
              <w:spacing w:after="0"/>
              <w:rPr>
                <w:sz w:val="1"/>
                <w:szCs w:val="1"/>
                <w:color w:val="auto"/>
              </w:rPr>
            </w:pPr>
          </w:p>
        </w:tc>
      </w:tr>
      <w:tr>
        <w:trPr>
          <w:trHeight w:val="284"/>
        </w:trPr>
        <w:tc>
          <w:tcPr>
            <w:tcW w:w="100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10.2</w:t>
              </w:r>
            </w:hyperlink>
          </w:p>
        </w:tc>
        <w:tc>
          <w:tcPr>
            <w:tcW w:w="80" w:type="dxa"/>
            <w:vAlign w:val="bottom"/>
          </w:tcPr>
          <w:p>
            <w:pPr>
              <w:spacing w:after="0"/>
              <w:rPr>
                <w:sz w:val="24"/>
                <w:szCs w:val="24"/>
                <w:color w:val="auto"/>
              </w:rPr>
            </w:pPr>
          </w:p>
        </w:tc>
        <w:tc>
          <w:tcPr>
            <w:tcW w:w="874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Form of Outside Director Restricted Stock Unit Terms and Conditions (Amended April 7, 2020)</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31.1</w:t>
              </w:r>
            </w:hyperlink>
          </w:p>
        </w:tc>
        <w:tc>
          <w:tcPr>
            <w:tcW w:w="80" w:type="dxa"/>
            <w:vAlign w:val="bottom"/>
          </w:tcPr>
          <w:p>
            <w:pPr>
              <w:spacing w:after="0"/>
              <w:rPr>
                <w:sz w:val="24"/>
                <w:szCs w:val="24"/>
                <w:color w:val="auto"/>
              </w:rPr>
            </w:pPr>
          </w:p>
        </w:tc>
        <w:tc>
          <w:tcPr>
            <w:tcW w:w="874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CEO Section 302 Certification</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31.2</w:t>
              </w:r>
            </w:hyperlink>
          </w:p>
        </w:tc>
        <w:tc>
          <w:tcPr>
            <w:tcW w:w="80" w:type="dxa"/>
            <w:vAlign w:val="bottom"/>
          </w:tcPr>
          <w:p>
            <w:pPr>
              <w:spacing w:after="0"/>
              <w:rPr>
                <w:sz w:val="24"/>
                <w:szCs w:val="24"/>
                <w:color w:val="auto"/>
              </w:rPr>
            </w:pPr>
          </w:p>
        </w:tc>
        <w:tc>
          <w:tcPr>
            <w:tcW w:w="874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CFO Section 302 Certification</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32.1</w:t>
              </w:r>
            </w:hyperlink>
          </w:p>
        </w:tc>
        <w:tc>
          <w:tcPr>
            <w:tcW w:w="80" w:type="dxa"/>
            <w:vAlign w:val="bottom"/>
          </w:tcPr>
          <w:p>
            <w:pPr>
              <w:spacing w:after="0"/>
              <w:rPr>
                <w:sz w:val="24"/>
                <w:szCs w:val="24"/>
                <w:color w:val="auto"/>
              </w:rPr>
            </w:pPr>
          </w:p>
        </w:tc>
        <w:tc>
          <w:tcPr>
            <w:tcW w:w="874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Section 906 Certifications*</w:t>
              </w:r>
            </w:hyperlink>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8740" w:type="dxa"/>
            <w:vAlign w:val="bottom"/>
          </w:tcPr>
          <w:p>
            <w:pPr>
              <w:ind w:left="20"/>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8740" w:type="dxa"/>
            <w:vAlign w:val="bottom"/>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74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74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874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874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00" w:hanging="67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Vera Bradley, Inc.</w:t>
      </w:r>
    </w:p>
    <w:p>
      <w:pPr>
        <w:ind w:left="5680"/>
        <w:spacing w:after="0"/>
        <w:rPr>
          <w:sz w:val="20"/>
          <w:szCs w:val="20"/>
          <w:color w:val="auto"/>
        </w:rPr>
      </w:pPr>
      <w:r>
        <w:rPr>
          <w:rFonts w:ascii="Arial" w:cs="Arial" w:eastAsia="Arial" w:hAnsi="Arial"/>
          <w:sz w:val="18"/>
          <w:szCs w:val="18"/>
          <w:color w:val="auto"/>
        </w:rPr>
        <w:t>(Registrant)</w:t>
      </w:r>
    </w:p>
    <w:p>
      <w:pPr>
        <w:spacing w:after="0" w:line="290"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June 10, 2020</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31750</wp:posOffset>
            </wp:positionV>
            <wp:extent cx="3522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John Enwright</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21" w:right="379" w:bottom="1440" w:gutter="0" w:footer="0" w:header="0"/>
        </w:sectPr>
      </w:pPr>
    </w:p>
    <w:bookmarkStart w:id="43" w:name="page44"/>
    <w:bookmarkEnd w:id="4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Officer Annual Incentive Compensation Plan</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 Overview</w:t>
      </w:r>
    </w:p>
    <w:p>
      <w:pPr>
        <w:spacing w:after="0" w:line="24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Awards under this Annual Incentive Compensation Plan (“Annual Plan”) are granted under and governed by the terms and conditions of the Vera Bradley, Inc. 2010 Equity and Incentive Plan (the “2010 Plan”), as amended. Any term capitalized herein but not defined will have the meaning set forth in the 2010 Plan.</w:t>
      </w:r>
    </w:p>
    <w:p>
      <w:pPr>
        <w:spacing w:after="0" w:line="20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This Annual Plan is designed to give each eligible Participant (as defined in the attached Administrative Guidelines) an opportunity to share in the Company's success for the fiscal year ending January 30, 2021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three independent performance measures: (1) Brand/Enterprise Performance (made up of net revenue and operating income), (2) Brand/ Enterprise Strategic Objectives, and (3) Individual Financial Goals. Collectively, these are referred to as the “FY21 Performance Measures.”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Incentive Opportunity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incentive opportunity for each Participant is determined based on a percentage of each Participant's Base Salary (as defined below) based upon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Participant’s level:</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000" w:type="dxa"/>
            <w:vAlign w:val="bottom"/>
            <w:tcBorders>
              <w:top w:val="single" w:sz="8" w:color="auto"/>
              <w:left w:val="single" w:sz="8" w:color="auto"/>
              <w:right w:val="single" w:sz="8" w:color="auto"/>
            </w:tcBorders>
          </w:tcPr>
          <w:p>
            <w:pPr>
              <w:spacing w:after="0"/>
              <w:rPr>
                <w:sz w:val="22"/>
                <w:szCs w:val="22"/>
                <w:color w:val="auto"/>
              </w:rPr>
            </w:pPr>
          </w:p>
        </w:tc>
        <w:tc>
          <w:tcPr>
            <w:tcW w:w="42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Incentive Opportunity as a Percentage of Base Salary</w:t>
            </w:r>
          </w:p>
        </w:tc>
      </w:tr>
      <w:tr>
        <w:trPr>
          <w:trHeight w:val="27"/>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7000" w:type="dxa"/>
            <w:vAlign w:val="bottom"/>
            <w:tcBorders>
              <w:left w:val="single" w:sz="8" w:color="auto"/>
              <w:right w:val="single" w:sz="8" w:color="auto"/>
            </w:tcBorders>
          </w:tcPr>
          <w:p>
            <w:pPr>
              <w:ind w:left="2840"/>
              <w:spacing w:after="0"/>
              <w:rPr>
                <w:sz w:val="20"/>
                <w:szCs w:val="20"/>
                <w:color w:val="auto"/>
              </w:rPr>
            </w:pPr>
            <w:r>
              <w:rPr>
                <w:rFonts w:ascii="Arial" w:cs="Arial" w:eastAsia="Arial" w:hAnsi="Arial"/>
                <w:sz w:val="18"/>
                <w:szCs w:val="18"/>
                <w:b w:val="1"/>
                <w:bCs w:val="1"/>
                <w:color w:val="auto"/>
              </w:rPr>
              <w:t>Participant Level</w:t>
            </w:r>
          </w:p>
        </w:tc>
        <w:tc>
          <w:tcPr>
            <w:tcW w:w="158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Threshold</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60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Excellence</w:t>
            </w:r>
          </w:p>
        </w:tc>
      </w:tr>
      <w:tr>
        <w:trPr>
          <w:trHeight w:val="27"/>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15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37.5%</w:t>
            </w:r>
          </w:p>
        </w:tc>
        <w:tc>
          <w:tcPr>
            <w:tcW w:w="10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160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200%</w:t>
            </w:r>
          </w:p>
        </w:tc>
      </w:tr>
      <w:tr>
        <w:trPr>
          <w:trHeight w:val="27"/>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Officer</w:t>
            </w:r>
          </w:p>
        </w:tc>
        <w:tc>
          <w:tcPr>
            <w:tcW w:w="158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15%</w:t>
            </w:r>
          </w:p>
        </w:tc>
        <w:tc>
          <w:tcPr>
            <w:tcW w:w="10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40%</w:t>
            </w:r>
          </w:p>
        </w:tc>
        <w:tc>
          <w:tcPr>
            <w:tcW w:w="160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80%</w:t>
            </w:r>
          </w:p>
        </w:tc>
      </w:tr>
      <w:tr>
        <w:trPr>
          <w:trHeight w:val="27"/>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pacing w:after="0" w:line="19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Each Participant will have the opportunity to earn the incentive set forth above based on the level of achievement against the FY21 Performance Measures. The applicability and weighting of the FY21 Performance Measures relative to the total incentive opportunity is also based upon the Participant’s level as follows: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 Bradley/Pura Vida Brand - 80% Brand; 20% Enterprise</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00" w:type="dxa"/>
            <w:vAlign w:val="bottom"/>
            <w:tcBorders>
              <w:top w:val="single" w:sz="8" w:color="auto"/>
              <w:left w:val="single" w:sz="8" w:color="auto"/>
              <w:right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6800" w:type="dxa"/>
            <w:vAlign w:val="bottom"/>
            <w:tcBorders>
              <w:top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As a Percentage of Total Target Incentive Opportunity Shown Above</w:t>
            </w:r>
          </w:p>
        </w:tc>
        <w:tc>
          <w:tcPr>
            <w:tcW w:w="0" w:type="dxa"/>
            <w:vAlign w:val="bottom"/>
          </w:tcPr>
          <w:p>
            <w:pPr>
              <w:spacing w:after="0"/>
              <w:rPr>
                <w:sz w:val="1"/>
                <w:szCs w:val="1"/>
                <w:color w:val="auto"/>
              </w:rPr>
            </w:pPr>
          </w:p>
        </w:tc>
      </w:tr>
      <w:tr>
        <w:trPr>
          <w:trHeight w:val="211"/>
        </w:trPr>
        <w:tc>
          <w:tcPr>
            <w:tcW w:w="300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rPr>
              <w:t>Brand Performance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Enterprise</w:t>
            </w:r>
          </w:p>
        </w:tc>
        <w:tc>
          <w:tcPr>
            <w:tcW w:w="138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Brand</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340"/>
              <w:spacing w:after="0" w:line="202" w:lineRule="exact"/>
              <w:rPr>
                <w:sz w:val="20"/>
                <w:szCs w:val="20"/>
                <w:color w:val="auto"/>
              </w:rPr>
            </w:pPr>
            <w:r>
              <w:rPr>
                <w:rFonts w:ascii="Arial" w:cs="Arial" w:eastAsia="Arial" w:hAnsi="Arial"/>
                <w:sz w:val="18"/>
                <w:szCs w:val="18"/>
                <w:b w:val="1"/>
                <w:bCs w:val="1"/>
                <w:color w:val="auto"/>
              </w:rPr>
              <w:t>Performance</w:t>
            </w:r>
          </w:p>
        </w:tc>
        <w:tc>
          <w:tcPr>
            <w:tcW w:w="1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8"/>
              </w:rPr>
              <w:t>Strategic</w:t>
            </w:r>
          </w:p>
        </w:tc>
        <w:tc>
          <w:tcPr>
            <w:tcW w:w="1720" w:type="dxa"/>
            <w:vAlign w:val="bottom"/>
            <w:tcBorders>
              <w:right w:val="single" w:sz="8" w:color="auto"/>
            </w:tcBorders>
          </w:tcPr>
          <w:p>
            <w:pPr>
              <w:ind w:left="240"/>
              <w:spacing w:after="0" w:line="202" w:lineRule="exact"/>
              <w:rPr>
                <w:sz w:val="20"/>
                <w:szCs w:val="20"/>
                <w:color w:val="auto"/>
              </w:rPr>
            </w:pPr>
            <w:r>
              <w:rPr>
                <w:rFonts w:ascii="Arial" w:cs="Arial" w:eastAsia="Arial" w:hAnsi="Arial"/>
                <w:sz w:val="18"/>
                <w:szCs w:val="18"/>
                <w:b w:val="1"/>
                <w:bCs w:val="1"/>
                <w:color w:val="auto"/>
              </w:rPr>
              <w:t>Financial Goals</w:t>
            </w:r>
          </w:p>
        </w:tc>
        <w:tc>
          <w:tcPr>
            <w:tcW w:w="0" w:type="dxa"/>
            <w:vAlign w:val="bottom"/>
          </w:tcPr>
          <w:p>
            <w:pPr>
              <w:spacing w:after="0"/>
              <w:rPr>
                <w:sz w:val="1"/>
                <w:szCs w:val="1"/>
                <w:color w:val="auto"/>
              </w:rPr>
            </w:pPr>
          </w:p>
        </w:tc>
      </w:tr>
      <w:tr>
        <w:trPr>
          <w:trHeight w:val="45"/>
        </w:trPr>
        <w:tc>
          <w:tcPr>
            <w:tcW w:w="30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Objectives</w:t>
            </w:r>
          </w:p>
        </w:tc>
        <w:tc>
          <w:tcPr>
            <w:tcW w:w="17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000" w:type="dxa"/>
            <w:vAlign w:val="bottom"/>
            <w:tcBorders>
              <w:left w:val="single" w:sz="8" w:color="auto"/>
              <w:right w:val="single" w:sz="8" w:color="auto"/>
            </w:tcBorders>
            <w:vMerge w:val="restart"/>
          </w:tcPr>
          <w:p>
            <w:pPr>
              <w:jc w:val="center"/>
              <w:ind w:left="10"/>
              <w:spacing w:after="0"/>
              <w:rPr>
                <w:sz w:val="20"/>
                <w:szCs w:val="20"/>
                <w:color w:val="auto"/>
              </w:rPr>
            </w:pPr>
            <w:r>
              <w:rPr>
                <w:rFonts w:ascii="Arial" w:cs="Arial" w:eastAsia="Arial" w:hAnsi="Arial"/>
                <w:sz w:val="18"/>
                <w:szCs w:val="18"/>
                <w:b w:val="1"/>
                <w:bCs w:val="1"/>
                <w:color w:val="auto"/>
                <w:w w:val="92"/>
              </w:rPr>
              <w:t>Participant Level</w:t>
            </w:r>
          </w:p>
        </w:tc>
        <w:tc>
          <w:tcPr>
            <w:tcW w:w="146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89"/>
              </w:rPr>
              <w:t>Net Revenue</w:t>
            </w:r>
          </w:p>
        </w:tc>
        <w:tc>
          <w:tcPr>
            <w:tcW w:w="2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Operating Income</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Operating Income</w:t>
            </w:r>
          </w:p>
        </w:tc>
        <w:tc>
          <w:tcPr>
            <w:tcW w:w="138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30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vMerge w:val="continue"/>
          </w:tcPr>
          <w:p>
            <w:pPr>
              <w:spacing w:after="0"/>
              <w:rPr>
                <w:sz w:val="6"/>
                <w:szCs w:val="6"/>
                <w:color w:val="auto"/>
              </w:rPr>
            </w:pPr>
          </w:p>
        </w:tc>
        <w:tc>
          <w:tcPr>
            <w:tcW w:w="1700" w:type="dxa"/>
            <w:vAlign w:val="bottom"/>
            <w:tcBorders>
              <w:bottom w:val="single" w:sz="8" w:color="auto"/>
              <w:right w:val="single" w:sz="8" w:color="auto"/>
            </w:tcBorders>
            <w:vMerge w:val="continue"/>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0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4"/>
              </w:rPr>
              <w:t>Executive Officer</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20%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10%</w:t>
            </w:r>
          </w:p>
        </w:tc>
        <w:tc>
          <w:tcPr>
            <w:tcW w:w="138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25%</w:t>
            </w:r>
          </w:p>
        </w:tc>
        <w:tc>
          <w:tcPr>
            <w:tcW w:w="17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260"/>
          </w:cols>
          <w:pgMar w:left="320" w:top="891"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Enterprise - 100% Enterprise Performance; 0% Brand Performance</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60" w:type="dxa"/>
            <w:vAlign w:val="bottom"/>
            <w:tcBorders>
              <w:top w:val="single" w:sz="8" w:color="auto"/>
              <w:left w:val="single" w:sz="8" w:color="auto"/>
              <w:right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55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As a Percentage of Total Target Incentive Opportunity Shown Above</w:t>
            </w:r>
          </w:p>
        </w:tc>
        <w:tc>
          <w:tcPr>
            <w:tcW w:w="14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860" w:type="dxa"/>
            <w:vAlign w:val="bottom"/>
            <w:tcBorders>
              <w:left w:val="single" w:sz="8" w:color="auto"/>
              <w:right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6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Brand</w:t>
            </w:r>
          </w:p>
        </w:tc>
        <w:tc>
          <w:tcPr>
            <w:tcW w:w="27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Enterprise Performance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Enterprise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0" w:type="dxa"/>
            <w:vAlign w:val="bottom"/>
          </w:tcPr>
          <w:p>
            <w:pPr>
              <w:spacing w:after="0"/>
              <w:rPr>
                <w:sz w:val="1"/>
                <w:szCs w:val="1"/>
                <w:color w:val="auto"/>
              </w:rPr>
            </w:pPr>
          </w:p>
        </w:tc>
      </w:tr>
      <w:tr>
        <w:trPr>
          <w:trHeight w:val="216"/>
        </w:trPr>
        <w:tc>
          <w:tcPr>
            <w:tcW w:w="286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38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Strategic</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Financial Goals</w:t>
            </w:r>
          </w:p>
        </w:tc>
        <w:tc>
          <w:tcPr>
            <w:tcW w:w="0" w:type="dxa"/>
            <w:vAlign w:val="bottom"/>
          </w:tcPr>
          <w:p>
            <w:pPr>
              <w:spacing w:after="0"/>
              <w:rPr>
                <w:sz w:val="1"/>
                <w:szCs w:val="1"/>
                <w:color w:val="auto"/>
              </w:rPr>
            </w:pPr>
          </w:p>
        </w:tc>
      </w:tr>
      <w:tr>
        <w:trPr>
          <w:trHeight w:val="45"/>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Objectives</w:t>
            </w:r>
          </w:p>
        </w:tc>
        <w:tc>
          <w:tcPr>
            <w:tcW w:w="1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60" w:type="dxa"/>
            <w:vAlign w:val="bottom"/>
            <w:tcBorders>
              <w:left w:val="single" w:sz="8" w:color="auto"/>
              <w:right w:val="single" w:sz="8" w:color="auto"/>
            </w:tcBorders>
            <w:vMerge w:val="restart"/>
          </w:tcPr>
          <w:p>
            <w:pPr>
              <w:ind w:left="760"/>
              <w:spacing w:after="0"/>
              <w:rPr>
                <w:sz w:val="20"/>
                <w:szCs w:val="20"/>
                <w:color w:val="auto"/>
              </w:rPr>
            </w:pPr>
            <w:r>
              <w:rPr>
                <w:rFonts w:ascii="Arial" w:cs="Arial" w:eastAsia="Arial" w:hAnsi="Arial"/>
                <w:sz w:val="18"/>
                <w:szCs w:val="18"/>
                <w:b w:val="1"/>
                <w:bCs w:val="1"/>
                <w:color w:val="auto"/>
              </w:rPr>
              <w:t>Participant Level</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Net Revenue</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Net Revenue</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138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860" w:type="dxa"/>
            <w:vAlign w:val="bottom"/>
            <w:tcBorders>
              <w:left w:val="single" w:sz="8" w:color="auto"/>
              <w:right w:val="single" w:sz="8" w:color="auto"/>
            </w:tcBorders>
            <w:vMerge w:val="continue"/>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400" w:type="dxa"/>
            <w:vAlign w:val="bottom"/>
            <w:tcBorders>
              <w:right w:val="single" w:sz="8" w:color="auto"/>
            </w:tcBorders>
            <w:vMerge w:val="continue"/>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400" w:type="dxa"/>
            <w:vAlign w:val="bottom"/>
            <w:tcBorders>
              <w:right w:val="single" w:sz="8" w:color="auto"/>
            </w:tcBorders>
            <w:vMerge w:val="continue"/>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860" w:type="dxa"/>
            <w:vAlign w:val="bottom"/>
            <w:tcBorders>
              <w:left w:val="single" w:sz="8" w:color="auto"/>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3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w:t>
            </w:r>
          </w:p>
        </w:tc>
        <w:tc>
          <w:tcPr>
            <w:tcW w:w="13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Officer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Enterprise Financial Performance</w:t>
      </w:r>
    </w:p>
    <w:p>
      <w:pPr>
        <w:spacing w:after="0" w:line="1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Payouts for Financial Performance are based on meeting two independent financial metrics, which are net revenue and operating income. Financial metrics are weighted between 50%-66.6% of the Enterprise Performance goal. Assuming at least threshold levels of performance against the Performance goals are met during the Performance Period, the actual payout levels will range from 25%-200% of target. The actual amount of Financial Performance goals is considered to be confidential information and is not included in this document, but can be obtained from Human Resources.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Net Revenue Performance Level</w:t>
            </w:r>
          </w:p>
        </w:tc>
        <w:tc>
          <w:tcPr>
            <w:tcW w:w="5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 as a Percentage of the Portion of Incentive Tied to Corporate</w:t>
            </w:r>
          </w:p>
        </w:tc>
      </w:tr>
      <w:tr>
        <w:trPr>
          <w:trHeight w:val="234"/>
        </w:trPr>
        <w:tc>
          <w:tcPr>
            <w:tcW w:w="5340" w:type="dxa"/>
            <w:vAlign w:val="bottom"/>
            <w:tcBorders>
              <w:left w:val="single" w:sz="8" w:color="auto"/>
              <w:right w:val="single" w:sz="8" w:color="auto"/>
            </w:tcBorders>
          </w:tcPr>
          <w:p>
            <w:pPr>
              <w:spacing w:after="0"/>
              <w:rPr>
                <w:sz w:val="20"/>
                <w:szCs w:val="20"/>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Performance*</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Excellence</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18"/>
        </w:trPr>
        <w:tc>
          <w:tcPr>
            <w:tcW w:w="5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Operating Income Performance Level</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 as a Percentage of the Portion of Incentive Tied to Corporate</w:t>
            </w:r>
          </w:p>
        </w:tc>
      </w:tr>
      <w:tr>
        <w:trPr>
          <w:trHeight w:val="234"/>
        </w:trPr>
        <w:tc>
          <w:tcPr>
            <w:tcW w:w="5340" w:type="dxa"/>
            <w:vAlign w:val="bottom"/>
            <w:tcBorders>
              <w:left w:val="single" w:sz="8" w:color="auto"/>
              <w:right w:val="single" w:sz="8" w:color="auto"/>
            </w:tcBorders>
          </w:tcPr>
          <w:p>
            <w:pPr>
              <w:spacing w:after="0"/>
              <w:rPr>
                <w:sz w:val="20"/>
                <w:szCs w:val="20"/>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Performance*</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36"/>
        </w:trPr>
        <w:tc>
          <w:tcPr>
            <w:tcW w:w="5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Excellence</w:t>
            </w: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*Payout levels are determined using linear interpolation for results falling between the three performance levels.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Enterprise Strategic Objectives</w:t>
      </w:r>
    </w:p>
    <w:p>
      <w:pPr>
        <w:spacing w:after="0" w:line="1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Payouts for performance against the Brand and Enterprise Strategic Objectives will be based on performance against the following objectives, with underlying success measures to be provided by your manager. Each of these Strategic Goals are considered confidential and should not be shared outside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 Bradley Brand Strategic Objectives:</w:t>
      </w:r>
    </w:p>
    <w:p>
      <w:pPr>
        <w:spacing w:after="0" w:line="1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Brand Engagement </w:t>
      </w:r>
      <w:r>
        <w:rPr>
          <w:rFonts w:ascii="Arial" w:cs="Arial" w:eastAsia="Arial" w:hAnsi="Arial"/>
          <w:sz w:val="18"/>
          <w:szCs w:val="18"/>
          <w:color w:val="auto"/>
        </w:rPr>
        <w:t>– Increase Customer Count</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VB Cares/Strategy &amp; ESG </w:t>
      </w:r>
      <w:r>
        <w:rPr>
          <w:rFonts w:ascii="Arial" w:cs="Arial" w:eastAsia="Arial" w:hAnsi="Arial"/>
          <w:sz w:val="18"/>
          <w:szCs w:val="18"/>
          <w:color w:val="auto"/>
        </w:rPr>
        <w:t>– Rating at the Committee’s discretion</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Drive Collaborations </w:t>
      </w:r>
      <w:r>
        <w:rPr>
          <w:rFonts w:ascii="Arial" w:cs="Arial" w:eastAsia="Arial" w:hAnsi="Arial"/>
          <w:sz w:val="18"/>
          <w:szCs w:val="18"/>
          <w:color w:val="auto"/>
        </w:rPr>
        <w:t>- Achieve plan revenue</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Drive Sales of Fabric Innovation </w:t>
      </w:r>
      <w:r>
        <w:rPr>
          <w:rFonts w:ascii="Arial" w:cs="Arial" w:eastAsia="Arial" w:hAnsi="Arial"/>
          <w:sz w:val="18"/>
          <w:szCs w:val="18"/>
          <w:color w:val="auto"/>
        </w:rPr>
        <w:t>-Achieve plan revenue</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Own the Backpack - </w:t>
      </w:r>
      <w:r>
        <w:rPr>
          <w:rFonts w:ascii="Arial" w:cs="Arial" w:eastAsia="Arial" w:hAnsi="Arial"/>
          <w:sz w:val="18"/>
          <w:szCs w:val="18"/>
          <w:color w:val="auto"/>
        </w:rPr>
        <w:t>Achieve plan revenue</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Completion of Project Novus </w:t>
      </w:r>
      <w:r>
        <w:rPr>
          <w:rFonts w:ascii="Arial" w:cs="Arial" w:eastAsia="Arial" w:hAnsi="Arial"/>
          <w:sz w:val="18"/>
          <w:szCs w:val="18"/>
          <w:color w:val="auto"/>
        </w:rPr>
        <w:t>–Rating at the Committee’s discretion</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COVID-19 Management </w:t>
      </w:r>
      <w:r>
        <w:rPr>
          <w:rFonts w:ascii="Arial" w:cs="Arial" w:eastAsia="Arial" w:hAnsi="Arial"/>
          <w:sz w:val="18"/>
          <w:szCs w:val="18"/>
          <w:color w:val="auto"/>
        </w:rPr>
        <w:t>– Rating at the Committee’s discretion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Pura Vida Brand Strategic Objectives:</w:t>
      </w:r>
    </w:p>
    <w:p>
      <w:pPr>
        <w:spacing w:after="0" w:line="1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New Distribution Channels </w:t>
      </w:r>
      <w:r>
        <w:rPr>
          <w:rFonts w:ascii="Arial" w:cs="Arial" w:eastAsia="Arial" w:hAnsi="Arial"/>
          <w:sz w:val="18"/>
          <w:szCs w:val="18"/>
          <w:color w:val="auto"/>
        </w:rPr>
        <w:t>– Rating at the Committee’s discretion</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Product Innovation </w:t>
      </w:r>
      <w:r>
        <w:rPr>
          <w:rFonts w:ascii="Arial" w:cs="Arial" w:eastAsia="Arial" w:hAnsi="Arial"/>
          <w:sz w:val="18"/>
          <w:szCs w:val="18"/>
          <w:color w:val="auto"/>
        </w:rPr>
        <w:t>– Achieve plan revenue</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Marketing Efficiency </w:t>
      </w:r>
      <w:r>
        <w:rPr>
          <w:rFonts w:ascii="Arial" w:cs="Arial" w:eastAsia="Arial" w:hAnsi="Arial"/>
          <w:sz w:val="18"/>
          <w:szCs w:val="18"/>
          <w:color w:val="auto"/>
        </w:rPr>
        <w:t>– Achieve marketing spend rate plan</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Maintenance </w:t>
      </w:r>
      <w:r>
        <w:rPr>
          <w:rFonts w:ascii="Arial" w:cs="Arial" w:eastAsia="Arial" w:hAnsi="Arial"/>
          <w:sz w:val="18"/>
          <w:szCs w:val="18"/>
          <w:color w:val="auto"/>
        </w:rPr>
        <w:t>– Achieve gross margin rate plan</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Key Integration Decisions </w:t>
      </w:r>
      <w:r>
        <w:rPr>
          <w:rFonts w:ascii="Arial" w:cs="Arial" w:eastAsia="Arial" w:hAnsi="Arial"/>
          <w:sz w:val="18"/>
          <w:szCs w:val="18"/>
          <w:color w:val="auto"/>
        </w:rPr>
        <w:t>- Rating at the Committee’s discretion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Strategic Objectives:</w:t>
      </w:r>
    </w:p>
    <w:p>
      <w:pPr>
        <w:spacing w:after="0" w:line="1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67% VB Strategic Objectives</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33% PV Strategic Objectives</w:t>
      </w:r>
    </w:p>
    <w:p>
      <w:pPr>
        <w:sectPr>
          <w:pgSz w:w="11900" w:h="16838" w:orient="portrait"/>
          <w:cols w:equalWidth="0" w:num="1">
            <w:col w:w="11260"/>
          </w:cols>
          <w:pgMar w:left="320" w:top="891" w:right="319" w:bottom="1440" w:gutter="0" w:footer="0" w:header="0"/>
        </w:sectPr>
      </w:pPr>
    </w:p>
    <w:bookmarkStart w:id="45" w:name="page46"/>
    <w:bookmarkEnd w:id="45"/>
    <w:p>
      <w:pPr>
        <w:jc w:val="both"/>
        <w:spacing w:after="0" w:line="270" w:lineRule="auto"/>
        <w:rPr>
          <w:sz w:val="20"/>
          <w:szCs w:val="20"/>
          <w:color w:val="auto"/>
        </w:rPr>
      </w:pPr>
      <w:r>
        <w:rPr>
          <w:rFonts w:ascii="Arial" w:cs="Arial" w:eastAsia="Arial" w:hAnsi="Arial"/>
          <w:sz w:val="17"/>
          <w:szCs w:val="17"/>
          <w:color w:val="auto"/>
        </w:rPr>
        <w:t>Assuming threshold levels of performance against the Brand and Enterprise Strategic Objectives are met during the Performance Period, the actual payout levels will range from 25%-200% of target. The Compensation Committee of the Board of Directors of the Company (the “Compensation Committee”) shall determine the level of performance achieved against the Brand and Enterprise Strategic Objectives in its sole discretion.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Financial Goals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Payouts for performance against the Individual Financial Goals will be based on a Participant’s overall achievement of personal objectives, as determined by the Participant’s supervisor and approved by the Compensation Committee. Payout levels for achievement of the Individual Financial Goals range from 0%-200% of that portion of incentive tied to the Individual Financial Goals.</w:t>
      </w:r>
    </w:p>
    <w:p>
      <w:pPr>
        <w:sectPr>
          <w:pgSz w:w="11900" w:h="16838" w:orient="portrait"/>
          <w:cols w:equalWidth="0" w:num="1">
            <w:col w:w="11240"/>
          </w:cols>
          <w:pgMar w:left="320" w:top="895" w:right="339" w:bottom="1440" w:gutter="0" w:footer="0" w:header="0"/>
        </w:sectPr>
      </w:pPr>
    </w:p>
    <w:bookmarkStart w:id="46" w:name="page47"/>
    <w:bookmarkEnd w:id="46"/>
    <w:p>
      <w:pPr>
        <w:jc w:val="center"/>
        <w:ind w:right="312"/>
        <w:spacing w:after="0"/>
        <w:rPr>
          <w:sz w:val="20"/>
          <w:szCs w:val="20"/>
          <w:color w:val="auto"/>
        </w:rPr>
      </w:pPr>
      <w:r>
        <w:rPr>
          <w:rFonts w:ascii="Arial" w:cs="Arial" w:eastAsia="Arial" w:hAnsi="Arial"/>
          <w:sz w:val="18"/>
          <w:szCs w:val="18"/>
          <w:b w:val="1"/>
          <w:bCs w:val="1"/>
          <w:u w:val="single" w:color="auto"/>
          <w:color w:val="auto"/>
        </w:rPr>
        <w:t>Administrative Guidelines</w:t>
      </w:r>
    </w:p>
    <w:p>
      <w:pPr>
        <w:spacing w:after="0" w:line="243" w:lineRule="exact"/>
        <w:rPr>
          <w:sz w:val="20"/>
          <w:szCs w:val="20"/>
          <w:color w:val="auto"/>
        </w:rPr>
      </w:pPr>
    </w:p>
    <w:p>
      <w:pPr>
        <w:jc w:val="both"/>
        <w:ind w:left="328" w:hanging="328"/>
        <w:spacing w:after="0" w:line="248"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CEO direct reports at an Executive Officer level and certain designated Executive Officers are eligible to participate in this Annual Plan. Any question regarding eligibility for participation in this Annual Plan shall be resolved by the Compensation Committee, in the Committee’s sole discretion.</w:t>
      </w:r>
    </w:p>
    <w:p>
      <w:pPr>
        <w:spacing w:after="0" w:line="208"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Participation in this Annual Plan neither gives any employee the right to be retained as an employee nor limits the Company's right to discharge or discipline any employee.</w:t>
      </w:r>
    </w:p>
    <w:p>
      <w:pPr>
        <w:spacing w:after="0" w:line="197" w:lineRule="exact"/>
        <w:rPr>
          <w:rFonts w:ascii="Arial" w:cs="Arial" w:eastAsia="Arial" w:hAnsi="Arial"/>
          <w:sz w:val="18"/>
          <w:szCs w:val="18"/>
          <w:color w:val="auto"/>
        </w:rPr>
      </w:pPr>
    </w:p>
    <w:p>
      <w:pPr>
        <w:ind w:left="328" w:right="20" w:hanging="328"/>
        <w:spacing w:after="0" w:line="261"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Final payout of any bonus under this Plan is subject to the final approval of the Chief Financial Officer and Vice President, Human Resources and as necessary the Compensation Committee.</w:t>
      </w:r>
    </w:p>
    <w:p>
      <w:pPr>
        <w:spacing w:after="0" w:line="197" w:lineRule="exact"/>
        <w:rPr>
          <w:rFonts w:ascii="Arial" w:cs="Arial" w:eastAsia="Arial" w:hAnsi="Arial"/>
          <w:sz w:val="18"/>
          <w:szCs w:val="18"/>
          <w:color w:val="auto"/>
        </w:rPr>
      </w:pPr>
    </w:p>
    <w:p>
      <w:pPr>
        <w:ind w:left="328" w:right="20" w:hanging="328"/>
        <w:spacing w:after="0" w:line="261"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Participants placed on a Performance Improvement Plan or who are on Step 3 Probation within six months of when payment is made under this Plan will not be eligible for such payment.</w:t>
      </w:r>
    </w:p>
    <w:p>
      <w:pPr>
        <w:spacing w:after="0" w:line="197" w:lineRule="exact"/>
        <w:rPr>
          <w:rFonts w:ascii="Arial" w:cs="Arial" w:eastAsia="Arial" w:hAnsi="Arial"/>
          <w:sz w:val="18"/>
          <w:szCs w:val="18"/>
          <w:color w:val="auto"/>
        </w:rPr>
      </w:pPr>
    </w:p>
    <w:p>
      <w:pPr>
        <w:jc w:val="both"/>
        <w:ind w:left="328" w:hanging="328"/>
        <w:spacing w:after="0" w:line="255"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Certification of Results. Before any Awards under the Annual Plan are deemed earned with respect to a Performance Period, the Compensation Committee shall certify, in accordance with Section 9.5 of the 2010 Plan, in writing (i) that the performance goals have been met for the Performance Period, and (ii) the calculation of "Operating Income" and "Net Revenue" for the Performance Period.</w:t>
      </w:r>
    </w:p>
    <w:p>
      <w:pPr>
        <w:jc w:val="both"/>
        <w:ind w:left="968" w:hanging="320"/>
        <w:spacing w:after="0" w:line="234" w:lineRule="auto"/>
        <w:tabs>
          <w:tab w:leader="none" w:pos="958" w:val="left"/>
        </w:tabs>
        <w:numPr>
          <w:ilvl w:val="2"/>
          <w:numId w:val="39"/>
        </w:numPr>
        <w:rPr>
          <w:rFonts w:ascii="Arial" w:cs="Arial" w:eastAsia="Arial" w:hAnsi="Arial"/>
          <w:sz w:val="18"/>
          <w:szCs w:val="18"/>
          <w:color w:val="auto"/>
        </w:rPr>
      </w:pPr>
      <w:r>
        <w:rPr>
          <w:rFonts w:ascii="Arial" w:cs="Arial" w:eastAsia="Arial" w:hAnsi="Arial"/>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4" w:lineRule="exact"/>
        <w:rPr>
          <w:rFonts w:ascii="Arial" w:cs="Arial" w:eastAsia="Arial" w:hAnsi="Arial"/>
          <w:sz w:val="18"/>
          <w:szCs w:val="18"/>
          <w:color w:val="auto"/>
        </w:rPr>
      </w:pPr>
    </w:p>
    <w:p>
      <w:pPr>
        <w:ind w:left="968" w:hanging="320"/>
        <w:spacing w:after="0" w:line="271" w:lineRule="auto"/>
        <w:tabs>
          <w:tab w:leader="none" w:pos="968" w:val="left"/>
        </w:tabs>
        <w:numPr>
          <w:ilvl w:val="2"/>
          <w:numId w:val="39"/>
        </w:numPr>
        <w:rPr>
          <w:rFonts w:ascii="Arial" w:cs="Arial" w:eastAsia="Arial" w:hAnsi="Arial"/>
          <w:sz w:val="17"/>
          <w:szCs w:val="17"/>
          <w:color w:val="auto"/>
        </w:rPr>
      </w:pPr>
      <w:r>
        <w:rPr>
          <w:rFonts w:ascii="Arial" w:cs="Arial" w:eastAsia="Arial" w:hAnsi="Arial"/>
          <w:sz w:val="17"/>
          <w:szCs w:val="17"/>
          <w:color w:val="auto"/>
        </w:rPr>
        <w:t>Definition of "Net Revenue". For purposes of this Annual Plan, the term "Net Revenue" means, with respect to the Performance Period related to any Awards, the Company's consolidated net revenue, as determined in accordance with U.S. GAAP.</w:t>
      </w:r>
    </w:p>
    <w:p>
      <w:pPr>
        <w:spacing w:after="0" w:line="190" w:lineRule="exact"/>
        <w:rPr>
          <w:rFonts w:ascii="Arial" w:cs="Arial" w:eastAsia="Arial" w:hAnsi="Arial"/>
          <w:sz w:val="17"/>
          <w:szCs w:val="17"/>
          <w:color w:val="auto"/>
        </w:rPr>
      </w:pPr>
    </w:p>
    <w:p>
      <w:pPr>
        <w:jc w:val="both"/>
        <w:ind w:left="328" w:hanging="328"/>
        <w:spacing w:after="0" w:line="255"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206" w:lineRule="exact"/>
        <w:rPr>
          <w:rFonts w:ascii="Arial" w:cs="Arial" w:eastAsia="Arial" w:hAnsi="Arial"/>
          <w:sz w:val="17"/>
          <w:szCs w:val="17"/>
          <w:color w:val="auto"/>
        </w:rPr>
      </w:pPr>
    </w:p>
    <w:p>
      <w:pPr>
        <w:jc w:val="both"/>
        <w:ind w:left="968" w:hanging="415"/>
        <w:spacing w:after="0" w:line="243"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Death or Disability: In the event a Participant's Service terminates as a result of death or Disability prior to the date on which the incentive payment is made, the outstanding Award shall be treated as earned at the actual level for both the Company performance and at the target level for individual performance with any such earned Awards becoming fully vested and paid out as provided in section 8, below.</w:t>
      </w:r>
    </w:p>
    <w:p>
      <w:pPr>
        <w:spacing w:after="0" w:line="214" w:lineRule="exact"/>
        <w:rPr>
          <w:rFonts w:ascii="Arial" w:cs="Arial" w:eastAsia="Arial" w:hAnsi="Arial"/>
          <w:sz w:val="18"/>
          <w:szCs w:val="18"/>
          <w:color w:val="auto"/>
        </w:rPr>
      </w:pPr>
    </w:p>
    <w:p>
      <w:pPr>
        <w:jc w:val="both"/>
        <w:ind w:left="968" w:hanging="465"/>
        <w:spacing w:after="0" w:line="243"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w:t>
      </w:r>
    </w:p>
    <w:p>
      <w:pPr>
        <w:spacing w:after="0" w:line="214"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w:t>
      </w:r>
    </w:p>
    <w:p>
      <w:pPr>
        <w:spacing w:after="0" w:line="190" w:lineRule="exact"/>
        <w:rPr>
          <w:rFonts w:ascii="Arial" w:cs="Arial" w:eastAsia="Arial" w:hAnsi="Arial"/>
          <w:sz w:val="17"/>
          <w:szCs w:val="17"/>
          <w:color w:val="auto"/>
        </w:rPr>
      </w:pPr>
    </w:p>
    <w:p>
      <w:pPr>
        <w:ind w:left="328"/>
        <w:spacing w:after="0" w:line="261" w:lineRule="auto"/>
        <w:rPr>
          <w:rFonts w:ascii="Arial" w:cs="Arial" w:eastAsia="Arial" w:hAnsi="Arial"/>
          <w:sz w:val="17"/>
          <w:szCs w:val="17"/>
          <w:color w:val="auto"/>
        </w:rPr>
      </w:pPr>
      <w:r>
        <w:rPr>
          <w:rFonts w:ascii="Arial" w:cs="Arial" w:eastAsia="Arial" w:hAnsi="Arial"/>
          <w:sz w:val="18"/>
          <w:szCs w:val="18"/>
          <w:color w:val="auto"/>
        </w:rPr>
        <w:t>Awards becoming fully vested and paid out on a as soon as practicable (but not later than 30 calendar days) following the Change in Control. For purposes of this Annual Plan, the term "Change in Control" shall mean the occurrence of</w:t>
      </w:r>
    </w:p>
    <w:p>
      <w:pPr>
        <w:sectPr>
          <w:pgSz w:w="11900" w:h="16838" w:orient="portrait"/>
          <w:cols w:equalWidth="0" w:num="1">
            <w:col w:w="10908"/>
          </w:cols>
          <w:pgMar w:left="652" w:top="1377" w:right="339" w:bottom="1440" w:gutter="0" w:footer="0" w:header="0"/>
        </w:sectPr>
      </w:pPr>
    </w:p>
    <w:bookmarkStart w:id="47" w:name="page48"/>
    <w:bookmarkEnd w:id="47"/>
    <w:p>
      <w:pPr>
        <w:jc w:val="both"/>
        <w:ind w:left="328"/>
        <w:spacing w:after="0" w:line="252" w:lineRule="auto"/>
        <w:rPr>
          <w:sz w:val="20"/>
          <w:szCs w:val="20"/>
          <w:color w:val="auto"/>
        </w:rPr>
      </w:pPr>
      <w:r>
        <w:rPr>
          <w:rFonts w:ascii="Arial" w:cs="Arial" w:eastAsia="Arial" w:hAnsi="Arial"/>
          <w:sz w:val="17"/>
          <w:szCs w:val="17"/>
          <w:color w:val="auto"/>
        </w:rPr>
        <w:t>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07" w:lineRule="exact"/>
        <w:rPr>
          <w:sz w:val="20"/>
          <w:szCs w:val="20"/>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Participants will receive an award that is prorated based on Base Salary earned during the Performance Period.</w:t>
      </w:r>
    </w:p>
    <w:p>
      <w:pPr>
        <w:spacing w:after="0" w:line="238"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a Participant joins the Company at any time during the final three fiscal months of the Performance Period, such participant will not be eligible to participate in this Plan.</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93.1% to 93.49% = 93%; 93.5% to 93.9% = 94%).</w:t>
      </w:r>
    </w:p>
    <w:p>
      <w:pPr>
        <w:spacing w:after="0" w:line="238" w:lineRule="exact"/>
        <w:rPr>
          <w:rFonts w:ascii="Arial" w:cs="Arial" w:eastAsia="Arial" w:hAnsi="Arial"/>
          <w:sz w:val="18"/>
          <w:szCs w:val="18"/>
          <w:color w:val="auto"/>
        </w:rPr>
      </w:pPr>
    </w:p>
    <w:p>
      <w:pPr>
        <w:ind w:left="328" w:hanging="328"/>
        <w:spacing w:after="0" w:line="261" w:lineRule="auto"/>
        <w:tabs>
          <w:tab w:leader="none" w:pos="3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spacing w:after="0" w:line="197"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19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Record keeping and computation required by this Annual Plan will be subject to review by third-party auditors, and by the Compensation Committee.</w:t>
      </w:r>
    </w:p>
    <w:p>
      <w:pPr>
        <w:spacing w:after="0" w:line="197" w:lineRule="exact"/>
        <w:rPr>
          <w:rFonts w:ascii="Arial" w:cs="Arial" w:eastAsia="Arial" w:hAnsi="Arial"/>
          <w:sz w:val="18"/>
          <w:szCs w:val="18"/>
          <w:color w:val="auto"/>
        </w:rPr>
      </w:pPr>
    </w:p>
    <w:p>
      <w:pPr>
        <w:jc w:val="both"/>
        <w:ind w:left="328" w:hanging="328"/>
        <w:spacing w:after="0"/>
        <w:tabs>
          <w:tab w:leader="none" w:pos="3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216"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Plan as stated herein, the Company reserves the right to amend or discontinue the plan at any time in its sole discretion.</w:t>
      </w:r>
    </w:p>
    <w:p>
      <w:pPr>
        <w:spacing w:after="0" w:line="197"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97" w:lineRule="exact"/>
        <w:rPr>
          <w:rFonts w:ascii="Arial" w:cs="Arial" w:eastAsia="Arial" w:hAnsi="Arial"/>
          <w:sz w:val="18"/>
          <w:szCs w:val="18"/>
          <w:color w:val="auto"/>
        </w:rPr>
      </w:pPr>
    </w:p>
    <w:p>
      <w:pPr>
        <w:ind w:left="328" w:hanging="328"/>
        <w:spacing w:after="0" w:line="324" w:lineRule="auto"/>
        <w:tabs>
          <w:tab w:leader="none" w:pos="32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rights granted under this document are in all respects subject to the provisions of the 2010 Plan to the same extent and with the same effect as if they were set forth fully therein. If the terms of this document or the Award conflict with the terms of the 2010 Plan, the 2010 Plan will control.</w:t>
      </w:r>
    </w:p>
    <w:p>
      <w:pPr>
        <w:spacing w:after="0" w:line="151" w:lineRule="exact"/>
        <w:rPr>
          <w:rFonts w:ascii="Arial" w:cs="Arial" w:eastAsia="Arial" w:hAnsi="Arial"/>
          <w:sz w:val="16"/>
          <w:szCs w:val="16"/>
          <w:color w:val="auto"/>
        </w:rPr>
      </w:pPr>
    </w:p>
    <w:p>
      <w:pPr>
        <w:ind w:left="328" w:hanging="328"/>
        <w:spacing w:after="0" w:line="261" w:lineRule="auto"/>
        <w:tabs>
          <w:tab w:leader="none" w:pos="3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Awards under this Plan shall be subject to all other Company policies, as amended, including but not limited to the Vera Bradley Compensation Recoupment Policy.</w:t>
      </w:r>
    </w:p>
    <w:p>
      <w:pPr>
        <w:sectPr>
          <w:pgSz w:w="11900" w:h="16838" w:orient="portrait"/>
          <w:cols w:equalWidth="0" w:num="1">
            <w:col w:w="10908"/>
          </w:cols>
          <w:pgMar w:left="652" w:top="895"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OUTSIDE DIRECTOR RESTRICTED STOCK UNIT TERMS AND CONDITIONS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April 7, 2020</w:t>
      </w:r>
    </w:p>
    <w:p>
      <w:pPr>
        <w:spacing w:after="0" w:line="279" w:lineRule="exact"/>
        <w:rPr>
          <w:sz w:val="20"/>
          <w:szCs w:val="20"/>
          <w:color w:val="auto"/>
        </w:rPr>
      </w:pPr>
    </w:p>
    <w:p>
      <w:pPr>
        <w:ind w:firstLine="8"/>
        <w:spacing w:after="0" w:line="308"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term capitalized herein but not defined will have the meaning set forth in the Vera Bradley, Inc. 2010 Equity and Incentive Plan (the "Plan").</w:t>
      </w:r>
    </w:p>
    <w:p>
      <w:pPr>
        <w:spacing w:after="0" w:line="197"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417"/>
        <w:spacing w:after="0" w:line="290"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As of the grant date specified in the letter that accompanies this document (the “Grant Date”), the Participant will be credited with the number of Restricted Stock Units set forth in the letter that accompanies this document.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187" w:lineRule="exact"/>
        <w:rPr>
          <w:rFonts w:ascii="Arial" w:cs="Arial" w:eastAsia="Arial" w:hAnsi="Arial"/>
          <w:sz w:val="18"/>
          <w:szCs w:val="18"/>
          <w:color w:val="auto"/>
        </w:rPr>
      </w:pPr>
    </w:p>
    <w:p>
      <w:pPr>
        <w:jc w:val="both"/>
        <w:ind w:firstLine="401"/>
        <w:spacing w:after="0" w:line="295" w:lineRule="auto"/>
        <w:tabs>
          <w:tab w:leader="none" w:pos="701"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Restricted Stock Units will vest on the first anniversaries of the Grant Date. If the Participant's Service with the Company and all of its Affiliates terminates before the date that all of the Restricted Stock Units vest, his or her right to receive the Shares underlying such unvested Restricted Stock Units will be only as provided in Section 4.</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427"/>
        <w:spacing w:after="0" w:line="308" w:lineRule="auto"/>
        <w:tabs>
          <w:tab w:leader="none" w:pos="671" w:val="left"/>
        </w:tabs>
        <w:numPr>
          <w:ilvl w:val="1"/>
          <w:numId w:val="41"/>
        </w:numPr>
        <w:rPr>
          <w:rFonts w:ascii="Arial" w:cs="Arial" w:eastAsia="Arial" w:hAnsi="Arial"/>
          <w:sz w:val="18"/>
          <w:szCs w:val="18"/>
          <w:color w:val="auto"/>
        </w:rPr>
      </w:pPr>
      <w:r>
        <w:rPr>
          <w:rFonts w:ascii="Arial" w:cs="Arial" w:eastAsia="Arial" w:hAnsi="Arial"/>
          <w:sz w:val="18"/>
          <w:szCs w:val="18"/>
          <w:color w:val="auto"/>
        </w:rPr>
        <w:t>Unless and until a Restricted Stock Unit has vested and the Share underlying it has been distributed to the Participant, the Participant will not be entitled to vote in respect of that Restricted Stock Unit or that Share.</w:t>
      </w:r>
    </w:p>
    <w:p>
      <w:pPr>
        <w:spacing w:after="0" w:line="170" w:lineRule="exact"/>
        <w:rPr>
          <w:rFonts w:ascii="Arial" w:cs="Arial" w:eastAsia="Arial" w:hAnsi="Arial"/>
          <w:sz w:val="18"/>
          <w:szCs w:val="18"/>
          <w:color w:val="auto"/>
        </w:rPr>
      </w:pPr>
    </w:p>
    <w:p>
      <w:pPr>
        <w:jc w:val="both"/>
        <w:ind w:firstLine="440"/>
        <w:spacing w:after="0" w:line="324" w:lineRule="auto"/>
        <w:tabs>
          <w:tab w:leader="none" w:pos="696" w:val="left"/>
        </w:tabs>
        <w:numPr>
          <w:ilvl w:val="2"/>
          <w:numId w:val="41"/>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awarded under the applicable Award Agreement, and will be paid in cash in a single sum at the time that the Shares associated with the Participant's Restricted Stock Units are delivered (or forfeited at the time that the Participant's Restricted Stock Units are forfeited).</w:t>
      </w:r>
    </w:p>
    <w:p>
      <w:pPr>
        <w:spacing w:after="0" w:line="167" w:lineRule="exact"/>
        <w:rPr>
          <w:rFonts w:ascii="Arial" w:cs="Arial" w:eastAsia="Arial" w:hAnsi="Arial"/>
          <w:sz w:val="16"/>
          <w:szCs w:val="16"/>
          <w:color w:val="auto"/>
        </w:rPr>
      </w:pPr>
    </w:p>
    <w:p>
      <w:pPr>
        <w:jc w:val="both"/>
        <w:ind w:firstLine="8"/>
        <w:spacing w:after="0" w:line="306"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Termination of Service; Change in Control</w:t>
      </w:r>
      <w:r>
        <w:rPr>
          <w:rFonts w:ascii="Arial" w:cs="Arial" w:eastAsia="Arial" w:hAnsi="Arial"/>
          <w:sz w:val="17"/>
          <w:szCs w:val="17"/>
          <w:color w:val="auto"/>
        </w:rPr>
        <w:t>. A Participant's right to receive the Shares underlying his or her Restricted Stock Units after termination of his or her Service will be only as provided in this Section. If a Participant's Service is terminated due to the Participant's death or Disability, the Participant (or his or her estate) will be immediately entitled to receive the Shares underlying all of the Restricted Stock Units that have not yet vested under Section 2 above. Other than a Removal pursuant to Section 2.10 of the Company’s Bylaws, the Shares underlying all of the Restricted Stock Units that have not yet vested will vest in accordance with the vesting schedule in Section 2 above. If a Participant's Service is Removed pursuant to Section 2.10, the Participant will forfeit the right to receive Shares underlying under Restricted Stock Units that</w:t>
      </w:r>
    </w:p>
    <w:p>
      <w:pPr>
        <w:sectPr>
          <w:pgSz w:w="11900" w:h="16838" w:orient="portrait"/>
          <w:cols w:equalWidth="0" w:num="1">
            <w:col w:w="11240"/>
          </w:cols>
          <w:pgMar w:left="320" w:top="891" w:right="339" w:bottom="1440" w:gutter="0" w:footer="0" w:header="0"/>
        </w:sectPr>
      </w:pPr>
    </w:p>
    <w:bookmarkStart w:id="49" w:name="page50"/>
    <w:bookmarkEnd w:id="49"/>
    <w:p>
      <w:pPr>
        <w:jc w:val="both"/>
        <w:spacing w:after="0" w:line="308" w:lineRule="auto"/>
        <w:rPr>
          <w:sz w:val="20"/>
          <w:szCs w:val="20"/>
          <w:color w:val="auto"/>
        </w:rPr>
      </w:pPr>
      <w:r>
        <w:rPr>
          <w:rFonts w:ascii="Arial" w:cs="Arial" w:eastAsia="Arial" w:hAnsi="Arial"/>
          <w:sz w:val="18"/>
          <w:szCs w:val="18"/>
          <w:color w:val="auto"/>
        </w:rPr>
        <w:t>have not yet vested. Notwithstanding anything to the contrary herein, all previously unvested Restricted Stock Units then outstanding will vest immediately upon the occurrence of a Change in Control.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7"/>
          <w:szCs w:val="17"/>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where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15" w:lineRule="exact"/>
        <w:rPr>
          <w:sz w:val="20"/>
          <w:szCs w:val="20"/>
          <w:color w:val="auto"/>
        </w:rPr>
      </w:pPr>
    </w:p>
    <w:p>
      <w:pPr>
        <w:jc w:val="both"/>
        <w:ind w:firstLine="656"/>
        <w:spacing w:after="0" w:line="288" w:lineRule="auto"/>
        <w:tabs>
          <w:tab w:leader="none" w:pos="84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w:t>
      </w:r>
      <w:r>
        <w:rPr>
          <w:rFonts w:ascii="Arial" w:cs="Arial" w:eastAsia="Arial" w:hAnsi="Arial"/>
          <w:sz w:val="18"/>
          <w:szCs w:val="18"/>
          <w:color w:val="auto"/>
        </w:rPr>
        <w:t>. Except as provided in this Section or in clauses 2(b) or Section 4, once a Restricted Stock Unit vests, the Participant will be entitled to receive a Share in its place. Delivery of the Share will be made, including delivery with respect to a Disabled Participant, or to the estate of a deceased Participant, as soon as administratively feasible after its associated Restricted Stock Unit vests. Shares will be credited to an account established for the benefit of the Participant with the Company's administrative agent. The Participant will have full legal and beneficial ownership with respect to the Shares at that time.</w:t>
      </w:r>
    </w:p>
    <w:p>
      <w:pPr>
        <w:spacing w:after="0" w:line="216" w:lineRule="exact"/>
        <w:rPr>
          <w:rFonts w:ascii="Arial" w:cs="Arial" w:eastAsia="Arial" w:hAnsi="Arial"/>
          <w:sz w:val="18"/>
          <w:szCs w:val="18"/>
          <w:color w:val="auto"/>
        </w:rPr>
      </w:pPr>
    </w:p>
    <w:p>
      <w:pPr>
        <w:ind w:firstLine="656"/>
        <w:spacing w:after="0" w:line="308" w:lineRule="auto"/>
        <w:tabs>
          <w:tab w:leader="none" w:pos="82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97" w:lineRule="exact"/>
        <w:rPr>
          <w:rFonts w:ascii="Arial" w:cs="Arial" w:eastAsia="Arial" w:hAnsi="Arial"/>
          <w:sz w:val="18"/>
          <w:szCs w:val="18"/>
          <w:color w:val="auto"/>
        </w:rPr>
      </w:pPr>
    </w:p>
    <w:p>
      <w:pPr>
        <w:jc w:val="both"/>
        <w:ind w:firstLine="656"/>
        <w:spacing w:after="0" w:line="295" w:lineRule="auto"/>
        <w:tabs>
          <w:tab w:leader="none" w:pos="82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and any Affiliate will have the right to retain Shares or cash that are distributable to the Participant hereunder to the extent necessary to satisfy any withholding taxes, whether federal or state, triggered by the distribution of Shares or cash pursuant to the Award reflected in this document.</w:t>
      </w:r>
    </w:p>
    <w:p>
      <w:pPr>
        <w:spacing w:after="0" w:line="208" w:lineRule="exact"/>
        <w:rPr>
          <w:rFonts w:ascii="Arial" w:cs="Arial" w:eastAsia="Arial" w:hAnsi="Arial"/>
          <w:sz w:val="18"/>
          <w:szCs w:val="18"/>
          <w:color w:val="auto"/>
        </w:rPr>
      </w:pPr>
    </w:p>
    <w:p>
      <w:pPr>
        <w:ind w:left="840" w:hanging="184"/>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279" w:lineRule="exact"/>
        <w:rPr>
          <w:sz w:val="20"/>
          <w:szCs w:val="20"/>
          <w:color w:val="auto"/>
        </w:rPr>
      </w:pPr>
    </w:p>
    <w:p>
      <w:pPr>
        <w:jc w:val="both"/>
        <w:ind w:firstLine="656"/>
        <w:spacing w:after="0" w:line="288" w:lineRule="auto"/>
        <w:tabs>
          <w:tab w:leader="none" w:pos="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Restricted Stock Units are subject to the further requirement that, if at any time the Committee determines in its sole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216" w:lineRule="exact"/>
        <w:rPr>
          <w:rFonts w:ascii="Arial" w:cs="Arial" w:eastAsia="Arial" w:hAnsi="Arial"/>
          <w:sz w:val="18"/>
          <w:szCs w:val="18"/>
          <w:color w:val="auto"/>
        </w:rPr>
      </w:pPr>
    </w:p>
    <w:p>
      <w:pPr>
        <w:jc w:val="both"/>
        <w:ind w:firstLine="656"/>
        <w:spacing w:after="0" w:line="332" w:lineRule="auto"/>
        <w:tabs>
          <w:tab w:leader="none" w:pos="959"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w:t>
      </w:r>
    </w:p>
    <w:p>
      <w:pPr>
        <w:sectPr>
          <w:pgSz w:w="11900" w:h="16838" w:orient="portrait"/>
          <w:cols w:equalWidth="0" w:num="1">
            <w:col w:w="11240"/>
          </w:cols>
          <w:pgMar w:left="320" w:top="908" w:right="339" w:bottom="1440" w:gutter="0" w:footer="0" w:header="0"/>
        </w:sectPr>
      </w:pPr>
    </w:p>
    <w:bookmarkStart w:id="50" w:name="page51"/>
    <w:bookmarkEnd w:id="50"/>
    <w:p>
      <w:pPr>
        <w:jc w:val="both"/>
        <w:spacing w:after="0" w:line="377" w:lineRule="auto"/>
        <w:rPr>
          <w:sz w:val="20"/>
          <w:szCs w:val="20"/>
          <w:color w:val="auto"/>
        </w:rPr>
      </w:pPr>
      <w:r>
        <w:rPr>
          <w:rFonts w:ascii="Arial" w:cs="Arial" w:eastAsia="Arial" w:hAnsi="Arial"/>
          <w:sz w:val="16"/>
          <w:szCs w:val="16"/>
          <w:color w:val="auto"/>
        </w:rPr>
        <w:t>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51" w:lineRule="exact"/>
        <w:rPr>
          <w:sz w:val="20"/>
          <w:szCs w:val="20"/>
          <w:color w:val="auto"/>
        </w:rPr>
      </w:pPr>
    </w:p>
    <w:p>
      <w:pPr>
        <w:jc w:val="both"/>
        <w:ind w:firstLine="656"/>
        <w:spacing w:after="0" w:line="295" w:lineRule="auto"/>
        <w:tabs>
          <w:tab w:leader="none" w:pos="82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208" w:lineRule="exact"/>
        <w:rPr>
          <w:rFonts w:ascii="Arial" w:cs="Arial" w:eastAsia="Arial" w:hAnsi="Arial"/>
          <w:sz w:val="18"/>
          <w:szCs w:val="18"/>
          <w:color w:val="auto"/>
        </w:rPr>
      </w:pPr>
    </w:p>
    <w:p>
      <w:pPr>
        <w:jc w:val="both"/>
        <w:ind w:firstLine="656"/>
        <w:spacing w:after="0" w:line="306" w:lineRule="auto"/>
        <w:tabs>
          <w:tab w:leader="none" w:pos="91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Plan, Restricted Stock Units, and Award Not a Contract of Employment</w:t>
      </w:r>
      <w:r>
        <w:rPr>
          <w:rFonts w:ascii="Arial" w:cs="Arial" w:eastAsia="Arial" w:hAnsi="Arial"/>
          <w:sz w:val="17"/>
          <w:szCs w:val="17"/>
          <w:color w:val="auto"/>
        </w:rPr>
        <w:t>. Neither the Plan, the Restricted Stock Units, nor any other right or interest that is part of the Award granted under the Plan or this document is a contract of employment, and no terms of employment or Service of the Participant will be affected in any way by the Plan, the Restricted Stock Units,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205" w:lineRule="exact"/>
        <w:rPr>
          <w:rFonts w:ascii="Arial" w:cs="Arial" w:eastAsia="Arial" w:hAnsi="Arial"/>
          <w:sz w:val="17"/>
          <w:szCs w:val="17"/>
          <w:color w:val="auto"/>
        </w:rPr>
      </w:pPr>
    </w:p>
    <w:p>
      <w:pPr>
        <w:jc w:val="both"/>
        <w:ind w:firstLine="656"/>
        <w:spacing w:after="0" w:line="295" w:lineRule="auto"/>
        <w:tabs>
          <w:tab w:leader="none" w:pos="92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prior to the date on which he or she is recorded as the holder of those Shares on the records of the Company.</w:t>
      </w:r>
    </w:p>
    <w:p>
      <w:pPr>
        <w:spacing w:after="0" w:line="208" w:lineRule="exact"/>
        <w:rPr>
          <w:rFonts w:ascii="Arial" w:cs="Arial" w:eastAsia="Arial" w:hAnsi="Arial"/>
          <w:sz w:val="18"/>
          <w:szCs w:val="18"/>
          <w:color w:val="auto"/>
        </w:rPr>
      </w:pPr>
    </w:p>
    <w:p>
      <w:pPr>
        <w:jc w:val="both"/>
        <w:ind w:firstLine="656"/>
        <w:spacing w:after="0" w:line="312" w:lineRule="auto"/>
        <w:tabs>
          <w:tab w:leader="none" w:pos="91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12420 Stonebridge Road, Roanoke, Indiana 46783, Attn: Corporate Secretary, and, in the case of the Participant, to the last known address of the Participant in the Company's records.</w:t>
      </w:r>
    </w:p>
    <w:p>
      <w:pPr>
        <w:spacing w:after="0" w:line="198" w:lineRule="exact"/>
        <w:rPr>
          <w:rFonts w:ascii="Arial" w:cs="Arial" w:eastAsia="Arial" w:hAnsi="Arial"/>
          <w:sz w:val="17"/>
          <w:szCs w:val="17"/>
          <w:color w:val="auto"/>
        </w:rPr>
      </w:pPr>
    </w:p>
    <w:p>
      <w:pPr>
        <w:ind w:right="20" w:firstLine="656"/>
        <w:spacing w:after="0" w:line="308" w:lineRule="auto"/>
        <w:tabs>
          <w:tab w:leader="none" w:pos="91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97" w:lineRule="exact"/>
        <w:rPr>
          <w:rFonts w:ascii="Arial" w:cs="Arial" w:eastAsia="Arial" w:hAnsi="Arial"/>
          <w:sz w:val="18"/>
          <w:szCs w:val="18"/>
          <w:color w:val="auto"/>
        </w:rPr>
      </w:pPr>
    </w:p>
    <w:p>
      <w:pPr>
        <w:jc w:val="both"/>
        <w:ind w:firstLine="656"/>
        <w:spacing w:after="0" w:line="312" w:lineRule="auto"/>
        <w:tabs>
          <w:tab w:leader="none" w:pos="91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98" w:lineRule="exact"/>
        <w:rPr>
          <w:rFonts w:ascii="Arial" w:cs="Arial" w:eastAsia="Arial" w:hAnsi="Arial"/>
          <w:sz w:val="17"/>
          <w:szCs w:val="17"/>
          <w:color w:val="auto"/>
        </w:rPr>
      </w:pPr>
    </w:p>
    <w:p>
      <w:pPr>
        <w:jc w:val="both"/>
        <w:ind w:firstLine="656"/>
        <w:spacing w:after="0" w:line="295" w:lineRule="auto"/>
        <w:tabs>
          <w:tab w:leader="none" w:pos="91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ectPr>
          <w:pgSz w:w="11900" w:h="16838" w:orient="portrait"/>
          <w:cols w:equalWidth="0" w:num="1">
            <w:col w:w="11240"/>
          </w:cols>
          <w:pgMar w:left="320" w:top="90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10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7"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0"/>
        <w:spacing w:after="0"/>
        <w:tabs>
          <w:tab w:leader="none" w:pos="5680" w:val="left"/>
        </w:tabs>
        <w:rPr>
          <w:sz w:val="20"/>
          <w:szCs w:val="20"/>
          <w:color w:val="auto"/>
        </w:rPr>
      </w:pPr>
      <w:r>
        <w:rPr>
          <w:rFonts w:ascii="Arial" w:cs="Arial" w:eastAsia="Arial" w:hAnsi="Arial"/>
          <w:sz w:val="18"/>
          <w:szCs w:val="18"/>
          <w:color w:val="auto"/>
        </w:rPr>
        <w:t>Date: June 10, 2020</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31750</wp:posOffset>
            </wp:positionV>
            <wp:extent cx="3522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10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7"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0"/>
        <w:spacing w:after="0"/>
        <w:tabs>
          <w:tab w:leader="none" w:pos="5680" w:val="left"/>
        </w:tabs>
        <w:rPr>
          <w:sz w:val="20"/>
          <w:szCs w:val="20"/>
          <w:color w:val="auto"/>
        </w:rPr>
      </w:pPr>
      <w:r>
        <w:rPr>
          <w:rFonts w:ascii="Arial" w:cs="Arial" w:eastAsia="Arial" w:hAnsi="Arial"/>
          <w:sz w:val="18"/>
          <w:szCs w:val="18"/>
          <w:color w:val="auto"/>
        </w:rPr>
        <w:t>Date: June 10, 2020</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31750</wp:posOffset>
            </wp:positionV>
            <wp:extent cx="3522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May 2, 2020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7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31750</wp:posOffset>
            </wp:positionV>
            <wp:extent cx="3522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31750</wp:posOffset>
            </wp:positionV>
            <wp:extent cx="3522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3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John Enwright, the Chief Financial Officer of Vera Bradley, Inc., certify that (i) the quarterly report on Form 10-Q for the fiscal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May 2, 2020 (the “Report”) fully complies with the requirements of Section 13(a) or 15(d) of the Securities Exchange Act of 1934, and (ii) the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contained in the Report fairly presents, in all material respects, the financial condition and results of operations of Vera Bradley, Inc. as of the dates and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periods set forth therein.</w:t>
      </w:r>
    </w:p>
    <w:p>
      <w:pPr>
        <w:spacing w:after="0" w:line="40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31750</wp:posOffset>
            </wp:positionV>
            <wp:extent cx="3522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31750</wp:posOffset>
            </wp:positionV>
            <wp:extent cx="3522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lvl w:ilvl="1">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2"/>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3"/>
    </w:lvl>
  </w:abstractNum>
  <w:abstractNum w:abstractNumId="10">
    <w:nsid w:val="836C40E"/>
    <w:multiLevelType w:val="hybridMultilevel"/>
    <w:lvl w:ilvl="0">
      <w:lvlJc w:val="left"/>
      <w:lvlText w:val="%1."/>
      <w:numFmt w:val="decimal"/>
      <w:start w:val="4"/>
    </w:lvl>
  </w:abstractNum>
  <w:abstractNum w:abstractNumId="11">
    <w:nsid w:val="2901D82"/>
    <w:multiLevelType w:val="hybridMultilevel"/>
    <w:lvl w:ilvl="0">
      <w:lvlJc w:val="left"/>
      <w:lvlText w:val="%1."/>
      <w:numFmt w:val="decimal"/>
      <w:start w:val="5"/>
    </w:lvl>
    <w:lvl w:ilvl="1">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6"/>
    </w:lvl>
  </w:abstractNum>
  <w:abstractNum w:abstractNumId="14">
    <w:nsid w:val="1E7FF521"/>
    <w:multiLevelType w:val="hybridMultilevel"/>
    <w:lvl w:ilvl="0">
      <w:lvlJc w:val="left"/>
      <w:lvlText w:val="(%1)"/>
      <w:numFmt w:val="lowerRoman"/>
      <w:start w:val="5"/>
    </w:lvl>
  </w:abstractNum>
  <w:abstractNum w:abstractNumId="15">
    <w:nsid w:val="7C3DBD3D"/>
    <w:multiLevelType w:val="hybridMultilevel"/>
    <w:lvl w:ilvl="0">
      <w:lvlJc w:val="left"/>
      <w:lvlText w:val="%1."/>
      <w:numFmt w:val="decimal"/>
      <w:start w:val="7"/>
    </w:lvl>
  </w:abstractNum>
  <w:abstractNum w:abstractNumId="16">
    <w:nsid w:val="737B8DDC"/>
    <w:multiLevelType w:val="hybridMultilevel"/>
    <w:lvl w:ilvl="0">
      <w:lvlJc w:val="left"/>
      <w:lvlText w:val="%1."/>
      <w:numFmt w:val="decimal"/>
      <w:start w:val="9"/>
    </w:lvl>
  </w:abstractNum>
  <w:abstractNum w:abstractNumId="17">
    <w:nsid w:val="6CEAF087"/>
    <w:multiLevelType w:val="hybridMultilevel"/>
    <w:lvl w:ilvl="0">
      <w:lvlJc w:val="left"/>
      <w:lvlText w:val="%1."/>
      <w:numFmt w:val="decimal"/>
      <w:start w:val="10"/>
    </w:lvl>
  </w:abstractNum>
  <w:abstractNum w:abstractNumId="18">
    <w:nsid w:val="22221A70"/>
    <w:multiLevelType w:val="hybridMultilevel"/>
    <w:lvl w:ilvl="0">
      <w:lvlJc w:val="left"/>
      <w:lvlText w:val="%1."/>
      <w:numFmt w:val="decimal"/>
      <w:start w:val="12"/>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3"/>
    </w:lvl>
  </w:abstractNum>
  <w:abstractNum w:abstractNumId="24">
    <w:nsid w:val="440BADFC"/>
    <w:multiLevelType w:val="hybridMultilevel"/>
    <w:lvl w:ilvl="0">
      <w:lvlJc w:val="left"/>
      <w:lvlText w:val="%1."/>
      <w:numFmt w:val="decimal"/>
      <w:start w:val="14"/>
    </w:lvl>
  </w:abstractNum>
  <w:abstractNum w:abstractNumId="25">
    <w:nsid w:val="5072367"/>
    <w:multiLevelType w:val="hybridMultilevel"/>
    <w:lvl w:ilvl="0">
      <w:lvlJc w:val="left"/>
      <w:lvlText w:val="%1."/>
      <w:numFmt w:val="decimal"/>
      <w:start w:val="15"/>
    </w:lvl>
  </w:abstractNum>
  <w:abstractNum w:abstractNumId="26">
    <w:nsid w:val="3804823E"/>
    <w:multiLevelType w:val="hybridMultilevel"/>
    <w:lvl w:ilvl="0">
      <w:lvlJc w:val="left"/>
      <w:lvlText w:val="%1"/>
      <w:numFmt w:val="decimal"/>
      <w:start w:val="1"/>
    </w:lvl>
    <w:lvl w:ilvl="1">
      <w:lvlJc w:val="left"/>
      <w:lvlText w:val="(%2)"/>
      <w:numFmt w:val="decimal"/>
      <w:start w:val="1"/>
    </w:lvl>
  </w:abstractNum>
  <w:abstractNum w:abstractNumId="27">
    <w:nsid w:val="77465F01"/>
    <w:multiLevelType w:val="hybridMultilevel"/>
    <w:lvl w:ilvl="0">
      <w:lvlJc w:val="left"/>
      <w:lvlText w:val="%1."/>
      <w:numFmt w:val="decimal"/>
      <w:start w:val="16"/>
    </w:lvl>
    <w:lvl w:ilvl="1">
      <w:lvlJc w:val="left"/>
      <w:lvlText w:val="%2"/>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9"/>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39">
    <w:nsid w:val="2A487CB0"/>
    <w:multiLevelType w:val="hybridMultilevel"/>
    <w:lvl w:ilvl="0">
      <w:lvlJc w:val="left"/>
      <w:lvlText w:val="%1."/>
      <w:numFmt w:val="decimal"/>
      <w:start w:val="8"/>
    </w:lvl>
  </w:abstractNum>
  <w:abstractNum w:abstractNumId="40">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725A06FB"/>
    <w:multiLevelType w:val="hybridMultilevel"/>
    <w:lvl w:ilvl="0">
      <w:lvlJc w:val="left"/>
      <w:lvlText w:val="%1."/>
      <w:numFmt w:val="decimal"/>
      <w:start w:val="5"/>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decimal"/>
      <w:start w:val="9"/>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2020-06-10T14:07:22Z</dcterms:created>
  <dcterms:modified xsi:type="dcterms:W3CDTF">2020-06-10T14:07:22Z</dcterms:modified>
</cp:coreProperties>
</file>