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1,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852"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852"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9" w:right="239" w:bottom="852"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229" w:right="239" w:bottom="852" w:gutter="0" w:footer="0" w:header="0"/>
          <w:type w:val="continuous"/>
        </w:sectPr>
      </w:pPr>
    </w:p>
    <w:p>
      <w:pPr>
        <w:spacing w:after="0"/>
        <w:rPr>
          <w:sz w:val="20"/>
          <w:szCs w:val="20"/>
          <w:color w:val="auto"/>
        </w:rPr>
      </w:pPr>
      <w:r>
        <w:rPr>
          <w:rFonts w:ascii="Arial" w:cs="Arial" w:eastAsia="Arial" w:hAnsi="Arial"/>
          <w:sz w:val="16"/>
          <w:szCs w:val="16"/>
          <w:color w:val="auto"/>
        </w:rPr>
        <w:t>The registrant had 40,308,621 shares of its common stock outstanding as of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140" w:type="dxa"/>
            <w:vAlign w:val="bottom"/>
            <w:gridSpan w:val="19"/>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8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804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 (unaudited)</w:t>
              </w:r>
            </w:hyperlink>
          </w:p>
        </w:tc>
        <w:tc>
          <w:tcPr>
            <w:tcW w:w="780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1, 2014, and February 1, 2014</w:t>
              </w:r>
            </w:hyperlink>
          </w:p>
        </w:tc>
        <w:tc>
          <w:tcPr>
            <w:tcW w:w="46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for the Thirteen and Thirty-Nine Weeks Ended November 1, 2014, and November 2, 2013</w:t>
              </w:r>
            </w:hyperlink>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Thirteen and Thirty-Nine Weeks Ended November 1, 2014,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November 2, 2013</w:t>
              </w:r>
            </w:hyperlink>
          </w:p>
        </w:tc>
        <w:tc>
          <w:tcPr>
            <w:tcW w:w="7540" w:type="dxa"/>
            <w:vAlign w:val="bottom"/>
            <w:tcBorders>
              <w:top w:val="single" w:sz="8" w:color="0000EE"/>
            </w:tcBorders>
            <w:gridSpan w:val="11"/>
          </w:tcPr>
          <w:p>
            <w:pPr>
              <w:spacing w:after="0"/>
              <w:rPr>
                <w:sz w:val="17"/>
                <w:szCs w:val="17"/>
                <w:color w:val="auto"/>
              </w:rPr>
            </w:pPr>
          </w:p>
        </w:tc>
        <w:tc>
          <w:tcPr>
            <w:tcW w:w="13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Thirty-Nine Weeks Ended November 1, 2014, and November 2, 2013</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40" w:type="dxa"/>
            <w:vAlign w:val="bottom"/>
            <w:tcBorders>
              <w:top w:val="single" w:sz="8" w:color="0000EE"/>
            </w:tcBorders>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7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Management’s Discussion and Analysis of Financial Condition and Results of Operations</w:t>
              </w:r>
            </w:hyperlink>
          </w:p>
        </w:tc>
        <w:tc>
          <w:tcPr>
            <w:tcW w:w="372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Quantitative and Qualitative Disclosures About Market Risk</w:t>
              </w:r>
            </w:hyperlink>
          </w:p>
        </w:tc>
        <w:tc>
          <w:tcPr>
            <w:tcW w:w="582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18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 OTHER INFORMATION</w:t>
              </w:r>
            </w:hyperlink>
          </w:p>
        </w:tc>
        <w:tc>
          <w:tcPr>
            <w:tcW w:w="834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9280" w:type="dxa"/>
            <w:vAlign w:val="bottom"/>
            <w:gridSpan w:val="1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FF"/>
            </w:tcBorders>
            <w:gridSpan w:val="2"/>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584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26</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00" w:type="dxa"/>
            <w:vAlign w:val="bottom"/>
            <w:gridSpan w:val="12"/>
          </w:tcPr>
          <w:p>
            <w:pPr>
              <w:ind w:left="470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effects resulting from a significant disruption in our single distribution facility.</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February 1, 2014, as well as Item 1A of Part II of this Quarterly Report on Form 10-Q.</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29,174</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9,952</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13,094</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248,358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103,567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84,940</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334,383</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27,745</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10,586</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14,891</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1,625</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54,847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4,643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19,746</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79,236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gridSpan w:val="3"/>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40,689 and 40,607 shares issued and 40,520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and 40,607 outstanding, respectively</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78,153</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199,108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178,002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255,147</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334,383</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24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November 2,</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374,477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59,436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167,394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164,900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53,274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148,691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3,608</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64,494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37,818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64,024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40,225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39,366</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40,716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40,633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0.99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0.97</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0.99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0.97</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2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November 2,</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6,944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2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November 2,</w:t>
            </w: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39,366</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10,651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(19,154)</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1,531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12,742</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(8,726)</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56,253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34,846</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(15,418)</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financial-institution debt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Borrowings on financial-institution debt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30,000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(15,289)</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Non-cash operating, investing, and financing activities</w:t>
      </w:r>
    </w:p>
    <w:p>
      <w:pPr>
        <w:spacing w:after="0" w:line="20" w:lineRule="exact"/>
        <w:rPr>
          <w:sz w:val="20"/>
          <w:szCs w:val="20"/>
          <w:color w:val="auto"/>
        </w:rPr>
      </w:pPr>
      <w:r>
        <w:rPr>
          <w:sz w:val="20"/>
          <w:szCs w:val="20"/>
          <w:color w:val="auto"/>
        </w:rPr>
        <w:br w:type="column"/>
      </w:r>
    </w:p>
    <w:p>
      <w:pPr>
        <w:jc w:val="both"/>
        <w:ind w:left="860"/>
        <w:spacing w:after="0"/>
        <w:tabs>
          <w:tab w:leader="none" w:pos="2500" w:val="left"/>
        </w:tabs>
        <w:rPr>
          <w:sz w:val="20"/>
          <w:szCs w:val="20"/>
          <w:color w:val="auto"/>
        </w:rPr>
      </w:pPr>
      <w:r>
        <w:rPr>
          <w:rFonts w:ascii="Arial" w:cs="Arial" w:eastAsia="Arial" w:hAnsi="Arial"/>
          <w:sz w:val="18"/>
          <w:szCs w:val="18"/>
          <w:color w:val="auto"/>
        </w:rPr>
        <w:t>31,119</w:t>
      </w:r>
      <w:r>
        <w:rPr>
          <w:sz w:val="20"/>
          <w:szCs w:val="20"/>
          <w:color w:val="auto"/>
        </w:rPr>
        <w:tab/>
      </w:r>
      <w:r>
        <w:rPr>
          <w:rFonts w:ascii="Arial" w:cs="Arial" w:eastAsia="Arial" w:hAnsi="Arial"/>
          <w:sz w:val="18"/>
          <w:szCs w:val="18"/>
          <w:color w:val="auto"/>
        </w:rPr>
        <w:t>4,109</w:t>
      </w:r>
    </w:p>
    <w:p>
      <w:pPr>
        <w:spacing w:after="0" w:line="63" w:lineRule="exact"/>
        <w:rPr>
          <w:sz w:val="20"/>
          <w:szCs w:val="20"/>
          <w:color w:val="auto"/>
        </w:rPr>
      </w:pPr>
    </w:p>
    <w:p>
      <w:pPr>
        <w:jc w:val="both"/>
        <w:ind w:left="860"/>
        <w:spacing w:after="0"/>
        <w:tabs>
          <w:tab w:leader="none" w:pos="2500" w:val="left"/>
        </w:tabs>
        <w:rPr>
          <w:sz w:val="20"/>
          <w:szCs w:val="20"/>
          <w:color w:val="auto"/>
        </w:rPr>
      </w:pPr>
      <w:r>
        <w:rPr>
          <w:rFonts w:ascii="Arial" w:cs="Arial" w:eastAsia="Arial" w:hAnsi="Arial"/>
          <w:sz w:val="18"/>
          <w:szCs w:val="18"/>
          <w:color w:val="auto"/>
        </w:rPr>
        <w:t>59,215</w:t>
      </w:r>
      <w:r>
        <w:rPr>
          <w:sz w:val="20"/>
          <w:szCs w:val="20"/>
          <w:color w:val="auto"/>
        </w:rPr>
        <w:tab/>
      </w:r>
      <w:r>
        <w:rPr>
          <w:rFonts w:ascii="Arial" w:cs="Arial" w:eastAsia="Arial" w:hAnsi="Arial"/>
          <w:sz w:val="18"/>
          <w:szCs w:val="18"/>
          <w:color w:val="auto"/>
        </w:rPr>
        <w:t>9,603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90,334</w:t>
        <w:tab/>
        <w:t>$</w:t>
      </w:r>
      <w:r>
        <w:rPr>
          <w:sz w:val="20"/>
          <w:szCs w:val="20"/>
          <w:color w:val="auto"/>
        </w:rPr>
        <w:tab/>
      </w:r>
      <w:r>
        <w:rPr>
          <w:rFonts w:ascii="Arial" w:cs="Arial" w:eastAsia="Arial" w:hAnsi="Arial"/>
          <w:sz w:val="16"/>
          <w:szCs w:val="16"/>
          <w:color w:val="auto"/>
        </w:rPr>
        <w:t>13,712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10" w:lineRule="exact"/>
        <w:rPr>
          <w:sz w:val="20"/>
          <w:szCs w:val="20"/>
          <w:color w:val="auto"/>
        </w:rPr>
      </w:pPr>
    </w:p>
    <w:p>
      <w:pPr>
        <w:sectPr>
          <w:pgSz w:w="11900" w:h="16838" w:orient="portrait"/>
          <w:cols w:equalWidth="0" w:num="2">
            <w:col w:w="7660" w:space="720"/>
            <w:col w:w="3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89"/>
        </w:trPr>
        <w:tc>
          <w:tcPr>
            <w:tcW w:w="83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 incurred but not yet paid</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Property, plant, and equipment expenditures incurred but not yet paid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context requires or where otherwise indicated.</w:t>
      </w:r>
    </w:p>
    <w:p>
      <w:pPr>
        <w:spacing w:after="0" w:line="3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6"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November 1, 2014, the Company operated 95 full-line stores and 27 factory outlet stores. The Indirect business consists of sales of Vera Bradley products to approximately 2,850 specialty retail doors, substantially all of which are located in the United States, as well as department stores, national accounts, third party e-commerce sites, the Company's wholesale business in Japan, and third party inventory liquidation.</w:t>
      </w:r>
    </w:p>
    <w:p>
      <w:pPr>
        <w:spacing w:after="0" w:line="5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February 1, 2014, filed with the SEC.</w:t>
      </w:r>
    </w:p>
    <w:p>
      <w:pPr>
        <w:spacing w:after="0" w:line="3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November 1, 2014,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November 1, 2014, and November 2, 2013,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November 1, 2014 and February 1, 2014, deferred rent liability was $8.6 million and $7.0 million, respectively, and is included within other long-term liabilities on the Consolidated Balance Sheets.</w:t>
      </w:r>
    </w:p>
    <w:p>
      <w:pPr>
        <w:spacing w:after="0" w:line="188" w:lineRule="exact"/>
        <w:rPr>
          <w:sz w:val="20"/>
          <w:szCs w:val="20"/>
          <w:color w:val="auto"/>
        </w:rPr>
      </w:pPr>
    </w:p>
    <w:p>
      <w:pPr>
        <w:ind w:left="660" w:right="220"/>
        <w:spacing w:after="0" w:line="255"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November 1, 2014 and February 1, 2014, the deferred lease credit liability was $13.6 million and $10.3 million, respectively. Of these amounts, $1.8 million and $1.4 million is included within other accrued liabilities as of November 1, 2014 and February 1, 2014, respectively; and $11.8 million and $8.9 million is included within other long-term liabilities as of November 1, 2014 and February 1, 2014,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This guidance states that the disposal of a component of an entity is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43"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This guidance will be effective beginning in fiscal 2017, and early adoption is not permitted. The standard allows for either a full retrospective or a modified retrospective transition method. The Company is currently evaluating the impact of this standard, including the transition method, on its consolidated results of operations, financial position and cash flows. The Company does not expect the adoption of this standard to have a material impact on the Company’s consolidated financial statements.</w:t>
      </w:r>
    </w:p>
    <w:p>
      <w:pPr>
        <w:spacing w:after="0" w:line="32"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November 1,</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November 2,</w:t>
            </w: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1,</w:t>
            </w:r>
          </w:p>
        </w:tc>
        <w:tc>
          <w:tcPr>
            <w:tcW w:w="160" w:type="dxa"/>
            <w:vAlign w:val="bottom"/>
          </w:tcPr>
          <w:p>
            <w:pPr>
              <w:spacing w:after="0"/>
              <w:rPr>
                <w:sz w:val="13"/>
                <w:szCs w:val="13"/>
                <w:color w:val="auto"/>
              </w:rPr>
            </w:pPr>
          </w:p>
        </w:tc>
        <w:tc>
          <w:tcPr>
            <w:tcW w:w="106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w w:val="95"/>
              </w:rPr>
              <w:t>November 2,</w:t>
            </w:r>
          </w:p>
        </w:tc>
      </w:tr>
      <w:tr>
        <w:trPr>
          <w:trHeight w:val="192"/>
        </w:trPr>
        <w:tc>
          <w:tcPr>
            <w:tcW w:w="5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40,225</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39,366</w:t>
            </w:r>
          </w:p>
        </w:tc>
      </w:tr>
      <w:tr>
        <w:trPr>
          <w:trHeight w:val="67"/>
        </w:trPr>
        <w:tc>
          <w:tcPr>
            <w:tcW w:w="50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40,596</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40,633</w:t>
            </w:r>
          </w:p>
        </w:tc>
      </w:tr>
      <w:tr>
        <w:trPr>
          <w:trHeight w:val="67"/>
        </w:trPr>
        <w:tc>
          <w:tcPr>
            <w:tcW w:w="50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basic:</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0.99</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0.97</w:t>
            </w:r>
          </w:p>
        </w:tc>
      </w:tr>
      <w:tr>
        <w:trPr>
          <w:trHeight w:val="67"/>
        </w:trPr>
        <w:tc>
          <w:tcPr>
            <w:tcW w:w="50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 - diluted:</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0.99</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0.97</w:t>
            </w: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As of November 1, 2014 and November 2, 2013,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November 1, 2014, and February 1, 2014,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21"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1,</w:t>
            </w:r>
          </w:p>
        </w:tc>
        <w:tc>
          <w:tcPr>
            <w:tcW w:w="220" w:type="dxa"/>
            <w:vAlign w:val="bottom"/>
          </w:tcPr>
          <w:p>
            <w:pPr>
              <w:spacing w:after="0"/>
              <w:rPr>
                <w:sz w:val="14"/>
                <w:szCs w:val="14"/>
                <w:color w:val="auto"/>
              </w:rPr>
            </w:pPr>
          </w:p>
        </w:tc>
        <w:tc>
          <w:tcPr>
            <w:tcW w:w="1180" w:type="dxa"/>
            <w:vAlign w:val="bottom"/>
          </w:tcPr>
          <w:p>
            <w:pPr>
              <w:jc w:val="right"/>
              <w:ind w:right="276"/>
              <w:spacing w:after="0"/>
              <w:rPr>
                <w:sz w:val="20"/>
                <w:szCs w:val="20"/>
                <w:color w:val="auto"/>
              </w:rPr>
            </w:pPr>
            <w:r>
              <w:rPr>
                <w:rFonts w:ascii="Arial" w:cs="Arial" w:eastAsia="Arial" w:hAnsi="Arial"/>
                <w:sz w:val="14"/>
                <w:szCs w:val="14"/>
                <w:b w:val="1"/>
                <w:bCs w:val="1"/>
                <w:color w:val="auto"/>
              </w:rPr>
              <w:t>February 1,</w:t>
            </w:r>
          </w:p>
        </w:tc>
      </w:tr>
      <w:tr>
        <w:trPr>
          <w:trHeight w:val="192"/>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10,772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850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97,271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125,301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106,256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136,923</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As of November 1, 2014 and February 1, 2014, the Company had borrowing availability of $125.0 million under the amended and restated credit agreement.</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The effective tax rate for the thirteen weeks ended November 1, 2014, was 34.9%, compared to 36.3% for the thirteen weeks ended November 2, 2013. The year-over-year decrease is primarily due to state tax matters, including the reversal of FIN48 reserves, partially offset by the effect of non-deductible items becoming a larger percentage of income from continuing operations before income taxes.</w:t>
      </w:r>
    </w:p>
    <w:p>
      <w:pPr>
        <w:spacing w:after="0" w:line="30"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The effective tax rate for the thirty-nine weeks ended November 1, 2014, was 37.9%, compared to 37.2% for the thirty-nine weeks ended November 2, 2013. The year-over-year increase is primarily due to the effect of non-deductible items becoming a larger percentage of income from continuing operations before income taxes, partially offset by state tax matters including a net reduction in FIN48 reserves.</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Company recognizes share-based compensation expense, for its awards of restricted stock and restricted stock units, in an amount equal to the fair market value of the underlying stock on the grant date of the respective award.</w:t>
      </w:r>
    </w:p>
    <w:p>
      <w:pPr>
        <w:spacing w:after="0" w:line="3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90" w:lineRule="exact"/>
        <w:rPr>
          <w:sz w:val="20"/>
          <w:szCs w:val="20"/>
          <w:color w:val="auto"/>
        </w:rPr>
      </w:pPr>
    </w:p>
    <w:p>
      <w:pPr>
        <w:jc w:val="both"/>
        <w:ind w:left="660" w:right="300"/>
        <w:spacing w:after="0" w:line="264" w:lineRule="auto"/>
        <w:rPr>
          <w:sz w:val="20"/>
          <w:szCs w:val="20"/>
          <w:color w:val="auto"/>
        </w:rPr>
      </w:pPr>
      <w:r>
        <w:rPr>
          <w:rFonts w:ascii="Arial" w:cs="Arial" w:eastAsia="Arial" w:hAnsi="Arial"/>
          <w:sz w:val="18"/>
          <w:szCs w:val="18"/>
          <w:color w:val="auto"/>
        </w:rPr>
        <w:t>During the thirteen weeks ended November 1, 2014, the Company granted 2,500 time-based restricted stock units with an aggregate fair value of $0.1 million to certain employees under the 2010 Equity and Incentive Plan compared to a total of 2,546 time-based restricted stock units with an aggregate fair value of $0.1 million granted in the same period of the prior year.</w:t>
      </w:r>
    </w:p>
    <w:p>
      <w:pPr>
        <w:spacing w:after="0" w:line="208"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During the thirty-nine weeks ended November 1, 2014, the Company granted 280,991 time-based and performance-based restricted stock units with an aggregate fair value of $7.4 million to certain employees and non-employee directors under the 2010 Equity and Incentive Plan compared to a total of 247,360 time-based and performance-based restricted stock units with an aggregate fair value of $5.8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units issued to non-employee directors vest after a one-year period from grant date. The Company is recognizing the expense relating to these units, net of estimated forfeitures, on a straight-line basis over the vesting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November 1, 2014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2014</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November 1, 2014</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258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As of November 1, 2014, there was $6.4 million of total unrecognized compensation cost, net of estimated forfeitures, related to nonvested restricted stock units. That cost is expected to be recognized over a weighted-average period of 1.8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 xml:space="preserve">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Direct segment results for the current and prior periods presented are reported on a continuing operations basis unless otherwise stated. Discontinued operations are detailed in Note 11 </w:t>
      </w: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of this Quarterly Report on Form 10-Q</w:t>
      </w:r>
      <w:r>
        <w:rPr>
          <w:rFonts w:ascii="Arial" w:cs="Arial" w:eastAsia="Arial" w:hAnsi="Arial"/>
          <w:sz w:val="18"/>
          <w:szCs w:val="18"/>
          <w:i w:val="1"/>
          <w:iCs w:val="1"/>
          <w:color w:val="auto"/>
        </w:rPr>
        <w:t>.</w:t>
      </w:r>
    </w:p>
    <w:p>
      <w:pPr>
        <w:spacing w:after="0" w:line="53" w:lineRule="exact"/>
        <w:rPr>
          <w:sz w:val="20"/>
          <w:szCs w:val="20"/>
          <w:color w:val="auto"/>
        </w:rPr>
      </w:pPr>
    </w:p>
    <w:p>
      <w:pPr>
        <w:ind w:left="660" w:right="40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2,850 doors, substantially all of which are located in the United States, as well as key accounts, which include department stores, national accounts, third party e-commerce sites, the Company's wholesale business in Japan, and third party inventory liquidation.</w:t>
      </w:r>
    </w:p>
    <w:p>
      <w:pPr>
        <w:spacing w:after="0" w:line="12"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consisted of the following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0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November 2,</w:t>
            </w:r>
          </w:p>
        </w:tc>
        <w:tc>
          <w:tcPr>
            <w:tcW w:w="22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November 1,</w:t>
            </w:r>
          </w:p>
        </w:tc>
        <w:tc>
          <w:tcPr>
            <w:tcW w:w="200" w:type="dxa"/>
            <w:vAlign w:val="bottom"/>
          </w:tcPr>
          <w:p>
            <w:pPr>
              <w:spacing w:after="0"/>
              <w:rPr>
                <w:sz w:val="13"/>
                <w:szCs w:val="13"/>
                <w:color w:val="auto"/>
              </w:rPr>
            </w:pPr>
          </w:p>
        </w:tc>
        <w:tc>
          <w:tcPr>
            <w:tcW w:w="12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November 2,</w:t>
            </w:r>
          </w:p>
        </w:tc>
      </w:tr>
      <w:tr>
        <w:trPr>
          <w:trHeight w:val="192"/>
        </w:trPr>
        <w:tc>
          <w:tcPr>
            <w:tcW w:w="4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Direct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77,946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67,712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227,907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213,538</w:t>
            </w: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128,454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160,939</w:t>
            </w:r>
          </w:p>
        </w:tc>
      </w:tr>
      <w:tr>
        <w:trPr>
          <w:trHeight w:val="237"/>
        </w:trPr>
        <w:tc>
          <w:tcPr>
            <w:tcW w:w="406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128,949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356,361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374,477</w:t>
            </w:r>
          </w:p>
        </w:tc>
      </w:tr>
      <w:tr>
        <w:trPr>
          <w:trHeight w:val="67"/>
        </w:trPr>
        <w:tc>
          <w:tcPr>
            <w:tcW w:w="4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Direct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44,742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51,802</w:t>
            </w: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65,501</w:t>
            </w:r>
          </w:p>
        </w:tc>
      </w:tr>
      <w:tr>
        <w:trPr>
          <w:trHeight w:val="237"/>
        </w:trPr>
        <w:tc>
          <w:tcPr>
            <w:tcW w:w="406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41,249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117,303</w:t>
            </w:r>
          </w:p>
        </w:tc>
      </w:tr>
      <w:tr>
        <w:trPr>
          <w:trHeight w:val="67"/>
        </w:trPr>
        <w:tc>
          <w:tcPr>
            <w:tcW w:w="4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33,067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41,249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95,332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117,303</w:t>
            </w: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(52,809)</w:t>
            </w:r>
          </w:p>
        </w:tc>
      </w:tr>
      <w:tr>
        <w:trPr>
          <w:trHeight w:val="27"/>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64,494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60"/>
        <w:spacing w:after="0" w:line="334" w:lineRule="auto"/>
        <w:rPr>
          <w:sz w:val="20"/>
          <w:szCs w:val="20"/>
          <w:color w:val="auto"/>
        </w:rPr>
      </w:pPr>
      <w:r>
        <w:rPr>
          <w:rFonts w:ascii="Arial" w:cs="Arial" w:eastAsia="Arial" w:hAnsi="Arial"/>
          <w:sz w:val="16"/>
          <w:szCs w:val="16"/>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w:t>
      </w:r>
    </w:p>
    <w:p>
      <w:pPr>
        <w:spacing w:after="0" w:line="1" w:lineRule="exact"/>
        <w:rPr>
          <w:sz w:val="20"/>
          <w:szCs w:val="20"/>
          <w:color w:val="auto"/>
        </w:rPr>
      </w:pPr>
    </w:p>
    <w:p>
      <w:pPr>
        <w:ind w:left="660" w:right="220"/>
        <w:spacing w:after="0" w:line="286" w:lineRule="auto"/>
        <w:rPr>
          <w:sz w:val="20"/>
          <w:szCs w:val="20"/>
          <w:color w:val="auto"/>
        </w:rPr>
      </w:pPr>
      <w:r>
        <w:rPr>
          <w:rFonts w:ascii="Arial" w:cs="Arial" w:eastAsia="Arial" w:hAnsi="Arial"/>
          <w:sz w:val="17"/>
          <w:szCs w:val="17"/>
          <w:color w:val="auto"/>
        </w:rPr>
        <w:t>The Company purchased 168,582 shares at an average price of $20.96 per share, excluding commissions, for an aggregate amount of $3.5 million during the thirteen and thirty-nine weeks ended November 1, 2014. As of November 1, 2014, there was $36.5 million remaining available to repurchase shares of the Company's common stock under the 2014 Share Repurchase Program.</w:t>
      </w:r>
    </w:p>
    <w:p>
      <w:pPr>
        <w:spacing w:after="0" w:line="11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As of November 1, 2014, the Company held as treasury shares 168,582 shares of its common stock at an average price of $20.96 per share, excluding commissions, for an aggregate carrying amount of $3.5 million. The Company’s treasury shares may be issued under the 2010 Equity and Incentive Plan or for other corporate purposes. Further purchases will occur from time to time as market conditions warrant and as the Company deems appropriate when judged against alternative uses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Discontinued Operations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has been restated to exclude the results of the discontinued operations for the periods presented. Following are the Japan results of operations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November 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2,</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1,</w:t>
            </w:r>
          </w:p>
        </w:tc>
        <w:tc>
          <w:tcPr>
            <w:tcW w:w="180" w:type="dxa"/>
            <w:vAlign w:val="bottom"/>
          </w:tcPr>
          <w:p>
            <w:pPr>
              <w:spacing w:after="0"/>
              <w:rPr>
                <w:sz w:val="13"/>
                <w:szCs w:val="13"/>
                <w:color w:val="auto"/>
              </w:rPr>
            </w:pPr>
          </w:p>
        </w:tc>
        <w:tc>
          <w:tcPr>
            <w:tcW w:w="11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7"/>
              </w:rPr>
              <w:t>November 2,</w:t>
            </w:r>
          </w:p>
        </w:tc>
      </w:tr>
      <w:tr>
        <w:trPr>
          <w:trHeight w:val="192"/>
        </w:trPr>
        <w:tc>
          <w:tcPr>
            <w:tcW w:w="4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4,022</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1,427</w:t>
            </w:r>
          </w:p>
        </w:tc>
      </w:tr>
      <w:tr>
        <w:trPr>
          <w:trHeight w:val="27"/>
        </w:trPr>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2,595</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3,454</w:t>
            </w:r>
          </w:p>
        </w:tc>
      </w:tr>
      <w:tr>
        <w:trPr>
          <w:trHeight w:val="27"/>
        </w:trPr>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70"/>
        </w:trPr>
        <w:tc>
          <w:tcPr>
            <w:tcW w:w="4420" w:type="dxa"/>
            <w:vAlign w:val="bottom"/>
          </w:tcPr>
          <w:p>
            <w:pPr>
              <w:ind w:left="20"/>
              <w:spacing w:after="0" w:line="270" w:lineRule="exact"/>
              <w:rPr>
                <w:sz w:val="20"/>
                <w:szCs w:val="20"/>
                <w:color w:val="auto"/>
              </w:rPr>
            </w:pPr>
            <w:r>
              <w:rPr>
                <w:rFonts w:ascii="Arial" w:cs="Arial" w:eastAsia="Arial" w:hAnsi="Arial"/>
                <w:sz w:val="18"/>
                <w:szCs w:val="18"/>
                <w:color w:val="auto"/>
              </w:rPr>
              <w:t>Loss on disposal from discontinued operations</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4"/>
        </w:trPr>
        <w:tc>
          <w:tcPr>
            <w:tcW w:w="44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620" w:right="1880" w:hanging="4937"/>
        <w:spacing w:after="0"/>
        <w:tabs>
          <w:tab w:leader="none" w:pos="858"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Loss on disposal from discontinued operations primarily relates to cumulative foreign currency translation adjustments. 14</w:t>
      </w:r>
    </w:p>
    <w:p>
      <w:pPr>
        <w:sectPr>
          <w:pgSz w:w="11900" w:h="16838" w:orient="portrait"/>
          <w:cols w:equalWidth="0" w:num="1">
            <w:col w:w="11340"/>
          </w:cols>
          <w:pgMar w:left="240" w:top="121"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thirty-nine weeks ended November 1, 2014 and November 2, 2013. The following discussion should be read in conjunction with our Annual Report on Form 10-K for the fiscal year ended February 1, 2014, and our unaudited consolidated financial statements and the related notes included in Item 1 of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opened six new full-line stores and seven factory outlet stores during the third quarter.</w:t>
      </w:r>
    </w:p>
    <w:p>
      <w:pPr>
        <w:spacing w:after="0" w:line="9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introduced our new coordinating collections, further intensified our solid microfiber offerings, and launched our leather and faux leather halo collections.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enhanced the visual presentation in our full-line stores and added a larger selection of factory exclusive products to our factory outlet stores.</w:t>
      </w:r>
    </w:p>
    <w:p>
      <w:pPr>
        <w:spacing w:after="0" w:line="113"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made key enhancements to verabradley.com, including adding product recommendations, enhancing product descriptions, adding silhouettes for product scale, generating cart and site abandonment emails, and gathering and analyzing customer feedback.</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launched our first national advertising campaign focused on leather and faux leather in September.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decreased 2.9% to $125.2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segment sales increased 15.1% to $77.9 million. Comparable sales (including e-commerce) increased 0.9%.</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Indirect segment sales decreased 22.8% to $47.3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was $65.8 million (52.5%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$13.6 million (10.9%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from continuing operations was $8.7 million, or $0.21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were $90.3 million at November 1,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Capital expenditures for the thirty-nine weeks totaled $22.4 million, which were funded from cash generated from operations of $56.3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 June 2014, we entered into a five-year agreement with Mitsubishi Corporation Fashion Company and Look Inc. to</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import and distribute Vera Bradley products in Japan. As a result of moving to this wholesale business model, we exited our direct business in Japan during the third quarter of fiscal 2015 and are accounting for it as a discontinued operation. Consolidated income statement and Direct segment results for the current and prior periods presented are reported on a continuing operations basis unless otherwise stated.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 party e-commerce sites, our wholesale business in Japan, and third party inventory liquidation.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1"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is equal to operating income less net interest expense and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Loss from discontinued operations, net of taxes, is equal to the loss from the results of operations related to the direct Japan business, which was exited in the third quarter of fiscal year 2015, adjusted for the associated tax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the sum of income from continuing operations and loss from discontinued operations, net of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1,</w:t>
            </w:r>
          </w:p>
        </w:tc>
        <w:tc>
          <w:tcPr>
            <w:tcW w:w="26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November 2,</w:t>
            </w:r>
          </w:p>
        </w:tc>
        <w:tc>
          <w:tcPr>
            <w:tcW w:w="24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32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November 2,</w:t>
            </w:r>
          </w:p>
        </w:tc>
      </w:t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125,204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128,949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356,361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374,477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59,436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57,710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167,394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164,900</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71,239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188,967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209,577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53,274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47,565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153,982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148,691</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3,608</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38,137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64,494</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470</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13,389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24,562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37,818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64,024</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8,905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14,326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23,799</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15,657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23,492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40,225</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(859)</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15,226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21,106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39,366</w:t>
            </w:r>
          </w:p>
        </w:tc>
      </w:tr>
      <w:tr>
        <w:trPr>
          <w:trHeight w:val="67"/>
        </w:trPr>
        <w:tc>
          <w:tcPr>
            <w:tcW w:w="4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44.0 %</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56.0 %</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November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November 2,</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November 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77,946</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67,712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227,907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213,538</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Indirect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47,258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61,237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128,454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125,204</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128,949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356,361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374,477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Indirect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9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9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November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rPr>
              <w:t>November 2,</w:t>
            </w:r>
          </w:p>
        </w:tc>
        <w:tc>
          <w:tcPr>
            <w:tcW w:w="220" w:type="dxa"/>
            <w:vAlign w:val="bottom"/>
          </w:tcPr>
          <w:p>
            <w:pPr>
              <w:spacing w:after="0"/>
              <w:rPr>
                <w:sz w:val="13"/>
                <w:szCs w:val="13"/>
                <w:color w:val="auto"/>
              </w:rPr>
            </w:pPr>
          </w:p>
        </w:tc>
        <w:tc>
          <w:tcPr>
            <w:tcW w:w="14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November 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Operating Income by Segment: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13,863</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15,293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44,742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51,802</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Indirect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19,204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25,956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50,590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65,501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(19,463)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(57,195)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(52,809)</w:t>
            </w:r>
          </w:p>
        </w:tc>
        <w:tc>
          <w:tcPr>
            <w:tcW w:w="0" w:type="dxa"/>
            <w:vAlign w:val="bottom"/>
          </w:tcPr>
          <w:p>
            <w:pPr>
              <w:spacing w:after="0"/>
              <w:rPr>
                <w:sz w:val="1"/>
                <w:szCs w:val="1"/>
                <w:color w:val="auto"/>
              </w:rPr>
            </w:pPr>
          </w:p>
        </w:tc>
      </w:tr>
      <w:tr>
        <w:trPr>
          <w:trHeight w:val="237"/>
        </w:trPr>
        <w:tc>
          <w:tcPr>
            <w:tcW w:w="490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13,604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24,701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38,137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64,494</w:t>
            </w:r>
          </w:p>
        </w:tc>
        <w:tc>
          <w:tcPr>
            <w:tcW w:w="0" w:type="dxa"/>
            <w:vAlign w:val="bottom"/>
          </w:tcPr>
          <w:p>
            <w:pPr>
              <w:spacing w:after="0"/>
              <w:rPr>
                <w:sz w:val="1"/>
                <w:szCs w:val="1"/>
                <w:color w:val="auto"/>
              </w:rPr>
            </w:pPr>
          </w:p>
        </w:tc>
      </w:tr>
      <w:tr>
        <w:trPr>
          <w:trHeight w:val="67"/>
        </w:trPr>
        <w:tc>
          <w:tcPr>
            <w:tcW w:w="49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9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Direct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0"/>
        </w:trPr>
        <w:tc>
          <w:tcPr>
            <w:tcW w:w="490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4900" w:type="dxa"/>
            <w:vAlign w:val="bottom"/>
          </w:tcPr>
          <w:p>
            <w:pPr>
              <w:ind w:left="40"/>
              <w:spacing w:after="0" w:line="270" w:lineRule="exact"/>
              <w:rPr>
                <w:sz w:val="20"/>
                <w:szCs w:val="20"/>
                <w:color w:val="auto"/>
              </w:rPr>
            </w:pPr>
            <w:r>
              <w:rPr>
                <w:rFonts w:ascii="Arial" w:cs="Arial" w:eastAsia="Arial" w:hAnsi="Arial"/>
                <w:sz w:val="18"/>
                <w:szCs w:val="18"/>
                <w:color w:val="auto"/>
                <w:w w:val="91"/>
              </w:rPr>
              <w:t xml:space="preserve">Comparable sales (including e-commerce) increase (decrease) </w:t>
            </w:r>
            <w:r>
              <w:rPr>
                <w:rFonts w:ascii="Arial" w:cs="Arial" w:eastAsia="Arial" w:hAnsi="Arial"/>
                <w:sz w:val="25"/>
                <w:szCs w:val="25"/>
                <w:color w:val="auto"/>
                <w:w w:val="91"/>
                <w:vertAlign w:val="superscript"/>
              </w:rPr>
              <w:t>(2)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269,051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207,096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269,051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207,096</w:t>
            </w:r>
          </w:p>
        </w:tc>
        <w:tc>
          <w:tcPr>
            <w:tcW w:w="0" w:type="dxa"/>
            <w:vAlign w:val="bottom"/>
          </w:tcPr>
          <w:p>
            <w:pPr>
              <w:spacing w:after="0"/>
              <w:rPr>
                <w:sz w:val="1"/>
                <w:szCs w:val="1"/>
                <w:color w:val="auto"/>
              </w:rPr>
            </w:pPr>
          </w:p>
        </w:tc>
      </w:tr>
      <w:tr>
        <w:trPr>
          <w:trHeight w:val="341"/>
        </w:trPr>
        <w:tc>
          <w:tcPr>
            <w:tcW w:w="490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24"/>
                <w:szCs w:val="2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4"/>
                <w:szCs w:val="24"/>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jc w:val="both"/>
        <w:ind w:left="540" w:right="100" w:hanging="532"/>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3900"/>
        <w:spacing w:after="0" w:line="346" w:lineRule="auto"/>
        <w:rPr>
          <w:sz w:val="20"/>
          <w:szCs w:val="20"/>
          <w:color w:val="auto"/>
        </w:rPr>
      </w:pPr>
      <w:r>
        <w:rPr>
          <w:rFonts w:ascii="Arial" w:cs="Arial" w:eastAsia="Arial" w:hAnsi="Arial"/>
          <w:sz w:val="18"/>
          <w:szCs w:val="18"/>
          <w:b w:val="1"/>
          <w:bCs w:val="1"/>
          <w:color w:val="auto"/>
        </w:rPr>
        <w:t xml:space="preserve">Thirteen Weeks Ended November 1, 2014, Compared to Thirteen Weeks Ended November 2, 2013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thirteen weeks ended November 1, 2014, net revenues decreased $3.7 million, or 2.9%, to $125.2 million, from $128.9 million in the comparable prior-year period.</w:t>
      </w:r>
    </w:p>
    <w:p>
      <w:pPr>
        <w:spacing w:after="0" w:line="11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November 1, 2014, net revenues in the Direct segment increased $10.2 million, or 15.1%, to $77.9 million, from $67.7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from a $9.6 million increase in revenues at our non-comparable stores which included 23 additional full-line and factory outlet stores along with a comparable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(including e-commerce) increase of $0.6 million, or 0.9% (which includes a 22.2% increase in e-commerce sales). Our comparable store sales decreased 13.5%. Comparable sales (including e-commerce) were negatively impacted by year-over-year declines in store traffic. The aggregate number of full-line and factory outlet stores grew from 99 at November 2, 2013, to 122 at November 1, 2014.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November 1, 2014, net revenues in the Indirect segment decreased $13.9 million, or 22.8%, to $47.3 million, from</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$61.2 million in the comparable prior-year period, primarily due to lower orders from the Company's specialty retail partners, as well as a reduction in retail partner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thirteen weeks ended November 1, 2014, gross profit decreased $5.4 million, or 7.7%, to $65.8 million, from $71.2 million in the comparable prior-year period. As a percentage of net revenues, gross profit decreased to 52.5% for the thirteen weeks ended November 1, 2014, from 55.2% in the comparable prior-year period. The decrease as a percentage of net revenues was primarily due to deleveraging of overhead costs as well as modestly increased year-over-year online promotional activity.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thirteen weeks ended November 1, 2014, SG&amp;A expenses increased $5.7 million, or 12.0%, to $53.3 million, from $47.6 million in the comparable prior-year period. As a percentage of net revenues, SG&amp;A expenses increased to 42.5% for the thirteen weeks ended November 1, 2014, from 36.9% in the comparable prior-year period. The increase in SG&amp;A expenses as a percentage of net revenues was primarily due to strategic investments, including new store expenses, key management additions, and marketing and e-commerce initiatives.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November 1, 2014, other income increased $0.1 million, or 8.1%, to $1.1 million, from $1.0 million in the comparable prior-year period due to an increase in reimbursement of co-op mailers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thirteen weeks ended November 1, 2014, operating income decreased $11.1 million, or 44.9%, to $13.6 million, from $24.7 million in the comparable prior-year period. As a percentage of net revenues, operating income was 10.9% and 19.2% for the thirteen weeks ended November 1, 2014 and November 2, 2013, respectively.</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November 1, 2014, operating income in the Direct segment decreased $1.4 million, or 9.4%.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17.8% and 22.6% for the thirteen weeks ended November 1, 2014 and November 2, 2013, respectively.</w:t>
      </w:r>
    </w:p>
    <w:p>
      <w:pPr>
        <w:spacing w:after="0" w:line="1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November 1, 2014, operating income in the Indirect segment decreased $6.8 million, or 26.0%.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net revenues, operating income in the Indirect segment was 40.6% and 42.4% for the thirteen weeks ended November 1, 2014 and November 2, 2013, respectively.</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November 1, 2014, unallocated expenses increased $2.9 million, or 17.6%, primarily due to key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additions and marketing initiatives.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effective tax rate for the thirteen weeks ended November 1, 2014, was 34.9%, compared to 36.3% for the thirteen weeks ended November 2, 2013. The year-over-year decrease is primarily due to state tax matters including the reversal of FIN48 reserves, partially offset by the effect of non-deductible items becoming a larger percentage of income from continuing operations before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thirteen weeks ended November 1, 2014, income from continuing operations decreased $7.0 million, or 44.3%, to $8.7 million from $15.7 million in the comparable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thirteen weeks ended November 1, 2014, loss from discontinued operations, net of taxes increased $1.4 million to $1.8 million from $0.4 million in the comparable prior-year period, reflecting the exit of the direct Japan business in the third quarter of fiscal year 2015. The year-over-year increase is primarily due to cumulative foreign currency translation adjustments.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November 1, 2014, net income decreased $8.3 million, or 54.4%, to $6.9 million from $15.2 million in the comparable prior-year period.</w:t>
      </w:r>
    </w:p>
    <w:p>
      <w:pPr>
        <w:spacing w:after="0" w:line="193" w:lineRule="exact"/>
        <w:rPr>
          <w:sz w:val="20"/>
          <w:szCs w:val="20"/>
          <w:color w:val="auto"/>
        </w:rPr>
      </w:pPr>
    </w:p>
    <w:p>
      <w:pPr>
        <w:ind w:right="3380"/>
        <w:spacing w:after="0" w:line="346" w:lineRule="auto"/>
        <w:rPr>
          <w:sz w:val="20"/>
          <w:szCs w:val="20"/>
          <w:color w:val="auto"/>
        </w:rPr>
      </w:pPr>
      <w:r>
        <w:rPr>
          <w:rFonts w:ascii="Arial" w:cs="Arial" w:eastAsia="Arial" w:hAnsi="Arial"/>
          <w:sz w:val="18"/>
          <w:szCs w:val="18"/>
          <w:b w:val="1"/>
          <w:bCs w:val="1"/>
          <w:color w:val="auto"/>
        </w:rPr>
        <w:t xml:space="preserve">Thirty-Nine Weeks Ended November 1, 2014, Compared to Thirty-Nine Weeks Ended November 2, 2013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thirty-nine weeks ended November 1, 2014, net revenues decreased $18.1 million, or 4.8%, to $356.4 million, from $374.5 million in the comparable prior-year period.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November 1, 2014, net revenues in the Direct segment increased $14.4 million, or 6.7%, to $227.9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$213.5 million in the comparable prior-year period. This change resulted from a $24.5 million increase in revenues at our non-comparable stores which included 23 additional full-line and factory outlet stores partially offset by a comparable sales (including e-commerce) decrease of $7.9 million, or 4.0% (which includes a 10.8% increase in e-commerce sales), and a decrease in total sales at our annual outlet sale compared to the prior year. Our comparable store sales decreased 14.0%. The comparable sales (including e-commerce) decrease was primarily due to declines in traffic, underperformance of the product offering, and increased year-over-year promotional activity. The aggregate number of full-line and factory outlet stores grew from 99 at November 2, 2013, to 122 at November 1, 2014.</w:t>
      </w:r>
    </w:p>
    <w:p>
      <w:pPr>
        <w:spacing w:after="0" w:line="13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November 1, 2014, net revenues in the Indirect segment decreased $32.4 million, or 20.2%, to $128.5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$160.9 million in the comparable prior-year period, primarily due to lower orders from the Company's specialty retail partners, as well as a reduction in retail partner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thirty-nine weeks ended November 1, 2014, gross profit decreased $20.6 million, or 9.8%, to $189.0 million, from $209.6 million in the comparable prior-year period. As a percentage of net revenues, gross profit decreased to 53.0% for the thirteen weeks ended November 1, 2014, from 56.0% in the comparable prior-year period. The decrease as a percentage of net revenues was primarily due to deleveraging of overhead costs, as well as increased year-over-year promotional activity.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thirty-nine weeks ended November 1, 2014, SG&amp;A expenses increased $5.3 million, or 3.6%, to $154.0 million, from $148.7 million in the comparable prior-year period. As a percentage of net revenues, SG&amp;A expenses increased to 43.2% for the thirty-nine weeks ended November 1, 2014, from 39.7% in the comparable prior-year period. The increase in SG&amp;A expenses as a percentage of net revenues was primarily due to fixed expenses being spread over lower revenues in the Indirect segment, deleveraging of store operating expenses, and strategic investments which include new store expenses, key management additions and marketing and e-commerce initiatives, which were partially offset by cost containment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thirty-nine weeks ended November 1, 2014, other income decreased $0.4 million, or 12.6%, to $3.2 million, from $3.6 million in the comparable prior-year period, primarily due to a decrease in reimbursement of co-op mailers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thirty-nine weeks ended November 1, 2014, operating income decreased $26.4 million, or 40.9%, to $38.1 million, from $64.5 million in the comparable prior-year period. As a percentage of net revenues, operating income was 10.7% and 17.2% for the thirty-nine weeks ended November 1, 2014 and November 2, 2013, respectively.</w:t>
      </w:r>
    </w:p>
    <w:p>
      <w:pPr>
        <w:spacing w:after="0" w:line="12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November 1, 2014, operating income in the Direct segment decreased $7.1 million, or 13.6%.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 segment net revenues, operating income in the Direct segment was 19.6% and 24.3% for the thirty-nine weeks ended November 1, 2014 and November 2, 2013, respectively.</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November 1, 2014, operating income in the Indirect segment decreased $14.9 million, or 22.8%.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net revenues, operating income in the Indirect segment was 39.4% and 40.7% for the thirty-nine weeks ended November 1, 2014 and November 2, 2013, respectively.</w:t>
      </w:r>
    </w:p>
    <w:p>
      <w:pPr>
        <w:spacing w:after="0" w:line="12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thirty-nine weeks ended November 1, 2014, unallocated expenses increased $4.4 million, or 8.3%,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 related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effective tax rate for the thirty-nine weeks ended November 1, 2014, was 37.9%, compared to 37.2% for the thirty-nine weeks ended November 2, 2013. The year-over-year increase is primarily due to the effect of non-deductible items becoming a larger percentage of income from continuing operations before income taxes, partially offset by state tax matters including a net reduction in FIN48 reserves.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thirty-nine weeks ended November 1, 2014, income from continuing operations decreased $16.7 million, or 41.6%, to $23.5 million from $40.2 million in the comparable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thirty-nine weeks ended November 1, 2014, loss from discontinued operations, net of taxes increased $1.5 million to $2.4 million from $0.9 million in the comparable prior-year period reflecting the exit of the direct Japan business in the third quarter of fiscal year 2015. The year-over-year increase is primarily due to cumulative foreign currency translation adjustments.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thirty-nine weeks ended November 1, 2014, net income decreased $18.3 million, or 46.4%, to $21.1 million from $39.4 million in the comparable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w:t>
      </w:r>
    </w:p>
    <w:p>
      <w:pPr>
        <w:spacing w:after="0" w:line="13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November 1,</w:t>
            </w:r>
          </w:p>
        </w:tc>
        <w:tc>
          <w:tcPr>
            <w:tcW w:w="240" w:type="dxa"/>
            <w:vAlign w:val="bottom"/>
          </w:tcPr>
          <w:p>
            <w:pPr>
              <w:spacing w:after="0"/>
              <w:rPr>
                <w:sz w:val="13"/>
                <w:szCs w:val="13"/>
                <w:color w:val="auto"/>
              </w:rPr>
            </w:pPr>
          </w:p>
        </w:tc>
        <w:tc>
          <w:tcPr>
            <w:tcW w:w="12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November 2,</w:t>
            </w:r>
          </w:p>
        </w:tc>
      </w:t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56,253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34,846</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(15,289)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Net cash provided by operating activities for the thirty-nine weeks ended November 1, 2014, was $56.3 million, compared to $34.8 million for the thirty-nine weeks ended November 2, 2013, an increase primarily due to a reduction in inventory, partially offset by a decrease in accounts payable.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was $22.4 million and $15.4 million for the thirty-nine weeks ended November 1, 2014 and November 2, 2013, respectively; capital expenditures of $7.2 million were incurred but not paid at November 1, 2014. The $14.2 million increase in capital expenditures was due primarily to the campus consolidation project, which will expand our Roanoke, Indiana Design Center and Distribution Center allowing us to consolidate our current local facilities.</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Capital expenditures for fiscal year 2015 are expected to be approximately $40.0 million, which includes approximately $20.0 million related to the campus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Net cash used in financing activities was $3.8 million for the thirty-nine weeks ended November 1, 2014 which was primarily related to purchases of shares of the Company's common stock made under the 2014 Share Repurchase Program. This compares to net cash used in financing activities of $15.3 million for the thirty-nine weeks ended November 2, 2013 which was primarily related to net repayments under our amended and restated credit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4, 2010, Vera Bradley Designs, Inc., our wholly owned subsidiary, entered into an agreement to amend and restate its credit agreement with JPMorgan Chase Bank, as administrative agent, and certain other lenders. The amended and restated credit agreement provides for a revolving credit commitment of $125.0 million. On June 1, 2012, Vera Bradley Designs, Inc., entered into an amendment to the credit agreement that extends the maturity date from October 3, 2015, to June 1, 2017. Certain permitted indebtedness covenants were also amended.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November 1, 2014.</w:t>
      </w:r>
    </w:p>
    <w:p>
      <w:pPr>
        <w:spacing w:after="0" w:line="1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As of November 1, 2014, the Company had borrowing availability of $125.0 million under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2014.</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2014. As of November 1, 2014,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Disclosures of Disposals of Components of an Entity</w:t>
      </w:r>
      <w:r>
        <w:rPr>
          <w:rFonts w:ascii="Arial" w:cs="Arial" w:eastAsia="Arial" w:hAnsi="Arial"/>
          <w:sz w:val="17"/>
          <w:szCs w:val="17"/>
          <w:color w:val="auto"/>
        </w:rPr>
        <w:t>. This guidance states that the disposal of a component of an entity is to be reported in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Company does not expect this standard to have a material impact on the Company's consolidated financial statements upon adoption.</w:t>
      </w:r>
    </w:p>
    <w:p>
      <w:pPr>
        <w:spacing w:after="0" w:line="5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This guidance will be effective beginning in fiscal 2017, and early adoption is not permitted. The standard allows for either a full retrospective or a modified retrospective transition method. The Company is currently evaluating the impact of this standard, including the transition method, on its consolidated results of operations, financial position and cash flows. The Company does not expect the adoption of this standard to have a material impact on the Company’s consolidated financial statements.</w:t>
      </w:r>
    </w:p>
    <w:p>
      <w:pPr>
        <w:spacing w:after="0" w:line="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November 1, 2014, there was no material change in the market risks described in “Quantitative and Qualitative Disclosures About Market Risks” in the Company’s Annual Report on Form 10-K for the fiscal year ended February 1, 2014.</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November 1, 2014.</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inability to predict trends and to respond in a timely manner to changes in consumer demand could adversely affect our net revenues and results of operations.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products or meet changing consumer demands. If we misjudge the market for our products, including changes to our patterns and our fabrications, revenue may be negatively impacted. In addition, we may be faced with significant excess inventories for some products and missed opportunities for other products. Changes to our product assortment, as well as the availability and breadth of pattern assortment and new fabrications may not gain consumer acceptance. Merchandise misjudgments could adversely impact our net revenues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 factors have been previously set forth in the Company's Annual Report on Form 10-K for the fiscal year ended February 1, 2014.</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 During the thirteen weeks ended November 1, 2014, the Company repurchased 168,582 shares of the Company's common stock at an average price of $20.96 per share, excluding commissions.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November 1, 2014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the Plans or 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3, 2014 - August 30, 2014</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August 31, 2014 - October 4, 2014</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5, 2014 - November 1, 2014</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168,582</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168,582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36,466,976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168,582</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168,582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60" w:hanging="1265"/>
        <w:spacing w:after="0" w:line="286"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November 1, 2014 formatted in Extensible Business Reporting Language (XBRL): (i) Consolidated Statements of Income for the Thirteen and Thirty-Nine Weeks ended November 1, 2014 and November 2, 2013; (ii) Consolidated Statements of Comprehensive Income for the Thirteen and Thirty-Nine Weeks ended November 1, 2014 and November 2, 2013; (iii) Consolidated Balance Sheets as of November 1, 2014 and February 1, 2014;</w:t>
      </w:r>
    </w:p>
    <w:p>
      <w:pPr>
        <w:spacing w:after="0" w:line="1" w:lineRule="exact"/>
        <w:rPr>
          <w:rFonts w:ascii="Arial" w:cs="Arial" w:eastAsia="Arial" w:hAnsi="Arial"/>
          <w:sz w:val="16"/>
          <w:szCs w:val="16"/>
          <w:color w:val="auto"/>
        </w:rPr>
      </w:pPr>
    </w:p>
    <w:p>
      <w:pPr>
        <w:ind w:left="1300" w:right="200"/>
        <w:spacing w:after="0" w:line="261" w:lineRule="auto"/>
        <w:rPr>
          <w:rFonts w:ascii="Arial" w:cs="Arial" w:eastAsia="Arial" w:hAnsi="Arial"/>
          <w:sz w:val="16"/>
          <w:szCs w:val="16"/>
          <w:color w:val="auto"/>
        </w:rPr>
      </w:pPr>
      <w:r>
        <w:rPr>
          <w:rFonts w:ascii="Arial" w:cs="Arial" w:eastAsia="Arial" w:hAnsi="Arial"/>
          <w:sz w:val="18"/>
          <w:szCs w:val="18"/>
          <w:color w:val="auto"/>
        </w:rPr>
        <w:t>(iv) Consolidated Statements of Cash Flows for the Thirty-Nine Weeks ended November 1, 2014 and November 2, 2013,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10,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121"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7"/>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60" w:hanging="1265"/>
        <w:spacing w:after="0" w:line="28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November 1, 2014 formatted in Extensible Business Reporting Language (XBRL): (i) Consolidated Statements of Income for the Thirteen and Thirty-Nine Weeks ended November 1, 2014 and November 2, 2013; (ii) Consolidated Statements of Comprehensive Income for the Thirteen and Thirty-Nine Weeks ended November 1, 2014 and November 2, 2013; (iii) Consolidated Balance Sheets as of November 1, 2014 and February 1, 2014;</w:t>
      </w:r>
    </w:p>
    <w:p>
      <w:pPr>
        <w:spacing w:after="0" w:line="1" w:lineRule="exact"/>
        <w:rPr>
          <w:rFonts w:ascii="Arial" w:cs="Arial" w:eastAsia="Arial" w:hAnsi="Arial"/>
          <w:sz w:val="16"/>
          <w:szCs w:val="16"/>
          <w:color w:val="auto"/>
        </w:rPr>
      </w:pPr>
    </w:p>
    <w:p>
      <w:pPr>
        <w:ind w:left="1300" w:right="200"/>
        <w:spacing w:after="0" w:line="261" w:lineRule="auto"/>
        <w:rPr>
          <w:rFonts w:ascii="Arial" w:cs="Arial" w:eastAsia="Arial" w:hAnsi="Arial"/>
          <w:sz w:val="16"/>
          <w:szCs w:val="16"/>
          <w:color w:val="auto"/>
        </w:rPr>
      </w:pPr>
      <w:r>
        <w:rPr>
          <w:rFonts w:ascii="Arial" w:cs="Arial" w:eastAsia="Arial" w:hAnsi="Arial"/>
          <w:sz w:val="18"/>
          <w:szCs w:val="18"/>
          <w:color w:val="auto"/>
        </w:rPr>
        <w:t>(iv) Consolidated Statements of Cash Flows for the Thirty-Nine Weeks ended November 1, 2014 and November 2, 2013,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10, 2014</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10,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November 1,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November 1,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0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2019-12-07T22:58:16Z</dcterms:created>
  <dcterms:modified xsi:type="dcterms:W3CDTF">2019-12-07T22:58:16Z</dcterms:modified>
</cp:coreProperties>
</file>