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5"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5"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420"/>
        <w:spacing w:after="0"/>
        <w:rPr>
          <w:sz w:val="20"/>
          <w:szCs w:val="20"/>
          <w:color w:val="auto"/>
        </w:rPr>
      </w:pPr>
      <w:r>
        <w:rPr>
          <w:rFonts w:ascii="Arial" w:cs="Arial" w:eastAsia="Arial" w:hAnsi="Arial"/>
          <w:sz w:val="21"/>
          <w:szCs w:val="21"/>
          <w:b w:val="1"/>
          <w:bCs w:val="1"/>
          <w:color w:val="auto"/>
        </w:rPr>
        <w:t>Washington, D.C. 20549</w:t>
      </w:r>
    </w:p>
    <w:p>
      <w:pPr>
        <w:spacing w:after="0" w:line="19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87"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1"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Securities Exchange Act of 1934</w:t>
      </w:r>
    </w:p>
    <w:p>
      <w:pPr>
        <w:spacing w:after="0" w:line="32" w:lineRule="exact"/>
        <w:rPr>
          <w:sz w:val="24"/>
          <w:szCs w:val="24"/>
          <w:color w:val="auto"/>
        </w:rPr>
      </w:pPr>
    </w:p>
    <w:p>
      <w:pPr>
        <w:ind w:left="160"/>
        <w:spacing w:after="0" w:line="207" w:lineRule="exact"/>
        <w:tabs>
          <w:tab w:leader="none" w:pos="34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9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Check the appropriate box:</w:t>
      </w:r>
    </w:p>
    <w:p>
      <w:pPr>
        <w:spacing w:after="0" w:line="92" w:lineRule="exact"/>
        <w:rPr>
          <w:sz w:val="24"/>
          <w:szCs w:val="24"/>
          <w:color w:val="auto"/>
        </w:rPr>
      </w:pPr>
    </w:p>
    <w:p>
      <w:pPr>
        <w:ind w:left="720" w:hanging="553"/>
        <w:spacing w:after="0"/>
        <w:tabs>
          <w:tab w:leader="none" w:pos="720" w:val="left"/>
        </w:tabs>
        <w:numPr>
          <w:ilvl w:val="0"/>
          <w:numId w:val="1"/>
        </w:numPr>
        <w:rPr>
          <w:rFonts w:ascii="MS PGothic" w:cs="MS PGothic" w:eastAsia="MS PGothic" w:hAnsi="MS PGothic"/>
          <w:sz w:val="16"/>
          <w:szCs w:val="16"/>
          <w:color w:val="333333"/>
        </w:rPr>
      </w:pPr>
      <w:r>
        <w:rPr>
          <w:rFonts w:ascii="Arial" w:cs="Arial" w:eastAsia="Arial" w:hAnsi="Arial"/>
          <w:sz w:val="16"/>
          <w:szCs w:val="16"/>
          <w:color w:val="333333"/>
        </w:rPr>
        <w:t>Preliminary Proxy Statement</w:t>
      </w:r>
    </w:p>
    <w:p>
      <w:pPr>
        <w:spacing w:after="0" w:line="65" w:lineRule="exact"/>
        <w:rPr>
          <w:rFonts w:ascii="MS PGothic" w:cs="MS PGothic" w:eastAsia="MS PGothic" w:hAnsi="MS PGothic"/>
          <w:sz w:val="16"/>
          <w:szCs w:val="16"/>
          <w:color w:val="333333"/>
        </w:rPr>
      </w:pPr>
    </w:p>
    <w:p>
      <w:pPr>
        <w:ind w:left="720" w:hanging="553"/>
        <w:spacing w:after="0"/>
        <w:tabs>
          <w:tab w:leader="none" w:pos="720" w:val="left"/>
        </w:tabs>
        <w:numPr>
          <w:ilvl w:val="0"/>
          <w:numId w:val="1"/>
        </w:numPr>
        <w:rPr>
          <w:rFonts w:ascii="MS PGothic" w:cs="MS PGothic" w:eastAsia="MS PGothic" w:hAnsi="MS PGothic"/>
          <w:sz w:val="16"/>
          <w:szCs w:val="16"/>
          <w:color w:val="333333"/>
        </w:rPr>
      </w:pPr>
      <w:r>
        <w:rPr>
          <w:rFonts w:ascii="Arial" w:cs="Arial" w:eastAsia="Arial" w:hAnsi="Arial"/>
          <w:sz w:val="18"/>
          <w:szCs w:val="18"/>
          <w:b w:val="1"/>
          <w:bCs w:val="1"/>
          <w:color w:val="auto"/>
        </w:rPr>
        <w:t>Confidential, for Use of the Commission Only (as permitted by Rule 14a-6(e)(2))</w:t>
      </w:r>
    </w:p>
    <w:p>
      <w:pPr>
        <w:spacing w:after="0" w:line="38" w:lineRule="exact"/>
        <w:rPr>
          <w:rFonts w:ascii="MS PGothic" w:cs="MS PGothic" w:eastAsia="MS PGothic" w:hAnsi="MS PGothic"/>
          <w:sz w:val="16"/>
          <w:szCs w:val="16"/>
          <w:color w:val="333333"/>
        </w:rPr>
      </w:pPr>
    </w:p>
    <w:p>
      <w:pPr>
        <w:ind w:left="160"/>
        <w:spacing w:after="0" w:line="184" w:lineRule="exact"/>
        <w:rPr>
          <w:rFonts w:ascii="MS PGothic" w:cs="MS PGothic" w:eastAsia="MS PGothic" w:hAnsi="MS PGothic"/>
          <w:sz w:val="16"/>
          <w:szCs w:val="16"/>
          <w:color w:val="333333"/>
        </w:rPr>
      </w:pPr>
      <w:r>
        <w:rPr>
          <w:rFonts w:ascii="MS PGothic" w:cs="MS PGothic" w:eastAsia="MS PGothic" w:hAnsi="MS PGothic"/>
          <w:sz w:val="16"/>
          <w:szCs w:val="16"/>
          <w:color w:val="333333"/>
        </w:rPr>
        <w:t>☒</w:t>
      </w:r>
      <w:r>
        <w:rPr>
          <w:rFonts w:ascii="Arial" w:cs="Arial" w:eastAsia="Arial" w:hAnsi="Arial"/>
          <w:sz w:val="15"/>
          <w:szCs w:val="15"/>
          <w:color w:val="333333"/>
        </w:rPr>
        <w:t>Definitive Proxy Statement</w:t>
      </w:r>
    </w:p>
    <w:p>
      <w:pPr>
        <w:spacing w:after="0" w:line="123" w:lineRule="exact"/>
        <w:rPr>
          <w:rFonts w:ascii="MS PGothic" w:cs="MS PGothic" w:eastAsia="MS PGothic" w:hAnsi="MS PGothic"/>
          <w:sz w:val="16"/>
          <w:szCs w:val="16"/>
          <w:color w:val="333333"/>
        </w:rPr>
      </w:pPr>
    </w:p>
    <w:p>
      <w:pPr>
        <w:ind w:left="720" w:hanging="553"/>
        <w:spacing w:after="0"/>
        <w:tabs>
          <w:tab w:leader="none" w:pos="720" w:val="left"/>
        </w:tabs>
        <w:numPr>
          <w:ilvl w:val="0"/>
          <w:numId w:val="1"/>
        </w:numPr>
        <w:rPr>
          <w:rFonts w:ascii="MS PGothic" w:cs="MS PGothic" w:eastAsia="MS PGothic" w:hAnsi="MS PGothic"/>
          <w:sz w:val="16"/>
          <w:szCs w:val="16"/>
          <w:color w:val="333333"/>
        </w:rPr>
      </w:pPr>
      <w:r>
        <w:rPr>
          <w:rFonts w:ascii="Arial" w:cs="Arial" w:eastAsia="Arial" w:hAnsi="Arial"/>
          <w:sz w:val="16"/>
          <w:szCs w:val="16"/>
          <w:color w:val="333333"/>
        </w:rPr>
        <w:t>Definitive Additional Materials</w:t>
      </w:r>
    </w:p>
    <w:p>
      <w:pPr>
        <w:spacing w:after="0" w:line="83" w:lineRule="exact"/>
        <w:rPr>
          <w:rFonts w:ascii="MS PGothic" w:cs="MS PGothic" w:eastAsia="MS PGothic" w:hAnsi="MS PGothic"/>
          <w:sz w:val="16"/>
          <w:szCs w:val="16"/>
          <w:color w:val="333333"/>
        </w:rPr>
      </w:pPr>
    </w:p>
    <w:p>
      <w:pPr>
        <w:ind w:left="720" w:hanging="553"/>
        <w:spacing w:after="0"/>
        <w:tabs>
          <w:tab w:leader="none" w:pos="720" w:val="left"/>
        </w:tabs>
        <w:numPr>
          <w:ilvl w:val="0"/>
          <w:numId w:val="1"/>
        </w:numPr>
        <w:rPr>
          <w:rFonts w:ascii="MS PGothic" w:cs="MS PGothic" w:eastAsia="MS PGothic" w:hAnsi="MS PGothic"/>
          <w:sz w:val="16"/>
          <w:szCs w:val="16"/>
          <w:color w:val="333333"/>
        </w:rPr>
      </w:pPr>
      <w:r>
        <w:rPr>
          <w:rFonts w:ascii="Arial" w:cs="Arial" w:eastAsia="Arial" w:hAnsi="Arial"/>
          <w:sz w:val="16"/>
          <w:szCs w:val="16"/>
          <w:color w:val="333333"/>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2994025</wp:posOffset>
            </wp:positionH>
            <wp:positionV relativeFrom="paragraph">
              <wp:posOffset>113030</wp:posOffset>
            </wp:positionV>
            <wp:extent cx="1155065" cy="662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065" cy="6623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3600"/>
        <w:spacing w:after="0"/>
        <w:rPr>
          <w:sz w:val="20"/>
          <w:szCs w:val="20"/>
          <w:color w:val="auto"/>
        </w:rPr>
      </w:pPr>
      <w:r>
        <w:rPr>
          <w:rFonts w:ascii="Arial" w:cs="Arial" w:eastAsia="Arial" w:hAnsi="Arial"/>
          <w:sz w:val="39"/>
          <w:szCs w:val="39"/>
          <w:b w:val="1"/>
          <w:bCs w:val="1"/>
          <w:color w:val="auto"/>
        </w:rPr>
        <w:t>VERA BRADLEY, INC.</w:t>
      </w:r>
    </w:p>
    <w:p>
      <w:pPr>
        <w:spacing w:after="0" w:line="39"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2" w:lineRule="exact"/>
        <w:rPr>
          <w:sz w:val="24"/>
          <w:szCs w:val="24"/>
          <w:color w:val="auto"/>
        </w:rPr>
      </w:pPr>
    </w:p>
    <w:p>
      <w:pPr>
        <w:jc w:val="center"/>
        <w:ind w:right="-920"/>
        <w:spacing w:after="0"/>
        <w:rPr>
          <w:sz w:val="20"/>
          <w:szCs w:val="20"/>
          <w:color w:val="auto"/>
        </w:rPr>
      </w:pPr>
      <w:r>
        <w:rPr>
          <w:rFonts w:ascii="Arial" w:cs="Arial" w:eastAsia="Arial" w:hAnsi="Arial"/>
          <w:sz w:val="27"/>
          <w:szCs w:val="27"/>
          <w:b w:val="1"/>
          <w:bCs w:val="1"/>
          <w:color w:val="005C5D"/>
        </w:rPr>
        <w:t xml:space="preserve">    </w:t>
      </w:r>
    </w:p>
    <w:p>
      <w:pPr>
        <w:spacing w:after="0" w:line="31" w:lineRule="exact"/>
        <w:rPr>
          <w:sz w:val="24"/>
          <w:szCs w:val="24"/>
          <w:color w:val="auto"/>
        </w:rPr>
      </w:pPr>
    </w:p>
    <w:p>
      <w:pPr>
        <w:ind w:left="3200"/>
        <w:spacing w:after="0"/>
        <w:rPr>
          <w:sz w:val="20"/>
          <w:szCs w:val="20"/>
          <w:color w:val="auto"/>
        </w:rPr>
      </w:pPr>
      <w:r>
        <w:rPr>
          <w:rFonts w:ascii="Arial" w:cs="Arial" w:eastAsia="Arial" w:hAnsi="Arial"/>
          <w:sz w:val="14"/>
          <w:szCs w:val="14"/>
          <w:b w:val="1"/>
          <w:bCs w:val="1"/>
          <w:color w:val="333333"/>
        </w:rPr>
        <w:t>(Name of Person(s) Filing Proxy Statement, if other than the Registrant)</w:t>
      </w:r>
    </w:p>
    <w:p>
      <w:pPr>
        <w:spacing w:after="0" w:line="56"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Payment of Filing Fee (Check the appropriate box):</w:t>
      </w:r>
    </w:p>
    <w:p>
      <w:pPr>
        <w:spacing w:after="0" w:line="105" w:lineRule="exact"/>
        <w:rPr>
          <w:sz w:val="24"/>
          <w:szCs w:val="24"/>
          <w:color w:val="auto"/>
        </w:rPr>
      </w:pPr>
    </w:p>
    <w:p>
      <w:pPr>
        <w:ind w:left="720" w:hanging="553"/>
        <w:spacing w:after="0"/>
        <w:tabs>
          <w:tab w:leader="none" w:pos="720" w:val="left"/>
        </w:tabs>
        <w:numPr>
          <w:ilvl w:val="0"/>
          <w:numId w:val="2"/>
        </w:numPr>
        <w:rPr>
          <w:rFonts w:ascii="MS PGothic" w:cs="MS PGothic" w:eastAsia="MS PGothic" w:hAnsi="MS PGothic"/>
          <w:sz w:val="16"/>
          <w:szCs w:val="16"/>
          <w:color w:val="333333"/>
        </w:rPr>
      </w:pPr>
      <w:r>
        <w:rPr>
          <w:rFonts w:ascii="Arial" w:cs="Arial" w:eastAsia="Arial" w:hAnsi="Arial"/>
          <w:sz w:val="16"/>
          <w:szCs w:val="16"/>
          <w:color w:val="333333"/>
        </w:rPr>
        <w:t>No fee required.</w:t>
      </w:r>
    </w:p>
    <w:p>
      <w:pPr>
        <w:spacing w:after="0" w:line="137" w:lineRule="exact"/>
        <w:rPr>
          <w:sz w:val="24"/>
          <w:szCs w:val="24"/>
          <w:color w:val="auto"/>
        </w:rPr>
      </w:pPr>
    </w:p>
    <w:p>
      <w:pPr>
        <w:ind w:left="720" w:hanging="553"/>
        <w:spacing w:after="0"/>
        <w:tabs>
          <w:tab w:leader="none" w:pos="720" w:val="left"/>
        </w:tabs>
        <w:numPr>
          <w:ilvl w:val="0"/>
          <w:numId w:val="3"/>
        </w:numPr>
        <w:rPr>
          <w:rFonts w:ascii="MS PGothic" w:cs="MS PGothic" w:eastAsia="MS PGothic" w:hAnsi="MS PGothic"/>
          <w:sz w:val="16"/>
          <w:szCs w:val="16"/>
          <w:color w:val="333333"/>
        </w:rPr>
      </w:pPr>
      <w:r>
        <w:rPr>
          <w:rFonts w:ascii="Arial" w:cs="Arial" w:eastAsia="Arial" w:hAnsi="Arial"/>
          <w:sz w:val="16"/>
          <w:szCs w:val="16"/>
          <w:color w:val="333333"/>
        </w:rPr>
        <w:t>Fee paid previously with preliminary materials.</w:t>
      </w:r>
    </w:p>
    <w:p>
      <w:pPr>
        <w:spacing w:after="0" w:line="136" w:lineRule="exact"/>
        <w:rPr>
          <w:rFonts w:ascii="MS PGothic" w:cs="MS PGothic" w:eastAsia="MS PGothic" w:hAnsi="MS PGothic"/>
          <w:sz w:val="16"/>
          <w:szCs w:val="16"/>
          <w:color w:val="333333"/>
        </w:rPr>
      </w:pPr>
    </w:p>
    <w:p>
      <w:pPr>
        <w:ind w:left="720" w:hanging="553"/>
        <w:spacing w:after="0"/>
        <w:tabs>
          <w:tab w:leader="none" w:pos="720" w:val="left"/>
        </w:tabs>
        <w:numPr>
          <w:ilvl w:val="0"/>
          <w:numId w:val="3"/>
        </w:numPr>
        <w:rPr>
          <w:rFonts w:ascii="MS PGothic" w:cs="MS PGothic" w:eastAsia="MS PGothic" w:hAnsi="MS PGothic"/>
          <w:sz w:val="16"/>
          <w:szCs w:val="16"/>
          <w:color w:val="333333"/>
        </w:rPr>
      </w:pPr>
      <w:r>
        <w:rPr>
          <w:rFonts w:ascii="Arial" w:cs="Arial" w:eastAsia="Arial" w:hAnsi="Arial"/>
          <w:sz w:val="16"/>
          <w:szCs w:val="16"/>
          <w:color w:val="333333"/>
        </w:rPr>
        <w:t>Fee computed on table in exhibit required by Item 25(b) per Exchange Act Rules 14(a)-6(i)(1) and 0-11.</w:t>
      </w:r>
    </w:p>
    <w:p>
      <w:pPr>
        <w:sectPr>
          <w:pgSz w:w="11900" w:h="16838" w:orient="portrait"/>
          <w:cols w:equalWidth="0" w:num="1">
            <w:col w:w="10139"/>
          </w:cols>
          <w:pgMar w:left="320" w:top="22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213995</wp:posOffset>
            </wp:positionV>
            <wp:extent cx="1155065" cy="654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5065" cy="654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27"/>
          <w:szCs w:val="27"/>
          <w:b w:val="1"/>
          <w:bCs w:val="1"/>
          <w:color w:val="005C5D"/>
        </w:rPr>
        <w:t>Welcome to the Vera Bradley, Inc.</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27"/>
          <w:szCs w:val="27"/>
          <w:b w:val="1"/>
          <w:bCs w:val="1"/>
          <w:color w:val="005C5D"/>
        </w:rPr>
        <w:t>Annual Meeting of Shareholders</w:t>
      </w:r>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Dear Shareholder of Vera Bradley, Inc.:</w:t>
      </w:r>
    </w:p>
    <w:p>
      <w:pPr>
        <w:spacing w:after="0" w:line="141" w:lineRule="exact"/>
        <w:rPr>
          <w:sz w:val="20"/>
          <w:szCs w:val="20"/>
          <w:color w:val="auto"/>
        </w:rPr>
      </w:pPr>
    </w:p>
    <w:p>
      <w:pPr>
        <w:jc w:val="both"/>
        <w:ind w:left="160" w:right="20"/>
        <w:spacing w:after="0" w:line="279" w:lineRule="auto"/>
        <w:rPr>
          <w:sz w:val="20"/>
          <w:szCs w:val="20"/>
          <w:color w:val="auto"/>
        </w:rPr>
      </w:pPr>
      <w:r>
        <w:rPr>
          <w:rFonts w:ascii="Arial" w:cs="Arial" w:eastAsia="Arial" w:hAnsi="Arial"/>
          <w:sz w:val="16"/>
          <w:szCs w:val="16"/>
          <w:color w:val="333333"/>
        </w:rPr>
        <w:t>You are cordially invited to attend the 2026 Annual Meeting of Shareholders of Vera Bradley, Inc., to be held at 8:30 a.m., Eastern Time, on June 4, 2026 at the Vera Bradley Design Center, 12420 Stonebridge Road, Roanoke, IN 46783.</w:t>
      </w:r>
    </w:p>
    <w:p>
      <w:pPr>
        <w:spacing w:after="0" w:line="94" w:lineRule="exact"/>
        <w:rPr>
          <w:sz w:val="20"/>
          <w:szCs w:val="20"/>
          <w:color w:val="auto"/>
        </w:rPr>
      </w:pPr>
    </w:p>
    <w:p>
      <w:pPr>
        <w:jc w:val="both"/>
        <w:ind w:left="160" w:right="20"/>
        <w:spacing w:after="0" w:line="279" w:lineRule="auto"/>
        <w:rPr>
          <w:sz w:val="20"/>
          <w:szCs w:val="20"/>
          <w:color w:val="auto"/>
        </w:rPr>
      </w:pPr>
      <w:r>
        <w:rPr>
          <w:rFonts w:ascii="Arial" w:cs="Arial" w:eastAsia="Arial" w:hAnsi="Arial"/>
          <w:sz w:val="16"/>
          <w:szCs w:val="16"/>
          <w:color w:val="333333"/>
        </w:rPr>
        <w:t>The attached Notice of 2026 Annual Meeting of Shareholders and Proxy Statement provide information concerning the matters to be considered and voted on at the Annual Meeting. Please take the time to carefully read each of the proposals.</w:t>
      </w:r>
    </w:p>
    <w:p>
      <w:pPr>
        <w:spacing w:after="0" w:line="94"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333333"/>
        </w:rPr>
        <w:t>Regardless of the number of shares you hold or whether you plan to attend the meeting in person, your vote is important. Accordingly, please vote your shares as soon as possible by following the instructions you received on your proxy card. Voting your shares prior to the Annual Meeting will not prevent you from voting your shares in person if you subsequently choose to attend the meeting.</w:t>
      </w:r>
    </w:p>
    <w:p>
      <w:pPr>
        <w:spacing w:after="0" w:line="106" w:lineRule="exact"/>
        <w:rPr>
          <w:sz w:val="20"/>
          <w:szCs w:val="20"/>
          <w:color w:val="auto"/>
        </w:rPr>
      </w:pPr>
    </w:p>
    <w:p>
      <w:pPr>
        <w:jc w:val="both"/>
        <w:ind w:left="160" w:right="20"/>
        <w:spacing w:after="0" w:line="279" w:lineRule="auto"/>
        <w:rPr>
          <w:sz w:val="20"/>
          <w:szCs w:val="20"/>
          <w:color w:val="auto"/>
        </w:rPr>
      </w:pPr>
      <w:r>
        <w:rPr>
          <w:rFonts w:ascii="Arial" w:cs="Arial" w:eastAsia="Arial" w:hAnsi="Arial"/>
          <w:sz w:val="16"/>
          <w:szCs w:val="16"/>
          <w:color w:val="333333"/>
        </w:rPr>
        <w:t>To make it easier for you to vote, Internet and telephone voting are available. The instructions for voting via the Internet and telephone can be found on your proxy card.</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Thank you for your continued support of Vera Bradley, Inc.</w:t>
      </w:r>
    </w:p>
    <w:p>
      <w:pPr>
        <w:spacing w:after="0" w:line="364"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568960" cy="382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8960" cy="38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Ian Bickley</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333333"/>
        </w:rPr>
        <w:t>Chief Executive Officer and Chairman</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April 24, 2026</w:t>
      </w:r>
    </w:p>
    <w:p>
      <w:pPr>
        <w:sectPr>
          <w:pgSz w:w="11900" w:h="16838" w:orient="portrait"/>
          <w:cols w:equalWidth="0" w:num="1">
            <w:col w:w="11080"/>
          </w:cols>
          <w:pgMar w:left="320" w:top="478"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 w:lineRule="exact"/>
        <w:rPr>
          <w:sz w:val="20"/>
          <w:szCs w:val="20"/>
          <w:color w:val="auto"/>
        </w:rPr>
      </w:pPr>
    </w:p>
    <w:p>
      <w:pPr>
        <w:ind w:left="5360"/>
        <w:spacing w:after="0"/>
        <w:rPr>
          <w:sz w:val="20"/>
          <w:szCs w:val="20"/>
          <w:color w:val="auto"/>
        </w:rPr>
      </w:pPr>
      <w:r>
        <w:rPr>
          <w:rFonts w:ascii="Arial" w:cs="Arial" w:eastAsia="Arial" w:hAnsi="Arial"/>
          <w:sz w:val="53"/>
          <w:szCs w:val="5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-191135</wp:posOffset>
            </wp:positionV>
            <wp:extent cx="6929755" cy="8968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755" cy="896810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0" w:right="5339"/>
        <w:spacing w:after="0" w:line="283" w:lineRule="auto"/>
        <w:rPr>
          <w:sz w:val="20"/>
          <w:szCs w:val="20"/>
          <w:color w:val="auto"/>
        </w:rPr>
      </w:pPr>
      <w:r>
        <w:rPr>
          <w:rFonts w:ascii="Arial" w:cs="Arial" w:eastAsia="Arial" w:hAnsi="Arial"/>
          <w:sz w:val="27"/>
          <w:szCs w:val="27"/>
          <w:b w:val="1"/>
          <w:bCs w:val="1"/>
          <w:color w:val="005C5D"/>
        </w:rPr>
        <w:t>NOTICE OF 2026 ANNUAL MEETING OF SHAREHOLDERS</w:t>
      </w:r>
    </w:p>
    <w:p>
      <w:pPr>
        <w:spacing w:after="0" w:line="290" w:lineRule="exact"/>
        <w:rPr>
          <w:sz w:val="20"/>
          <w:szCs w:val="20"/>
          <w:color w:val="auto"/>
        </w:rPr>
      </w:pPr>
    </w:p>
    <w:p>
      <w:pPr>
        <w:ind w:left="180"/>
        <w:spacing w:after="0"/>
        <w:tabs>
          <w:tab w:leader="none" w:pos="5440" w:val="left"/>
        </w:tabs>
        <w:rPr>
          <w:sz w:val="20"/>
          <w:szCs w:val="20"/>
          <w:color w:val="auto"/>
        </w:rPr>
      </w:pPr>
      <w:r>
        <w:rPr>
          <w:rFonts w:ascii="Arial" w:cs="Arial" w:eastAsia="Arial" w:hAnsi="Arial"/>
          <w:sz w:val="19"/>
          <w:szCs w:val="19"/>
          <w:b w:val="1"/>
          <w:bCs w:val="1"/>
          <w:color w:val="005C5D"/>
        </w:rPr>
        <w:t>Date:</w:t>
      </w:r>
      <w:r>
        <w:rPr>
          <w:sz w:val="20"/>
          <w:szCs w:val="20"/>
          <w:color w:val="auto"/>
        </w:rPr>
        <w:tab/>
      </w:r>
      <w:r>
        <w:rPr>
          <w:rFonts w:ascii="Arial" w:cs="Arial" w:eastAsia="Arial" w:hAnsi="Arial"/>
          <w:sz w:val="19"/>
          <w:szCs w:val="19"/>
          <w:b w:val="1"/>
          <w:bCs w:val="1"/>
          <w:color w:val="005C5D"/>
        </w:rPr>
        <w:t>Proxy Voting:</w:t>
      </w:r>
    </w:p>
    <w:p>
      <w:pPr>
        <w:sectPr>
          <w:pgSz w:w="11900" w:h="16838" w:orient="portrait"/>
          <w:cols w:equalWidth="0" w:num="1">
            <w:col w:w="10139"/>
          </w:cols>
          <w:pgMar w:left="320" w:top="478" w:right="1440" w:bottom="1440" w:gutter="0" w:footer="0" w:header="0"/>
        </w:sectPr>
      </w:pP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333333"/>
        </w:rPr>
        <w:t>June 4, 2026</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05C5D"/>
        </w:rPr>
        <w:t>Time: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333333"/>
        </w:rPr>
        <w:t>8:30 a.m., Eastern Time</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05C5D"/>
        </w:rPr>
        <w:t>Place: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333333"/>
        </w:rPr>
        <w:t>Vera Bradley Design Center</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333333"/>
        </w:rPr>
        <w:t>12420 Stonebridge Road,</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333333"/>
        </w:rPr>
        <w:t>Roanoke, IN 46783</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05C5D"/>
        </w:rPr>
        <w:t>Record Date:</w:t>
      </w:r>
    </w:p>
    <w:p>
      <w:pPr>
        <w:spacing w:after="0" w:line="9" w:lineRule="exact"/>
        <w:rPr>
          <w:sz w:val="20"/>
          <w:szCs w:val="20"/>
          <w:color w:val="auto"/>
        </w:rPr>
      </w:pPr>
    </w:p>
    <w:p>
      <w:pPr>
        <w:ind w:left="180"/>
        <w:spacing w:after="0" w:line="258" w:lineRule="auto"/>
        <w:rPr>
          <w:sz w:val="20"/>
          <w:szCs w:val="20"/>
          <w:color w:val="auto"/>
        </w:rPr>
      </w:pPr>
      <w:r>
        <w:rPr>
          <w:rFonts w:ascii="Arial" w:cs="Arial" w:eastAsia="Arial" w:hAnsi="Arial"/>
          <w:sz w:val="16"/>
          <w:szCs w:val="16"/>
          <w:color w:val="333333"/>
        </w:rPr>
        <w:t>April 8, 2026. You are entitled to vote at the Annual Meeting only if you were a shareholder at the close of business on the record date.</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005C5D"/>
        </w:rPr>
        <w:t>Items of Business:</w:t>
      </w:r>
    </w:p>
    <w:p>
      <w:pPr>
        <w:spacing w:after="0" w:line="9" w:lineRule="exact"/>
        <w:rPr>
          <w:sz w:val="20"/>
          <w:szCs w:val="20"/>
          <w:color w:val="auto"/>
        </w:rPr>
      </w:pPr>
    </w:p>
    <w:p>
      <w:pPr>
        <w:ind w:left="340" w:hanging="170"/>
        <w:spacing w:after="0" w:line="244" w:lineRule="auto"/>
        <w:tabs>
          <w:tab w:leader="none" w:pos="340" w:val="left"/>
        </w:tabs>
        <w:numPr>
          <w:ilvl w:val="0"/>
          <w:numId w:val="4"/>
        </w:numPr>
        <w:rPr>
          <w:rFonts w:ascii="Arial" w:cs="Arial" w:eastAsia="Arial" w:hAnsi="Arial"/>
          <w:sz w:val="16"/>
          <w:szCs w:val="16"/>
          <w:color w:val="333333"/>
        </w:rPr>
      </w:pPr>
      <w:r>
        <w:rPr>
          <w:rFonts w:ascii="Arial" w:cs="Arial" w:eastAsia="Arial" w:hAnsi="Arial"/>
          <w:sz w:val="16"/>
          <w:szCs w:val="16"/>
          <w:color w:val="333333"/>
        </w:rPr>
        <w:t>To elect six Directors for a one-year term to expire at the 2027 Annual Meeting of Shareholders</w:t>
      </w:r>
    </w:p>
    <w:p>
      <w:pPr>
        <w:ind w:left="340" w:hanging="170"/>
        <w:spacing w:after="0" w:line="244" w:lineRule="auto"/>
        <w:tabs>
          <w:tab w:leader="none" w:pos="340" w:val="left"/>
        </w:tabs>
        <w:numPr>
          <w:ilvl w:val="0"/>
          <w:numId w:val="4"/>
        </w:numPr>
        <w:rPr>
          <w:rFonts w:ascii="Arial" w:cs="Arial" w:eastAsia="Arial" w:hAnsi="Arial"/>
          <w:sz w:val="16"/>
          <w:szCs w:val="16"/>
          <w:color w:val="333333"/>
        </w:rPr>
      </w:pPr>
      <w:r>
        <w:rPr>
          <w:rFonts w:ascii="Arial" w:cs="Arial" w:eastAsia="Arial" w:hAnsi="Arial"/>
          <w:sz w:val="16"/>
          <w:szCs w:val="16"/>
          <w:color w:val="333333"/>
        </w:rPr>
        <w:t>To ratify the appointment of Deloitte &amp; Touche LLP as our independent registered public accounting firm for fiscal 2027</w:t>
      </w:r>
    </w:p>
    <w:p>
      <w:pPr>
        <w:ind w:left="340" w:hanging="170"/>
        <w:spacing w:after="0" w:line="244" w:lineRule="auto"/>
        <w:tabs>
          <w:tab w:leader="none" w:pos="340" w:val="left"/>
        </w:tabs>
        <w:numPr>
          <w:ilvl w:val="0"/>
          <w:numId w:val="4"/>
        </w:numPr>
        <w:rPr>
          <w:rFonts w:ascii="Arial" w:cs="Arial" w:eastAsia="Arial" w:hAnsi="Arial"/>
          <w:sz w:val="16"/>
          <w:szCs w:val="16"/>
          <w:color w:val="333333"/>
        </w:rPr>
      </w:pPr>
      <w:r>
        <w:rPr>
          <w:rFonts w:ascii="Arial" w:cs="Arial" w:eastAsia="Arial" w:hAnsi="Arial"/>
          <w:sz w:val="16"/>
          <w:szCs w:val="16"/>
          <w:color w:val="333333"/>
        </w:rPr>
        <w:t>To approve, on an advisory basis, the compensation of the Company’s named executive officers</w:t>
      </w:r>
    </w:p>
    <w:p>
      <w:pPr>
        <w:jc w:val="both"/>
        <w:ind w:left="340" w:hanging="170"/>
        <w:spacing w:after="0" w:line="244" w:lineRule="auto"/>
        <w:tabs>
          <w:tab w:leader="none" w:pos="340" w:val="left"/>
        </w:tabs>
        <w:numPr>
          <w:ilvl w:val="0"/>
          <w:numId w:val="4"/>
        </w:numPr>
        <w:rPr>
          <w:rFonts w:ascii="Arial" w:cs="Arial" w:eastAsia="Arial" w:hAnsi="Arial"/>
          <w:sz w:val="16"/>
          <w:szCs w:val="16"/>
          <w:color w:val="333333"/>
        </w:rPr>
      </w:pPr>
      <w:r>
        <w:rPr>
          <w:rFonts w:ascii="Arial" w:cs="Arial" w:eastAsia="Arial" w:hAnsi="Arial"/>
          <w:sz w:val="16"/>
          <w:szCs w:val="16"/>
          <w:color w:val="333333"/>
        </w:rPr>
        <w:t>To approve an amendment to the Company’s 2020 Equity Incentive Plan for an additional authorization of shares to be available for future issuance</w:t>
      </w:r>
    </w:p>
    <w:p>
      <w:pPr>
        <w:ind w:left="340" w:hanging="170"/>
        <w:spacing w:after="0" w:line="258" w:lineRule="auto"/>
        <w:tabs>
          <w:tab w:leader="none" w:pos="340" w:val="left"/>
        </w:tabs>
        <w:numPr>
          <w:ilvl w:val="0"/>
          <w:numId w:val="4"/>
        </w:numPr>
        <w:rPr>
          <w:rFonts w:ascii="Arial" w:cs="Arial" w:eastAsia="Arial" w:hAnsi="Arial"/>
          <w:sz w:val="16"/>
          <w:szCs w:val="16"/>
          <w:color w:val="333333"/>
        </w:rPr>
      </w:pPr>
      <w:r>
        <w:rPr>
          <w:rFonts w:ascii="Arial" w:cs="Arial" w:eastAsia="Arial" w:hAnsi="Arial"/>
          <w:sz w:val="16"/>
          <w:szCs w:val="16"/>
          <w:color w:val="333333"/>
        </w:rPr>
        <w:t>To transact any other business as may properly come before the meeting or at any adjournments or postponements thereof.</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right="819"/>
        <w:spacing w:after="0" w:line="251" w:lineRule="auto"/>
        <w:rPr>
          <w:sz w:val="20"/>
          <w:szCs w:val="20"/>
          <w:color w:val="auto"/>
        </w:rPr>
      </w:pPr>
      <w:r>
        <w:rPr>
          <w:rFonts w:ascii="Arial" w:cs="Arial" w:eastAsia="Arial" w:hAnsi="Arial"/>
          <w:sz w:val="16"/>
          <w:szCs w:val="16"/>
          <w:color w:val="333333"/>
        </w:rPr>
        <w:t>Shareholders of record may vote in person at the Annual Meeting, but may also appoint proxies to vote their shares in one of the following ways</w:t>
      </w:r>
    </w:p>
    <w:p>
      <w:pPr>
        <w:spacing w:after="0" w:line="343"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C5D"/>
        </w:rPr>
        <w:t>Via Internet</w:t>
      </w:r>
    </w:p>
    <w:p>
      <w:pPr>
        <w:spacing w:after="0" w:line="19" w:lineRule="exact"/>
        <w:rPr>
          <w:sz w:val="20"/>
          <w:szCs w:val="20"/>
          <w:color w:val="auto"/>
        </w:rPr>
      </w:pPr>
    </w:p>
    <w:p>
      <w:pPr>
        <w:ind w:left="1040"/>
        <w:spacing w:after="0"/>
        <w:rPr>
          <w:sz w:val="20"/>
          <w:szCs w:val="20"/>
          <w:color w:val="auto"/>
        </w:rPr>
      </w:pPr>
      <w:r>
        <w:rPr>
          <w:rFonts w:ascii="Arial" w:cs="Arial" w:eastAsia="Arial" w:hAnsi="Arial"/>
          <w:sz w:val="16"/>
          <w:szCs w:val="16"/>
          <w:color w:val="333333"/>
        </w:rPr>
        <w:t>Cast your vote at</w:t>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6"/>
          <w:szCs w:val="16"/>
          <w:color w:val="333333"/>
        </w:rPr>
        <w:t>www.proxyvote.com 24/7 until</w:t>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6"/>
          <w:szCs w:val="16"/>
          <w:color w:val="333333"/>
        </w:rPr>
        <w:t>11:59 p.m., Eastern Time on</w:t>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6"/>
          <w:szCs w:val="16"/>
          <w:color w:val="333333"/>
        </w:rPr>
        <w:t>June 3, 2026</w:t>
      </w:r>
    </w:p>
    <w:p>
      <w:pPr>
        <w:spacing w:after="0" w:line="322"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C5D"/>
        </w:rPr>
        <w:t>Via Phone</w:t>
      </w:r>
    </w:p>
    <w:p>
      <w:pPr>
        <w:spacing w:after="0" w:line="19" w:lineRule="exact"/>
        <w:rPr>
          <w:sz w:val="20"/>
          <w:szCs w:val="20"/>
          <w:color w:val="auto"/>
        </w:rPr>
      </w:pPr>
    </w:p>
    <w:p>
      <w:pPr>
        <w:ind w:left="1040" w:right="1639"/>
        <w:spacing w:after="0" w:line="249" w:lineRule="auto"/>
        <w:rPr>
          <w:sz w:val="20"/>
          <w:szCs w:val="20"/>
          <w:color w:val="auto"/>
        </w:rPr>
      </w:pPr>
      <w:r>
        <w:rPr>
          <w:rFonts w:ascii="Arial" w:cs="Arial" w:eastAsia="Arial" w:hAnsi="Arial"/>
          <w:sz w:val="16"/>
          <w:szCs w:val="16"/>
          <w:color w:val="333333"/>
        </w:rPr>
        <w:t>Cast your vote by phone at 1-800-690-6903 24/7 until 11:59 p.m., Eastern Time on June 3, 2026</w:t>
      </w:r>
    </w:p>
    <w:p>
      <w:pPr>
        <w:spacing w:after="0" w:line="304"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C5D"/>
        </w:rPr>
        <w:t>Via Mail</w:t>
      </w:r>
    </w:p>
    <w:p>
      <w:pPr>
        <w:spacing w:after="0" w:line="19" w:lineRule="exact"/>
        <w:rPr>
          <w:sz w:val="20"/>
          <w:szCs w:val="20"/>
          <w:color w:val="auto"/>
        </w:rPr>
      </w:pPr>
    </w:p>
    <w:p>
      <w:pPr>
        <w:ind w:left="1040" w:right="1359"/>
        <w:spacing w:after="0" w:line="251" w:lineRule="auto"/>
        <w:rPr>
          <w:sz w:val="20"/>
          <w:szCs w:val="20"/>
          <w:color w:val="auto"/>
        </w:rPr>
      </w:pPr>
      <w:r>
        <w:rPr>
          <w:rFonts w:ascii="Arial" w:cs="Arial" w:eastAsia="Arial" w:hAnsi="Arial"/>
          <w:sz w:val="16"/>
          <w:szCs w:val="16"/>
          <w:color w:val="333333"/>
        </w:rPr>
        <w:t>Mark, sign, and date your proxy card and return it in the postage-paid envelope provided</w:t>
      </w:r>
    </w:p>
    <w:p>
      <w:pPr>
        <w:spacing w:after="0" w:line="846" w:lineRule="exact"/>
        <w:rPr>
          <w:sz w:val="20"/>
          <w:szCs w:val="20"/>
          <w:color w:val="auto"/>
        </w:rPr>
      </w:pPr>
    </w:p>
    <w:p>
      <w:pPr>
        <w:sectPr>
          <w:pgSz w:w="11900" w:h="16838" w:orient="portrait"/>
          <w:cols w:equalWidth="0" w:num="2">
            <w:col w:w="5100" w:space="360"/>
            <w:col w:w="4679"/>
          </w:cols>
          <w:pgMar w:left="320" w:top="478" w:right="1440" w:bottom="1440" w:gutter="0" w:footer="0" w:header="0"/>
          <w:type w:val="continuous"/>
        </w:sectPr>
      </w:pPr>
    </w:p>
    <w:p>
      <w:pPr>
        <w:jc w:val="both"/>
        <w:ind w:left="180" w:right="819"/>
        <w:spacing w:after="0"/>
        <w:rPr>
          <w:sz w:val="20"/>
          <w:szCs w:val="20"/>
          <w:color w:val="auto"/>
        </w:rPr>
      </w:pPr>
      <w:r>
        <w:rPr>
          <w:rFonts w:ascii="Arial" w:cs="Arial" w:eastAsia="Arial" w:hAnsi="Arial"/>
          <w:sz w:val="18"/>
          <w:szCs w:val="18"/>
          <w:color w:val="auto"/>
        </w:rPr>
        <w:t>Shareholders whose shares are held by a bank, broker, or other nominee (in “street name”) may instruct such record holders how to vote their shares. Any proxy may be revoked at any time prior to its exercise at the meeting by following the procedures described in the proxy solicitation materials. If you hold your shares in “street name” and wish to vote your shares in person at the Annual Meeting, you must obtain a legal proxy from your bank, broker, or other holder of record, giving you the right to vote the shares.</w:t>
      </w:r>
    </w:p>
    <w:p>
      <w:pPr>
        <w:spacing w:after="0" w:line="347" w:lineRule="exact"/>
        <w:rPr>
          <w:sz w:val="20"/>
          <w:szCs w:val="20"/>
          <w:color w:val="auto"/>
        </w:rPr>
      </w:pPr>
    </w:p>
    <w:p>
      <w:pPr>
        <w:ind w:left="180"/>
        <w:spacing w:after="0"/>
        <w:rPr>
          <w:sz w:val="20"/>
          <w:szCs w:val="20"/>
          <w:color w:val="auto"/>
        </w:rPr>
      </w:pPr>
      <w:r>
        <w:rPr>
          <w:rFonts w:ascii="Arial" w:cs="Arial" w:eastAsia="Arial" w:hAnsi="Arial"/>
          <w:sz w:val="16"/>
          <w:szCs w:val="16"/>
          <w:color w:val="333333"/>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80"/>
        <w:spacing w:after="0"/>
        <w:rPr>
          <w:sz w:val="20"/>
          <w:szCs w:val="20"/>
          <w:color w:val="auto"/>
        </w:rPr>
      </w:pPr>
      <w:r>
        <w:rPr>
          <w:rFonts w:ascii="Arial" w:cs="Arial" w:eastAsia="Arial" w:hAnsi="Arial"/>
          <w:sz w:val="16"/>
          <w:szCs w:val="16"/>
          <w:color w:val="333333"/>
        </w:rPr>
        <w:t>Mark C. Dely</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333333"/>
        </w:rPr>
        <w:t>Corporate Secretary</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6"/>
          <w:szCs w:val="16"/>
          <w:color w:val="333333"/>
        </w:rPr>
        <w:t>April 24, 2026</w:t>
      </w:r>
    </w:p>
    <w:p>
      <w:pPr>
        <w:spacing w:after="0" w:line="200" w:lineRule="exact"/>
        <w:rPr>
          <w:sz w:val="20"/>
          <w:szCs w:val="20"/>
          <w:color w:val="auto"/>
        </w:rPr>
      </w:pPr>
    </w:p>
    <w:p>
      <w:pPr>
        <w:spacing w:after="0" w:line="218" w:lineRule="exact"/>
        <w:rPr>
          <w:sz w:val="20"/>
          <w:szCs w:val="20"/>
          <w:color w:val="auto"/>
        </w:rPr>
      </w:pPr>
    </w:p>
    <w:p>
      <w:pPr>
        <w:jc w:val="center"/>
        <w:ind w:left="620" w:right="80"/>
        <w:spacing w:after="0" w:line="262" w:lineRule="auto"/>
        <w:rPr>
          <w:sz w:val="20"/>
          <w:szCs w:val="20"/>
          <w:color w:val="auto"/>
        </w:rPr>
      </w:pPr>
      <w:r>
        <w:rPr>
          <w:rFonts w:ascii="Arial" w:cs="Arial" w:eastAsia="Arial" w:hAnsi="Arial"/>
          <w:sz w:val="16"/>
          <w:szCs w:val="16"/>
          <w:b w:val="1"/>
          <w:bCs w:val="1"/>
          <w:color w:val="005C5D"/>
        </w:rPr>
        <w:t xml:space="preserve">Important Notice </w:t>
      </w:r>
      <w:r>
        <w:rPr>
          <w:rFonts w:ascii="Arial" w:cs="Arial" w:eastAsia="Arial" w:hAnsi="Arial"/>
          <w:sz w:val="16"/>
          <w:szCs w:val="16"/>
          <w:color w:val="005C5D"/>
        </w:rPr>
        <w:t>Regarding the Availability of Proxy Materials for the Annual Meeting of Shareholders to be Held on June 4,</w:t>
      </w:r>
      <w:r>
        <w:rPr>
          <w:rFonts w:ascii="Arial" w:cs="Arial" w:eastAsia="Arial" w:hAnsi="Arial"/>
          <w:sz w:val="16"/>
          <w:szCs w:val="16"/>
          <w:b w:val="1"/>
          <w:bCs w:val="1"/>
          <w:color w:val="005C5D"/>
        </w:rPr>
        <w:t xml:space="preserve"> </w:t>
      </w:r>
      <w:r>
        <w:rPr>
          <w:rFonts w:ascii="Arial" w:cs="Arial" w:eastAsia="Arial" w:hAnsi="Arial"/>
          <w:sz w:val="16"/>
          <w:szCs w:val="16"/>
          <w:color w:val="005C5D"/>
        </w:rPr>
        <w:t>2026: This 2026 Proxy Statement and Notice of Annual Meeting of Shareholders and our Fiscal 2026 Annual Report are available in the “Investor Relations” section of our website at www.verabradley.com.</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w:t>
      </w:r>
    </w:p>
    <w:p>
      <w:pPr>
        <w:sectPr>
          <w:pgSz w:w="11900" w:h="16838" w:orient="portrait"/>
          <w:cols w:equalWidth="0" w:num="1">
            <w:col w:w="10139"/>
          </w:cols>
          <w:pgMar w:left="320" w:top="478" w:right="1440"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4182745</wp:posOffset>
            </wp:positionH>
            <wp:positionV relativeFrom="paragraph">
              <wp:posOffset>220980</wp:posOffset>
            </wp:positionV>
            <wp:extent cx="2853690" cy="89681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3690" cy="8968105"/>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0"/>
        <w:spacing w:after="0"/>
        <w:rPr>
          <w:sz w:val="20"/>
          <w:szCs w:val="20"/>
          <w:color w:val="auto"/>
        </w:rPr>
      </w:pPr>
      <w:r>
        <w:rPr>
          <w:rFonts w:ascii="Arial" w:cs="Arial" w:eastAsia="Arial" w:hAnsi="Arial"/>
          <w:sz w:val="45"/>
          <w:szCs w:val="45"/>
          <w:color w:val="333333"/>
        </w:rPr>
        <w:t> </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27"/>
          <w:szCs w:val="27"/>
          <w:b w:val="1"/>
          <w:bCs w:val="1"/>
          <w:color w:val="005C5D"/>
        </w:rPr>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0000EE"/>
        </w:rPr>
        <w:t>PROXY SUMMARY</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Fiscal 2026 Business Highlights</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4"/>
          <w:szCs w:val="14"/>
          <w:u w:val="single" w:color="auto"/>
          <w:color w:val="0000EE"/>
        </w:rPr>
        <w:t>Strategic Progress</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4"/>
          <w:szCs w:val="14"/>
          <w:u w:val="single" w:color="auto"/>
          <w:color w:val="0000EE"/>
        </w:rPr>
        <w:t>Financial Results</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Corporate Responsibility &amp; Sustainability</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Executive Compensation</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Corporate Governance Highlights</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Shareholder Engagement</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Questions and Answers</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Note About Forward-Looking Statements</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0000EE"/>
        </w:rPr>
        <w:t>PROPOSAL NO. 1 ELECTION OF DIRECTORS</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VOTE REQUIRED AND BOARD RECOMMENDATION</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0000EE"/>
        </w:rPr>
        <w:t>THE BOARD OF DIRECTORS</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Director Qualifications and Selection Process</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Director Nominees for Election at the 2026 Annual Meeting</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0000EE"/>
        </w:rPr>
        <w:t>CORPORATE GOVERNANCE</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Corporate Governance Guidelines</w:t>
      </w:r>
    </w:p>
    <w:p>
      <w:pPr>
        <w:spacing w:after="0" w:line="26" w:lineRule="exact"/>
        <w:rPr>
          <w:sz w:val="20"/>
          <w:szCs w:val="20"/>
          <w:color w:val="auto"/>
        </w:rPr>
      </w:pPr>
    </w:p>
    <w:p>
      <w:pPr>
        <w:ind w:left="160" w:right="1080"/>
        <w:spacing w:after="0" w:line="279" w:lineRule="auto"/>
        <w:rPr>
          <w:sz w:val="20"/>
          <w:szCs w:val="20"/>
          <w:color w:val="auto"/>
        </w:rPr>
      </w:pPr>
      <w:r>
        <w:rPr>
          <w:rFonts w:ascii="Arial" w:cs="Arial" w:eastAsia="Arial" w:hAnsi="Arial"/>
          <w:sz w:val="14"/>
          <w:szCs w:val="14"/>
          <w:u w:val="single" w:color="auto"/>
          <w:color w:val="0000EE"/>
        </w:rPr>
        <w:t>Conflict of Interest and Business Ethics Policy Code of Ethics for Senior Financial Officers Risk Oversight</w:t>
      </w:r>
    </w:p>
    <w:p>
      <w:pPr>
        <w:ind w:left="160" w:right="1780"/>
        <w:spacing w:after="0" w:line="279" w:lineRule="auto"/>
        <w:rPr>
          <w:sz w:val="20"/>
          <w:szCs w:val="20"/>
          <w:color w:val="auto"/>
        </w:rPr>
      </w:pPr>
      <w:r>
        <w:rPr>
          <w:rFonts w:ascii="Arial" w:cs="Arial" w:eastAsia="Arial" w:hAnsi="Arial"/>
          <w:sz w:val="14"/>
          <w:szCs w:val="14"/>
          <w:u w:val="single" w:color="auto"/>
          <w:color w:val="0000EE"/>
        </w:rPr>
        <w:t>Stock Ownership Guidelines Hedging, Derivatives and Pledging</w:t>
      </w:r>
    </w:p>
    <w:p>
      <w:pPr>
        <w:ind w:left="160" w:right="240"/>
        <w:spacing w:after="0" w:line="259" w:lineRule="auto"/>
        <w:rPr>
          <w:sz w:val="20"/>
          <w:szCs w:val="20"/>
          <w:color w:val="auto"/>
        </w:rPr>
      </w:pPr>
      <w:r>
        <w:rPr>
          <w:rFonts w:ascii="Arial" w:cs="Arial" w:eastAsia="Arial" w:hAnsi="Arial"/>
          <w:sz w:val="14"/>
          <w:szCs w:val="14"/>
          <w:u w:val="single" w:color="auto"/>
          <w:color w:val="0000EE"/>
        </w:rPr>
        <w:t>Talent and Compensation Committee Interlocks and Insider Participation</w:t>
      </w:r>
    </w:p>
    <w:p>
      <w:pPr>
        <w:ind w:left="160" w:right="1280"/>
        <w:spacing w:after="0" w:line="279" w:lineRule="auto"/>
        <w:rPr>
          <w:sz w:val="20"/>
          <w:szCs w:val="20"/>
          <w:color w:val="auto"/>
        </w:rPr>
      </w:pPr>
      <w:r>
        <w:rPr>
          <w:rFonts w:ascii="Arial" w:cs="Arial" w:eastAsia="Arial" w:hAnsi="Arial"/>
          <w:sz w:val="14"/>
          <w:szCs w:val="14"/>
          <w:u w:val="single" w:color="auto"/>
          <w:color w:val="0000EE"/>
        </w:rPr>
        <w:t>Policy on Related Party Transactions Related Party Transactions for Fiscal 2026 Family Relationships</w:t>
      </w:r>
    </w:p>
    <w:p>
      <w:pPr>
        <w:ind w:left="160"/>
        <w:spacing w:after="0"/>
        <w:rPr>
          <w:sz w:val="20"/>
          <w:szCs w:val="20"/>
          <w:color w:val="auto"/>
        </w:rPr>
      </w:pPr>
      <w:r>
        <w:rPr>
          <w:rFonts w:ascii="Arial" w:cs="Arial" w:eastAsia="Arial" w:hAnsi="Arial"/>
          <w:sz w:val="14"/>
          <w:szCs w:val="14"/>
          <w:u w:val="single" w:color="auto"/>
          <w:color w:val="0000EE"/>
        </w:rPr>
        <w:t>Copies of Governance Documents</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0000EE"/>
        </w:rPr>
        <w:t>THE BOARD AND ITS COMMITTEES</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Board Responsibilities</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Board Independence</w:t>
      </w:r>
    </w:p>
    <w:p>
      <w:pPr>
        <w:spacing w:after="0" w:line="26" w:lineRule="exact"/>
        <w:rPr>
          <w:sz w:val="20"/>
          <w:szCs w:val="20"/>
          <w:color w:val="auto"/>
        </w:rPr>
      </w:pPr>
    </w:p>
    <w:p>
      <w:pPr>
        <w:ind w:left="160" w:right="220"/>
        <w:spacing w:after="0" w:line="279" w:lineRule="auto"/>
        <w:rPr>
          <w:sz w:val="20"/>
          <w:szCs w:val="20"/>
          <w:color w:val="auto"/>
        </w:rPr>
      </w:pPr>
      <w:r>
        <w:rPr>
          <w:rFonts w:ascii="Arial" w:cs="Arial" w:eastAsia="Arial" w:hAnsi="Arial"/>
          <w:sz w:val="14"/>
          <w:szCs w:val="14"/>
          <w:u w:val="single" w:color="auto"/>
          <w:color w:val="0000EE"/>
        </w:rPr>
        <w:t>Board Leadership Structure and Lead Independent Director Standing Committees and Meetings of the Board Annual Board and Committee Evaluations</w:t>
      </w:r>
    </w:p>
    <w:p>
      <w:pPr>
        <w:ind w:left="160"/>
        <w:spacing w:after="0"/>
        <w:rPr>
          <w:sz w:val="20"/>
          <w:szCs w:val="20"/>
          <w:color w:val="auto"/>
        </w:rPr>
      </w:pPr>
      <w:r>
        <w:rPr>
          <w:rFonts w:ascii="Arial" w:cs="Arial" w:eastAsia="Arial" w:hAnsi="Arial"/>
          <w:sz w:val="14"/>
          <w:szCs w:val="14"/>
          <w:u w:val="single" w:color="auto"/>
          <w:color w:val="0000EE"/>
        </w:rPr>
        <w:t>Committee Charters</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Communications with Directors</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0000EE"/>
        </w:rPr>
        <w:t>DIRECTOR COMPENSATION</w:t>
      </w:r>
    </w:p>
    <w:p>
      <w:pPr>
        <w:spacing w:after="0" w:line="37" w:lineRule="exact"/>
        <w:rPr>
          <w:sz w:val="20"/>
          <w:szCs w:val="20"/>
          <w:color w:val="auto"/>
        </w:rPr>
      </w:pPr>
    </w:p>
    <w:p>
      <w:pPr>
        <w:ind w:left="160" w:right="780"/>
        <w:spacing w:after="0" w:line="298" w:lineRule="auto"/>
        <w:rPr>
          <w:sz w:val="20"/>
          <w:szCs w:val="20"/>
          <w:color w:val="auto"/>
        </w:rPr>
      </w:pPr>
      <w:r>
        <w:rPr>
          <w:rFonts w:ascii="Arial" w:cs="Arial" w:eastAsia="Arial" w:hAnsi="Arial"/>
          <w:sz w:val="14"/>
          <w:szCs w:val="14"/>
          <w:u w:val="single" w:color="auto"/>
          <w:color w:val="0000EE"/>
        </w:rPr>
        <w:t>Cash Compensation for Non-Employee Directors Restricted Stock Units for Non-Employee Directors Fiscal 2026 Director Compensation</w:t>
      </w:r>
    </w:p>
    <w:p>
      <w:pPr>
        <w:spacing w:after="0" w:line="102" w:lineRule="exact"/>
        <w:rPr>
          <w:sz w:val="20"/>
          <w:szCs w:val="20"/>
          <w:color w:val="auto"/>
        </w:rPr>
      </w:pPr>
    </w:p>
    <w:p>
      <w:pPr>
        <w:ind w:left="160"/>
        <w:spacing w:after="0" w:line="266" w:lineRule="auto"/>
        <w:rPr>
          <w:sz w:val="20"/>
          <w:szCs w:val="20"/>
          <w:color w:val="auto"/>
        </w:rPr>
      </w:pPr>
      <w:r>
        <w:rPr>
          <w:rFonts w:ascii="Arial" w:cs="Arial" w:eastAsia="Arial" w:hAnsi="Arial"/>
          <w:sz w:val="16"/>
          <w:szCs w:val="16"/>
          <w:b w:val="1"/>
          <w:bCs w:val="1"/>
          <w:u w:val="single" w:color="auto"/>
          <w:color w:val="0000EE"/>
        </w:rPr>
        <w:t>PROPOSAL NO. 2 RATIFICATION OF INDEPENDENT AUDITOR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Proposal</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Principal Accounting Fees and Services</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VOTE REQUIRED AND BOARD RECOMMENDATION</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0000EE"/>
        </w:rPr>
        <w:t>AUDIT COMMITTEE REPORT</w:t>
      </w:r>
    </w:p>
    <w:p>
      <w:pPr>
        <w:spacing w:after="0" w:line="161" w:lineRule="exact"/>
        <w:rPr>
          <w:sz w:val="20"/>
          <w:szCs w:val="20"/>
          <w:color w:val="auto"/>
        </w:rPr>
      </w:pPr>
    </w:p>
    <w:p>
      <w:pPr>
        <w:ind w:left="160"/>
        <w:spacing w:after="0" w:line="266" w:lineRule="auto"/>
        <w:rPr>
          <w:sz w:val="20"/>
          <w:szCs w:val="20"/>
          <w:color w:val="auto"/>
        </w:rPr>
      </w:pPr>
      <w:r>
        <w:rPr>
          <w:rFonts w:ascii="Arial" w:cs="Arial" w:eastAsia="Arial" w:hAnsi="Arial"/>
          <w:sz w:val="16"/>
          <w:szCs w:val="16"/>
          <w:b w:val="1"/>
          <w:bCs w:val="1"/>
          <w:u w:val="single" w:color="auto"/>
          <w:color w:val="0000EE"/>
        </w:rPr>
        <w:t>PROPOSAL NO. 3 ADVISORY VOTE ON EXECUTIVE COMPENSATION</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0000EE"/>
        </w:rPr>
        <w:t>Proposal</w:t>
      </w: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00" w:hanging="415"/>
        <w:spacing w:after="0"/>
        <w:tabs>
          <w:tab w:leader="none" w:pos="500" w:val="left"/>
        </w:tabs>
        <w:numPr>
          <w:ilvl w:val="0"/>
          <w:numId w:val="5"/>
        </w:numPr>
        <w:rPr>
          <w:rFonts w:ascii="Arial" w:cs="Arial" w:eastAsia="Arial" w:hAnsi="Arial"/>
          <w:sz w:val="16"/>
          <w:szCs w:val="16"/>
          <w:b w:val="1"/>
          <w:bCs w:val="1"/>
          <w:color w:val="005C5D"/>
        </w:rPr>
      </w:pPr>
      <w:r>
        <w:rPr>
          <w:rFonts w:ascii="Arial" w:cs="Arial" w:eastAsia="Arial" w:hAnsi="Arial"/>
          <w:sz w:val="16"/>
          <w:szCs w:val="16"/>
          <w:b w:val="1"/>
          <w:bCs w:val="1"/>
          <w:color w:val="0000EE"/>
        </w:rPr>
        <w:t>PROPOSAL NO. 4 2020 EQUITY AND INCENTIVE</w:t>
      </w:r>
    </w:p>
    <w:tbl>
      <w:tblPr>
        <w:tblLayout w:type="fixed"/>
        <w:tblInd w:w="20" w:type="dxa"/>
        <w:tblCellMar>
          <w:top w:w="0" w:type="dxa"/>
          <w:left w:w="0" w:type="dxa"/>
          <w:bottom w:w="0" w:type="dxa"/>
          <w:right w:w="0" w:type="dxa"/>
        </w:tblCellMar>
      </w:tblPr>
      <w:tr>
        <w:trPr>
          <w:trHeight w:val="167"/>
        </w:trPr>
        <w:tc>
          <w:tcPr>
            <w:tcW w:w="480" w:type="dxa"/>
            <w:vAlign w:val="bottom"/>
          </w:tcPr>
          <w:p>
            <w:pPr>
              <w:jc w:val="right"/>
              <w:ind w:right="248"/>
              <w:spacing w:after="0"/>
              <w:rPr>
                <w:sz w:val="20"/>
                <w:szCs w:val="20"/>
                <w:color w:val="auto"/>
              </w:rPr>
            </w:pPr>
            <w:r>
              <w:rPr>
                <w:rFonts w:ascii="Arial" w:cs="Arial" w:eastAsia="Arial" w:hAnsi="Arial"/>
                <w:sz w:val="14"/>
                <w:szCs w:val="14"/>
                <w:color w:val="333333"/>
              </w:rPr>
              <w:t>1</w:t>
            </w:r>
          </w:p>
        </w:tc>
        <w:tc>
          <w:tcPr>
            <w:tcW w:w="1540" w:type="dxa"/>
            <w:vAlign w:val="bottom"/>
            <w:tcBorders>
              <w:top w:val="single" w:sz="8" w:color="0000EE"/>
              <w:bottom w:val="single" w:sz="8" w:color="0000EE"/>
            </w:tcBorders>
            <w:gridSpan w:val="7"/>
          </w:tcPr>
          <w:p>
            <w:pPr>
              <w:spacing w:after="0" w:line="168" w:lineRule="exact"/>
              <w:rPr>
                <w:sz w:val="20"/>
                <w:szCs w:val="20"/>
                <w:color w:val="auto"/>
              </w:rPr>
            </w:pPr>
            <w:r>
              <w:rPr>
                <w:rFonts w:ascii="Arial" w:cs="Arial" w:eastAsia="Arial" w:hAnsi="Arial"/>
                <w:sz w:val="16"/>
                <w:szCs w:val="16"/>
                <w:b w:val="1"/>
                <w:bCs w:val="1"/>
                <w:color w:val="0000EE"/>
                <w:w w:val="99"/>
              </w:rPr>
              <w:t>PLAN AMENDMENT</w:t>
            </w:r>
          </w:p>
        </w:tc>
        <w:tc>
          <w:tcPr>
            <w:tcW w:w="2160" w:type="dxa"/>
            <w:vAlign w:val="bottom"/>
            <w:tcBorders>
              <w:top w:val="single" w:sz="8" w:color="0000EE"/>
            </w:tcBorders>
            <w:gridSpan w:val="19"/>
          </w:tcPr>
          <w:p>
            <w:pPr>
              <w:spacing w:after="0"/>
              <w:rPr>
                <w:sz w:val="14"/>
                <w:szCs w:val="14"/>
                <w:color w:val="auto"/>
              </w:rPr>
            </w:pPr>
          </w:p>
        </w:tc>
        <w:tc>
          <w:tcPr>
            <w:tcW w:w="320" w:type="dxa"/>
            <w:vAlign w:val="bottom"/>
            <w:gridSpan w:val="4"/>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Arial" w:cs="Arial" w:eastAsia="Arial" w:hAnsi="Arial"/>
                <w:sz w:val="16"/>
                <w:szCs w:val="16"/>
                <w:b w:val="1"/>
                <w:bCs w:val="1"/>
                <w:color w:val="005C5D"/>
              </w:rPr>
              <w:t>16</w:t>
            </w:r>
          </w:p>
        </w:tc>
        <w:tc>
          <w:tcPr>
            <w:tcW w:w="0" w:type="dxa"/>
            <w:vAlign w:val="bottom"/>
          </w:tcPr>
          <w:p>
            <w:pPr>
              <w:spacing w:after="0"/>
              <w:rPr>
                <w:sz w:val="1"/>
                <w:szCs w:val="1"/>
                <w:color w:val="auto"/>
              </w:rPr>
            </w:pPr>
          </w:p>
        </w:tc>
      </w:tr>
      <w:tr>
        <w:trPr>
          <w:trHeight w:val="181"/>
        </w:trPr>
        <w:tc>
          <w:tcPr>
            <w:tcW w:w="480" w:type="dxa"/>
            <w:vAlign w:val="bottom"/>
          </w:tcPr>
          <w:p>
            <w:pPr>
              <w:jc w:val="right"/>
              <w:ind w:right="248"/>
              <w:spacing w:after="0"/>
              <w:rPr>
                <w:sz w:val="20"/>
                <w:szCs w:val="20"/>
                <w:color w:val="auto"/>
              </w:rPr>
            </w:pPr>
            <w:r>
              <w:rPr>
                <w:rFonts w:ascii="Arial" w:cs="Arial" w:eastAsia="Arial" w:hAnsi="Arial"/>
                <w:sz w:val="14"/>
                <w:szCs w:val="14"/>
                <w:color w:val="333333"/>
              </w:rPr>
              <w:t>1</w:t>
            </w:r>
          </w:p>
        </w:tc>
        <w:tc>
          <w:tcPr>
            <w:tcW w:w="58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rPr>
              <w:t>Proposal</w:t>
            </w:r>
          </w:p>
        </w:tc>
        <w:tc>
          <w:tcPr>
            <w:tcW w:w="3440" w:type="dxa"/>
            <w:vAlign w:val="bottom"/>
            <w:gridSpan w:val="28"/>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333333"/>
              </w:rPr>
              <w:t>16</w:t>
            </w:r>
          </w:p>
        </w:tc>
        <w:tc>
          <w:tcPr>
            <w:tcW w:w="0" w:type="dxa"/>
            <w:vAlign w:val="bottom"/>
          </w:tcPr>
          <w:p>
            <w:pPr>
              <w:spacing w:after="0"/>
              <w:rPr>
                <w:sz w:val="1"/>
                <w:szCs w:val="1"/>
                <w:color w:val="auto"/>
              </w:rPr>
            </w:pPr>
          </w:p>
        </w:tc>
      </w:tr>
      <w:tr>
        <w:trPr>
          <w:trHeight w:val="198"/>
        </w:trPr>
        <w:tc>
          <w:tcPr>
            <w:tcW w:w="480" w:type="dxa"/>
            <w:vAlign w:val="bottom"/>
          </w:tcPr>
          <w:p>
            <w:pPr>
              <w:jc w:val="right"/>
              <w:ind w:right="248"/>
              <w:spacing w:after="0"/>
              <w:rPr>
                <w:sz w:val="20"/>
                <w:szCs w:val="20"/>
                <w:color w:val="auto"/>
              </w:rPr>
            </w:pPr>
            <w:r>
              <w:rPr>
                <w:rFonts w:ascii="Arial" w:cs="Arial" w:eastAsia="Arial" w:hAnsi="Arial"/>
                <w:sz w:val="14"/>
                <w:szCs w:val="14"/>
                <w:color w:val="333333"/>
              </w:rPr>
              <w:t>2</w:t>
            </w:r>
          </w:p>
        </w:tc>
        <w:tc>
          <w:tcPr>
            <w:tcW w:w="3480" w:type="dxa"/>
            <w:vAlign w:val="bottom"/>
            <w:gridSpan w:val="25"/>
            <w:vMerge w:val="restart"/>
          </w:tcPr>
          <w:p>
            <w:pPr>
              <w:spacing w:after="0"/>
              <w:rPr>
                <w:sz w:val="20"/>
                <w:szCs w:val="20"/>
                <w:color w:val="auto"/>
              </w:rPr>
            </w:pPr>
            <w:r>
              <w:rPr>
                <w:rFonts w:ascii="Arial" w:cs="Arial" w:eastAsia="Arial" w:hAnsi="Arial"/>
                <w:sz w:val="14"/>
                <w:szCs w:val="14"/>
                <w:color w:val="0000EE"/>
              </w:rPr>
              <w:t>VOTE REQUIRED AND BOARD RECOMMENDATION</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005C5D"/>
              </w:rPr>
              <w:t>20</w:t>
            </w:r>
          </w:p>
        </w:tc>
        <w:tc>
          <w:tcPr>
            <w:tcW w:w="0" w:type="dxa"/>
            <w:vAlign w:val="bottom"/>
          </w:tcPr>
          <w:p>
            <w:pPr>
              <w:spacing w:after="0"/>
              <w:rPr>
                <w:sz w:val="1"/>
                <w:szCs w:val="1"/>
                <w:color w:val="auto"/>
              </w:rPr>
            </w:pPr>
          </w:p>
        </w:tc>
      </w:tr>
      <w:tr>
        <w:trPr>
          <w:trHeight w:val="121"/>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333333"/>
              </w:rPr>
              <w:t>3</w:t>
            </w:r>
          </w:p>
        </w:tc>
        <w:tc>
          <w:tcPr>
            <w:tcW w:w="3480" w:type="dxa"/>
            <w:vAlign w:val="bottom"/>
            <w:tcBorders>
              <w:bottom w:val="single" w:sz="8" w:color="0000EE"/>
            </w:tcBorders>
            <w:gridSpan w:val="25"/>
            <w:vMerge w:val="continue"/>
          </w:tcPr>
          <w:p>
            <w:pPr>
              <w:spacing w:after="0"/>
              <w:rPr>
                <w:sz w:val="10"/>
                <w:szCs w:val="10"/>
                <w:color w:val="auto"/>
              </w:rPr>
            </w:pPr>
          </w:p>
        </w:tc>
        <w:tc>
          <w:tcPr>
            <w:tcW w:w="22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20" w:type="dxa"/>
            <w:vAlign w:val="bottom"/>
            <w:vMerge w:val="restart"/>
          </w:tcPr>
          <w:p>
            <w:pPr>
              <w:spacing w:after="0"/>
              <w:rPr>
                <w:sz w:val="10"/>
                <w:szCs w:val="10"/>
                <w:color w:val="auto"/>
              </w:rPr>
            </w:pP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4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80" w:type="dxa"/>
            <w:vAlign w:val="bottom"/>
          </w:tcPr>
          <w:p>
            <w:pPr>
              <w:jc w:val="right"/>
              <w:ind w:right="248"/>
              <w:spacing w:after="0"/>
              <w:rPr>
                <w:sz w:val="20"/>
                <w:szCs w:val="20"/>
                <w:color w:val="auto"/>
              </w:rPr>
            </w:pPr>
            <w:r>
              <w:rPr>
                <w:rFonts w:ascii="Arial" w:cs="Arial" w:eastAsia="Arial" w:hAnsi="Arial"/>
                <w:sz w:val="14"/>
                <w:szCs w:val="14"/>
                <w:color w:val="333333"/>
              </w:rPr>
              <w:t>3</w:t>
            </w:r>
          </w:p>
        </w:tc>
        <w:tc>
          <w:tcPr>
            <w:tcW w:w="4020" w:type="dxa"/>
            <w:vAlign w:val="bottom"/>
            <w:gridSpan w:val="30"/>
            <w:vMerge w:val="restart"/>
          </w:tcPr>
          <w:p>
            <w:pPr>
              <w:spacing w:after="0"/>
              <w:rPr>
                <w:sz w:val="20"/>
                <w:szCs w:val="20"/>
                <w:color w:val="auto"/>
              </w:rPr>
            </w:pPr>
            <w:r>
              <w:rPr>
                <w:rFonts w:ascii="Arial" w:cs="Arial" w:eastAsia="Arial" w:hAnsi="Arial"/>
                <w:sz w:val="16"/>
                <w:szCs w:val="16"/>
                <w:b w:val="1"/>
                <w:bCs w:val="1"/>
                <w:color w:val="0000EE"/>
              </w:rPr>
              <w:t>EXECUTIVE COMPENSATION</w:t>
            </w: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005C5D"/>
              </w:rPr>
              <w:t>21</w:t>
            </w:r>
          </w:p>
        </w:tc>
        <w:tc>
          <w:tcPr>
            <w:tcW w:w="0" w:type="dxa"/>
            <w:vAlign w:val="bottom"/>
          </w:tcPr>
          <w:p>
            <w:pPr>
              <w:spacing w:after="0"/>
              <w:rPr>
                <w:sz w:val="1"/>
                <w:szCs w:val="1"/>
                <w:color w:val="auto"/>
              </w:rPr>
            </w:pPr>
          </w:p>
        </w:tc>
      </w:tr>
      <w:tr>
        <w:trPr>
          <w:trHeight w:val="90"/>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333333"/>
              </w:rPr>
              <w:t>4</w:t>
            </w:r>
          </w:p>
        </w:tc>
        <w:tc>
          <w:tcPr>
            <w:tcW w:w="4020" w:type="dxa"/>
            <w:vAlign w:val="bottom"/>
            <w:gridSpan w:val="30"/>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80" w:type="dxa"/>
            <w:vAlign w:val="bottom"/>
            <w:vMerge w:val="continue"/>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480" w:type="dxa"/>
            <w:vAlign w:val="bottom"/>
          </w:tcPr>
          <w:p>
            <w:pPr>
              <w:jc w:val="right"/>
              <w:ind w:right="248"/>
              <w:spacing w:after="0"/>
              <w:rPr>
                <w:sz w:val="20"/>
                <w:szCs w:val="20"/>
                <w:color w:val="auto"/>
              </w:rPr>
            </w:pPr>
            <w:r>
              <w:rPr>
                <w:rFonts w:ascii="Arial" w:cs="Arial" w:eastAsia="Arial" w:hAnsi="Arial"/>
                <w:sz w:val="14"/>
                <w:szCs w:val="14"/>
                <w:color w:val="333333"/>
              </w:rPr>
              <w:t>4</w:t>
            </w:r>
          </w:p>
        </w:tc>
        <w:tc>
          <w:tcPr>
            <w:tcW w:w="3380" w:type="dxa"/>
            <w:vAlign w:val="bottom"/>
            <w:gridSpan w:val="23"/>
            <w:vMerge w:val="restart"/>
          </w:tcPr>
          <w:p>
            <w:pPr>
              <w:spacing w:after="0"/>
              <w:rPr>
                <w:sz w:val="20"/>
                <w:szCs w:val="20"/>
                <w:color w:val="auto"/>
              </w:rPr>
            </w:pPr>
            <w:r>
              <w:rPr>
                <w:rFonts w:ascii="Arial" w:cs="Arial" w:eastAsia="Arial" w:hAnsi="Arial"/>
                <w:sz w:val="16"/>
                <w:szCs w:val="16"/>
                <w:b w:val="1"/>
                <w:bCs w:val="1"/>
                <w:color w:val="0000EE"/>
                <w:w w:val="99"/>
              </w:rPr>
              <w:t>TALENT AND COMPENSATION COMMITTEE</w:t>
            </w:r>
          </w:p>
        </w:tc>
        <w:tc>
          <w:tcPr>
            <w:tcW w:w="640" w:type="dxa"/>
            <w:vAlign w:val="bottom"/>
            <w:gridSpan w:val="7"/>
            <w:vMerge w:val="restart"/>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333333"/>
              </w:rPr>
              <w:t>4</w:t>
            </w:r>
          </w:p>
        </w:tc>
        <w:tc>
          <w:tcPr>
            <w:tcW w:w="3380" w:type="dxa"/>
            <w:vAlign w:val="bottom"/>
            <w:tcBorders>
              <w:bottom w:val="single" w:sz="8" w:color="0000EE"/>
            </w:tcBorders>
            <w:gridSpan w:val="23"/>
            <w:vMerge w:val="continue"/>
          </w:tcPr>
          <w:p>
            <w:pPr>
              <w:spacing w:after="0"/>
              <w:rPr>
                <w:sz w:val="6"/>
                <w:szCs w:val="6"/>
                <w:color w:val="auto"/>
              </w:rPr>
            </w:pPr>
          </w:p>
        </w:tc>
        <w:tc>
          <w:tcPr>
            <w:tcW w:w="640" w:type="dxa"/>
            <w:vAlign w:val="bottom"/>
            <w:gridSpan w:val="7"/>
            <w:vMerge w:val="continue"/>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480" w:type="dxa"/>
            <w:vAlign w:val="bottom"/>
            <w:vMerge w:val="continue"/>
          </w:tcPr>
          <w:p>
            <w:pPr>
              <w:spacing w:after="0"/>
              <w:rPr>
                <w:sz w:val="7"/>
                <w:szCs w:val="7"/>
                <w:color w:val="auto"/>
              </w:rPr>
            </w:pPr>
          </w:p>
        </w:tc>
        <w:tc>
          <w:tcPr>
            <w:tcW w:w="680" w:type="dxa"/>
            <w:vAlign w:val="bottom"/>
            <w:gridSpan w:val="3"/>
            <w:vMerge w:val="restart"/>
          </w:tcPr>
          <w:p>
            <w:pPr>
              <w:spacing w:after="0" w:line="168" w:lineRule="exact"/>
              <w:rPr>
                <w:sz w:val="20"/>
                <w:szCs w:val="20"/>
                <w:color w:val="auto"/>
              </w:rPr>
            </w:pPr>
            <w:r>
              <w:rPr>
                <w:rFonts w:ascii="Arial" w:cs="Arial" w:eastAsia="Arial" w:hAnsi="Arial"/>
                <w:sz w:val="16"/>
                <w:szCs w:val="16"/>
                <w:b w:val="1"/>
                <w:bCs w:val="1"/>
                <w:color w:val="0000EE"/>
                <w:w w:val="98"/>
              </w:rPr>
              <w:t>REPORT</w:t>
            </w:r>
          </w:p>
        </w:tc>
        <w:tc>
          <w:tcPr>
            <w:tcW w:w="3340" w:type="dxa"/>
            <w:vAlign w:val="bottom"/>
            <w:gridSpan w:val="27"/>
            <w:vMerge w:val="restart"/>
          </w:tcPr>
          <w:p>
            <w:pPr>
              <w:spacing w:after="0"/>
              <w:rPr>
                <w:sz w:val="7"/>
                <w:szCs w:val="7"/>
                <w:color w:val="auto"/>
              </w:rPr>
            </w:pPr>
          </w:p>
        </w:tc>
        <w:tc>
          <w:tcPr>
            <w:tcW w:w="420" w:type="dxa"/>
            <w:vAlign w:val="bottom"/>
            <w:vMerge w:val="restart"/>
          </w:tcPr>
          <w:p>
            <w:pPr>
              <w:jc w:val="right"/>
              <w:spacing w:after="0" w:line="168" w:lineRule="exact"/>
              <w:rPr>
                <w:sz w:val="20"/>
                <w:szCs w:val="20"/>
                <w:color w:val="auto"/>
              </w:rPr>
            </w:pPr>
            <w:r>
              <w:rPr>
                <w:rFonts w:ascii="Arial" w:cs="Arial" w:eastAsia="Arial" w:hAnsi="Arial"/>
                <w:sz w:val="16"/>
                <w:szCs w:val="16"/>
                <w:b w:val="1"/>
                <w:bCs w:val="1"/>
                <w:color w:val="005C5D"/>
              </w:rPr>
              <w:t>21</w:t>
            </w:r>
          </w:p>
        </w:tc>
        <w:tc>
          <w:tcPr>
            <w:tcW w:w="0" w:type="dxa"/>
            <w:vAlign w:val="bottom"/>
          </w:tcPr>
          <w:p>
            <w:pPr>
              <w:spacing w:after="0"/>
              <w:rPr>
                <w:sz w:val="1"/>
                <w:szCs w:val="1"/>
                <w:color w:val="auto"/>
              </w:rPr>
            </w:pPr>
          </w:p>
        </w:tc>
      </w:tr>
      <w:tr>
        <w:trPr>
          <w:trHeight w:val="81"/>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333333"/>
              </w:rPr>
              <w:t>5</w:t>
            </w:r>
          </w:p>
        </w:tc>
        <w:tc>
          <w:tcPr>
            <w:tcW w:w="680" w:type="dxa"/>
            <w:vAlign w:val="bottom"/>
            <w:tcBorders>
              <w:bottom w:val="single" w:sz="8" w:color="0000EE"/>
            </w:tcBorders>
            <w:gridSpan w:val="3"/>
            <w:vMerge w:val="continue"/>
          </w:tcPr>
          <w:p>
            <w:pPr>
              <w:spacing w:after="0"/>
              <w:rPr>
                <w:sz w:val="6"/>
                <w:szCs w:val="6"/>
                <w:color w:val="auto"/>
              </w:rPr>
            </w:pPr>
          </w:p>
        </w:tc>
        <w:tc>
          <w:tcPr>
            <w:tcW w:w="3340" w:type="dxa"/>
            <w:vAlign w:val="bottom"/>
            <w:gridSpan w:val="27"/>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480" w:type="dxa"/>
            <w:vAlign w:val="bottom"/>
            <w:vMerge w:val="continue"/>
          </w:tcPr>
          <w:p>
            <w:pPr>
              <w:spacing w:after="0"/>
              <w:rPr>
                <w:sz w:val="8"/>
                <w:szCs w:val="8"/>
                <w:color w:val="auto"/>
              </w:rPr>
            </w:pPr>
          </w:p>
        </w:tc>
        <w:tc>
          <w:tcPr>
            <w:tcW w:w="3700" w:type="dxa"/>
            <w:vAlign w:val="bottom"/>
            <w:gridSpan w:val="26"/>
            <w:vMerge w:val="restart"/>
          </w:tcPr>
          <w:p>
            <w:pPr>
              <w:spacing w:after="0"/>
              <w:rPr>
                <w:sz w:val="20"/>
                <w:szCs w:val="20"/>
                <w:color w:val="auto"/>
              </w:rPr>
            </w:pPr>
            <w:r>
              <w:rPr>
                <w:rFonts w:ascii="Arial" w:cs="Arial" w:eastAsia="Arial" w:hAnsi="Arial"/>
                <w:sz w:val="16"/>
                <w:szCs w:val="16"/>
                <w:b w:val="1"/>
                <w:bCs w:val="1"/>
                <w:color w:val="0000EE"/>
                <w:w w:val="99"/>
              </w:rPr>
              <w:t>EXECUTIVE COMPENSATION DISCUSSION AND</w:t>
            </w:r>
          </w:p>
        </w:tc>
        <w:tc>
          <w:tcPr>
            <w:tcW w:w="320" w:type="dxa"/>
            <w:vAlign w:val="bottom"/>
            <w:gridSpan w:val="4"/>
            <w:vMerge w:val="restart"/>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480" w:type="dxa"/>
            <w:vAlign w:val="bottom"/>
            <w:vMerge w:val="restart"/>
          </w:tcPr>
          <w:p>
            <w:pPr>
              <w:jc w:val="right"/>
              <w:ind w:right="248"/>
              <w:spacing w:after="0"/>
              <w:rPr>
                <w:sz w:val="20"/>
                <w:szCs w:val="20"/>
                <w:color w:val="auto"/>
              </w:rPr>
            </w:pPr>
            <w:r>
              <w:rPr>
                <w:rFonts w:ascii="Arial" w:cs="Arial" w:eastAsia="Arial" w:hAnsi="Arial"/>
                <w:sz w:val="16"/>
                <w:szCs w:val="16"/>
                <w:b w:val="1"/>
                <w:bCs w:val="1"/>
                <w:color w:val="005C5D"/>
              </w:rPr>
              <w:t>1</w:t>
            </w:r>
          </w:p>
        </w:tc>
        <w:tc>
          <w:tcPr>
            <w:tcW w:w="3700" w:type="dxa"/>
            <w:vAlign w:val="bottom"/>
            <w:tcBorders>
              <w:bottom w:val="single" w:sz="8" w:color="0000EE"/>
            </w:tcBorders>
            <w:gridSpan w:val="26"/>
            <w:vMerge w:val="continue"/>
          </w:tcPr>
          <w:p>
            <w:pPr>
              <w:spacing w:after="0"/>
              <w:rPr>
                <w:sz w:val="21"/>
                <w:szCs w:val="21"/>
                <w:color w:val="auto"/>
              </w:rPr>
            </w:pPr>
          </w:p>
        </w:tc>
        <w:tc>
          <w:tcPr>
            <w:tcW w:w="320" w:type="dxa"/>
            <w:vAlign w:val="bottom"/>
            <w:gridSpan w:val="4"/>
            <w:vMerge w:val="continue"/>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480" w:type="dxa"/>
            <w:vAlign w:val="bottom"/>
            <w:vMerge w:val="continue"/>
          </w:tcPr>
          <w:p>
            <w:pPr>
              <w:spacing w:after="0"/>
              <w:rPr>
                <w:sz w:val="8"/>
                <w:szCs w:val="8"/>
                <w:color w:val="auto"/>
              </w:rPr>
            </w:pPr>
          </w:p>
        </w:tc>
        <w:tc>
          <w:tcPr>
            <w:tcW w:w="4020" w:type="dxa"/>
            <w:vAlign w:val="bottom"/>
            <w:gridSpan w:val="30"/>
            <w:vMerge w:val="restart"/>
          </w:tcPr>
          <w:p>
            <w:pPr>
              <w:spacing w:after="0" w:line="168" w:lineRule="exact"/>
              <w:rPr>
                <w:sz w:val="20"/>
                <w:szCs w:val="20"/>
                <w:color w:val="auto"/>
              </w:rPr>
            </w:pPr>
            <w:r>
              <w:rPr>
                <w:rFonts w:ascii="Arial" w:cs="Arial" w:eastAsia="Arial" w:hAnsi="Arial"/>
                <w:sz w:val="16"/>
                <w:szCs w:val="16"/>
                <w:b w:val="1"/>
                <w:bCs w:val="1"/>
                <w:color w:val="0000EE"/>
              </w:rPr>
              <w:t>ANALYSIS</w:t>
            </w:r>
          </w:p>
        </w:tc>
        <w:tc>
          <w:tcPr>
            <w:tcW w:w="420" w:type="dxa"/>
            <w:vAlign w:val="bottom"/>
            <w:vMerge w:val="restart"/>
          </w:tcPr>
          <w:p>
            <w:pPr>
              <w:jc w:val="right"/>
              <w:spacing w:after="0" w:line="168" w:lineRule="exact"/>
              <w:rPr>
                <w:sz w:val="20"/>
                <w:szCs w:val="20"/>
                <w:color w:val="auto"/>
              </w:rPr>
            </w:pPr>
            <w:r>
              <w:rPr>
                <w:rFonts w:ascii="Arial" w:cs="Arial" w:eastAsia="Arial" w:hAnsi="Arial"/>
                <w:sz w:val="16"/>
                <w:szCs w:val="16"/>
                <w:b w:val="1"/>
                <w:bCs w:val="1"/>
                <w:color w:val="005C5D"/>
              </w:rPr>
              <w:t>21</w:t>
            </w:r>
          </w:p>
        </w:tc>
        <w:tc>
          <w:tcPr>
            <w:tcW w:w="0" w:type="dxa"/>
            <w:vAlign w:val="bottom"/>
          </w:tcPr>
          <w:p>
            <w:pPr>
              <w:spacing w:after="0"/>
              <w:rPr>
                <w:sz w:val="1"/>
                <w:szCs w:val="1"/>
                <w:color w:val="auto"/>
              </w:rPr>
            </w:pPr>
          </w:p>
        </w:tc>
      </w:tr>
      <w:tr>
        <w:trPr>
          <w:trHeight w:val="74"/>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005C5D"/>
              </w:rPr>
              <w:t>1</w:t>
            </w:r>
          </w:p>
        </w:tc>
        <w:tc>
          <w:tcPr>
            <w:tcW w:w="4020" w:type="dxa"/>
            <w:vAlign w:val="bottom"/>
            <w:gridSpan w:val="30"/>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480" w:type="dxa"/>
            <w:vAlign w:val="bottom"/>
            <w:vMerge w:val="continue"/>
          </w:tcPr>
          <w:p>
            <w:pPr>
              <w:spacing w:after="0"/>
              <w:rPr>
                <w:sz w:val="8"/>
                <w:szCs w:val="8"/>
                <w:color w:val="auto"/>
              </w:rPr>
            </w:pPr>
          </w:p>
        </w:tc>
        <w:tc>
          <w:tcPr>
            <w:tcW w:w="4020" w:type="dxa"/>
            <w:vAlign w:val="bottom"/>
            <w:gridSpan w:val="30"/>
            <w:vMerge w:val="restart"/>
          </w:tcPr>
          <w:p>
            <w:pPr>
              <w:spacing w:after="0"/>
              <w:rPr>
                <w:sz w:val="20"/>
                <w:szCs w:val="20"/>
                <w:color w:val="auto"/>
              </w:rPr>
            </w:pPr>
            <w:r>
              <w:rPr>
                <w:rFonts w:ascii="Arial" w:cs="Arial" w:eastAsia="Arial" w:hAnsi="Arial"/>
                <w:sz w:val="14"/>
                <w:szCs w:val="14"/>
                <w:color w:val="0000EE"/>
              </w:rPr>
              <w:t>Our Compensation Philosophy and Objectives</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333333"/>
              </w:rPr>
              <w:t>22</w:t>
            </w:r>
          </w:p>
        </w:tc>
        <w:tc>
          <w:tcPr>
            <w:tcW w:w="0" w:type="dxa"/>
            <w:vAlign w:val="bottom"/>
          </w:tcPr>
          <w:p>
            <w:pPr>
              <w:spacing w:after="0"/>
              <w:rPr>
                <w:sz w:val="1"/>
                <w:szCs w:val="1"/>
                <w:color w:val="auto"/>
              </w:rPr>
            </w:pPr>
          </w:p>
        </w:tc>
      </w:tr>
      <w:tr>
        <w:trPr>
          <w:trHeight w:val="88"/>
        </w:trPr>
        <w:tc>
          <w:tcPr>
            <w:tcW w:w="480" w:type="dxa"/>
            <w:vAlign w:val="bottom"/>
          </w:tcPr>
          <w:p>
            <w:pPr>
              <w:spacing w:after="0"/>
              <w:rPr>
                <w:sz w:val="7"/>
                <w:szCs w:val="7"/>
                <w:color w:val="auto"/>
              </w:rPr>
            </w:pPr>
          </w:p>
        </w:tc>
        <w:tc>
          <w:tcPr>
            <w:tcW w:w="4020" w:type="dxa"/>
            <w:vAlign w:val="bottom"/>
            <w:gridSpan w:val="30"/>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80" w:type="dxa"/>
            <w:vAlign w:val="bottom"/>
          </w:tcPr>
          <w:p>
            <w:pPr>
              <w:jc w:val="right"/>
              <w:ind w:right="248"/>
              <w:spacing w:after="0" w:line="168" w:lineRule="exact"/>
              <w:rPr>
                <w:sz w:val="20"/>
                <w:szCs w:val="20"/>
                <w:color w:val="auto"/>
              </w:rPr>
            </w:pPr>
            <w:r>
              <w:rPr>
                <w:rFonts w:ascii="Arial" w:cs="Arial" w:eastAsia="Arial" w:hAnsi="Arial"/>
                <w:sz w:val="16"/>
                <w:szCs w:val="16"/>
                <w:b w:val="1"/>
                <w:bCs w:val="1"/>
                <w:color w:val="005C5D"/>
              </w:rPr>
              <w:t>2</w:t>
            </w:r>
          </w:p>
        </w:tc>
        <w:tc>
          <w:tcPr>
            <w:tcW w:w="2820" w:type="dxa"/>
            <w:vAlign w:val="bottom"/>
            <w:tcBorders>
              <w:top w:val="single" w:sz="8" w:color="0000EE"/>
              <w:bottom w:val="single" w:sz="8" w:color="0000EE"/>
            </w:tcBorders>
            <w:gridSpan w:val="19"/>
          </w:tcPr>
          <w:p>
            <w:pPr>
              <w:spacing w:after="0" w:line="154" w:lineRule="exact"/>
              <w:rPr>
                <w:sz w:val="20"/>
                <w:szCs w:val="20"/>
                <w:color w:val="auto"/>
              </w:rPr>
            </w:pPr>
            <w:r>
              <w:rPr>
                <w:rFonts w:ascii="Arial" w:cs="Arial" w:eastAsia="Arial" w:hAnsi="Arial"/>
                <w:sz w:val="14"/>
                <w:szCs w:val="14"/>
                <w:color w:val="0000EE"/>
              </w:rPr>
              <w:t>Compensation Mix and Pay for Performance</w:t>
            </w:r>
          </w:p>
        </w:tc>
        <w:tc>
          <w:tcPr>
            <w:tcW w:w="100" w:type="dxa"/>
            <w:vAlign w:val="bottom"/>
            <w:tcBorders>
              <w:top w:val="single" w:sz="8" w:color="0000EE"/>
              <w:bottom w:val="single" w:sz="8" w:color="0000EE"/>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3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333333"/>
              </w:rPr>
              <w:t>23</w:t>
            </w:r>
          </w:p>
        </w:tc>
        <w:tc>
          <w:tcPr>
            <w:tcW w:w="0" w:type="dxa"/>
            <w:vAlign w:val="bottom"/>
          </w:tcPr>
          <w:p>
            <w:pPr>
              <w:spacing w:after="0"/>
              <w:rPr>
                <w:sz w:val="1"/>
                <w:szCs w:val="1"/>
                <w:color w:val="auto"/>
              </w:rPr>
            </w:pPr>
          </w:p>
        </w:tc>
      </w:tr>
      <w:tr>
        <w:trPr>
          <w:trHeight w:val="167"/>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333333"/>
              </w:rPr>
              <w:t>2</w:t>
            </w:r>
          </w:p>
        </w:tc>
        <w:tc>
          <w:tcPr>
            <w:tcW w:w="4020" w:type="dxa"/>
            <w:vAlign w:val="bottom"/>
            <w:gridSpan w:val="30"/>
          </w:tcPr>
          <w:p>
            <w:pPr>
              <w:spacing w:after="0"/>
              <w:rPr>
                <w:sz w:val="20"/>
                <w:szCs w:val="20"/>
                <w:color w:val="auto"/>
              </w:rPr>
            </w:pPr>
            <w:r>
              <w:rPr>
                <w:rFonts w:ascii="Arial" w:cs="Arial" w:eastAsia="Arial" w:hAnsi="Arial"/>
                <w:sz w:val="14"/>
                <w:szCs w:val="14"/>
                <w:color w:val="0000EE"/>
              </w:rPr>
              <w:t>How We Make Executive Compensation Decisions</w:t>
            </w:r>
          </w:p>
        </w:tc>
        <w:tc>
          <w:tcPr>
            <w:tcW w:w="420" w:type="dxa"/>
            <w:vAlign w:val="bottom"/>
          </w:tcPr>
          <w:p>
            <w:pPr>
              <w:jc w:val="right"/>
              <w:spacing w:after="0"/>
              <w:rPr>
                <w:sz w:val="20"/>
                <w:szCs w:val="20"/>
                <w:color w:val="auto"/>
              </w:rPr>
            </w:pPr>
            <w:r>
              <w:rPr>
                <w:rFonts w:ascii="Arial" w:cs="Arial" w:eastAsia="Arial" w:hAnsi="Arial"/>
                <w:sz w:val="14"/>
                <w:szCs w:val="14"/>
                <w:color w:val="333333"/>
              </w:rPr>
              <w:t>24</w:t>
            </w:r>
          </w:p>
        </w:tc>
        <w:tc>
          <w:tcPr>
            <w:tcW w:w="0" w:type="dxa"/>
            <w:vAlign w:val="bottom"/>
          </w:tcPr>
          <w:p>
            <w:pPr>
              <w:spacing w:after="0"/>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480" w:type="dxa"/>
            <w:vAlign w:val="bottom"/>
            <w:vMerge w:val="continue"/>
          </w:tcPr>
          <w:p>
            <w:pPr>
              <w:spacing w:after="0"/>
              <w:rPr>
                <w:sz w:val="5"/>
                <w:szCs w:val="5"/>
                <w:color w:val="auto"/>
              </w:rPr>
            </w:pPr>
          </w:p>
        </w:tc>
        <w:tc>
          <w:tcPr>
            <w:tcW w:w="4020" w:type="dxa"/>
            <w:vAlign w:val="bottom"/>
            <w:gridSpan w:val="30"/>
            <w:vMerge w:val="restart"/>
          </w:tcPr>
          <w:p>
            <w:pPr>
              <w:spacing w:after="0"/>
              <w:rPr>
                <w:sz w:val="20"/>
                <w:szCs w:val="20"/>
                <w:color w:val="auto"/>
              </w:rPr>
            </w:pPr>
            <w:r>
              <w:rPr>
                <w:rFonts w:ascii="Arial" w:cs="Arial" w:eastAsia="Arial" w:hAnsi="Arial"/>
                <w:sz w:val="14"/>
                <w:szCs w:val="14"/>
                <w:color w:val="0000EE"/>
              </w:rPr>
              <w:t>Elements of our Executive Compensation Program in Fiscal</w:t>
            </w: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333333"/>
              </w:rPr>
              <w:t>3</w:t>
            </w:r>
          </w:p>
        </w:tc>
        <w:tc>
          <w:tcPr>
            <w:tcW w:w="4020" w:type="dxa"/>
            <w:vAlign w:val="bottom"/>
            <w:gridSpan w:val="30"/>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80" w:type="dxa"/>
            <w:vAlign w:val="bottom"/>
            <w:vMerge w:val="continue"/>
          </w:tcPr>
          <w:p>
            <w:pPr>
              <w:spacing w:after="0"/>
              <w:rPr>
                <w:sz w:val="5"/>
                <w:szCs w:val="5"/>
                <w:color w:val="auto"/>
              </w:rPr>
            </w:pPr>
          </w:p>
        </w:tc>
        <w:tc>
          <w:tcPr>
            <w:tcW w:w="320" w:type="dxa"/>
            <w:vAlign w:val="bottom"/>
            <w:tcBorders>
              <w:top w:val="single" w:sz="8" w:color="0000EE"/>
            </w:tcBorders>
            <w:vMerge w:val="restart"/>
          </w:tcPr>
          <w:p>
            <w:pPr>
              <w:spacing w:after="0" w:line="141" w:lineRule="exact"/>
              <w:rPr>
                <w:sz w:val="20"/>
                <w:szCs w:val="20"/>
                <w:color w:val="auto"/>
              </w:rPr>
            </w:pPr>
            <w:r>
              <w:rPr>
                <w:rFonts w:ascii="Arial" w:cs="Arial" w:eastAsia="Arial" w:hAnsi="Arial"/>
                <w:sz w:val="14"/>
                <w:szCs w:val="14"/>
                <w:color w:val="0000EE"/>
                <w:w w:val="96"/>
              </w:rPr>
              <w:t>2026</w:t>
            </w: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vMerge w:val="restart"/>
          </w:tcPr>
          <w:p>
            <w:pPr>
              <w:jc w:val="right"/>
              <w:spacing w:after="0" w:line="141" w:lineRule="exact"/>
              <w:rPr>
                <w:sz w:val="20"/>
                <w:szCs w:val="20"/>
                <w:color w:val="auto"/>
              </w:rPr>
            </w:pPr>
            <w:r>
              <w:rPr>
                <w:rFonts w:ascii="Arial" w:cs="Arial" w:eastAsia="Arial" w:hAnsi="Arial"/>
                <w:sz w:val="14"/>
                <w:szCs w:val="14"/>
                <w:color w:val="333333"/>
              </w:rPr>
              <w:t>25</w:t>
            </w:r>
          </w:p>
        </w:tc>
        <w:tc>
          <w:tcPr>
            <w:tcW w:w="0" w:type="dxa"/>
            <w:vAlign w:val="bottom"/>
          </w:tcPr>
          <w:p>
            <w:pPr>
              <w:spacing w:after="0"/>
              <w:rPr>
                <w:sz w:val="1"/>
                <w:szCs w:val="1"/>
                <w:color w:val="auto"/>
              </w:rPr>
            </w:pPr>
          </w:p>
        </w:tc>
      </w:tr>
      <w:tr>
        <w:trPr>
          <w:trHeight w:val="79"/>
        </w:trPr>
        <w:tc>
          <w:tcPr>
            <w:tcW w:w="480" w:type="dxa"/>
            <w:vAlign w:val="bottom"/>
          </w:tcPr>
          <w:p>
            <w:pPr>
              <w:spacing w:after="0"/>
              <w:rPr>
                <w:sz w:val="6"/>
                <w:szCs w:val="6"/>
                <w:color w:val="auto"/>
              </w:rPr>
            </w:pPr>
          </w:p>
        </w:tc>
        <w:tc>
          <w:tcPr>
            <w:tcW w:w="320" w:type="dxa"/>
            <w:vAlign w:val="bottom"/>
            <w:tcBorders>
              <w:bottom w:val="single" w:sz="8" w:color="0000EE"/>
            </w:tcBorders>
            <w:vMerge w:val="continue"/>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480" w:type="dxa"/>
            <w:vAlign w:val="bottom"/>
            <w:vMerge w:val="restart"/>
          </w:tcPr>
          <w:p>
            <w:pPr>
              <w:jc w:val="right"/>
              <w:ind w:right="248"/>
              <w:spacing w:after="0"/>
              <w:rPr>
                <w:sz w:val="20"/>
                <w:szCs w:val="20"/>
                <w:color w:val="auto"/>
              </w:rPr>
            </w:pPr>
            <w:r>
              <w:rPr>
                <w:rFonts w:ascii="Arial" w:cs="Arial" w:eastAsia="Arial" w:hAnsi="Arial"/>
                <w:sz w:val="16"/>
                <w:szCs w:val="16"/>
                <w:b w:val="1"/>
                <w:bCs w:val="1"/>
                <w:color w:val="005C5D"/>
              </w:rPr>
              <w:t>5</w:t>
            </w:r>
          </w:p>
        </w:tc>
        <w:tc>
          <w:tcPr>
            <w:tcW w:w="2760" w:type="dxa"/>
            <w:vAlign w:val="bottom"/>
            <w:tcBorders>
              <w:bottom w:val="single" w:sz="8" w:color="0000EE"/>
            </w:tcBorders>
            <w:gridSpan w:val="18"/>
          </w:tcPr>
          <w:p>
            <w:pPr>
              <w:spacing w:after="0" w:line="154" w:lineRule="exact"/>
              <w:rPr>
                <w:sz w:val="20"/>
                <w:szCs w:val="20"/>
                <w:color w:val="auto"/>
              </w:rPr>
            </w:pPr>
            <w:r>
              <w:rPr>
                <w:rFonts w:ascii="Arial" w:cs="Arial" w:eastAsia="Arial" w:hAnsi="Arial"/>
                <w:sz w:val="14"/>
                <w:szCs w:val="14"/>
                <w:color w:val="0000EE"/>
              </w:rPr>
              <w:t>Agreements with Named Executive Officers</w:t>
            </w:r>
          </w:p>
        </w:tc>
        <w:tc>
          <w:tcPr>
            <w:tcW w:w="520" w:type="dxa"/>
            <w:vAlign w:val="bottom"/>
            <w:gridSpan w:val="4"/>
          </w:tcPr>
          <w:p>
            <w:pPr>
              <w:spacing w:after="0"/>
              <w:rPr>
                <w:sz w:val="14"/>
                <w:szCs w:val="14"/>
                <w:color w:val="auto"/>
              </w:rPr>
            </w:pPr>
          </w:p>
        </w:tc>
        <w:tc>
          <w:tcPr>
            <w:tcW w:w="140" w:type="dxa"/>
            <w:vAlign w:val="bottom"/>
            <w:gridSpan w:val="2"/>
          </w:tcPr>
          <w:p>
            <w:pPr>
              <w:spacing w:after="0"/>
              <w:rPr>
                <w:sz w:val="14"/>
                <w:szCs w:val="14"/>
                <w:color w:val="auto"/>
              </w:rPr>
            </w:pPr>
          </w:p>
        </w:tc>
        <w:tc>
          <w:tcPr>
            <w:tcW w:w="32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333333"/>
              </w:rPr>
              <w:t>30</w:t>
            </w:r>
          </w:p>
        </w:tc>
        <w:tc>
          <w:tcPr>
            <w:tcW w:w="0" w:type="dxa"/>
            <w:vAlign w:val="bottom"/>
          </w:tcPr>
          <w:p>
            <w:pPr>
              <w:spacing w:after="0"/>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4020" w:type="dxa"/>
            <w:vAlign w:val="bottom"/>
            <w:gridSpan w:val="30"/>
            <w:vMerge w:val="restart"/>
          </w:tcPr>
          <w:p>
            <w:pPr>
              <w:spacing w:after="0"/>
              <w:rPr>
                <w:sz w:val="20"/>
                <w:szCs w:val="20"/>
                <w:color w:val="auto"/>
              </w:rPr>
            </w:pPr>
            <w:r>
              <w:rPr>
                <w:rFonts w:ascii="Arial" w:cs="Arial" w:eastAsia="Arial" w:hAnsi="Arial"/>
                <w:sz w:val="14"/>
                <w:szCs w:val="14"/>
                <w:color w:val="0000EE"/>
              </w:rPr>
              <w:t>Compensation and Risk</w:t>
            </w:r>
          </w:p>
        </w:tc>
        <w:tc>
          <w:tcPr>
            <w:tcW w:w="4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333333"/>
              </w:rPr>
              <w:t>5</w:t>
            </w:r>
          </w:p>
        </w:tc>
        <w:tc>
          <w:tcPr>
            <w:tcW w:w="4020" w:type="dxa"/>
            <w:vAlign w:val="bottom"/>
            <w:gridSpan w:val="30"/>
            <w:vMerge w:val="continue"/>
          </w:tcPr>
          <w:p>
            <w:pPr>
              <w:spacing w:after="0"/>
              <w:rPr>
                <w:sz w:val="12"/>
                <w:szCs w:val="12"/>
                <w:color w:val="auto"/>
              </w:rPr>
            </w:pPr>
          </w:p>
        </w:tc>
        <w:tc>
          <w:tcPr>
            <w:tcW w:w="420" w:type="dxa"/>
            <w:vAlign w:val="bottom"/>
          </w:tcPr>
          <w:p>
            <w:pPr>
              <w:jc w:val="right"/>
              <w:spacing w:after="0" w:line="147" w:lineRule="exact"/>
              <w:rPr>
                <w:sz w:val="20"/>
                <w:szCs w:val="20"/>
                <w:color w:val="auto"/>
              </w:rPr>
            </w:pPr>
            <w:r>
              <w:rPr>
                <w:rFonts w:ascii="Arial" w:cs="Arial" w:eastAsia="Arial" w:hAnsi="Arial"/>
                <w:sz w:val="14"/>
                <w:szCs w:val="14"/>
                <w:color w:val="333333"/>
              </w:rPr>
              <w:t>30</w:t>
            </w:r>
          </w:p>
        </w:tc>
        <w:tc>
          <w:tcPr>
            <w:tcW w:w="0" w:type="dxa"/>
            <w:vAlign w:val="bottom"/>
          </w:tcPr>
          <w:p>
            <w:pPr>
              <w:spacing w:after="0"/>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480" w:type="dxa"/>
            <w:vAlign w:val="bottom"/>
            <w:vMerge w:val="continue"/>
          </w:tcPr>
          <w:p>
            <w:pPr>
              <w:spacing w:after="0"/>
              <w:rPr>
                <w:sz w:val="6"/>
                <w:szCs w:val="6"/>
                <w:color w:val="auto"/>
              </w:rPr>
            </w:pPr>
          </w:p>
        </w:tc>
        <w:tc>
          <w:tcPr>
            <w:tcW w:w="2700" w:type="dxa"/>
            <w:vAlign w:val="bottom"/>
            <w:gridSpan w:val="17"/>
            <w:vMerge w:val="restart"/>
          </w:tcPr>
          <w:p>
            <w:pPr>
              <w:spacing w:after="0"/>
              <w:rPr>
                <w:sz w:val="20"/>
                <w:szCs w:val="20"/>
                <w:color w:val="auto"/>
              </w:rPr>
            </w:pPr>
            <w:r>
              <w:rPr>
                <w:rFonts w:ascii="Arial" w:cs="Arial" w:eastAsia="Arial" w:hAnsi="Arial"/>
                <w:sz w:val="14"/>
                <w:szCs w:val="14"/>
                <w:color w:val="0000EE"/>
              </w:rPr>
              <w:t>Effect of Accounting and Tax Treatment on</w:t>
            </w:r>
          </w:p>
        </w:tc>
        <w:tc>
          <w:tcPr>
            <w:tcW w:w="1320" w:type="dxa"/>
            <w:vAlign w:val="bottom"/>
            <w:gridSpan w:val="13"/>
            <w:vMerge w:val="restart"/>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333333"/>
              </w:rPr>
              <w:t>5</w:t>
            </w:r>
          </w:p>
        </w:tc>
        <w:tc>
          <w:tcPr>
            <w:tcW w:w="2700" w:type="dxa"/>
            <w:vAlign w:val="bottom"/>
            <w:tcBorders>
              <w:bottom w:val="single" w:sz="8" w:color="0000EE"/>
            </w:tcBorders>
            <w:gridSpan w:val="17"/>
            <w:vMerge w:val="continue"/>
          </w:tcPr>
          <w:p>
            <w:pPr>
              <w:spacing w:after="0"/>
              <w:rPr>
                <w:sz w:val="7"/>
                <w:szCs w:val="7"/>
                <w:color w:val="auto"/>
              </w:rPr>
            </w:pPr>
          </w:p>
        </w:tc>
        <w:tc>
          <w:tcPr>
            <w:tcW w:w="1320" w:type="dxa"/>
            <w:vAlign w:val="bottom"/>
            <w:gridSpan w:val="13"/>
            <w:vMerge w:val="continue"/>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80" w:type="dxa"/>
            <w:vAlign w:val="bottom"/>
            <w:vMerge w:val="continue"/>
          </w:tcPr>
          <w:p>
            <w:pPr>
              <w:spacing w:after="0"/>
              <w:rPr>
                <w:sz w:val="6"/>
                <w:szCs w:val="6"/>
                <w:color w:val="auto"/>
              </w:rPr>
            </w:pPr>
          </w:p>
        </w:tc>
        <w:tc>
          <w:tcPr>
            <w:tcW w:w="4020" w:type="dxa"/>
            <w:vAlign w:val="bottom"/>
            <w:gridSpan w:val="30"/>
            <w:vMerge w:val="restart"/>
          </w:tcPr>
          <w:p>
            <w:pPr>
              <w:spacing w:after="0" w:line="141" w:lineRule="exact"/>
              <w:rPr>
                <w:sz w:val="20"/>
                <w:szCs w:val="20"/>
                <w:color w:val="auto"/>
              </w:rPr>
            </w:pPr>
            <w:r>
              <w:rPr>
                <w:rFonts w:ascii="Arial" w:cs="Arial" w:eastAsia="Arial" w:hAnsi="Arial"/>
                <w:sz w:val="14"/>
                <w:szCs w:val="14"/>
                <w:color w:val="0000EE"/>
              </w:rPr>
              <w:t>Compensation Decisions</w:t>
            </w:r>
          </w:p>
        </w:tc>
        <w:tc>
          <w:tcPr>
            <w:tcW w:w="420" w:type="dxa"/>
            <w:vAlign w:val="bottom"/>
            <w:vMerge w:val="restart"/>
          </w:tcPr>
          <w:p>
            <w:pPr>
              <w:jc w:val="right"/>
              <w:spacing w:after="0" w:line="141" w:lineRule="exact"/>
              <w:rPr>
                <w:sz w:val="20"/>
                <w:szCs w:val="20"/>
                <w:color w:val="auto"/>
              </w:rPr>
            </w:pPr>
            <w:r>
              <w:rPr>
                <w:rFonts w:ascii="Arial" w:cs="Arial" w:eastAsia="Arial" w:hAnsi="Arial"/>
                <w:sz w:val="14"/>
                <w:szCs w:val="14"/>
                <w:color w:val="333333"/>
              </w:rPr>
              <w:t>31</w:t>
            </w:r>
          </w:p>
        </w:tc>
        <w:tc>
          <w:tcPr>
            <w:tcW w:w="0" w:type="dxa"/>
            <w:vAlign w:val="bottom"/>
          </w:tcPr>
          <w:p>
            <w:pPr>
              <w:spacing w:after="0"/>
              <w:rPr>
                <w:sz w:val="1"/>
                <w:szCs w:val="1"/>
                <w:color w:val="auto"/>
              </w:rPr>
            </w:pPr>
          </w:p>
        </w:tc>
      </w:tr>
      <w:tr>
        <w:trPr>
          <w:trHeight w:val="61"/>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333333"/>
              </w:rPr>
              <w:t>5</w:t>
            </w:r>
          </w:p>
        </w:tc>
        <w:tc>
          <w:tcPr>
            <w:tcW w:w="4020" w:type="dxa"/>
            <w:vAlign w:val="bottom"/>
            <w:gridSpan w:val="30"/>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480" w:type="dxa"/>
            <w:vAlign w:val="bottom"/>
            <w:vMerge w:val="continue"/>
          </w:tcPr>
          <w:p>
            <w:pPr>
              <w:spacing w:after="0"/>
              <w:rPr>
                <w:sz w:val="9"/>
                <w:szCs w:val="9"/>
                <w:color w:val="auto"/>
              </w:rPr>
            </w:pPr>
          </w:p>
        </w:tc>
        <w:tc>
          <w:tcPr>
            <w:tcW w:w="320" w:type="dxa"/>
            <w:vAlign w:val="bottom"/>
            <w:tcBorders>
              <w:top w:val="single" w:sz="8" w:color="0000EE"/>
            </w:tcBorders>
          </w:tcPr>
          <w:p>
            <w:pPr>
              <w:spacing w:after="0"/>
              <w:rPr>
                <w:sz w:val="9"/>
                <w:szCs w:val="9"/>
                <w:color w:val="auto"/>
              </w:rPr>
            </w:pPr>
          </w:p>
        </w:tc>
        <w:tc>
          <w:tcPr>
            <w:tcW w:w="260" w:type="dxa"/>
            <w:vAlign w:val="bottom"/>
            <w:tcBorders>
              <w:top w:val="single" w:sz="8" w:color="0000EE"/>
            </w:tcBorders>
          </w:tcPr>
          <w:p>
            <w:pPr>
              <w:spacing w:after="0"/>
              <w:rPr>
                <w:sz w:val="9"/>
                <w:szCs w:val="9"/>
                <w:color w:val="auto"/>
              </w:rPr>
            </w:pPr>
          </w:p>
        </w:tc>
        <w:tc>
          <w:tcPr>
            <w:tcW w:w="10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280" w:type="dxa"/>
            <w:vAlign w:val="bottom"/>
            <w:tcBorders>
              <w:top w:val="single" w:sz="8" w:color="0000EE"/>
            </w:tcBorders>
          </w:tcPr>
          <w:p>
            <w:pPr>
              <w:spacing w:after="0"/>
              <w:rPr>
                <w:sz w:val="9"/>
                <w:szCs w:val="9"/>
                <w:color w:val="auto"/>
              </w:rPr>
            </w:pPr>
          </w:p>
        </w:tc>
        <w:tc>
          <w:tcPr>
            <w:tcW w:w="44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80" w:type="dxa"/>
            <w:vAlign w:val="bottom"/>
          </w:tcPr>
          <w:p>
            <w:pPr>
              <w:jc w:val="right"/>
              <w:ind w:right="248"/>
              <w:spacing w:after="0"/>
              <w:rPr>
                <w:sz w:val="20"/>
                <w:szCs w:val="20"/>
                <w:color w:val="auto"/>
              </w:rPr>
            </w:pPr>
            <w:r>
              <w:rPr>
                <w:rFonts w:ascii="Arial" w:cs="Arial" w:eastAsia="Arial" w:hAnsi="Arial"/>
                <w:sz w:val="14"/>
                <w:szCs w:val="14"/>
                <w:color w:val="333333"/>
              </w:rPr>
              <w:t>5</w:t>
            </w:r>
          </w:p>
        </w:tc>
        <w:tc>
          <w:tcPr>
            <w:tcW w:w="4020" w:type="dxa"/>
            <w:vAlign w:val="bottom"/>
            <w:gridSpan w:val="30"/>
            <w:vMerge w:val="restart"/>
          </w:tcPr>
          <w:p>
            <w:pPr>
              <w:spacing w:after="0"/>
              <w:rPr>
                <w:sz w:val="20"/>
                <w:szCs w:val="20"/>
                <w:color w:val="auto"/>
              </w:rPr>
            </w:pPr>
            <w:r>
              <w:rPr>
                <w:rFonts w:ascii="Arial" w:cs="Arial" w:eastAsia="Arial" w:hAnsi="Arial"/>
                <w:sz w:val="16"/>
                <w:szCs w:val="16"/>
                <w:b w:val="1"/>
                <w:bCs w:val="1"/>
                <w:color w:val="0000EE"/>
              </w:rPr>
              <w:t>COMPENSATION TABLES</w:t>
            </w: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005C5D"/>
              </w:rPr>
              <w:t>32</w:t>
            </w:r>
          </w:p>
        </w:tc>
        <w:tc>
          <w:tcPr>
            <w:tcW w:w="0" w:type="dxa"/>
            <w:vAlign w:val="bottom"/>
          </w:tcPr>
          <w:p>
            <w:pPr>
              <w:spacing w:after="0"/>
              <w:rPr>
                <w:sz w:val="1"/>
                <w:szCs w:val="1"/>
                <w:color w:val="auto"/>
              </w:rPr>
            </w:pPr>
          </w:p>
        </w:tc>
      </w:tr>
      <w:tr>
        <w:trPr>
          <w:trHeight w:val="36"/>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333333"/>
              </w:rPr>
              <w:t>6</w:t>
            </w:r>
          </w:p>
        </w:tc>
        <w:tc>
          <w:tcPr>
            <w:tcW w:w="4020" w:type="dxa"/>
            <w:vAlign w:val="bottom"/>
            <w:gridSpan w:val="30"/>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480" w:type="dxa"/>
            <w:vAlign w:val="bottom"/>
            <w:vMerge w:val="continue"/>
          </w:tcPr>
          <w:p>
            <w:pPr>
              <w:spacing w:after="0"/>
              <w:rPr>
                <w:sz w:val="11"/>
                <w:szCs w:val="11"/>
                <w:color w:val="auto"/>
              </w:rPr>
            </w:pPr>
          </w:p>
        </w:tc>
        <w:tc>
          <w:tcPr>
            <w:tcW w:w="1960" w:type="dxa"/>
            <w:vAlign w:val="bottom"/>
            <w:tcBorders>
              <w:top w:val="single" w:sz="8" w:color="0000EE"/>
            </w:tcBorders>
            <w:gridSpan w:val="10"/>
            <w:vMerge w:val="restart"/>
          </w:tcPr>
          <w:p>
            <w:pPr>
              <w:spacing w:after="0"/>
              <w:rPr>
                <w:sz w:val="20"/>
                <w:szCs w:val="20"/>
                <w:color w:val="auto"/>
              </w:rPr>
            </w:pPr>
            <w:r>
              <w:rPr>
                <w:rFonts w:ascii="Arial" w:cs="Arial" w:eastAsia="Arial" w:hAnsi="Arial"/>
                <w:sz w:val="14"/>
                <w:szCs w:val="14"/>
                <w:color w:val="0000EE"/>
              </w:rPr>
              <w:t>Summary Compensation Table</w:t>
            </w:r>
          </w:p>
        </w:tc>
        <w:tc>
          <w:tcPr>
            <w:tcW w:w="20" w:type="dxa"/>
            <w:vAlign w:val="bottom"/>
            <w:tcBorders>
              <w:top w:val="single" w:sz="8" w:color="0000EE"/>
            </w:tcBorders>
            <w:vMerge w:val="restart"/>
          </w:tcPr>
          <w:p>
            <w:pPr>
              <w:spacing w:after="0"/>
              <w:rPr>
                <w:sz w:val="11"/>
                <w:szCs w:val="11"/>
                <w:color w:val="auto"/>
              </w:rPr>
            </w:pPr>
          </w:p>
        </w:tc>
        <w:tc>
          <w:tcPr>
            <w:tcW w:w="2040" w:type="dxa"/>
            <w:vAlign w:val="bottom"/>
            <w:gridSpan w:val="19"/>
            <w:vMerge w:val="restart"/>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333333"/>
              </w:rPr>
              <w:t>32</w:t>
            </w:r>
          </w:p>
        </w:tc>
        <w:tc>
          <w:tcPr>
            <w:tcW w:w="0" w:type="dxa"/>
            <w:vAlign w:val="bottom"/>
          </w:tcPr>
          <w:p>
            <w:pPr>
              <w:spacing w:after="0"/>
              <w:rPr>
                <w:sz w:val="1"/>
                <w:szCs w:val="1"/>
                <w:color w:val="auto"/>
              </w:rPr>
            </w:pPr>
          </w:p>
        </w:tc>
      </w:tr>
      <w:tr>
        <w:trPr>
          <w:trHeight w:val="54"/>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333333"/>
              </w:rPr>
              <w:t>6</w:t>
            </w:r>
          </w:p>
        </w:tc>
        <w:tc>
          <w:tcPr>
            <w:tcW w:w="1960" w:type="dxa"/>
            <w:vAlign w:val="bottom"/>
            <w:tcBorders>
              <w:bottom w:val="single" w:sz="8" w:color="0000EE"/>
            </w:tcBorders>
            <w:gridSpan w:val="10"/>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40" w:type="dxa"/>
            <w:vAlign w:val="bottom"/>
            <w:gridSpan w:val="19"/>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480" w:type="dxa"/>
            <w:vAlign w:val="bottom"/>
            <w:vMerge w:val="continue"/>
          </w:tcPr>
          <w:p>
            <w:pPr>
              <w:spacing w:after="0"/>
              <w:rPr>
                <w:sz w:val="10"/>
                <w:szCs w:val="10"/>
                <w:color w:val="auto"/>
              </w:rPr>
            </w:pPr>
          </w:p>
        </w:tc>
        <w:tc>
          <w:tcPr>
            <w:tcW w:w="2660" w:type="dxa"/>
            <w:vAlign w:val="bottom"/>
            <w:gridSpan w:val="16"/>
            <w:vMerge w:val="restart"/>
          </w:tcPr>
          <w:p>
            <w:pPr>
              <w:spacing w:after="0"/>
              <w:rPr>
                <w:sz w:val="20"/>
                <w:szCs w:val="20"/>
                <w:color w:val="auto"/>
              </w:rPr>
            </w:pPr>
            <w:r>
              <w:rPr>
                <w:rFonts w:ascii="Arial" w:cs="Arial" w:eastAsia="Arial" w:hAnsi="Arial"/>
                <w:sz w:val="14"/>
                <w:szCs w:val="14"/>
                <w:color w:val="0000EE"/>
              </w:rPr>
              <w:t>Fiscal 2026 Grants of Plan-Based Awards</w:t>
            </w:r>
          </w:p>
        </w:tc>
        <w:tc>
          <w:tcPr>
            <w:tcW w:w="1360" w:type="dxa"/>
            <w:vAlign w:val="bottom"/>
            <w:gridSpan w:val="14"/>
            <w:vMerge w:val="restart"/>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333333"/>
              </w:rPr>
              <w:t>33</w:t>
            </w:r>
          </w:p>
        </w:tc>
        <w:tc>
          <w:tcPr>
            <w:tcW w:w="0" w:type="dxa"/>
            <w:vAlign w:val="bottom"/>
          </w:tcPr>
          <w:p>
            <w:pPr>
              <w:spacing w:after="0"/>
              <w:rPr>
                <w:sz w:val="1"/>
                <w:szCs w:val="1"/>
                <w:color w:val="auto"/>
              </w:rPr>
            </w:pPr>
          </w:p>
        </w:tc>
      </w:tr>
      <w:tr>
        <w:trPr>
          <w:trHeight w:val="53"/>
        </w:trPr>
        <w:tc>
          <w:tcPr>
            <w:tcW w:w="480" w:type="dxa"/>
            <w:vAlign w:val="bottom"/>
          </w:tcPr>
          <w:p>
            <w:pPr>
              <w:spacing w:after="0"/>
              <w:rPr>
                <w:sz w:val="4"/>
                <w:szCs w:val="4"/>
                <w:color w:val="auto"/>
              </w:rPr>
            </w:pPr>
          </w:p>
        </w:tc>
        <w:tc>
          <w:tcPr>
            <w:tcW w:w="2660" w:type="dxa"/>
            <w:vAlign w:val="bottom"/>
            <w:tcBorders>
              <w:bottom w:val="single" w:sz="8" w:color="0000EE"/>
            </w:tcBorders>
            <w:gridSpan w:val="16"/>
            <w:vMerge w:val="continue"/>
          </w:tcPr>
          <w:p>
            <w:pPr>
              <w:spacing w:after="0"/>
              <w:rPr>
                <w:sz w:val="4"/>
                <w:szCs w:val="4"/>
                <w:color w:val="auto"/>
              </w:rPr>
            </w:pPr>
          </w:p>
        </w:tc>
        <w:tc>
          <w:tcPr>
            <w:tcW w:w="1360" w:type="dxa"/>
            <w:vAlign w:val="bottom"/>
            <w:gridSpan w:val="14"/>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333333"/>
              </w:rPr>
              <w:t>6</w:t>
            </w:r>
          </w:p>
        </w:tc>
        <w:tc>
          <w:tcPr>
            <w:tcW w:w="3280" w:type="dxa"/>
            <w:vAlign w:val="bottom"/>
            <w:tcBorders>
              <w:bottom w:val="single" w:sz="8" w:color="0000EE"/>
            </w:tcBorders>
            <w:gridSpan w:val="22"/>
          </w:tcPr>
          <w:p>
            <w:pPr>
              <w:spacing w:after="0"/>
              <w:rPr>
                <w:sz w:val="20"/>
                <w:szCs w:val="20"/>
                <w:color w:val="auto"/>
              </w:rPr>
            </w:pPr>
            <w:r>
              <w:rPr>
                <w:rFonts w:ascii="Arial" w:cs="Arial" w:eastAsia="Arial" w:hAnsi="Arial"/>
                <w:sz w:val="14"/>
                <w:szCs w:val="14"/>
                <w:color w:val="0000EE"/>
              </w:rPr>
              <w:t>Outstanding Equity Awards at 2026 Fiscal Year-End</w:t>
            </w:r>
          </w:p>
        </w:tc>
        <w:tc>
          <w:tcPr>
            <w:tcW w:w="740" w:type="dxa"/>
            <w:vAlign w:val="bottom"/>
            <w:gridSpan w:val="8"/>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333333"/>
              </w:rPr>
              <w:t>34</w:t>
            </w:r>
          </w:p>
        </w:tc>
        <w:tc>
          <w:tcPr>
            <w:tcW w:w="0" w:type="dxa"/>
            <w:vAlign w:val="bottom"/>
          </w:tcPr>
          <w:p>
            <w:pPr>
              <w:spacing w:after="0"/>
              <w:rPr>
                <w:sz w:val="1"/>
                <w:szCs w:val="1"/>
                <w:color w:val="auto"/>
              </w:rPr>
            </w:pPr>
          </w:p>
        </w:tc>
      </w:tr>
      <w:tr>
        <w:trPr>
          <w:trHeight w:val="91"/>
        </w:trPr>
        <w:tc>
          <w:tcPr>
            <w:tcW w:w="480" w:type="dxa"/>
            <w:vAlign w:val="bottom"/>
            <w:vMerge w:val="continue"/>
          </w:tcPr>
          <w:p>
            <w:pPr>
              <w:spacing w:after="0"/>
              <w:rPr>
                <w:sz w:val="7"/>
                <w:szCs w:val="7"/>
                <w:color w:val="auto"/>
              </w:rPr>
            </w:pPr>
          </w:p>
        </w:tc>
        <w:tc>
          <w:tcPr>
            <w:tcW w:w="4020" w:type="dxa"/>
            <w:vAlign w:val="bottom"/>
            <w:gridSpan w:val="30"/>
            <w:vMerge w:val="restart"/>
          </w:tcPr>
          <w:p>
            <w:pPr>
              <w:spacing w:after="0"/>
              <w:rPr>
                <w:sz w:val="20"/>
                <w:szCs w:val="20"/>
                <w:color w:val="auto"/>
              </w:rPr>
            </w:pPr>
            <w:r>
              <w:rPr>
                <w:rFonts w:ascii="Arial" w:cs="Arial" w:eastAsia="Arial" w:hAnsi="Arial"/>
                <w:sz w:val="14"/>
                <w:szCs w:val="14"/>
                <w:color w:val="0000EE"/>
              </w:rPr>
              <w:t>Option Exercises and Shares Vested</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333333"/>
              </w:rPr>
              <w:t>35</w:t>
            </w:r>
          </w:p>
        </w:tc>
        <w:tc>
          <w:tcPr>
            <w:tcW w:w="0" w:type="dxa"/>
            <w:vAlign w:val="bottom"/>
          </w:tcPr>
          <w:p>
            <w:pPr>
              <w:spacing w:after="0"/>
              <w:rPr>
                <w:sz w:val="1"/>
                <w:szCs w:val="1"/>
                <w:color w:val="auto"/>
              </w:rPr>
            </w:pPr>
          </w:p>
        </w:tc>
      </w:tr>
      <w:tr>
        <w:trPr>
          <w:trHeight w:val="76"/>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333333"/>
              </w:rPr>
              <w:t>6</w:t>
            </w:r>
          </w:p>
        </w:tc>
        <w:tc>
          <w:tcPr>
            <w:tcW w:w="4020" w:type="dxa"/>
            <w:vAlign w:val="bottom"/>
            <w:gridSpan w:val="30"/>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480" w:type="dxa"/>
            <w:vAlign w:val="bottom"/>
            <w:vMerge w:val="continue"/>
          </w:tcPr>
          <w:p>
            <w:pPr>
              <w:spacing w:after="0"/>
              <w:rPr>
                <w:sz w:val="7"/>
                <w:szCs w:val="7"/>
                <w:color w:val="auto"/>
              </w:rPr>
            </w:pPr>
          </w:p>
        </w:tc>
        <w:tc>
          <w:tcPr>
            <w:tcW w:w="1080" w:type="dxa"/>
            <w:vAlign w:val="bottom"/>
            <w:tcBorders>
              <w:top w:val="single" w:sz="8" w:color="0000EE"/>
            </w:tcBorders>
            <w:gridSpan w:val="5"/>
            <w:vMerge w:val="restart"/>
          </w:tcPr>
          <w:p>
            <w:pPr>
              <w:spacing w:after="0"/>
              <w:rPr>
                <w:sz w:val="20"/>
                <w:szCs w:val="20"/>
                <w:color w:val="auto"/>
              </w:rPr>
            </w:pPr>
            <w:r>
              <w:rPr>
                <w:rFonts w:ascii="Arial" w:cs="Arial" w:eastAsia="Arial" w:hAnsi="Arial"/>
                <w:sz w:val="14"/>
                <w:szCs w:val="14"/>
                <w:color w:val="0000EE"/>
              </w:rPr>
              <w:t>Pension Benefits</w:t>
            </w:r>
          </w:p>
        </w:tc>
        <w:tc>
          <w:tcPr>
            <w:tcW w:w="1240" w:type="dxa"/>
            <w:vAlign w:val="bottom"/>
            <w:tcBorders>
              <w:top w:val="single" w:sz="8" w:color="0000EE"/>
            </w:tcBorders>
            <w:gridSpan w:val="8"/>
            <w:vMerge w:val="restart"/>
          </w:tcPr>
          <w:p>
            <w:pPr>
              <w:spacing w:after="0"/>
              <w:rPr>
                <w:sz w:val="7"/>
                <w:szCs w:val="7"/>
                <w:color w:val="auto"/>
              </w:rPr>
            </w:pPr>
          </w:p>
        </w:tc>
        <w:tc>
          <w:tcPr>
            <w:tcW w:w="1700" w:type="dxa"/>
            <w:vAlign w:val="bottom"/>
            <w:gridSpan w:val="17"/>
            <w:vMerge w:val="restart"/>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333333"/>
              </w:rPr>
              <w:t>35</w:t>
            </w:r>
          </w:p>
        </w:tc>
        <w:tc>
          <w:tcPr>
            <w:tcW w:w="0" w:type="dxa"/>
            <w:vAlign w:val="bottom"/>
          </w:tcPr>
          <w:p>
            <w:pPr>
              <w:spacing w:after="0"/>
              <w:rPr>
                <w:sz w:val="1"/>
                <w:szCs w:val="1"/>
                <w:color w:val="auto"/>
              </w:rPr>
            </w:pPr>
          </w:p>
        </w:tc>
      </w:tr>
      <w:tr>
        <w:trPr>
          <w:trHeight w:val="81"/>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333333"/>
              </w:rPr>
              <w:t>7</w:t>
            </w:r>
          </w:p>
        </w:tc>
        <w:tc>
          <w:tcPr>
            <w:tcW w:w="1080" w:type="dxa"/>
            <w:vAlign w:val="bottom"/>
            <w:tcBorders>
              <w:bottom w:val="single" w:sz="8" w:color="0000EE"/>
            </w:tcBorders>
            <w:gridSpan w:val="5"/>
            <w:vMerge w:val="continue"/>
          </w:tcPr>
          <w:p>
            <w:pPr>
              <w:spacing w:after="0"/>
              <w:rPr>
                <w:sz w:val="6"/>
                <w:szCs w:val="6"/>
                <w:color w:val="auto"/>
              </w:rPr>
            </w:pPr>
          </w:p>
        </w:tc>
        <w:tc>
          <w:tcPr>
            <w:tcW w:w="1240" w:type="dxa"/>
            <w:vAlign w:val="bottom"/>
            <w:gridSpan w:val="8"/>
            <w:vMerge w:val="continue"/>
          </w:tcPr>
          <w:p>
            <w:pPr>
              <w:spacing w:after="0"/>
              <w:rPr>
                <w:sz w:val="6"/>
                <w:szCs w:val="6"/>
                <w:color w:val="auto"/>
              </w:rPr>
            </w:pPr>
          </w:p>
        </w:tc>
        <w:tc>
          <w:tcPr>
            <w:tcW w:w="1700" w:type="dxa"/>
            <w:vAlign w:val="bottom"/>
            <w:gridSpan w:val="17"/>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480" w:type="dxa"/>
            <w:vAlign w:val="bottom"/>
            <w:vMerge w:val="continue"/>
          </w:tcPr>
          <w:p>
            <w:pPr>
              <w:spacing w:after="0"/>
              <w:rPr>
                <w:sz w:val="7"/>
                <w:szCs w:val="7"/>
                <w:color w:val="auto"/>
              </w:rPr>
            </w:pPr>
          </w:p>
        </w:tc>
        <w:tc>
          <w:tcPr>
            <w:tcW w:w="2360" w:type="dxa"/>
            <w:vAlign w:val="bottom"/>
            <w:gridSpan w:val="14"/>
            <w:vMerge w:val="restart"/>
          </w:tcPr>
          <w:p>
            <w:pPr>
              <w:spacing w:after="0"/>
              <w:rPr>
                <w:sz w:val="20"/>
                <w:szCs w:val="20"/>
                <w:color w:val="auto"/>
              </w:rPr>
            </w:pPr>
            <w:r>
              <w:rPr>
                <w:rFonts w:ascii="Arial" w:cs="Arial" w:eastAsia="Arial" w:hAnsi="Arial"/>
                <w:sz w:val="14"/>
                <w:szCs w:val="14"/>
                <w:color w:val="0000EE"/>
              </w:rPr>
              <w:t>Nonqualified Deferred Compensation</w:t>
            </w:r>
          </w:p>
        </w:tc>
        <w:tc>
          <w:tcPr>
            <w:tcW w:w="1660" w:type="dxa"/>
            <w:vAlign w:val="bottom"/>
            <w:gridSpan w:val="16"/>
            <w:vMerge w:val="restart"/>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333333"/>
              </w:rPr>
              <w:t>35</w:t>
            </w:r>
          </w:p>
        </w:tc>
        <w:tc>
          <w:tcPr>
            <w:tcW w:w="0" w:type="dxa"/>
            <w:vAlign w:val="bottom"/>
          </w:tcPr>
          <w:p>
            <w:pPr>
              <w:spacing w:after="0"/>
              <w:rPr>
                <w:sz w:val="1"/>
                <w:szCs w:val="1"/>
                <w:color w:val="auto"/>
              </w:rPr>
            </w:pPr>
          </w:p>
        </w:tc>
      </w:tr>
      <w:tr>
        <w:trPr>
          <w:trHeight w:val="81"/>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333333"/>
              </w:rPr>
              <w:t>7</w:t>
            </w:r>
          </w:p>
        </w:tc>
        <w:tc>
          <w:tcPr>
            <w:tcW w:w="2360" w:type="dxa"/>
            <w:vAlign w:val="bottom"/>
            <w:tcBorders>
              <w:bottom w:val="single" w:sz="8" w:color="0000EE"/>
            </w:tcBorders>
            <w:gridSpan w:val="14"/>
            <w:vMerge w:val="continue"/>
          </w:tcPr>
          <w:p>
            <w:pPr>
              <w:spacing w:after="0"/>
              <w:rPr>
                <w:sz w:val="6"/>
                <w:szCs w:val="6"/>
                <w:color w:val="auto"/>
              </w:rPr>
            </w:pPr>
          </w:p>
        </w:tc>
        <w:tc>
          <w:tcPr>
            <w:tcW w:w="1660" w:type="dxa"/>
            <w:vAlign w:val="bottom"/>
            <w:gridSpan w:val="16"/>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480" w:type="dxa"/>
            <w:vAlign w:val="bottom"/>
            <w:vMerge w:val="continue"/>
          </w:tcPr>
          <w:p>
            <w:pPr>
              <w:spacing w:after="0"/>
              <w:rPr>
                <w:sz w:val="7"/>
                <w:szCs w:val="7"/>
                <w:color w:val="auto"/>
              </w:rPr>
            </w:pPr>
          </w:p>
        </w:tc>
        <w:tc>
          <w:tcPr>
            <w:tcW w:w="4020" w:type="dxa"/>
            <w:vAlign w:val="bottom"/>
            <w:gridSpan w:val="30"/>
            <w:vMerge w:val="restart"/>
          </w:tcPr>
          <w:p>
            <w:pPr>
              <w:spacing w:after="0"/>
              <w:rPr>
                <w:sz w:val="20"/>
                <w:szCs w:val="20"/>
                <w:color w:val="auto"/>
              </w:rPr>
            </w:pPr>
            <w:r>
              <w:rPr>
                <w:rFonts w:ascii="Arial" w:cs="Arial" w:eastAsia="Arial" w:hAnsi="Arial"/>
                <w:sz w:val="14"/>
                <w:szCs w:val="14"/>
                <w:color w:val="0000EE"/>
              </w:rPr>
              <w:t>Potential Payments Upon Termination or Change in Control</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333333"/>
              </w:rPr>
              <w:t>36</w:t>
            </w:r>
          </w:p>
        </w:tc>
        <w:tc>
          <w:tcPr>
            <w:tcW w:w="0" w:type="dxa"/>
            <w:vAlign w:val="bottom"/>
          </w:tcPr>
          <w:p>
            <w:pPr>
              <w:spacing w:after="0"/>
              <w:rPr>
                <w:sz w:val="1"/>
                <w:szCs w:val="1"/>
                <w:color w:val="auto"/>
              </w:rPr>
            </w:pPr>
          </w:p>
        </w:tc>
      </w:tr>
      <w:tr>
        <w:trPr>
          <w:trHeight w:val="76"/>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333333"/>
              </w:rPr>
              <w:t>7</w:t>
            </w:r>
          </w:p>
        </w:tc>
        <w:tc>
          <w:tcPr>
            <w:tcW w:w="4020" w:type="dxa"/>
            <w:vAlign w:val="bottom"/>
            <w:gridSpan w:val="30"/>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480" w:type="dxa"/>
            <w:vAlign w:val="bottom"/>
            <w:vMerge w:val="continue"/>
          </w:tcPr>
          <w:p>
            <w:pPr>
              <w:spacing w:after="0"/>
              <w:rPr>
                <w:sz w:val="8"/>
                <w:szCs w:val="8"/>
                <w:color w:val="auto"/>
              </w:rPr>
            </w:pPr>
          </w:p>
        </w:tc>
        <w:tc>
          <w:tcPr>
            <w:tcW w:w="3740" w:type="dxa"/>
            <w:vAlign w:val="bottom"/>
            <w:tcBorders>
              <w:top w:val="single" w:sz="8" w:color="0000EE"/>
            </w:tcBorders>
            <w:gridSpan w:val="27"/>
            <w:vMerge w:val="restart"/>
          </w:tcPr>
          <w:p>
            <w:pPr>
              <w:spacing w:after="0"/>
              <w:rPr>
                <w:sz w:val="20"/>
                <w:szCs w:val="20"/>
                <w:color w:val="auto"/>
              </w:rPr>
            </w:pPr>
            <w:r>
              <w:rPr>
                <w:rFonts w:ascii="Arial" w:cs="Arial" w:eastAsia="Arial" w:hAnsi="Arial"/>
                <w:sz w:val="14"/>
                <w:szCs w:val="14"/>
                <w:color w:val="0000EE"/>
              </w:rPr>
              <w:t>Severance Agreements and Arrangements</w:t>
            </w:r>
          </w:p>
        </w:tc>
        <w:tc>
          <w:tcPr>
            <w:tcW w:w="280" w:type="dxa"/>
            <w:vAlign w:val="bottom"/>
            <w:gridSpan w:val="3"/>
            <w:vMerge w:val="restart"/>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333333"/>
              </w:rPr>
              <w:t>38</w:t>
            </w:r>
          </w:p>
        </w:tc>
        <w:tc>
          <w:tcPr>
            <w:tcW w:w="0" w:type="dxa"/>
            <w:vAlign w:val="bottom"/>
          </w:tcPr>
          <w:p>
            <w:pPr>
              <w:spacing w:after="0"/>
              <w:rPr>
                <w:sz w:val="1"/>
                <w:szCs w:val="1"/>
                <w:color w:val="auto"/>
              </w:rPr>
            </w:pPr>
          </w:p>
        </w:tc>
      </w:tr>
      <w:tr>
        <w:trPr>
          <w:trHeight w:val="74"/>
        </w:trPr>
        <w:tc>
          <w:tcPr>
            <w:tcW w:w="480" w:type="dxa"/>
            <w:vAlign w:val="bottom"/>
          </w:tcPr>
          <w:p>
            <w:pPr>
              <w:spacing w:after="0"/>
              <w:rPr>
                <w:sz w:val="6"/>
                <w:szCs w:val="6"/>
                <w:color w:val="auto"/>
              </w:rPr>
            </w:pPr>
          </w:p>
        </w:tc>
        <w:tc>
          <w:tcPr>
            <w:tcW w:w="3740" w:type="dxa"/>
            <w:vAlign w:val="bottom"/>
            <w:gridSpan w:val="27"/>
            <w:vMerge w:val="continue"/>
          </w:tcPr>
          <w:p>
            <w:pPr>
              <w:spacing w:after="0"/>
              <w:rPr>
                <w:sz w:val="6"/>
                <w:szCs w:val="6"/>
                <w:color w:val="auto"/>
              </w:rPr>
            </w:pPr>
          </w:p>
        </w:tc>
        <w:tc>
          <w:tcPr>
            <w:tcW w:w="280" w:type="dxa"/>
            <w:vAlign w:val="bottom"/>
            <w:gridSpan w:val="3"/>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480" w:type="dxa"/>
            <w:vAlign w:val="bottom"/>
          </w:tcPr>
          <w:p>
            <w:pPr>
              <w:jc w:val="right"/>
              <w:ind w:right="248"/>
              <w:spacing w:after="0"/>
              <w:rPr>
                <w:sz w:val="20"/>
                <w:szCs w:val="20"/>
                <w:color w:val="auto"/>
              </w:rPr>
            </w:pPr>
            <w:r>
              <w:rPr>
                <w:rFonts w:ascii="Arial" w:cs="Arial" w:eastAsia="Arial" w:hAnsi="Arial"/>
                <w:sz w:val="16"/>
                <w:szCs w:val="16"/>
                <w:b w:val="1"/>
                <w:bCs w:val="1"/>
                <w:color w:val="005C5D"/>
              </w:rPr>
              <w:t>8</w:t>
            </w:r>
          </w:p>
        </w:tc>
        <w:tc>
          <w:tcPr>
            <w:tcW w:w="2700" w:type="dxa"/>
            <w:vAlign w:val="bottom"/>
            <w:tcBorders>
              <w:top w:val="single" w:sz="8" w:color="0000EE"/>
            </w:tcBorders>
            <w:gridSpan w:val="17"/>
            <w:vMerge w:val="restart"/>
          </w:tcPr>
          <w:p>
            <w:pPr>
              <w:spacing w:after="0"/>
              <w:rPr>
                <w:sz w:val="20"/>
                <w:szCs w:val="20"/>
                <w:color w:val="auto"/>
              </w:rPr>
            </w:pPr>
            <w:r>
              <w:rPr>
                <w:rFonts w:ascii="Arial" w:cs="Arial" w:eastAsia="Arial" w:hAnsi="Arial"/>
                <w:sz w:val="16"/>
                <w:szCs w:val="16"/>
                <w:b w:val="1"/>
                <w:bCs w:val="1"/>
                <w:color w:val="0000EE"/>
              </w:rPr>
              <w:t>PAY RATIO DISCLOSURE</w:t>
            </w:r>
          </w:p>
        </w:tc>
        <w:tc>
          <w:tcPr>
            <w:tcW w:w="1320" w:type="dxa"/>
            <w:vAlign w:val="bottom"/>
            <w:gridSpan w:val="13"/>
            <w:vMerge w:val="restart"/>
          </w:tcPr>
          <w:p>
            <w:pPr>
              <w:spacing w:after="0"/>
              <w:rPr>
                <w:sz w:val="23"/>
                <w:szCs w:val="23"/>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005C5D"/>
              </w:rPr>
              <w:t>41</w:t>
            </w:r>
          </w:p>
        </w:tc>
        <w:tc>
          <w:tcPr>
            <w:tcW w:w="0" w:type="dxa"/>
            <w:vAlign w:val="bottom"/>
          </w:tcPr>
          <w:p>
            <w:pPr>
              <w:spacing w:after="0"/>
              <w:rPr>
                <w:sz w:val="1"/>
                <w:szCs w:val="1"/>
                <w:color w:val="auto"/>
              </w:rPr>
            </w:pPr>
          </w:p>
        </w:tc>
      </w:tr>
      <w:tr>
        <w:trPr>
          <w:trHeight w:val="63"/>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333333"/>
              </w:rPr>
              <w:t>8</w:t>
            </w:r>
          </w:p>
        </w:tc>
        <w:tc>
          <w:tcPr>
            <w:tcW w:w="2700" w:type="dxa"/>
            <w:vAlign w:val="bottom"/>
            <w:gridSpan w:val="17"/>
            <w:vMerge w:val="continue"/>
          </w:tcPr>
          <w:p>
            <w:pPr>
              <w:spacing w:after="0"/>
              <w:rPr>
                <w:sz w:val="5"/>
                <w:szCs w:val="5"/>
                <w:color w:val="auto"/>
              </w:rPr>
            </w:pPr>
          </w:p>
        </w:tc>
        <w:tc>
          <w:tcPr>
            <w:tcW w:w="1320" w:type="dxa"/>
            <w:vAlign w:val="bottom"/>
            <w:gridSpan w:val="13"/>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480" w:type="dxa"/>
            <w:vAlign w:val="bottom"/>
            <w:vMerge w:val="continue"/>
          </w:tcPr>
          <w:p>
            <w:pPr>
              <w:spacing w:after="0"/>
              <w:rPr>
                <w:sz w:val="9"/>
                <w:szCs w:val="9"/>
                <w:color w:val="auto"/>
              </w:rPr>
            </w:pPr>
          </w:p>
        </w:tc>
        <w:tc>
          <w:tcPr>
            <w:tcW w:w="320" w:type="dxa"/>
            <w:vAlign w:val="bottom"/>
            <w:tcBorders>
              <w:top w:val="single" w:sz="8" w:color="0000EE"/>
            </w:tcBorders>
          </w:tcPr>
          <w:p>
            <w:pPr>
              <w:spacing w:after="0"/>
              <w:rPr>
                <w:sz w:val="9"/>
                <w:szCs w:val="9"/>
                <w:color w:val="auto"/>
              </w:rPr>
            </w:pPr>
          </w:p>
        </w:tc>
        <w:tc>
          <w:tcPr>
            <w:tcW w:w="260" w:type="dxa"/>
            <w:vAlign w:val="bottom"/>
            <w:tcBorders>
              <w:top w:val="single" w:sz="8" w:color="0000EE"/>
            </w:tcBorders>
          </w:tcPr>
          <w:p>
            <w:pPr>
              <w:spacing w:after="0"/>
              <w:rPr>
                <w:sz w:val="9"/>
                <w:szCs w:val="9"/>
                <w:color w:val="auto"/>
              </w:rPr>
            </w:pPr>
          </w:p>
        </w:tc>
        <w:tc>
          <w:tcPr>
            <w:tcW w:w="10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280" w:type="dxa"/>
            <w:vAlign w:val="bottom"/>
            <w:tcBorders>
              <w:top w:val="single" w:sz="8" w:color="0000EE"/>
            </w:tcBorders>
          </w:tcPr>
          <w:p>
            <w:pPr>
              <w:spacing w:after="0"/>
              <w:rPr>
                <w:sz w:val="9"/>
                <w:szCs w:val="9"/>
                <w:color w:val="auto"/>
              </w:rPr>
            </w:pPr>
          </w:p>
        </w:tc>
        <w:tc>
          <w:tcPr>
            <w:tcW w:w="44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360" w:type="dxa"/>
            <w:vAlign w:val="bottom"/>
            <w:tcBorders>
              <w:top w:val="single" w:sz="8" w:color="0000EE"/>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80" w:type="dxa"/>
            <w:vAlign w:val="bottom"/>
          </w:tcPr>
          <w:p>
            <w:pPr>
              <w:jc w:val="right"/>
              <w:ind w:right="248"/>
              <w:spacing w:after="0"/>
              <w:rPr>
                <w:sz w:val="20"/>
                <w:szCs w:val="20"/>
                <w:color w:val="auto"/>
              </w:rPr>
            </w:pPr>
            <w:r>
              <w:rPr>
                <w:rFonts w:ascii="Arial" w:cs="Arial" w:eastAsia="Arial" w:hAnsi="Arial"/>
                <w:sz w:val="14"/>
                <w:szCs w:val="14"/>
                <w:color w:val="333333"/>
              </w:rPr>
              <w:t>8</w:t>
            </w:r>
          </w:p>
        </w:tc>
        <w:tc>
          <w:tcPr>
            <w:tcW w:w="4020" w:type="dxa"/>
            <w:vAlign w:val="bottom"/>
            <w:gridSpan w:val="30"/>
            <w:vMerge w:val="restart"/>
          </w:tcPr>
          <w:p>
            <w:pPr>
              <w:spacing w:after="0"/>
              <w:rPr>
                <w:sz w:val="20"/>
                <w:szCs w:val="20"/>
                <w:color w:val="auto"/>
              </w:rPr>
            </w:pPr>
            <w:r>
              <w:rPr>
                <w:rFonts w:ascii="Arial" w:cs="Arial" w:eastAsia="Arial" w:hAnsi="Arial"/>
                <w:sz w:val="16"/>
                <w:szCs w:val="16"/>
                <w:b w:val="1"/>
                <w:bCs w:val="1"/>
                <w:color w:val="0000EE"/>
              </w:rPr>
              <w:t>PAY VERSUS PERFORMANCE DISCLOSURE</w:t>
            </w: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005C5D"/>
              </w:rPr>
              <w:t>42</w:t>
            </w:r>
          </w:p>
        </w:tc>
        <w:tc>
          <w:tcPr>
            <w:tcW w:w="0" w:type="dxa"/>
            <w:vAlign w:val="bottom"/>
          </w:tcPr>
          <w:p>
            <w:pPr>
              <w:spacing w:after="0"/>
              <w:rPr>
                <w:sz w:val="1"/>
                <w:szCs w:val="1"/>
                <w:color w:val="auto"/>
              </w:rPr>
            </w:pPr>
          </w:p>
        </w:tc>
      </w:tr>
      <w:tr>
        <w:trPr>
          <w:trHeight w:val="49"/>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333333"/>
              </w:rPr>
              <w:t>9</w:t>
            </w:r>
          </w:p>
        </w:tc>
        <w:tc>
          <w:tcPr>
            <w:tcW w:w="4020" w:type="dxa"/>
            <w:vAlign w:val="bottom"/>
            <w:gridSpan w:val="30"/>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80" w:type="dxa"/>
            <w:vAlign w:val="bottom"/>
            <w:vMerge w:val="continue"/>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80" w:type="dxa"/>
            <w:vAlign w:val="bottom"/>
          </w:tcPr>
          <w:p>
            <w:pPr>
              <w:jc w:val="right"/>
              <w:ind w:right="248"/>
              <w:spacing w:after="0"/>
              <w:rPr>
                <w:sz w:val="20"/>
                <w:szCs w:val="20"/>
                <w:color w:val="auto"/>
              </w:rPr>
            </w:pPr>
            <w:r>
              <w:rPr>
                <w:rFonts w:ascii="Arial" w:cs="Arial" w:eastAsia="Arial" w:hAnsi="Arial"/>
                <w:sz w:val="14"/>
                <w:szCs w:val="14"/>
                <w:color w:val="333333"/>
              </w:rPr>
              <w:t>9</w:t>
            </w:r>
          </w:p>
        </w:tc>
        <w:tc>
          <w:tcPr>
            <w:tcW w:w="3800" w:type="dxa"/>
            <w:vAlign w:val="bottom"/>
            <w:gridSpan w:val="29"/>
            <w:vMerge w:val="restart"/>
          </w:tcPr>
          <w:p>
            <w:pPr>
              <w:spacing w:after="0"/>
              <w:rPr>
                <w:sz w:val="20"/>
                <w:szCs w:val="20"/>
                <w:color w:val="auto"/>
              </w:rPr>
            </w:pPr>
            <w:r>
              <w:rPr>
                <w:rFonts w:ascii="Arial" w:cs="Arial" w:eastAsia="Arial" w:hAnsi="Arial"/>
                <w:sz w:val="16"/>
                <w:szCs w:val="16"/>
                <w:b w:val="1"/>
                <w:bCs w:val="1"/>
                <w:color w:val="0000EE"/>
              </w:rPr>
              <w:t>QUESTIONS AND ANSWERS ABOUT THE PROXY</w:t>
            </w:r>
          </w:p>
        </w:tc>
        <w:tc>
          <w:tcPr>
            <w:tcW w:w="220" w:type="dxa"/>
            <w:vAlign w:val="bottom"/>
            <w:vMerge w:val="restart"/>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333333"/>
                <w:w w:val="89"/>
              </w:rPr>
              <w:t>11</w:t>
            </w:r>
          </w:p>
        </w:tc>
        <w:tc>
          <w:tcPr>
            <w:tcW w:w="3800" w:type="dxa"/>
            <w:vAlign w:val="bottom"/>
            <w:tcBorders>
              <w:bottom w:val="single" w:sz="8" w:color="0000EE"/>
            </w:tcBorders>
            <w:gridSpan w:val="29"/>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480" w:type="dxa"/>
            <w:vAlign w:val="bottom"/>
            <w:vMerge w:val="continue"/>
          </w:tcPr>
          <w:p>
            <w:pPr>
              <w:spacing w:after="0"/>
              <w:rPr>
                <w:sz w:val="11"/>
                <w:szCs w:val="11"/>
                <w:color w:val="auto"/>
              </w:rPr>
            </w:pPr>
          </w:p>
        </w:tc>
        <w:tc>
          <w:tcPr>
            <w:tcW w:w="4020" w:type="dxa"/>
            <w:vAlign w:val="bottom"/>
            <w:gridSpan w:val="30"/>
            <w:vMerge w:val="restart"/>
          </w:tcPr>
          <w:p>
            <w:pPr>
              <w:spacing w:after="0" w:line="168" w:lineRule="exact"/>
              <w:rPr>
                <w:sz w:val="20"/>
                <w:szCs w:val="20"/>
                <w:color w:val="auto"/>
              </w:rPr>
            </w:pPr>
            <w:r>
              <w:rPr>
                <w:rFonts w:ascii="Arial" w:cs="Arial" w:eastAsia="Arial" w:hAnsi="Arial"/>
                <w:sz w:val="16"/>
                <w:szCs w:val="16"/>
                <w:b w:val="1"/>
                <w:bCs w:val="1"/>
                <w:color w:val="0000EE"/>
              </w:rPr>
              <w:t>AND THE 2026 ANNUAL MEETING</w:t>
            </w:r>
          </w:p>
        </w:tc>
        <w:tc>
          <w:tcPr>
            <w:tcW w:w="420" w:type="dxa"/>
            <w:vAlign w:val="bottom"/>
            <w:vMerge w:val="restart"/>
          </w:tcPr>
          <w:p>
            <w:pPr>
              <w:jc w:val="right"/>
              <w:spacing w:after="0" w:line="168" w:lineRule="exact"/>
              <w:rPr>
                <w:sz w:val="20"/>
                <w:szCs w:val="20"/>
                <w:color w:val="auto"/>
              </w:rPr>
            </w:pPr>
            <w:r>
              <w:rPr>
                <w:rFonts w:ascii="Arial" w:cs="Arial" w:eastAsia="Arial" w:hAnsi="Arial"/>
                <w:sz w:val="16"/>
                <w:szCs w:val="16"/>
                <w:b w:val="1"/>
                <w:bCs w:val="1"/>
                <w:color w:val="005C5D"/>
              </w:rPr>
              <w:t>45</w:t>
            </w:r>
          </w:p>
        </w:tc>
        <w:tc>
          <w:tcPr>
            <w:tcW w:w="0" w:type="dxa"/>
            <w:vAlign w:val="bottom"/>
          </w:tcPr>
          <w:p>
            <w:pPr>
              <w:spacing w:after="0"/>
              <w:rPr>
                <w:sz w:val="1"/>
                <w:szCs w:val="1"/>
                <w:color w:val="auto"/>
              </w:rPr>
            </w:pPr>
          </w:p>
        </w:tc>
      </w:tr>
      <w:tr>
        <w:trPr>
          <w:trHeight w:val="34"/>
        </w:trPr>
        <w:tc>
          <w:tcPr>
            <w:tcW w:w="480" w:type="dxa"/>
            <w:vAlign w:val="bottom"/>
            <w:vMerge w:val="restart"/>
          </w:tcPr>
          <w:p>
            <w:pPr>
              <w:jc w:val="right"/>
              <w:ind w:right="248"/>
              <w:spacing w:after="0"/>
              <w:rPr>
                <w:sz w:val="20"/>
                <w:szCs w:val="20"/>
                <w:color w:val="auto"/>
              </w:rPr>
            </w:pPr>
            <w:r>
              <w:rPr>
                <w:rFonts w:ascii="Arial" w:cs="Arial" w:eastAsia="Arial" w:hAnsi="Arial"/>
                <w:sz w:val="14"/>
                <w:szCs w:val="14"/>
                <w:color w:val="333333"/>
                <w:w w:val="89"/>
              </w:rPr>
              <w:t>11</w:t>
            </w:r>
          </w:p>
        </w:tc>
        <w:tc>
          <w:tcPr>
            <w:tcW w:w="4020" w:type="dxa"/>
            <w:vAlign w:val="bottom"/>
            <w:gridSpan w:val="30"/>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80" w:type="dxa"/>
            <w:vAlign w:val="bottom"/>
            <w:vMerge w:val="continue"/>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500" w:hanging="474"/>
        <w:spacing w:after="0" w:line="180" w:lineRule="auto"/>
        <w:tabs>
          <w:tab w:leader="none" w:pos="500" w:val="left"/>
        </w:tabs>
        <w:numPr>
          <w:ilvl w:val="0"/>
          <w:numId w:val="6"/>
        </w:numPr>
        <w:rPr>
          <w:rFonts w:ascii="Arial" w:cs="Arial" w:eastAsia="Arial" w:hAnsi="Arial"/>
          <w:sz w:val="24"/>
          <w:szCs w:val="24"/>
          <w:color w:val="333333"/>
          <w:vertAlign w:val="superscript"/>
        </w:rPr>
      </w:pPr>
      <w:r>
        <w:rPr>
          <w:rFonts w:ascii="Arial" w:cs="Arial" w:eastAsia="Arial" w:hAnsi="Arial"/>
          <w:sz w:val="14"/>
          <w:szCs w:val="14"/>
          <w:b w:val="1"/>
          <w:bCs w:val="1"/>
          <w:color w:val="0000EE"/>
        </w:rPr>
        <w:t>SHARE OWNERSHIP OF CERTAIN BENEFICIAL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0" w:type="dxa"/>
            <w:vAlign w:val="bottom"/>
            <w:vMerge w:val="restart"/>
          </w:tcPr>
          <w:p>
            <w:pPr>
              <w:jc w:val="right"/>
              <w:ind w:right="245"/>
              <w:spacing w:after="0"/>
              <w:rPr>
                <w:sz w:val="20"/>
                <w:szCs w:val="20"/>
                <w:color w:val="auto"/>
              </w:rPr>
            </w:pPr>
            <w:r>
              <w:rPr>
                <w:rFonts w:ascii="Arial" w:cs="Arial" w:eastAsia="Arial" w:hAnsi="Arial"/>
                <w:sz w:val="16"/>
                <w:szCs w:val="16"/>
                <w:b w:val="1"/>
                <w:bCs w:val="1"/>
                <w:color w:val="005C5D"/>
                <w:w w:val="89"/>
              </w:rPr>
              <w:t>12</w:t>
            </w:r>
          </w:p>
        </w:tc>
        <w:tc>
          <w:tcPr>
            <w:tcW w:w="3620" w:type="dxa"/>
            <w:vAlign w:val="bottom"/>
            <w:tcBorders>
              <w:top w:val="single" w:sz="8" w:color="0000EE"/>
            </w:tcBorders>
            <w:gridSpan w:val="4"/>
          </w:tcPr>
          <w:p>
            <w:pPr>
              <w:spacing w:after="0" w:line="168" w:lineRule="exact"/>
              <w:rPr>
                <w:sz w:val="20"/>
                <w:szCs w:val="20"/>
                <w:color w:val="auto"/>
              </w:rPr>
            </w:pPr>
            <w:r>
              <w:rPr>
                <w:rFonts w:ascii="Arial" w:cs="Arial" w:eastAsia="Arial" w:hAnsi="Arial"/>
                <w:sz w:val="16"/>
                <w:szCs w:val="16"/>
                <w:b w:val="1"/>
                <w:bCs w:val="1"/>
                <w:color w:val="0000EE"/>
              </w:rPr>
              <w:t>OWNERS AND MANAGEMENT</w:t>
            </w:r>
          </w:p>
        </w:tc>
        <w:tc>
          <w:tcPr>
            <w:tcW w:w="400" w:type="dxa"/>
            <w:vAlign w:val="bottom"/>
            <w:gridSpan w:val="3"/>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Arial" w:cs="Arial" w:eastAsia="Arial" w:hAnsi="Arial"/>
                <w:sz w:val="16"/>
                <w:szCs w:val="16"/>
                <w:b w:val="1"/>
                <w:bCs w:val="1"/>
                <w:color w:val="005C5D"/>
              </w:rPr>
              <w:t>48</w:t>
            </w:r>
          </w:p>
        </w:tc>
        <w:tc>
          <w:tcPr>
            <w:tcW w:w="0" w:type="dxa"/>
            <w:vAlign w:val="bottom"/>
          </w:tcPr>
          <w:p>
            <w:pPr>
              <w:spacing w:after="0"/>
              <w:rPr>
                <w:sz w:val="1"/>
                <w:szCs w:val="1"/>
                <w:color w:val="auto"/>
              </w:rPr>
            </w:pPr>
          </w:p>
        </w:tc>
      </w:tr>
      <w:tr>
        <w:trPr>
          <w:trHeight w:val="131"/>
        </w:trPr>
        <w:tc>
          <w:tcPr>
            <w:tcW w:w="500" w:type="dxa"/>
            <w:vAlign w:val="bottom"/>
            <w:vMerge w:val="continue"/>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12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00" w:type="dxa"/>
            <w:vAlign w:val="bottom"/>
          </w:tcPr>
          <w:p>
            <w:pPr>
              <w:jc w:val="right"/>
              <w:ind w:right="245"/>
              <w:spacing w:after="0"/>
              <w:rPr>
                <w:sz w:val="20"/>
                <w:szCs w:val="20"/>
                <w:color w:val="auto"/>
              </w:rPr>
            </w:pPr>
            <w:r>
              <w:rPr>
                <w:rFonts w:ascii="Arial" w:cs="Arial" w:eastAsia="Arial" w:hAnsi="Arial"/>
                <w:sz w:val="14"/>
                <w:szCs w:val="14"/>
                <w:color w:val="333333"/>
              </w:rPr>
              <w:t>12</w:t>
            </w:r>
          </w:p>
        </w:tc>
        <w:tc>
          <w:tcPr>
            <w:tcW w:w="380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b w:val="1"/>
                <w:bCs w:val="1"/>
                <w:color w:val="0000EE"/>
                <w:w w:val="99"/>
              </w:rPr>
              <w:t>OTHER BUSINESS &amp; ADDITIONAL INFORMATION</w:t>
            </w: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005C5D"/>
              </w:rPr>
              <w:t>50</w:t>
            </w:r>
          </w:p>
        </w:tc>
        <w:tc>
          <w:tcPr>
            <w:tcW w:w="0" w:type="dxa"/>
            <w:vAlign w:val="bottom"/>
          </w:tcPr>
          <w:p>
            <w:pPr>
              <w:spacing w:after="0"/>
              <w:rPr>
                <w:sz w:val="1"/>
                <w:szCs w:val="1"/>
                <w:color w:val="auto"/>
              </w:rPr>
            </w:pPr>
          </w:p>
        </w:tc>
      </w:tr>
      <w:tr>
        <w:trPr>
          <w:trHeight w:val="151"/>
        </w:trPr>
        <w:tc>
          <w:tcPr>
            <w:tcW w:w="500" w:type="dxa"/>
            <w:vAlign w:val="bottom"/>
          </w:tcPr>
          <w:p>
            <w:pPr>
              <w:jc w:val="right"/>
              <w:ind w:right="245"/>
              <w:spacing w:after="0" w:line="151" w:lineRule="exact"/>
              <w:rPr>
                <w:sz w:val="20"/>
                <w:szCs w:val="20"/>
                <w:color w:val="auto"/>
              </w:rPr>
            </w:pPr>
            <w:r>
              <w:rPr>
                <w:rFonts w:ascii="Arial" w:cs="Arial" w:eastAsia="Arial" w:hAnsi="Arial"/>
                <w:sz w:val="14"/>
                <w:szCs w:val="14"/>
                <w:color w:val="333333"/>
              </w:rPr>
              <w:t>12</w:t>
            </w:r>
          </w:p>
        </w:tc>
        <w:tc>
          <w:tcPr>
            <w:tcW w:w="2120" w:type="dxa"/>
            <w:vAlign w:val="bottom"/>
            <w:gridSpan w:val="2"/>
            <w:vMerge w:val="restart"/>
          </w:tcPr>
          <w:p>
            <w:pPr>
              <w:spacing w:after="0"/>
              <w:rPr>
                <w:sz w:val="20"/>
                <w:szCs w:val="20"/>
                <w:color w:val="auto"/>
              </w:rPr>
            </w:pPr>
            <w:r>
              <w:rPr>
                <w:rFonts w:ascii="Arial" w:cs="Arial" w:eastAsia="Arial" w:hAnsi="Arial"/>
                <w:sz w:val="14"/>
                <w:szCs w:val="14"/>
                <w:color w:val="0000EE"/>
              </w:rPr>
              <w:t>Delinquent Section 16(a) Reports</w:t>
            </w:r>
          </w:p>
        </w:tc>
        <w:tc>
          <w:tcPr>
            <w:tcW w:w="1900" w:type="dxa"/>
            <w:vAlign w:val="bottom"/>
            <w:gridSpan w:val="5"/>
            <w:vMerge w:val="restart"/>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333333"/>
              </w:rPr>
              <w:t>50</w:t>
            </w:r>
          </w:p>
        </w:tc>
        <w:tc>
          <w:tcPr>
            <w:tcW w:w="0" w:type="dxa"/>
            <w:vAlign w:val="bottom"/>
          </w:tcPr>
          <w:p>
            <w:pPr>
              <w:spacing w:after="0"/>
              <w:rPr>
                <w:sz w:val="1"/>
                <w:szCs w:val="1"/>
                <w:color w:val="auto"/>
              </w:rPr>
            </w:pPr>
          </w:p>
        </w:tc>
      </w:tr>
      <w:tr>
        <w:trPr>
          <w:trHeight w:val="41"/>
        </w:trPr>
        <w:tc>
          <w:tcPr>
            <w:tcW w:w="500" w:type="dxa"/>
            <w:vAlign w:val="bottom"/>
            <w:vMerge w:val="restart"/>
          </w:tcPr>
          <w:p>
            <w:pPr>
              <w:jc w:val="right"/>
              <w:ind w:right="245"/>
              <w:spacing w:after="0"/>
              <w:rPr>
                <w:sz w:val="20"/>
                <w:szCs w:val="20"/>
                <w:color w:val="auto"/>
              </w:rPr>
            </w:pPr>
            <w:r>
              <w:rPr>
                <w:rFonts w:ascii="Arial" w:cs="Arial" w:eastAsia="Arial" w:hAnsi="Arial"/>
                <w:sz w:val="14"/>
                <w:szCs w:val="14"/>
                <w:color w:val="333333"/>
              </w:rPr>
              <w:t>12</w:t>
            </w:r>
          </w:p>
        </w:tc>
        <w:tc>
          <w:tcPr>
            <w:tcW w:w="2120" w:type="dxa"/>
            <w:vAlign w:val="bottom"/>
            <w:tcBorders>
              <w:bottom w:val="single" w:sz="8" w:color="0000EE"/>
            </w:tcBorders>
            <w:gridSpan w:val="2"/>
            <w:vMerge w:val="continue"/>
          </w:tcPr>
          <w:p>
            <w:pPr>
              <w:spacing w:after="0"/>
              <w:rPr>
                <w:sz w:val="3"/>
                <w:szCs w:val="3"/>
                <w:color w:val="auto"/>
              </w:rPr>
            </w:pPr>
          </w:p>
        </w:tc>
        <w:tc>
          <w:tcPr>
            <w:tcW w:w="1900" w:type="dxa"/>
            <w:vAlign w:val="bottom"/>
            <w:gridSpan w:val="5"/>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500" w:type="dxa"/>
            <w:vAlign w:val="bottom"/>
            <w:vMerge w:val="continue"/>
          </w:tcPr>
          <w:p>
            <w:pPr>
              <w:spacing w:after="0"/>
              <w:rPr>
                <w:sz w:val="11"/>
                <w:szCs w:val="11"/>
                <w:color w:val="auto"/>
              </w:rPr>
            </w:pPr>
          </w:p>
        </w:tc>
        <w:tc>
          <w:tcPr>
            <w:tcW w:w="4020" w:type="dxa"/>
            <w:vAlign w:val="bottom"/>
            <w:gridSpan w:val="7"/>
            <w:vMerge w:val="restart"/>
          </w:tcPr>
          <w:p>
            <w:pPr>
              <w:spacing w:after="0"/>
              <w:rPr>
                <w:sz w:val="20"/>
                <w:szCs w:val="20"/>
                <w:color w:val="auto"/>
              </w:rPr>
            </w:pPr>
            <w:r>
              <w:rPr>
                <w:rFonts w:ascii="Arial" w:cs="Arial" w:eastAsia="Arial" w:hAnsi="Arial"/>
                <w:sz w:val="14"/>
                <w:szCs w:val="14"/>
                <w:color w:val="0000EE"/>
              </w:rPr>
              <w:t>Requirements, Including Deadlines, for Submission of Proxy</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4020" w:type="dxa"/>
            <w:vAlign w:val="bottom"/>
            <w:gridSpan w:val="7"/>
            <w:vMerge w:val="continue"/>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500" w:type="dxa"/>
            <w:vAlign w:val="bottom"/>
          </w:tcPr>
          <w:p>
            <w:pPr>
              <w:spacing w:after="0"/>
              <w:rPr>
                <w:sz w:val="12"/>
                <w:szCs w:val="12"/>
                <w:color w:val="auto"/>
              </w:rPr>
            </w:pPr>
          </w:p>
        </w:tc>
        <w:tc>
          <w:tcPr>
            <w:tcW w:w="3800" w:type="dxa"/>
            <w:vAlign w:val="bottom"/>
            <w:tcBorders>
              <w:top w:val="single" w:sz="8" w:color="0000EE"/>
            </w:tcBorders>
            <w:gridSpan w:val="6"/>
          </w:tcPr>
          <w:p>
            <w:pPr>
              <w:spacing w:after="0" w:line="141" w:lineRule="exact"/>
              <w:rPr>
                <w:sz w:val="20"/>
                <w:szCs w:val="20"/>
                <w:color w:val="auto"/>
              </w:rPr>
            </w:pPr>
            <w:r>
              <w:rPr>
                <w:rFonts w:ascii="Arial" w:cs="Arial" w:eastAsia="Arial" w:hAnsi="Arial"/>
                <w:sz w:val="14"/>
                <w:szCs w:val="14"/>
                <w:color w:val="0000EE"/>
              </w:rPr>
              <w:t>Proposals, Nomination of Directors, and Other Business of</w:t>
            </w:r>
          </w:p>
        </w:tc>
        <w:tc>
          <w:tcPr>
            <w:tcW w:w="22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333333"/>
              </w:rPr>
              <w:t>50</w:t>
            </w:r>
          </w:p>
        </w:tc>
        <w:tc>
          <w:tcPr>
            <w:tcW w:w="0" w:type="dxa"/>
            <w:vAlign w:val="bottom"/>
          </w:tcPr>
          <w:p>
            <w:pPr>
              <w:spacing w:after="0"/>
              <w:rPr>
                <w:sz w:val="1"/>
                <w:szCs w:val="1"/>
                <w:color w:val="auto"/>
              </w:rPr>
            </w:pPr>
          </w:p>
        </w:tc>
      </w:tr>
      <w:tr>
        <w:trPr>
          <w:trHeight w:val="140"/>
        </w:trPr>
        <w:tc>
          <w:tcPr>
            <w:tcW w:w="500" w:type="dxa"/>
            <w:vAlign w:val="bottom"/>
            <w:vMerge w:val="restart"/>
          </w:tcPr>
          <w:p>
            <w:pPr>
              <w:jc w:val="right"/>
              <w:ind w:right="245"/>
              <w:spacing w:after="0"/>
              <w:rPr>
                <w:sz w:val="20"/>
                <w:szCs w:val="20"/>
                <w:color w:val="auto"/>
              </w:rPr>
            </w:pPr>
            <w:r>
              <w:rPr>
                <w:rFonts w:ascii="Arial" w:cs="Arial" w:eastAsia="Arial" w:hAnsi="Arial"/>
                <w:sz w:val="16"/>
                <w:szCs w:val="16"/>
                <w:b w:val="1"/>
                <w:bCs w:val="1"/>
                <w:color w:val="005C5D"/>
                <w:w w:val="89"/>
              </w:rPr>
              <w:t>13</w:t>
            </w:r>
          </w:p>
        </w:tc>
        <w:tc>
          <w:tcPr>
            <w:tcW w:w="3700" w:type="dxa"/>
            <w:vAlign w:val="bottom"/>
            <w:tcBorders>
              <w:top w:val="single" w:sz="8" w:color="0000EE"/>
            </w:tcBorders>
            <w:gridSpan w:val="5"/>
          </w:tcPr>
          <w:p>
            <w:pPr>
              <w:spacing w:after="0" w:line="141" w:lineRule="exact"/>
              <w:rPr>
                <w:sz w:val="20"/>
                <w:szCs w:val="20"/>
                <w:color w:val="auto"/>
              </w:rPr>
            </w:pPr>
            <w:r>
              <w:rPr>
                <w:rFonts w:ascii="Arial" w:cs="Arial" w:eastAsia="Arial" w:hAnsi="Arial"/>
                <w:sz w:val="14"/>
                <w:szCs w:val="14"/>
                <w:color w:val="0000EE"/>
              </w:rPr>
              <w:t>Shareholders</w:t>
            </w:r>
          </w:p>
        </w:tc>
        <w:tc>
          <w:tcPr>
            <w:tcW w:w="320" w:type="dxa"/>
            <w:vAlign w:val="bottom"/>
            <w:gridSpan w:val="2"/>
          </w:tcPr>
          <w:p>
            <w:pPr>
              <w:spacing w:after="0"/>
              <w:rPr>
                <w:sz w:val="12"/>
                <w:szCs w:val="12"/>
                <w:color w:val="auto"/>
              </w:rPr>
            </w:pPr>
          </w:p>
        </w:tc>
        <w:tc>
          <w:tcPr>
            <w:tcW w:w="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00" w:type="dxa"/>
            <w:vAlign w:val="bottom"/>
            <w:vMerge w:val="continue"/>
          </w:tcPr>
          <w:p>
            <w:pPr>
              <w:spacing w:after="0"/>
              <w:rPr>
                <w:sz w:val="14"/>
                <w:szCs w:val="14"/>
                <w:color w:val="auto"/>
              </w:rPr>
            </w:pPr>
          </w:p>
        </w:tc>
        <w:tc>
          <w:tcPr>
            <w:tcW w:w="860" w:type="dxa"/>
            <w:vAlign w:val="bottom"/>
            <w:tcBorders>
              <w:top w:val="single" w:sz="8" w:color="0000EE"/>
            </w:tcBorders>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500" w:hanging="484"/>
        <w:spacing w:after="0"/>
        <w:tabs>
          <w:tab w:leader="none" w:pos="500" w:val="left"/>
        </w:tabs>
        <w:numPr>
          <w:ilvl w:val="0"/>
          <w:numId w:val="7"/>
        </w:numPr>
        <w:rPr>
          <w:rFonts w:ascii="Arial" w:cs="Arial" w:eastAsia="Arial" w:hAnsi="Arial"/>
          <w:sz w:val="14"/>
          <w:szCs w:val="14"/>
          <w:color w:val="333333"/>
        </w:rPr>
      </w:pPr>
      <w:r>
        <w:rPr>
          <w:rFonts w:ascii="Arial" w:cs="Arial" w:eastAsia="Arial" w:hAnsi="Arial"/>
          <w:sz w:val="16"/>
          <w:szCs w:val="16"/>
          <w:b w:val="1"/>
          <w:bCs w:val="1"/>
          <w:u w:val="single" w:color="auto"/>
          <w:color w:val="0000EE"/>
        </w:rPr>
        <w:t>APPENDIX A – VERA BRADLEY, INC. AMENDED</w:t>
      </w:r>
    </w:p>
    <w:p>
      <w:pPr>
        <w:spacing w:after="0" w:line="3" w:lineRule="exact"/>
        <w:rPr>
          <w:rFonts w:ascii="Arial" w:cs="Arial" w:eastAsia="Arial" w:hAnsi="Arial"/>
          <w:sz w:val="14"/>
          <w:szCs w:val="14"/>
          <w:color w:val="333333"/>
        </w:rPr>
      </w:pPr>
    </w:p>
    <w:p>
      <w:pPr>
        <w:ind w:left="500" w:hanging="484"/>
        <w:spacing w:after="0" w:line="206" w:lineRule="auto"/>
        <w:tabs>
          <w:tab w:leader="none" w:pos="500" w:val="left"/>
        </w:tabs>
        <w:numPr>
          <w:ilvl w:val="0"/>
          <w:numId w:val="8"/>
        </w:numPr>
        <w:rPr>
          <w:rFonts w:ascii="Arial" w:cs="Arial" w:eastAsia="Arial" w:hAnsi="Arial"/>
          <w:sz w:val="14"/>
          <w:szCs w:val="14"/>
          <w:color w:val="333333"/>
        </w:rPr>
      </w:pPr>
      <w:r>
        <w:rPr>
          <w:rFonts w:ascii="Arial" w:cs="Arial" w:eastAsia="Arial" w:hAnsi="Arial"/>
          <w:sz w:val="16"/>
          <w:szCs w:val="16"/>
          <w:b w:val="1"/>
          <w:bCs w:val="1"/>
          <w:color w:val="0000EE"/>
        </w:rPr>
        <w:t>AND RESTATED 2020 EQUITY AND INCENTIVE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0" w:type="dxa"/>
            <w:vAlign w:val="bottom"/>
          </w:tcPr>
          <w:p>
            <w:pPr>
              <w:jc w:val="right"/>
              <w:ind w:right="244"/>
              <w:spacing w:after="0"/>
              <w:rPr>
                <w:sz w:val="20"/>
                <w:szCs w:val="20"/>
                <w:color w:val="auto"/>
              </w:rPr>
            </w:pPr>
            <w:r>
              <w:rPr>
                <w:rFonts w:ascii="Arial" w:cs="Arial" w:eastAsia="Arial" w:hAnsi="Arial"/>
                <w:sz w:val="14"/>
                <w:szCs w:val="14"/>
                <w:color w:val="005C5D"/>
              </w:rPr>
              <w:t>13</w:t>
            </w:r>
          </w:p>
        </w:tc>
        <w:tc>
          <w:tcPr>
            <w:tcW w:w="3580" w:type="dxa"/>
            <w:vAlign w:val="bottom"/>
            <w:tcBorders>
              <w:top w:val="single" w:sz="8" w:color="0000EE"/>
            </w:tcBorders>
            <w:gridSpan w:val="2"/>
          </w:tcPr>
          <w:p>
            <w:pPr>
              <w:spacing w:after="0" w:line="168" w:lineRule="exact"/>
              <w:rPr>
                <w:sz w:val="20"/>
                <w:szCs w:val="20"/>
                <w:color w:val="auto"/>
              </w:rPr>
            </w:pPr>
            <w:r>
              <w:rPr>
                <w:rFonts w:ascii="Arial" w:cs="Arial" w:eastAsia="Arial" w:hAnsi="Arial"/>
                <w:sz w:val="16"/>
                <w:szCs w:val="16"/>
                <w:b w:val="1"/>
                <w:bCs w:val="1"/>
                <w:color w:val="0000EE"/>
              </w:rPr>
              <w:t>PLAN</w:t>
            </w:r>
          </w:p>
        </w:tc>
        <w:tc>
          <w:tcPr>
            <w:tcW w:w="860" w:type="dxa"/>
            <w:vAlign w:val="bottom"/>
          </w:tcPr>
          <w:p>
            <w:pPr>
              <w:ind w:left="600"/>
              <w:spacing w:after="0" w:line="168" w:lineRule="exact"/>
              <w:rPr>
                <w:sz w:val="20"/>
                <w:szCs w:val="20"/>
                <w:color w:val="auto"/>
              </w:rPr>
            </w:pPr>
            <w:r>
              <w:rPr>
                <w:rFonts w:ascii="Arial" w:cs="Arial" w:eastAsia="Arial" w:hAnsi="Arial"/>
                <w:sz w:val="16"/>
                <w:szCs w:val="16"/>
                <w:b w:val="1"/>
                <w:bCs w:val="1"/>
                <w:color w:val="005C5D"/>
                <w:w w:val="92"/>
              </w:rPr>
              <w:t>A-1</w:t>
            </w:r>
          </w:p>
        </w:tc>
      </w:tr>
      <w:tr>
        <w:trPr>
          <w:trHeight w:val="201"/>
        </w:trPr>
        <w:tc>
          <w:tcPr>
            <w:tcW w:w="500" w:type="dxa"/>
            <w:vAlign w:val="bottom"/>
          </w:tcPr>
          <w:p>
            <w:pPr>
              <w:jc w:val="right"/>
              <w:ind w:right="244"/>
              <w:spacing w:after="0"/>
              <w:rPr>
                <w:sz w:val="20"/>
                <w:szCs w:val="20"/>
                <w:color w:val="auto"/>
              </w:rPr>
            </w:pPr>
            <w:r>
              <w:rPr>
                <w:rFonts w:ascii="Arial" w:cs="Arial" w:eastAsia="Arial" w:hAnsi="Arial"/>
                <w:sz w:val="16"/>
                <w:szCs w:val="16"/>
                <w:b w:val="1"/>
                <w:bCs w:val="1"/>
                <w:color w:val="005C5D"/>
                <w:w w:val="89"/>
              </w:rPr>
              <w:t>14</w:t>
            </w:r>
          </w:p>
        </w:tc>
        <w:tc>
          <w:tcPr>
            <w:tcW w:w="440" w:type="dxa"/>
            <w:vAlign w:val="bottom"/>
            <w:tcBorders>
              <w:top w:val="single" w:sz="8" w:color="0000EE"/>
            </w:tcBorders>
          </w:tcPr>
          <w:p>
            <w:pPr>
              <w:spacing w:after="0"/>
              <w:rPr>
                <w:sz w:val="17"/>
                <w:szCs w:val="17"/>
                <w:color w:val="auto"/>
              </w:rPr>
            </w:pPr>
          </w:p>
        </w:tc>
        <w:tc>
          <w:tcPr>
            <w:tcW w:w="314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005C5D"/>
        </w:rPr>
        <w:t>15</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333333"/>
        </w:rPr>
        <w:t>15</w:t>
      </w:r>
    </w:p>
    <w:p>
      <w:pPr>
        <w:sectPr>
          <w:pgSz w:w="11900" w:h="16838" w:orient="portrait"/>
          <w:cols w:equalWidth="0" w:num="2">
            <w:col w:w="4140" w:space="200"/>
            <w:col w:w="5799"/>
          </w:cols>
          <w:pgMar w:left="320" w:top="478" w:right="1440"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7244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9755" cy="7244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Arial" w:cs="Arial" w:eastAsia="Arial" w:hAnsi="Arial"/>
          <w:sz w:val="27"/>
          <w:szCs w:val="27"/>
          <w:b w:val="1"/>
          <w:bCs w:val="1"/>
          <w:color w:val="005C5D"/>
        </w:rPr>
        <w:t>PROXY SUMMARY</w:t>
      </w:r>
    </w:p>
    <w:p>
      <w:pPr>
        <w:spacing w:after="0" w:line="335" w:lineRule="exact"/>
        <w:rPr>
          <w:sz w:val="20"/>
          <w:szCs w:val="20"/>
          <w:color w:val="auto"/>
        </w:rPr>
      </w:pPr>
    </w:p>
    <w:p>
      <w:pPr>
        <w:ind w:left="500" w:right="20"/>
        <w:spacing w:after="0" w:line="277" w:lineRule="auto"/>
        <w:rPr>
          <w:sz w:val="20"/>
          <w:szCs w:val="20"/>
          <w:color w:val="auto"/>
        </w:rPr>
      </w:pPr>
      <w:r>
        <w:rPr>
          <w:rFonts w:ascii="Arial" w:cs="Arial" w:eastAsia="Arial" w:hAnsi="Arial"/>
          <w:sz w:val="16"/>
          <w:szCs w:val="16"/>
          <w:i w:val="1"/>
          <w:iCs w:val="1"/>
          <w:color w:val="333333"/>
        </w:rPr>
        <w:t>This summary highlights information contained elsewhere in this Proxy Statement. This summary does not contain all of the information you should consider, and we encourage you to read the entire Proxy Statement before voting.</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005C5D"/>
        </w:rPr>
        <w:t>FISCAL 2026 BUSINESS HIGHLIGHTS</w:t>
      </w:r>
    </w:p>
    <w:p>
      <w:pPr>
        <w:spacing w:after="0" w:line="207"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005C5D"/>
        </w:rPr>
        <w:t>Strategic Progress</w:t>
      </w:r>
    </w:p>
    <w:p>
      <w:pPr>
        <w:spacing w:after="0" w:line="217" w:lineRule="exact"/>
        <w:rPr>
          <w:sz w:val="20"/>
          <w:szCs w:val="20"/>
          <w:color w:val="auto"/>
        </w:rPr>
      </w:pPr>
    </w:p>
    <w:p>
      <w:pPr>
        <w:ind w:left="500" w:right="20"/>
        <w:spacing w:after="0" w:line="279" w:lineRule="auto"/>
        <w:rPr>
          <w:sz w:val="20"/>
          <w:szCs w:val="20"/>
          <w:color w:val="auto"/>
        </w:rPr>
      </w:pPr>
      <w:r>
        <w:rPr>
          <w:rFonts w:ascii="Arial" w:cs="Arial" w:eastAsia="Arial" w:hAnsi="Arial"/>
          <w:sz w:val="16"/>
          <w:szCs w:val="16"/>
          <w:color w:val="333333"/>
        </w:rPr>
        <w:t>We ended fiscal 2026 with consolidated revenues of $269.7 million. Although fiscal 2026 had its challenges, we took actions that laid the groundwork to position the Company for the future.</w:t>
      </w:r>
    </w:p>
    <w:p>
      <w:pPr>
        <w:sectPr>
          <w:pgSz w:w="11900" w:h="16838" w:orient="portrait"/>
          <w:cols w:equalWidth="0" w:num="1">
            <w:col w:w="10760"/>
          </w:cols>
          <w:pgMar w:left="320" w:top="478" w:right="819" w:bottom="1440" w:gutter="0" w:footer="0" w:header="0"/>
        </w:sectPr>
      </w:pPr>
    </w:p>
    <w:p>
      <w:pPr>
        <w:spacing w:after="0" w:line="241" w:lineRule="exact"/>
        <w:rPr>
          <w:sz w:val="20"/>
          <w:szCs w:val="20"/>
          <w:color w:val="auto"/>
        </w:rPr>
      </w:pPr>
    </w:p>
    <w:p>
      <w:pPr>
        <w:jc w:val="both"/>
        <w:ind w:left="700" w:hanging="197"/>
        <w:spacing w:after="0" w:line="248" w:lineRule="auto"/>
        <w:tabs>
          <w:tab w:leader="none" w:pos="700" w:val="left"/>
        </w:tabs>
        <w:numPr>
          <w:ilvl w:val="0"/>
          <w:numId w:val="9"/>
        </w:numPr>
        <w:rPr>
          <w:rFonts w:ascii="Arial" w:cs="Arial" w:eastAsia="Arial" w:hAnsi="Arial"/>
          <w:sz w:val="16"/>
          <w:szCs w:val="16"/>
          <w:color w:val="333333"/>
        </w:rPr>
      </w:pPr>
      <w:r>
        <w:rPr>
          <w:rFonts w:ascii="Arial" w:cs="Arial" w:eastAsia="Arial" w:hAnsi="Arial"/>
          <w:sz w:val="16"/>
          <w:szCs w:val="16"/>
          <w:color w:val="333333"/>
        </w:rPr>
        <w:t>We navigated the early stages of Project Sunshine, a comprehensive strategy to strengthen our market position by tapping into our brand’s strong emotional connection with consumers. We are simplifying decision-making, removing organizational complexity, and focusing resources on high-impact initiatives. This operational focus, paired with prudent cost management, will allow us to invest in the brand, innovation, and customer experiences, all while driving shareholder value. These improvements are about agility – building a responsive organization to fully leverage our unique brand position.</w:t>
      </w:r>
    </w:p>
    <w:p>
      <w:pPr>
        <w:spacing w:after="0" w:line="91" w:lineRule="exact"/>
        <w:rPr>
          <w:rFonts w:ascii="Arial" w:cs="Arial" w:eastAsia="Arial" w:hAnsi="Arial"/>
          <w:sz w:val="16"/>
          <w:szCs w:val="16"/>
          <w:color w:val="333333"/>
        </w:rPr>
      </w:pPr>
    </w:p>
    <w:p>
      <w:pPr>
        <w:jc w:val="both"/>
        <w:ind w:left="700" w:right="20" w:hanging="197"/>
        <w:spacing w:after="0" w:line="251" w:lineRule="auto"/>
        <w:tabs>
          <w:tab w:leader="none" w:pos="700" w:val="left"/>
        </w:tabs>
        <w:numPr>
          <w:ilvl w:val="0"/>
          <w:numId w:val="9"/>
        </w:numPr>
        <w:rPr>
          <w:rFonts w:ascii="Arial" w:cs="Arial" w:eastAsia="Arial" w:hAnsi="Arial"/>
          <w:sz w:val="16"/>
          <w:szCs w:val="16"/>
          <w:color w:val="333333"/>
        </w:rPr>
      </w:pPr>
      <w:r>
        <w:rPr>
          <w:rFonts w:ascii="Arial" w:cs="Arial" w:eastAsia="Arial" w:hAnsi="Arial"/>
          <w:sz w:val="16"/>
          <w:szCs w:val="16"/>
          <w:color w:val="333333"/>
        </w:rPr>
        <w:t>As a Company, we continued to carefully manage expenses and maintained a culture of discipline around expense control. We continued to strengthen and streamline our organizational structure and right-size our cost structure for the size of our business, to best position us to achieve our long-term strategic plans.</w:t>
      </w:r>
    </w:p>
    <w:p>
      <w:pPr>
        <w:spacing w:after="0" w:line="89" w:lineRule="exact"/>
        <w:rPr>
          <w:rFonts w:ascii="Arial" w:cs="Arial" w:eastAsia="Arial" w:hAnsi="Arial"/>
          <w:sz w:val="16"/>
          <w:szCs w:val="16"/>
          <w:color w:val="333333"/>
        </w:rPr>
      </w:pPr>
    </w:p>
    <w:p>
      <w:pPr>
        <w:jc w:val="both"/>
        <w:ind w:left="700" w:hanging="197"/>
        <w:spacing w:after="0" w:line="262" w:lineRule="auto"/>
        <w:tabs>
          <w:tab w:leader="none" w:pos="700" w:val="left"/>
        </w:tabs>
        <w:numPr>
          <w:ilvl w:val="0"/>
          <w:numId w:val="9"/>
        </w:numPr>
        <w:rPr>
          <w:rFonts w:ascii="Arial" w:cs="Arial" w:eastAsia="Arial" w:hAnsi="Arial"/>
          <w:sz w:val="16"/>
          <w:szCs w:val="16"/>
          <w:color w:val="333333"/>
        </w:rPr>
      </w:pPr>
      <w:r>
        <w:rPr>
          <w:rFonts w:ascii="Arial" w:cs="Arial" w:eastAsia="Arial" w:hAnsi="Arial"/>
          <w:sz w:val="16"/>
          <w:szCs w:val="16"/>
          <w:color w:val="333333"/>
        </w:rPr>
        <w:t>On March 11, 2025 the Company entered into an Interest Purchase Agreement (the “Agreement”) to sell 100% of Pura Vida. The transaction closed on March 31, 2025.</w:t>
      </w:r>
    </w:p>
    <w:p>
      <w:pPr>
        <w:spacing w:after="0" w:line="79" w:lineRule="exact"/>
        <w:rPr>
          <w:rFonts w:ascii="Arial" w:cs="Arial" w:eastAsia="Arial" w:hAnsi="Arial"/>
          <w:sz w:val="16"/>
          <w:szCs w:val="16"/>
          <w:color w:val="333333"/>
        </w:rPr>
      </w:pPr>
    </w:p>
    <w:p>
      <w:pPr>
        <w:jc w:val="both"/>
        <w:ind w:left="700" w:right="20" w:hanging="197"/>
        <w:spacing w:after="0" w:line="262" w:lineRule="auto"/>
        <w:tabs>
          <w:tab w:leader="none" w:pos="700" w:val="left"/>
        </w:tabs>
        <w:numPr>
          <w:ilvl w:val="0"/>
          <w:numId w:val="9"/>
        </w:numPr>
        <w:rPr>
          <w:rFonts w:ascii="Arial" w:cs="Arial" w:eastAsia="Arial" w:hAnsi="Arial"/>
          <w:sz w:val="16"/>
          <w:szCs w:val="16"/>
          <w:color w:val="333333"/>
        </w:rPr>
      </w:pPr>
      <w:r>
        <w:rPr>
          <w:rFonts w:ascii="Arial" w:cs="Arial" w:eastAsia="Arial" w:hAnsi="Arial"/>
          <w:sz w:val="16"/>
          <w:szCs w:val="16"/>
          <w:color w:val="333333"/>
        </w:rPr>
        <w:t>Our Direct segment has seen promising improvement throughout the fiscal year, giving us confidence that Project Sunshine is beginning to resonate with our customers.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ind w:left="194" w:right="20" w:hanging="194"/>
        <w:spacing w:after="0" w:line="262" w:lineRule="auto"/>
        <w:tabs>
          <w:tab w:leader="none" w:pos="194" w:val="left"/>
        </w:tabs>
        <w:numPr>
          <w:ilvl w:val="0"/>
          <w:numId w:val="10"/>
        </w:numPr>
        <w:rPr>
          <w:rFonts w:ascii="Arial" w:cs="Arial" w:eastAsia="Arial" w:hAnsi="Arial"/>
          <w:sz w:val="16"/>
          <w:szCs w:val="16"/>
          <w:color w:val="333333"/>
        </w:rPr>
      </w:pPr>
      <w:r>
        <w:rPr>
          <w:rFonts w:ascii="Arial" w:cs="Arial" w:eastAsia="Arial" w:hAnsi="Arial"/>
          <w:sz w:val="16"/>
          <w:szCs w:val="16"/>
          <w:color w:val="333333"/>
        </w:rPr>
        <w:t>We partnered with Anthropologie for exclusive product collaborations which align with our target customers and expand our customer reach.</w:t>
      </w:r>
    </w:p>
    <w:p>
      <w:pPr>
        <w:spacing w:after="0" w:line="79" w:lineRule="exact"/>
        <w:rPr>
          <w:rFonts w:ascii="Arial" w:cs="Arial" w:eastAsia="Arial" w:hAnsi="Arial"/>
          <w:sz w:val="16"/>
          <w:szCs w:val="16"/>
          <w:color w:val="333333"/>
        </w:rPr>
      </w:pPr>
    </w:p>
    <w:p>
      <w:pPr>
        <w:jc w:val="both"/>
        <w:ind w:left="194" w:right="20" w:hanging="194"/>
        <w:spacing w:after="0" w:line="262" w:lineRule="auto"/>
        <w:tabs>
          <w:tab w:leader="none" w:pos="194" w:val="left"/>
        </w:tabs>
        <w:numPr>
          <w:ilvl w:val="0"/>
          <w:numId w:val="10"/>
        </w:numPr>
        <w:rPr>
          <w:rFonts w:ascii="Arial" w:cs="Arial" w:eastAsia="Arial" w:hAnsi="Arial"/>
          <w:sz w:val="16"/>
          <w:szCs w:val="16"/>
          <w:color w:val="333333"/>
        </w:rPr>
      </w:pPr>
      <w:r>
        <w:rPr>
          <w:rFonts w:ascii="Arial" w:cs="Arial" w:eastAsia="Arial" w:hAnsi="Arial"/>
          <w:sz w:val="16"/>
          <w:szCs w:val="16"/>
          <w:color w:val="333333"/>
        </w:rPr>
        <w:t>We continued another year of product collaborations with iconic brands such as Disney, Peanuts, Harry Potter, and Gilmore Girls which resonate with our customers.</w:t>
      </w:r>
    </w:p>
    <w:p>
      <w:pPr>
        <w:spacing w:after="0" w:line="79" w:lineRule="exact"/>
        <w:rPr>
          <w:rFonts w:ascii="Arial" w:cs="Arial" w:eastAsia="Arial" w:hAnsi="Arial"/>
          <w:sz w:val="16"/>
          <w:szCs w:val="16"/>
          <w:color w:val="333333"/>
        </w:rPr>
      </w:pPr>
    </w:p>
    <w:p>
      <w:pPr>
        <w:ind w:left="194" w:right="20" w:hanging="194"/>
        <w:spacing w:after="0" w:line="221" w:lineRule="auto"/>
        <w:tabs>
          <w:tab w:leader="none" w:pos="194" w:val="left"/>
        </w:tabs>
        <w:numPr>
          <w:ilvl w:val="0"/>
          <w:numId w:val="10"/>
        </w:numPr>
        <w:rPr>
          <w:rFonts w:ascii="Arial" w:cs="Arial" w:eastAsia="Arial" w:hAnsi="Arial"/>
          <w:sz w:val="16"/>
          <w:szCs w:val="16"/>
          <w:color w:val="333333"/>
        </w:rPr>
      </w:pPr>
      <w:r>
        <w:rPr>
          <w:rFonts w:ascii="Arial" w:cs="Arial" w:eastAsia="Arial" w:hAnsi="Arial"/>
          <w:sz w:val="16"/>
          <w:szCs w:val="16"/>
          <w:color w:val="333333"/>
        </w:rPr>
        <w:t>We are a Better Cotton</w:t>
      </w:r>
      <w:r>
        <w:rPr>
          <w:rFonts w:ascii="Arial" w:cs="Arial" w:eastAsia="Arial" w:hAnsi="Arial"/>
          <w:sz w:val="24"/>
          <w:szCs w:val="24"/>
          <w:color w:val="333333"/>
          <w:vertAlign w:val="superscript"/>
        </w:rPr>
        <w:t>TM</w:t>
      </w:r>
      <w:r>
        <w:rPr>
          <w:rFonts w:ascii="Arial" w:cs="Arial" w:eastAsia="Arial" w:hAnsi="Arial"/>
          <w:sz w:val="16"/>
          <w:szCs w:val="16"/>
          <w:color w:val="333333"/>
        </w:rPr>
        <w:t xml:space="preserve"> member and continue to increase our procurement of cotton from Better Cotton</w:t>
      </w:r>
      <w:r>
        <w:rPr>
          <w:rFonts w:ascii="Arial" w:cs="Arial" w:eastAsia="Arial" w:hAnsi="Arial"/>
          <w:sz w:val="24"/>
          <w:szCs w:val="24"/>
          <w:color w:val="333333"/>
          <w:vertAlign w:val="superscript"/>
        </w:rPr>
        <w:t>TM</w:t>
      </w:r>
      <w:r>
        <w:rPr>
          <w:rFonts w:ascii="Arial" w:cs="Arial" w:eastAsia="Arial" w:hAnsi="Arial"/>
          <w:sz w:val="16"/>
          <w:szCs w:val="16"/>
          <w:color w:val="333333"/>
        </w:rPr>
        <w:t xml:space="preserve"> supply chain partners.</w:t>
      </w:r>
    </w:p>
    <w:p>
      <w:pPr>
        <w:spacing w:after="0" w:line="1" w:lineRule="exact"/>
        <w:rPr>
          <w:rFonts w:ascii="Arial" w:cs="Arial" w:eastAsia="Arial" w:hAnsi="Arial"/>
          <w:sz w:val="16"/>
          <w:szCs w:val="16"/>
          <w:color w:val="333333"/>
        </w:rPr>
      </w:pPr>
    </w:p>
    <w:p>
      <w:pPr>
        <w:jc w:val="both"/>
        <w:ind w:left="194" w:right="20" w:hanging="194"/>
        <w:spacing w:after="0" w:line="252" w:lineRule="auto"/>
        <w:tabs>
          <w:tab w:leader="none" w:pos="194" w:val="left"/>
        </w:tabs>
        <w:numPr>
          <w:ilvl w:val="0"/>
          <w:numId w:val="10"/>
        </w:numPr>
        <w:rPr>
          <w:rFonts w:ascii="Arial" w:cs="Arial" w:eastAsia="Arial" w:hAnsi="Arial"/>
          <w:sz w:val="16"/>
          <w:szCs w:val="16"/>
          <w:color w:val="333333"/>
        </w:rPr>
      </w:pPr>
      <w:r>
        <w:rPr>
          <w:rFonts w:ascii="Arial" w:cs="Arial" w:eastAsia="Arial" w:hAnsi="Arial"/>
          <w:sz w:val="16"/>
          <w:szCs w:val="16"/>
          <w:color w:val="333333"/>
        </w:rPr>
        <w:t>We implemented Outlet 2.0, one of our pillars of Project Sunshine, which will provide a more brand-enhancing retail experience for our customers.</w:t>
      </w:r>
    </w:p>
    <w:p>
      <w:pPr>
        <w:spacing w:after="0" w:line="87" w:lineRule="exact"/>
        <w:rPr>
          <w:rFonts w:ascii="Arial" w:cs="Arial" w:eastAsia="Arial" w:hAnsi="Arial"/>
          <w:sz w:val="16"/>
          <w:szCs w:val="16"/>
          <w:color w:val="333333"/>
        </w:rPr>
      </w:pPr>
    </w:p>
    <w:p>
      <w:pPr>
        <w:jc w:val="both"/>
        <w:ind w:left="194" w:right="20" w:hanging="194"/>
        <w:spacing w:after="0" w:line="250" w:lineRule="auto"/>
        <w:tabs>
          <w:tab w:leader="none" w:pos="194" w:val="left"/>
        </w:tabs>
        <w:numPr>
          <w:ilvl w:val="0"/>
          <w:numId w:val="10"/>
        </w:numPr>
        <w:rPr>
          <w:rFonts w:ascii="Arial" w:cs="Arial" w:eastAsia="Arial" w:hAnsi="Arial"/>
          <w:sz w:val="16"/>
          <w:szCs w:val="16"/>
          <w:color w:val="333333"/>
        </w:rPr>
      </w:pPr>
      <w:r>
        <w:rPr>
          <w:rFonts w:ascii="Arial" w:cs="Arial" w:eastAsia="Arial" w:hAnsi="Arial"/>
          <w:sz w:val="16"/>
          <w:szCs w:val="16"/>
          <w:color w:val="333333"/>
        </w:rPr>
        <w:t>We continued to strengthen and rationalize our store base. We are continuing to look for opportunities to improve the full-line profitability of our full-line store portfolio by re-balancing our existing fleet through select closures along with identifying future market opportunities. In fiscal 2026, we closed twelve underperforming full-line stores and one outlet store, and opened two full-line stores, ending the fiscal year with 29 full-line and 86 outlet locations.</w:t>
      </w:r>
    </w:p>
    <w:p>
      <w:pPr>
        <w:spacing w:after="0" w:line="838" w:lineRule="exact"/>
        <w:rPr>
          <w:sz w:val="20"/>
          <w:szCs w:val="20"/>
          <w:color w:val="auto"/>
        </w:rPr>
      </w:pPr>
    </w:p>
    <w:p>
      <w:pPr>
        <w:sectPr>
          <w:pgSz w:w="11900" w:h="16838" w:orient="portrait"/>
          <w:cols w:equalWidth="0" w:num="2">
            <w:col w:w="5420" w:space="306"/>
            <w:col w:w="5034"/>
          </w:cols>
          <w:pgMar w:left="320" w:top="478" w:right="819" w:bottom="1440" w:gutter="0" w:footer="0" w:header="0"/>
          <w:type w:val="continuous"/>
        </w:sectPr>
      </w:pPr>
    </w:p>
    <w:p>
      <w:pPr>
        <w:spacing w:after="0" w:line="393" w:lineRule="exact"/>
        <w:rPr>
          <w:sz w:val="20"/>
          <w:szCs w:val="20"/>
          <w:color w:val="auto"/>
        </w:rPr>
      </w:pPr>
    </w:p>
    <w:p>
      <w:pPr>
        <w:ind w:left="4960"/>
        <w:spacing w:after="0"/>
        <w:tabs>
          <w:tab w:leader="none" w:pos="8840" w:val="left"/>
          <w:tab w:leader="none" w:pos="1066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1</w:t>
      </w:r>
    </w:p>
    <w:p>
      <w:pPr>
        <w:sectPr>
          <w:pgSz w:w="11900" w:h="16838" w:orient="portrait"/>
          <w:cols w:equalWidth="0" w:num="1">
            <w:col w:w="10760"/>
          </w:cols>
          <w:pgMar w:left="320" w:top="478" w:right="8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8246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8246110"/>
                    </a:xfrm>
                    <a:prstGeom prst="rect">
                      <a:avLst/>
                    </a:prstGeom>
                    <a:noFill/>
                  </pic:spPr>
                </pic:pic>
              </a:graphicData>
            </a:graphic>
          </wp:anchor>
        </w:drawing>
      </w:r>
    </w:p>
    <w:p>
      <w:pPr>
        <w:spacing w:after="0" w:line="334" w:lineRule="exact"/>
        <w:rPr>
          <w:sz w:val="20"/>
          <w:szCs w:val="20"/>
          <w:color w:val="auto"/>
        </w:rPr>
      </w:pPr>
    </w:p>
    <w:p>
      <w:pPr>
        <w:jc w:val="right"/>
        <w:ind w:right="9260"/>
        <w:spacing w:after="0"/>
        <w:rPr>
          <w:sz w:val="20"/>
          <w:szCs w:val="20"/>
          <w:color w:val="auto"/>
        </w:rPr>
      </w:pPr>
      <w:r>
        <w:rPr>
          <w:rFonts w:ascii="Arial" w:cs="Arial" w:eastAsia="Arial" w:hAnsi="Arial"/>
          <w:sz w:val="14"/>
          <w:szCs w:val="14"/>
          <w:color w:val="005C5D"/>
        </w:rPr>
        <w:t>Proxy Summary</w:t>
      </w:r>
    </w:p>
    <w:p>
      <w:pPr>
        <w:sectPr>
          <w:pgSz w:w="11900" w:h="16838" w:orient="portrait"/>
          <w:cols w:equalWidth="0" w:num="1">
            <w:col w:w="10760"/>
          </w:cols>
          <w:pgMar w:left="320" w:top="478"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005C5D"/>
        </w:rPr>
        <w:t>FINANCIAL RESULTS</w:t>
      </w:r>
    </w:p>
    <w:p>
      <w:pPr>
        <w:spacing w:after="0" w:line="194" w:lineRule="exact"/>
        <w:rPr>
          <w:sz w:val="20"/>
          <w:szCs w:val="20"/>
          <w:color w:val="auto"/>
        </w:rPr>
      </w:pPr>
    </w:p>
    <w:p>
      <w:pPr>
        <w:jc w:val="both"/>
        <w:ind w:left="480"/>
        <w:spacing w:after="0" w:line="256" w:lineRule="auto"/>
        <w:rPr>
          <w:sz w:val="20"/>
          <w:szCs w:val="20"/>
          <w:color w:val="auto"/>
        </w:rPr>
      </w:pPr>
      <w:r>
        <w:rPr>
          <w:rFonts w:ascii="Arial" w:cs="Arial" w:eastAsia="Arial" w:hAnsi="Arial"/>
          <w:sz w:val="16"/>
          <w:szCs w:val="16"/>
          <w:color w:val="333333"/>
        </w:rPr>
        <w:t>The graphs below provide a ‘‘snapshot’’ of our performance in accordance with accounting principles generally accepted in the United States (“GAAP”) in fiscal 2026 and the previous three fiscal years.</w:t>
      </w:r>
    </w:p>
    <w:p>
      <w:pPr>
        <w:spacing w:after="0" w:line="71" w:lineRule="exact"/>
        <w:rPr>
          <w:sz w:val="20"/>
          <w:szCs w:val="20"/>
          <w:color w:val="auto"/>
        </w:rPr>
      </w:pPr>
    </w:p>
    <w:p>
      <w:pPr>
        <w:jc w:val="both"/>
        <w:ind w:left="480"/>
        <w:spacing w:after="0" w:line="246" w:lineRule="auto"/>
        <w:rPr>
          <w:sz w:val="20"/>
          <w:szCs w:val="20"/>
          <w:color w:val="auto"/>
        </w:rPr>
      </w:pPr>
      <w:r>
        <w:rPr>
          <w:rFonts w:ascii="Arial" w:cs="Arial" w:eastAsia="Arial" w:hAnsi="Arial"/>
          <w:sz w:val="16"/>
          <w:szCs w:val="16"/>
          <w:b w:val="1"/>
          <w:bCs w:val="1"/>
          <w:color w:val="337C7D"/>
        </w:rPr>
        <w:t xml:space="preserve">Fiscal 2026 items impacting comparability. </w:t>
      </w:r>
      <w:r>
        <w:rPr>
          <w:rFonts w:ascii="Arial" w:cs="Arial" w:eastAsia="Arial" w:hAnsi="Arial"/>
          <w:sz w:val="16"/>
          <w:szCs w:val="16"/>
          <w:color w:val="333333"/>
        </w:rPr>
        <w:t>During fiscal 2026,</w:t>
      </w:r>
      <w:r>
        <w:rPr>
          <w:rFonts w:ascii="Arial" w:cs="Arial" w:eastAsia="Arial" w:hAnsi="Arial"/>
          <w:sz w:val="16"/>
          <w:szCs w:val="16"/>
          <w:b w:val="1"/>
          <w:bCs w:val="1"/>
          <w:color w:val="337C7D"/>
        </w:rPr>
        <w:t xml:space="preserve"> </w:t>
      </w:r>
      <w:r>
        <w:rPr>
          <w:rFonts w:ascii="Arial" w:cs="Arial" w:eastAsia="Arial" w:hAnsi="Arial"/>
          <w:sz w:val="16"/>
          <w:szCs w:val="16"/>
          <w:color w:val="333333"/>
        </w:rPr>
        <w:t>Vera Bradley, Inc. net loss from continuing operations was impacted by pre-tax charges of $4.5 million for severance charges; $1.7 million for consulting and professional fees primarily associated with strategic initiatives; $1.2 million for professional fees associated with the sale of Pura Vida; $1.0 million for property, plant, and equipment (“PPE”) impairment charges; $0.9 million for transformation initiatives; $0.6 million for PO cancellation fees; and $0.3 million for inventory write-off associated with the sale of Pua Vida. These results also include a total tax impact of $6.1 million adjusted to reflect the tax benefit calculated using a 26% statutory rate applied to the non-GAAP pre-tax loss. The net-of-tax impact totaled $16.3 million. Collectively, these charges negatively impacted EPS from continuing operations by approximately $0.58 in fiscal 2026. Refer to Note 14 of the Notes to the Consolidated Financial Statements set forth in Part II, Item 8 of the Company’s Annual Report on Form 10-K for the fiscal year ended January 31, 2026 for additional information.</w:t>
      </w:r>
    </w:p>
    <w:p>
      <w:pPr>
        <w:spacing w:after="0" w:line="271" w:lineRule="exact"/>
        <w:rPr>
          <w:sz w:val="20"/>
          <w:szCs w:val="20"/>
          <w:color w:val="auto"/>
        </w:rPr>
      </w:pPr>
    </w:p>
    <w:p>
      <w:pPr>
        <w:jc w:val="both"/>
        <w:ind w:left="480"/>
        <w:spacing w:after="0" w:line="246" w:lineRule="auto"/>
        <w:rPr>
          <w:sz w:val="20"/>
          <w:szCs w:val="20"/>
          <w:color w:val="auto"/>
        </w:rPr>
      </w:pPr>
      <w:r>
        <w:rPr>
          <w:rFonts w:ascii="Arial" w:cs="Arial" w:eastAsia="Arial" w:hAnsi="Arial"/>
          <w:sz w:val="16"/>
          <w:szCs w:val="16"/>
          <w:b w:val="1"/>
          <w:bCs w:val="1"/>
          <w:color w:val="337C7D"/>
        </w:rPr>
        <w:t>Fiscal 2025 items impacting comparability</w:t>
      </w:r>
      <w:r>
        <w:rPr>
          <w:rFonts w:ascii="Arial" w:cs="Arial" w:eastAsia="Arial" w:hAnsi="Arial"/>
          <w:sz w:val="16"/>
          <w:szCs w:val="16"/>
          <w:color w:val="333333"/>
        </w:rPr>
        <w:t>. During fiscal 2025,</w:t>
      </w:r>
      <w:r>
        <w:rPr>
          <w:rFonts w:ascii="Arial" w:cs="Arial" w:eastAsia="Arial" w:hAnsi="Arial"/>
          <w:sz w:val="16"/>
          <w:szCs w:val="16"/>
          <w:b w:val="1"/>
          <w:bCs w:val="1"/>
          <w:color w:val="337C7D"/>
        </w:rPr>
        <w:t xml:space="preserve"> </w:t>
      </w:r>
      <w:r>
        <w:rPr>
          <w:rFonts w:ascii="Arial" w:cs="Arial" w:eastAsia="Arial" w:hAnsi="Arial"/>
          <w:sz w:val="16"/>
          <w:szCs w:val="16"/>
          <w:color w:val="333333"/>
        </w:rPr>
        <w:t>Vera Bradley, Inc. net loss was impacted by pre-tax charges of $6.2 million of intangible asset impairment charges; $3.9 million of severance charges; $2.6 million of PPE impairment charges; $1.3 million for the amortization of definite-lived intangible assets; $1.2 million of Project Restoration initiatives; $1.1 million of consulting and professional fees primarily associated with strategic initiatives; $1.1 million for software abandonment; and $0.8 million of one-time vendor charges. These results also include a total tax impact of $25.5 million for tax effects of these items plus a full valuation allowance against all net deferred tax assets, resulting in a total net-of-tax impact of $43.7 million. Collectively, these charges negatively impacted EPS by approximately $1.51 in fiscal 2025. Refer to Notes 15 and 16 of the Notes to the Consolidated Financial Statements 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333333"/>
        </w:rPr>
        <w:t>forth in Part II, Item 8 of the Company’s Annual Report on Form 10-K for the fiscal year ended February 1, 2025 for additional information.</w:t>
      </w:r>
    </w:p>
    <w:p>
      <w:pPr>
        <w:spacing w:after="0" w:line="5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color w:val="337C7D"/>
        </w:rPr>
        <w:t xml:space="preserve">Fiscal 2024 items impacting comparability. </w:t>
      </w:r>
      <w:r>
        <w:rPr>
          <w:rFonts w:ascii="Arial" w:cs="Arial" w:eastAsia="Arial" w:hAnsi="Arial"/>
          <w:sz w:val="16"/>
          <w:szCs w:val="16"/>
          <w:color w:val="333333"/>
        </w:rPr>
        <w:t>During fiscal 2024, Vera</w:t>
      </w:r>
      <w:r>
        <w:rPr>
          <w:rFonts w:ascii="Arial" w:cs="Arial" w:eastAsia="Arial" w:hAnsi="Arial"/>
          <w:sz w:val="16"/>
          <w:szCs w:val="16"/>
          <w:b w:val="1"/>
          <w:bCs w:val="1"/>
          <w:color w:val="337C7D"/>
        </w:rPr>
        <w:t xml:space="preserve"> </w:t>
      </w:r>
      <w:r>
        <w:rPr>
          <w:rFonts w:ascii="Arial" w:cs="Arial" w:eastAsia="Arial" w:hAnsi="Arial"/>
          <w:sz w:val="16"/>
          <w:szCs w:val="16"/>
          <w:color w:val="333333"/>
        </w:rPr>
        <w:t>Bradley, Inc. net income was impacted by pre-tax charges of $5.4 million of intangible asset impairment charges, $2.9 million for the amortization of definite-lived intangible assets, $2.9 million of severance charges, and $0.9 million of consulting and professional fees primarily associated with strategic initiatives. These results also include a total tax impact of $(2.7) million associated with the pre-tax items listed above, resulting in a $9.4 million net-of-tax impact. Collectively, these charges negatively impacted EPS by approximately $0.30 in fiscal 2024. Refer to Notes 15 and 16 of the Notes to the Consolidated Financial Statements set forth in Part II, Item 8 of the Company’s Annual Report on Form 10-K for the fiscal year ended February 3, 2024 for additional information.</w:t>
      </w:r>
    </w:p>
    <w:p>
      <w:pPr>
        <w:spacing w:after="0" w:line="7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color w:val="337C7D"/>
        </w:rPr>
        <w:t>Fiscal 2023 items impacting comparability</w:t>
      </w:r>
      <w:r>
        <w:rPr>
          <w:rFonts w:ascii="Arial" w:cs="Arial" w:eastAsia="Arial" w:hAnsi="Arial"/>
          <w:sz w:val="16"/>
          <w:szCs w:val="16"/>
          <w:color w:val="333333"/>
        </w:rPr>
        <w:t>. During fiscal 2023, Vera</w:t>
      </w:r>
      <w:r>
        <w:rPr>
          <w:rFonts w:ascii="Arial" w:cs="Arial" w:eastAsia="Arial" w:hAnsi="Arial"/>
          <w:sz w:val="16"/>
          <w:szCs w:val="16"/>
          <w:b w:val="1"/>
          <w:bCs w:val="1"/>
          <w:color w:val="337C7D"/>
        </w:rPr>
        <w:t xml:space="preserve"> </w:t>
      </w:r>
      <w:r>
        <w:rPr>
          <w:rFonts w:ascii="Arial" w:cs="Arial" w:eastAsia="Arial" w:hAnsi="Arial"/>
          <w:sz w:val="16"/>
          <w:szCs w:val="16"/>
          <w:color w:val="333333"/>
        </w:rPr>
        <w:t>Bradley, Inc. net loss was impacted by pre-tax charges of $69.3 million of goodwill and intangible asset impairment charges; $9.6 million of severance, retention, and former CEO stock-based compensation charges associated with retirement; $4.3 million of consulting and professional fees primarily associated with cost savings initiatives, the CEO search, and strategic initiatives; $3.3 million for the amortization of definite-lived intangible assets; $1.6 of PO cancellation fees; $1.3 million of store and right-of-use asset impairment charges; $1.0 million related to the new CEO sign-on bonus and relocation expenses; and $0.1 million of goodMRKT brand exit costs. These results also include a total tax impact of $(15.7) million for tax effects of these items, resulting in a net-of-tax impact of $74.8 million. Collectively, these charges negatively impacted EPS by approximately $1.79 in fiscal 2023. Refer to Notes 15 and 16 of the Notes to the Consolidated Financial Statements set forth in Part II, Item 8 of the Company’s Annual Report on Form 10-K for the fiscal year ended January 28, 2023 for additional information.</w:t>
      </w:r>
    </w:p>
    <w:p>
      <w:pPr>
        <w:spacing w:after="0" w:line="756" w:lineRule="exact"/>
        <w:rPr>
          <w:sz w:val="20"/>
          <w:szCs w:val="20"/>
          <w:color w:val="auto"/>
        </w:rPr>
      </w:pPr>
    </w:p>
    <w:p>
      <w:pPr>
        <w:sectPr>
          <w:pgSz w:w="11900" w:h="16838" w:orient="portrait"/>
          <w:cols w:equalWidth="0" w:num="2">
            <w:col w:w="5420" w:space="300"/>
            <w:col w:w="5040"/>
          </w:cols>
          <w:pgMar w:left="320" w:top="478"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0"/>
        <w:spacing w:after="0"/>
        <w:tabs>
          <w:tab w:leader="none" w:pos="4940" w:val="left"/>
        </w:tabs>
        <w:rPr>
          <w:sz w:val="20"/>
          <w:szCs w:val="20"/>
          <w:color w:val="auto"/>
        </w:rPr>
      </w:pPr>
      <w:r>
        <w:rPr>
          <w:rFonts w:ascii="Arial" w:cs="Arial" w:eastAsia="Arial" w:hAnsi="Arial"/>
          <w:sz w:val="14"/>
          <w:szCs w:val="14"/>
          <w:color w:val="005C5D"/>
        </w:rPr>
        <w:t xml:space="preserve">2 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3"/>
          <w:szCs w:val="13"/>
          <w:b w:val="1"/>
          <w:bCs w:val="1"/>
          <w:color w:val="005C5D"/>
        </w:rPr>
        <w:t>VERA BRADLEY, INC.</w:t>
      </w:r>
    </w:p>
    <w:p>
      <w:pPr>
        <w:sectPr>
          <w:pgSz w:w="11900" w:h="16838" w:orient="portrait"/>
          <w:cols w:equalWidth="0" w:num="1">
            <w:col w:w="10760"/>
          </w:cols>
          <w:pgMar w:left="320" w:top="478" w:right="81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7005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9755" cy="7005955"/>
                    </a:xfrm>
                    <a:prstGeom prst="rect">
                      <a:avLst/>
                    </a:prstGeom>
                    <a:noFill/>
                  </pic:spPr>
                </pic:pic>
              </a:graphicData>
            </a:graphic>
          </wp:anchor>
        </w:drawing>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Proxy Summary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005C5D"/>
        </w:rPr>
        <w:t>Corporate Responsibility &amp; Sustainability</w:t>
      </w:r>
    </w:p>
    <w:p>
      <w:pPr>
        <w:sectPr>
          <w:pgSz w:w="11900" w:h="16838" w:orient="portrait"/>
          <w:cols w:equalWidth="0" w:num="1">
            <w:col w:w="10760"/>
          </w:cols>
          <w:pgMar w:left="320" w:top="478" w:right="819" w:bottom="1440" w:gutter="0" w:footer="0" w:header="0"/>
        </w:sectPr>
      </w:pPr>
    </w:p>
    <w:p>
      <w:pPr>
        <w:spacing w:after="0" w:line="288" w:lineRule="exact"/>
        <w:rPr>
          <w:sz w:val="20"/>
          <w:szCs w:val="20"/>
          <w:color w:val="auto"/>
        </w:rPr>
      </w:pPr>
    </w:p>
    <w:p>
      <w:pPr>
        <w:jc w:val="both"/>
        <w:ind w:left="480"/>
        <w:spacing w:after="0" w:line="250" w:lineRule="auto"/>
        <w:rPr>
          <w:sz w:val="20"/>
          <w:szCs w:val="20"/>
          <w:color w:val="auto"/>
        </w:rPr>
      </w:pPr>
      <w:r>
        <w:rPr>
          <w:rFonts w:ascii="Arial" w:cs="Arial" w:eastAsia="Arial" w:hAnsi="Arial"/>
          <w:sz w:val="16"/>
          <w:szCs w:val="16"/>
          <w:color w:val="333333"/>
        </w:rPr>
        <w:t>Our Company’s strategic direction is fueled by our core values and guided by our desire to create net-positive social, environmental, community, and shareholder gains, by focusing on our products, our communities, and our planet. In each of these areas, we evaluate the impact related to our practices, considering risks and opportunities, making real and measurable progress, and ensuring transparency with our stakeholders.</w:t>
      </w:r>
    </w:p>
    <w:p>
      <w:pPr>
        <w:spacing w:after="0" w:line="76" w:lineRule="exact"/>
        <w:rPr>
          <w:sz w:val="20"/>
          <w:szCs w:val="20"/>
          <w:color w:val="auto"/>
        </w:rPr>
      </w:pPr>
    </w:p>
    <w:p>
      <w:pPr>
        <w:jc w:val="both"/>
        <w:ind w:left="480"/>
        <w:spacing w:after="0" w:line="256" w:lineRule="auto"/>
        <w:rPr>
          <w:sz w:val="20"/>
          <w:szCs w:val="20"/>
          <w:color w:val="auto"/>
        </w:rPr>
      </w:pPr>
      <w:r>
        <w:rPr>
          <w:rFonts w:ascii="Arial" w:cs="Arial" w:eastAsia="Arial" w:hAnsi="Arial"/>
          <w:sz w:val="16"/>
          <w:szCs w:val="16"/>
          <w:color w:val="333333"/>
        </w:rPr>
        <w:t>Vera Bradley, Inc. is committed to responsible, clear, and open business practices. We believe credibility, integrity, and trustworthiness, along with our core values, are critical components of the current and future success of our business.</w:t>
      </w:r>
    </w:p>
    <w:p>
      <w:pPr>
        <w:spacing w:after="0" w:line="71" w:lineRule="exact"/>
        <w:rPr>
          <w:sz w:val="20"/>
          <w:szCs w:val="20"/>
          <w:color w:val="auto"/>
        </w:rPr>
      </w:pPr>
    </w:p>
    <w:p>
      <w:pPr>
        <w:jc w:val="both"/>
        <w:ind w:left="480"/>
        <w:spacing w:after="0" w:line="256" w:lineRule="auto"/>
        <w:rPr>
          <w:sz w:val="20"/>
          <w:szCs w:val="20"/>
          <w:color w:val="auto"/>
        </w:rPr>
      </w:pPr>
      <w:r>
        <w:rPr>
          <w:rFonts w:ascii="Arial" w:cs="Arial" w:eastAsia="Arial" w:hAnsi="Arial"/>
          <w:sz w:val="16"/>
          <w:szCs w:val="16"/>
          <w:color w:val="333333"/>
        </w:rPr>
        <w:t xml:space="preserve">Our Corporate Social Responsibility &amp; Sustainability Report, which can be found at </w:t>
      </w:r>
      <w:r>
        <w:rPr>
          <w:rFonts w:ascii="Arial" w:cs="Arial" w:eastAsia="Arial" w:hAnsi="Arial"/>
          <w:sz w:val="16"/>
          <w:szCs w:val="16"/>
          <w:u w:val="single" w:color="auto"/>
          <w:color w:val="333333"/>
        </w:rPr>
        <w:t>https://verabradley.com</w:t>
      </w:r>
      <w:r>
        <w:rPr>
          <w:rFonts w:ascii="Arial" w:cs="Arial" w:eastAsia="Arial" w:hAnsi="Arial"/>
          <w:sz w:val="16"/>
          <w:szCs w:val="16"/>
          <w:color w:val="333333"/>
        </w:rPr>
        <w:t>/</w:t>
      </w:r>
      <w:r>
        <w:rPr>
          <w:rFonts w:ascii="Arial" w:cs="Arial" w:eastAsia="Arial" w:hAnsi="Arial"/>
          <w:sz w:val="16"/>
          <w:szCs w:val="16"/>
          <w:u w:val="single" w:color="auto"/>
          <w:color w:val="333333"/>
        </w:rPr>
        <w:t>pages/corporate-responsibility</w:t>
      </w:r>
      <w:r>
        <w:rPr>
          <w:rFonts w:ascii="Arial" w:cs="Arial" w:eastAsia="Arial" w:hAnsi="Arial"/>
          <w:sz w:val="16"/>
          <w:szCs w:val="16"/>
          <w:color w:val="333333"/>
        </w:rPr>
        <w:t>, provides an update on progress we have made related to our many Corporate</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333333"/>
        </w:rPr>
        <w:t>responsibility and sustainability initiatives. In Fiscal 2026, among other things, we further enhanced the quality of our products, elevated our responsible sourcing efforts, and made a meaningful impact through our Vera Bradley Foundation for Breast Cancer.</w:t>
      </w:r>
    </w:p>
    <w:p>
      <w:pPr>
        <w:spacing w:after="0" w:line="7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333333"/>
        </w:rPr>
        <w:t>We are excited about the future and returning our Company to sustainable, profitable growth and strong cash flow, which we believe will deliver long-term value to our shareholders. Our strategic plan, Project Sunshine, is designed to strengthen our market position. As we improve the health of our brands and our Company, we remain committed to being a responsible and sustainable business and devoting appropriate resources to the areas that are most impactful to our stakeholders — our customers, our Associates, our shareholders, and our communities.</w:t>
      </w:r>
    </w:p>
    <w:p>
      <w:pPr>
        <w:spacing w:after="0" w:line="659" w:lineRule="exact"/>
        <w:rPr>
          <w:sz w:val="20"/>
          <w:szCs w:val="20"/>
          <w:color w:val="auto"/>
        </w:rPr>
      </w:pPr>
    </w:p>
    <w:p>
      <w:pPr>
        <w:sectPr>
          <w:pgSz w:w="11900" w:h="16838" w:orient="portrait"/>
          <w:cols w:equalWidth="0" w:num="2">
            <w:col w:w="5420" w:space="300"/>
            <w:col w:w="5040"/>
          </w:cols>
          <w:pgMar w:left="320" w:top="478" w:right="819" w:bottom="1440" w:gutter="0" w:footer="0" w:header="0"/>
          <w:type w:val="continuous"/>
        </w:sectPr>
      </w:pPr>
    </w:p>
    <w:p>
      <w:pPr>
        <w:ind w:left="480"/>
        <w:spacing w:after="0"/>
        <w:rPr>
          <w:sz w:val="20"/>
          <w:szCs w:val="20"/>
          <w:color w:val="auto"/>
        </w:rPr>
      </w:pPr>
      <w:r>
        <w:rPr>
          <w:rFonts w:ascii="Arial" w:cs="Arial" w:eastAsia="Arial" w:hAnsi="Arial"/>
          <w:sz w:val="20"/>
          <w:szCs w:val="20"/>
          <w:b w:val="1"/>
          <w:bCs w:val="1"/>
          <w:color w:val="005C5D"/>
        </w:rPr>
        <w:t>EXECUTIVE COMPENSATION</w:t>
      </w:r>
    </w:p>
    <w:p>
      <w:pPr>
        <w:spacing w:after="0" w:line="167" w:lineRule="exact"/>
        <w:rPr>
          <w:sz w:val="20"/>
          <w:szCs w:val="20"/>
          <w:color w:val="auto"/>
        </w:rPr>
      </w:pPr>
    </w:p>
    <w:p>
      <w:pPr>
        <w:jc w:val="both"/>
        <w:ind w:left="480"/>
        <w:spacing w:after="0" w:line="253" w:lineRule="auto"/>
        <w:rPr>
          <w:sz w:val="20"/>
          <w:szCs w:val="20"/>
          <w:color w:val="auto"/>
        </w:rPr>
      </w:pPr>
      <w:r>
        <w:rPr>
          <w:rFonts w:ascii="Arial" w:cs="Arial" w:eastAsia="Arial" w:hAnsi="Arial"/>
          <w:sz w:val="16"/>
          <w:szCs w:val="16"/>
          <w:b w:val="1"/>
          <w:bCs w:val="1"/>
          <w:color w:val="337C7D"/>
        </w:rPr>
        <w:t>Sound program design</w:t>
      </w:r>
      <w:r>
        <w:rPr>
          <w:rFonts w:ascii="Arial" w:cs="Arial" w:eastAsia="Arial" w:hAnsi="Arial"/>
          <w:sz w:val="16"/>
          <w:szCs w:val="16"/>
          <w:color w:val="333333"/>
        </w:rPr>
        <w:t>. We have designed our executive officer</w:t>
      </w:r>
      <w:r>
        <w:rPr>
          <w:rFonts w:ascii="Arial" w:cs="Arial" w:eastAsia="Arial" w:hAnsi="Arial"/>
          <w:sz w:val="16"/>
          <w:szCs w:val="16"/>
          <w:b w:val="1"/>
          <w:bCs w:val="1"/>
          <w:color w:val="337C7D"/>
        </w:rPr>
        <w:t xml:space="preserve"> </w:t>
      </w:r>
      <w:r>
        <w:rPr>
          <w:rFonts w:ascii="Arial" w:cs="Arial" w:eastAsia="Arial" w:hAnsi="Arial"/>
          <w:sz w:val="16"/>
          <w:szCs w:val="16"/>
          <w:color w:val="333333"/>
        </w:rPr>
        <w:t>compensation programs to attract, motivate, and retain the key executives who drive our success. Pay that reflects performance and alignment with the interests of long-term shareholders are key principles. We achieve our objectives through compensation that:</w:t>
      </w:r>
    </w:p>
    <w:p>
      <w:pPr>
        <w:spacing w:after="0" w:line="47" w:lineRule="exact"/>
        <w:rPr>
          <w:sz w:val="20"/>
          <w:szCs w:val="20"/>
          <w:color w:val="auto"/>
        </w:rPr>
      </w:pPr>
    </w:p>
    <w:p>
      <w:pPr>
        <w:ind w:left="700" w:hanging="210"/>
        <w:spacing w:after="0"/>
        <w:tabs>
          <w:tab w:leader="none" w:pos="700" w:val="left"/>
        </w:tabs>
        <w:numPr>
          <w:ilvl w:val="0"/>
          <w:numId w:val="11"/>
        </w:numPr>
        <w:rPr>
          <w:rFonts w:ascii="Arial" w:cs="Arial" w:eastAsia="Arial" w:hAnsi="Arial"/>
          <w:sz w:val="16"/>
          <w:szCs w:val="16"/>
          <w:color w:val="333333"/>
        </w:rPr>
      </w:pPr>
      <w:r>
        <w:rPr>
          <w:rFonts w:ascii="Arial" w:cs="Arial" w:eastAsia="Arial" w:hAnsi="Arial"/>
          <w:sz w:val="16"/>
          <w:szCs w:val="16"/>
          <w:color w:val="333333"/>
        </w:rPr>
        <w:t>Provides a competitive total pay opportunity;</w:t>
      </w:r>
    </w:p>
    <w:p>
      <w:pPr>
        <w:spacing w:after="0" w:line="83" w:lineRule="exact"/>
        <w:rPr>
          <w:rFonts w:ascii="Arial" w:cs="Arial" w:eastAsia="Arial" w:hAnsi="Arial"/>
          <w:sz w:val="16"/>
          <w:szCs w:val="16"/>
          <w:color w:val="333333"/>
        </w:rPr>
      </w:pPr>
    </w:p>
    <w:p>
      <w:pPr>
        <w:ind w:left="700" w:right="20" w:hanging="210"/>
        <w:spacing w:after="0" w:line="279" w:lineRule="auto"/>
        <w:tabs>
          <w:tab w:leader="none" w:pos="700" w:val="left"/>
        </w:tabs>
        <w:numPr>
          <w:ilvl w:val="0"/>
          <w:numId w:val="11"/>
        </w:numPr>
        <w:rPr>
          <w:rFonts w:ascii="Arial" w:cs="Arial" w:eastAsia="Arial" w:hAnsi="Arial"/>
          <w:sz w:val="16"/>
          <w:szCs w:val="16"/>
          <w:color w:val="333333"/>
        </w:rPr>
      </w:pPr>
      <w:r>
        <w:rPr>
          <w:rFonts w:ascii="Arial" w:cs="Arial" w:eastAsia="Arial" w:hAnsi="Arial"/>
          <w:sz w:val="16"/>
          <w:szCs w:val="16"/>
          <w:color w:val="333333"/>
        </w:rPr>
        <w:t>Links a significant portion of total compensation to performance that we believe will create long-term shareholder value;</w:t>
      </w:r>
    </w:p>
    <w:p>
      <w:pPr>
        <w:spacing w:after="0" w:line="26" w:lineRule="exact"/>
        <w:rPr>
          <w:rFonts w:ascii="Arial" w:cs="Arial" w:eastAsia="Arial" w:hAnsi="Arial"/>
          <w:sz w:val="16"/>
          <w:szCs w:val="16"/>
          <w:color w:val="333333"/>
        </w:rPr>
      </w:pPr>
    </w:p>
    <w:p>
      <w:pPr>
        <w:ind w:left="700" w:right="20" w:hanging="210"/>
        <w:spacing w:after="0" w:line="279" w:lineRule="auto"/>
        <w:tabs>
          <w:tab w:leader="none" w:pos="700" w:val="left"/>
        </w:tabs>
        <w:numPr>
          <w:ilvl w:val="0"/>
          <w:numId w:val="11"/>
        </w:numPr>
        <w:rPr>
          <w:rFonts w:ascii="Arial" w:cs="Arial" w:eastAsia="Arial" w:hAnsi="Arial"/>
          <w:sz w:val="16"/>
          <w:szCs w:val="16"/>
          <w:color w:val="333333"/>
        </w:rPr>
      </w:pPr>
      <w:r>
        <w:rPr>
          <w:rFonts w:ascii="Arial" w:cs="Arial" w:eastAsia="Arial" w:hAnsi="Arial"/>
          <w:sz w:val="16"/>
          <w:szCs w:val="16"/>
          <w:color w:val="333333"/>
        </w:rPr>
        <w:t>Enhances retention by subjecting a meaningful portion of total compensation to multi-year vesting; and</w:t>
      </w:r>
    </w:p>
    <w:p>
      <w:pPr>
        <w:spacing w:after="0" w:line="26" w:lineRule="exact"/>
        <w:rPr>
          <w:rFonts w:ascii="Arial" w:cs="Arial" w:eastAsia="Arial" w:hAnsi="Arial"/>
          <w:sz w:val="16"/>
          <w:szCs w:val="16"/>
          <w:color w:val="333333"/>
        </w:rPr>
      </w:pPr>
    </w:p>
    <w:p>
      <w:pPr>
        <w:ind w:left="700" w:hanging="210"/>
        <w:spacing w:after="0"/>
        <w:tabs>
          <w:tab w:leader="none" w:pos="700" w:val="left"/>
        </w:tabs>
        <w:numPr>
          <w:ilvl w:val="0"/>
          <w:numId w:val="11"/>
        </w:numPr>
        <w:rPr>
          <w:rFonts w:ascii="Arial" w:cs="Arial" w:eastAsia="Arial" w:hAnsi="Arial"/>
          <w:sz w:val="16"/>
          <w:szCs w:val="16"/>
          <w:color w:val="333333"/>
        </w:rPr>
      </w:pPr>
      <w:r>
        <w:rPr>
          <w:rFonts w:ascii="Arial" w:cs="Arial" w:eastAsia="Arial" w:hAnsi="Arial"/>
          <w:sz w:val="16"/>
          <w:szCs w:val="16"/>
          <w:color w:val="333333"/>
        </w:rPr>
        <w:t>Does not encourage unnecessary and excessive risk taking.</w:t>
      </w:r>
    </w:p>
    <w:p>
      <w:pPr>
        <w:spacing w:after="0" w:line="110" w:lineRule="exact"/>
        <w:rPr>
          <w:sz w:val="20"/>
          <w:szCs w:val="20"/>
          <w:color w:val="auto"/>
        </w:rPr>
      </w:pPr>
    </w:p>
    <w:p>
      <w:pPr>
        <w:jc w:val="both"/>
        <w:ind w:left="480"/>
        <w:spacing w:after="0" w:line="249" w:lineRule="auto"/>
        <w:rPr>
          <w:sz w:val="20"/>
          <w:szCs w:val="20"/>
          <w:color w:val="auto"/>
        </w:rPr>
      </w:pPr>
      <w:r>
        <w:rPr>
          <w:rFonts w:ascii="Arial" w:cs="Arial" w:eastAsia="Arial" w:hAnsi="Arial"/>
          <w:sz w:val="16"/>
          <w:szCs w:val="16"/>
          <w:b w:val="1"/>
          <w:bCs w:val="1"/>
          <w:color w:val="337C7D"/>
        </w:rPr>
        <w:t>Pay practices</w:t>
      </w:r>
      <w:r>
        <w:rPr>
          <w:rFonts w:ascii="Arial" w:cs="Arial" w:eastAsia="Arial" w:hAnsi="Arial"/>
          <w:sz w:val="16"/>
          <w:szCs w:val="16"/>
          <w:color w:val="333333"/>
        </w:rPr>
        <w:t>. We believe that appropriate corporate governance of</w:t>
      </w:r>
      <w:r>
        <w:rPr>
          <w:rFonts w:ascii="Arial" w:cs="Arial" w:eastAsia="Arial" w:hAnsi="Arial"/>
          <w:sz w:val="16"/>
          <w:szCs w:val="16"/>
          <w:b w:val="1"/>
          <w:bCs w:val="1"/>
          <w:color w:val="337C7D"/>
        </w:rPr>
        <w:t xml:space="preserve"> </w:t>
      </w:r>
      <w:r>
        <w:rPr>
          <w:rFonts w:ascii="Arial" w:cs="Arial" w:eastAsia="Arial" w:hAnsi="Arial"/>
          <w:sz w:val="16"/>
          <w:szCs w:val="16"/>
          <w:color w:val="333333"/>
        </w:rPr>
        <w:t>our executive compensation program is enhanced by a number of practices, including use by the Talent and Compensation Committee of its own independent consultant and compensation tools, the absence of tax gross-ups in any of our compensation programs (including no excise tax gross-ups), and stock ownership guidelines applicable to directors and officers that align shareholder interests by requiring executives to own stock in the Company.</w:t>
      </w:r>
    </w:p>
    <w:p>
      <w:pPr>
        <w:spacing w:after="0" w:line="78" w:lineRule="exact"/>
        <w:rPr>
          <w:sz w:val="20"/>
          <w:szCs w:val="20"/>
          <w:color w:val="auto"/>
        </w:rPr>
      </w:pPr>
    </w:p>
    <w:p>
      <w:pPr>
        <w:jc w:val="both"/>
        <w:ind w:left="480"/>
        <w:spacing w:after="0" w:line="279" w:lineRule="auto"/>
        <w:rPr>
          <w:sz w:val="20"/>
          <w:szCs w:val="20"/>
          <w:color w:val="auto"/>
        </w:rPr>
      </w:pPr>
      <w:r>
        <w:rPr>
          <w:rFonts w:ascii="Arial" w:cs="Arial" w:eastAsia="Arial" w:hAnsi="Arial"/>
          <w:sz w:val="16"/>
          <w:szCs w:val="16"/>
          <w:b w:val="1"/>
          <w:bCs w:val="1"/>
          <w:color w:val="005C5D"/>
        </w:rPr>
        <w:t>Pay for performance</w:t>
      </w:r>
      <w:r>
        <w:rPr>
          <w:rFonts w:ascii="Arial" w:cs="Arial" w:eastAsia="Arial" w:hAnsi="Arial"/>
          <w:sz w:val="16"/>
          <w:szCs w:val="16"/>
          <w:color w:val="333333"/>
        </w:rPr>
        <w:t>. Our compensation program allows our Talent</w:t>
      </w:r>
      <w:r>
        <w:rPr>
          <w:rFonts w:ascii="Arial" w:cs="Arial" w:eastAsia="Arial" w:hAnsi="Arial"/>
          <w:sz w:val="16"/>
          <w:szCs w:val="16"/>
          <w:b w:val="1"/>
          <w:bCs w:val="1"/>
          <w:color w:val="005C5D"/>
        </w:rPr>
        <w:t xml:space="preserve"> </w:t>
      </w:r>
      <w:r>
        <w:rPr>
          <w:rFonts w:ascii="Arial" w:cs="Arial" w:eastAsia="Arial" w:hAnsi="Arial"/>
          <w:sz w:val="16"/>
          <w:szCs w:val="16"/>
          <w:color w:val="333333"/>
        </w:rPr>
        <w:t>and Compensation Committee to</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333333"/>
        </w:rPr>
        <w:t>determine pay based on a comprehensive view of quantitative and qualitative factors designed to produce long-term business success. The correlation between our financial results and executive officer compensation awarded, as described in the “Executive Compensation Discussion and Analysis” or “CD&amp;A” which follows in this proxy statement, aligns the interests of our executive officers with those of the Company. Specifically in fiscal 2026:</w:t>
      </w:r>
    </w:p>
    <w:p>
      <w:pPr>
        <w:spacing w:after="0" w:line="49" w:lineRule="exact"/>
        <w:rPr>
          <w:sz w:val="20"/>
          <w:szCs w:val="20"/>
          <w:color w:val="auto"/>
        </w:rPr>
      </w:pPr>
    </w:p>
    <w:p>
      <w:pPr>
        <w:jc w:val="both"/>
        <w:ind w:left="200" w:hanging="194"/>
        <w:spacing w:after="0" w:line="262" w:lineRule="auto"/>
        <w:tabs>
          <w:tab w:leader="none" w:pos="200" w:val="left"/>
        </w:tabs>
        <w:numPr>
          <w:ilvl w:val="0"/>
          <w:numId w:val="12"/>
        </w:numPr>
        <w:rPr>
          <w:rFonts w:ascii="Arial" w:cs="Arial" w:eastAsia="Arial" w:hAnsi="Arial"/>
          <w:sz w:val="16"/>
          <w:szCs w:val="16"/>
          <w:color w:val="333333"/>
        </w:rPr>
      </w:pPr>
      <w:r>
        <w:rPr>
          <w:rFonts w:ascii="Arial" w:cs="Arial" w:eastAsia="Arial" w:hAnsi="Arial"/>
          <w:sz w:val="16"/>
          <w:szCs w:val="16"/>
          <w:color w:val="333333"/>
        </w:rPr>
        <w:t>The Company’s operating loss in fiscal 2026 decreased from the prior year operating loss, resulting in increased payouts under the Company’s long-term and short-term incentive plans.</w:t>
      </w:r>
    </w:p>
    <w:p>
      <w:pPr>
        <w:spacing w:after="0" w:line="39" w:lineRule="exact"/>
        <w:rPr>
          <w:rFonts w:ascii="Arial" w:cs="Arial" w:eastAsia="Arial" w:hAnsi="Arial"/>
          <w:sz w:val="16"/>
          <w:szCs w:val="16"/>
          <w:color w:val="333333"/>
        </w:rPr>
      </w:pPr>
    </w:p>
    <w:p>
      <w:pPr>
        <w:ind w:left="200" w:right="20" w:hanging="194"/>
        <w:spacing w:after="0" w:line="279" w:lineRule="auto"/>
        <w:tabs>
          <w:tab w:leader="none" w:pos="200" w:val="left"/>
        </w:tabs>
        <w:numPr>
          <w:ilvl w:val="0"/>
          <w:numId w:val="12"/>
        </w:numPr>
        <w:rPr>
          <w:rFonts w:ascii="Arial" w:cs="Arial" w:eastAsia="Arial" w:hAnsi="Arial"/>
          <w:sz w:val="16"/>
          <w:szCs w:val="16"/>
          <w:color w:val="333333"/>
        </w:rPr>
      </w:pPr>
      <w:r>
        <w:rPr>
          <w:rFonts w:ascii="Arial" w:cs="Arial" w:eastAsia="Arial" w:hAnsi="Arial"/>
          <w:sz w:val="16"/>
          <w:szCs w:val="16"/>
          <w:color w:val="333333"/>
        </w:rPr>
        <w:t>The Company achieved above-threshold level for its net revenue metrics.</w:t>
      </w:r>
    </w:p>
    <w:p>
      <w:pPr>
        <w:spacing w:after="0" w:line="26" w:lineRule="exact"/>
        <w:rPr>
          <w:rFonts w:ascii="Arial" w:cs="Arial" w:eastAsia="Arial" w:hAnsi="Arial"/>
          <w:sz w:val="16"/>
          <w:szCs w:val="16"/>
          <w:color w:val="333333"/>
        </w:rPr>
      </w:pPr>
    </w:p>
    <w:p>
      <w:pPr>
        <w:jc w:val="both"/>
        <w:ind w:left="200" w:hanging="194"/>
        <w:spacing w:after="0" w:line="262" w:lineRule="auto"/>
        <w:tabs>
          <w:tab w:leader="none" w:pos="200" w:val="left"/>
        </w:tabs>
        <w:numPr>
          <w:ilvl w:val="0"/>
          <w:numId w:val="12"/>
        </w:numPr>
        <w:rPr>
          <w:rFonts w:ascii="Arial" w:cs="Arial" w:eastAsia="Arial" w:hAnsi="Arial"/>
          <w:sz w:val="16"/>
          <w:szCs w:val="16"/>
          <w:color w:val="333333"/>
        </w:rPr>
      </w:pPr>
      <w:r>
        <w:rPr>
          <w:rFonts w:ascii="Arial" w:cs="Arial" w:eastAsia="Arial" w:hAnsi="Arial"/>
          <w:sz w:val="16"/>
          <w:szCs w:val="16"/>
          <w:color w:val="333333"/>
        </w:rPr>
        <w:t>The Company’s net operating income threshold levels were not achieved. Therefore, there were no payouts for this element of the Company’s short-term incentive plan.</w:t>
      </w:r>
    </w:p>
    <w:p>
      <w:pPr>
        <w:spacing w:after="0" w:line="39" w:lineRule="exact"/>
        <w:rPr>
          <w:rFonts w:ascii="Arial" w:cs="Arial" w:eastAsia="Arial" w:hAnsi="Arial"/>
          <w:sz w:val="16"/>
          <w:szCs w:val="16"/>
          <w:color w:val="333333"/>
        </w:rPr>
      </w:pPr>
    </w:p>
    <w:p>
      <w:pPr>
        <w:jc w:val="both"/>
        <w:ind w:left="200" w:right="20" w:hanging="194"/>
        <w:spacing w:after="0" w:line="256" w:lineRule="auto"/>
        <w:tabs>
          <w:tab w:leader="none" w:pos="200" w:val="left"/>
        </w:tabs>
        <w:numPr>
          <w:ilvl w:val="0"/>
          <w:numId w:val="12"/>
        </w:numPr>
        <w:rPr>
          <w:rFonts w:ascii="Arial" w:cs="Arial" w:eastAsia="Arial" w:hAnsi="Arial"/>
          <w:sz w:val="16"/>
          <w:szCs w:val="16"/>
          <w:color w:val="333333"/>
        </w:rPr>
      </w:pPr>
      <w:r>
        <w:rPr>
          <w:rFonts w:ascii="Arial" w:cs="Arial" w:eastAsia="Arial" w:hAnsi="Arial"/>
          <w:sz w:val="16"/>
          <w:szCs w:val="16"/>
          <w:color w:val="333333"/>
        </w:rPr>
        <w:t>The Company achieved below threshold adjusted Earnings Before Income Tax, Depreciation, and Amortization (“EBITDA”), therefore there was no payout for the performance-based units associated with the fiscal 2026 grant.</w:t>
      </w:r>
    </w:p>
    <w:p>
      <w:pPr>
        <w:spacing w:after="0" w:line="44" w:lineRule="exact"/>
        <w:rPr>
          <w:rFonts w:ascii="Arial" w:cs="Arial" w:eastAsia="Arial" w:hAnsi="Arial"/>
          <w:sz w:val="16"/>
          <w:szCs w:val="16"/>
          <w:color w:val="333333"/>
        </w:rPr>
      </w:pPr>
    </w:p>
    <w:p>
      <w:pPr>
        <w:jc w:val="both"/>
        <w:ind w:left="200" w:right="20" w:hanging="194"/>
        <w:spacing w:after="0" w:line="256" w:lineRule="auto"/>
        <w:tabs>
          <w:tab w:leader="none" w:pos="200" w:val="left"/>
        </w:tabs>
        <w:numPr>
          <w:ilvl w:val="0"/>
          <w:numId w:val="12"/>
        </w:numPr>
        <w:rPr>
          <w:rFonts w:ascii="Arial" w:cs="Arial" w:eastAsia="Arial" w:hAnsi="Arial"/>
          <w:sz w:val="16"/>
          <w:szCs w:val="16"/>
          <w:color w:val="333333"/>
        </w:rPr>
      </w:pPr>
      <w:r>
        <w:rPr>
          <w:rFonts w:ascii="Arial" w:cs="Arial" w:eastAsia="Arial" w:hAnsi="Arial"/>
          <w:sz w:val="16"/>
          <w:szCs w:val="16"/>
          <w:color w:val="333333"/>
        </w:rPr>
        <w:t>The Company achieved above threshold level of its adjusted EPS metric for the fiscal 2026 performance year of the prior-year performance-based restricted stock unit grants. Long-term incentive was partially earned for these performance grants.</w:t>
      </w:r>
    </w:p>
    <w:p>
      <w:pPr>
        <w:spacing w:after="0" w:line="200" w:lineRule="exact"/>
        <w:rPr>
          <w:sz w:val="20"/>
          <w:szCs w:val="20"/>
          <w:color w:val="auto"/>
        </w:rPr>
      </w:pPr>
    </w:p>
    <w:p>
      <w:pPr>
        <w:sectPr>
          <w:pgSz w:w="11900" w:h="16838" w:orient="portrait"/>
          <w:cols w:equalWidth="0" w:num="2">
            <w:col w:w="5420" w:space="300"/>
            <w:col w:w="5040"/>
          </w:cols>
          <w:pgMar w:left="320" w:top="478" w:right="819" w:bottom="1440" w:gutter="0" w:footer="0" w:header="0"/>
          <w:type w:val="continuous"/>
        </w:sectPr>
      </w:pPr>
    </w:p>
    <w:p>
      <w:pPr>
        <w:spacing w:after="0" w:line="384" w:lineRule="exact"/>
        <w:rPr>
          <w:sz w:val="20"/>
          <w:szCs w:val="20"/>
          <w:color w:val="auto"/>
        </w:rPr>
      </w:pPr>
    </w:p>
    <w:p>
      <w:pPr>
        <w:ind w:left="4960"/>
        <w:spacing w:after="0"/>
        <w:tabs>
          <w:tab w:leader="none" w:pos="8840" w:val="left"/>
          <w:tab w:leader="none" w:pos="1066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3</w:t>
      </w:r>
    </w:p>
    <w:p>
      <w:pPr>
        <w:sectPr>
          <w:pgSz w:w="11900" w:h="16838" w:orient="portrait"/>
          <w:cols w:equalWidth="0" w:num="1">
            <w:col w:w="10760"/>
          </w:cols>
          <w:pgMar w:left="320" w:top="478" w:right="8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7269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9755" cy="7269480"/>
                    </a:xfrm>
                    <a:prstGeom prst="rect">
                      <a:avLst/>
                    </a:prstGeom>
                    <a:noFill/>
                  </pic:spPr>
                </pic:pic>
              </a:graphicData>
            </a:graphic>
          </wp:anchor>
        </w:drawing>
      </w:r>
    </w:p>
    <w:p>
      <w:pPr>
        <w:spacing w:after="0" w:line="334" w:lineRule="exact"/>
        <w:rPr>
          <w:sz w:val="20"/>
          <w:szCs w:val="20"/>
          <w:color w:val="auto"/>
        </w:rPr>
      </w:pPr>
    </w:p>
    <w:p>
      <w:pPr>
        <w:jc w:val="right"/>
        <w:ind w:right="9260"/>
        <w:spacing w:after="0"/>
        <w:rPr>
          <w:sz w:val="20"/>
          <w:szCs w:val="20"/>
          <w:color w:val="auto"/>
        </w:rPr>
      </w:pPr>
      <w:r>
        <w:rPr>
          <w:rFonts w:ascii="Arial" w:cs="Arial" w:eastAsia="Arial" w:hAnsi="Arial"/>
          <w:sz w:val="14"/>
          <w:szCs w:val="14"/>
          <w:color w:val="005C5D"/>
        </w:rPr>
        <w:t>Proxy Summary</w:t>
      </w:r>
    </w:p>
    <w:p>
      <w:pPr>
        <w:sectPr>
          <w:pgSz w:w="11900" w:h="16838" w:orient="portrait"/>
          <w:cols w:equalWidth="0" w:num="1">
            <w:col w:w="10760"/>
          </w:cols>
          <w:pgMar w:left="320" w:top="478"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700" w:hanging="210"/>
        <w:spacing w:after="0" w:line="253" w:lineRule="auto"/>
        <w:tabs>
          <w:tab w:leader="none" w:pos="700" w:val="left"/>
        </w:tabs>
        <w:numPr>
          <w:ilvl w:val="0"/>
          <w:numId w:val="13"/>
        </w:numPr>
        <w:rPr>
          <w:rFonts w:ascii="Arial" w:cs="Arial" w:eastAsia="Arial" w:hAnsi="Arial"/>
          <w:sz w:val="16"/>
          <w:szCs w:val="16"/>
          <w:color w:val="333333"/>
        </w:rPr>
      </w:pPr>
      <w:r>
        <w:rPr>
          <w:rFonts w:ascii="Arial" w:cs="Arial" w:eastAsia="Arial" w:hAnsi="Arial"/>
          <w:sz w:val="16"/>
          <w:szCs w:val="16"/>
          <w:color w:val="333333"/>
        </w:rPr>
        <w:t>In addition to financial goals, the annual incentive opportunity included a key strategic objective tied to our Vera Bradley, Inc. long-term strategic plan and intended to focus the team on making progress towards the Company’s strategic objective. This strategic objective was not met and resulted in no pay out.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94" w:hanging="194"/>
        <w:spacing w:after="0" w:line="279" w:lineRule="auto"/>
        <w:tabs>
          <w:tab w:leader="none" w:pos="194" w:val="left"/>
        </w:tabs>
        <w:numPr>
          <w:ilvl w:val="0"/>
          <w:numId w:val="14"/>
        </w:numPr>
        <w:rPr>
          <w:rFonts w:ascii="Arial" w:cs="Arial" w:eastAsia="Arial" w:hAnsi="Arial"/>
          <w:sz w:val="16"/>
          <w:szCs w:val="16"/>
          <w:color w:val="333333"/>
        </w:rPr>
      </w:pPr>
      <w:r>
        <w:rPr>
          <w:rFonts w:ascii="Arial" w:cs="Arial" w:eastAsia="Arial" w:hAnsi="Arial"/>
          <w:sz w:val="16"/>
          <w:szCs w:val="16"/>
          <w:color w:val="333333"/>
        </w:rPr>
        <w:t>Grants under the Company’s fiscal 2026 Plans vest over a three-year period to promote retention and long-term thinking.</w:t>
      </w:r>
    </w:p>
    <w:p>
      <w:pPr>
        <w:spacing w:after="0" w:line="741" w:lineRule="exact"/>
        <w:rPr>
          <w:sz w:val="20"/>
          <w:szCs w:val="20"/>
          <w:color w:val="auto"/>
        </w:rPr>
      </w:pPr>
    </w:p>
    <w:p>
      <w:pPr>
        <w:sectPr>
          <w:pgSz w:w="11900" w:h="16838" w:orient="portrait"/>
          <w:cols w:equalWidth="0" w:num="2">
            <w:col w:w="5420" w:space="306"/>
            <w:col w:w="5034"/>
          </w:cols>
          <w:pgMar w:left="320" w:top="478" w:right="819" w:bottom="1440" w:gutter="0" w:footer="0" w:header="0"/>
          <w:type w:val="continuous"/>
        </w:sectPr>
      </w:pPr>
    </w:p>
    <w:p>
      <w:pPr>
        <w:spacing w:after="0" w:line="14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005C5D"/>
        </w:rPr>
        <w:t>CORPORATE GOVERNANCE HIGHLIGHTS</w:t>
      </w:r>
    </w:p>
    <w:p>
      <w:pPr>
        <w:spacing w:after="0" w:line="167" w:lineRule="exact"/>
        <w:rPr>
          <w:sz w:val="20"/>
          <w:szCs w:val="20"/>
          <w:color w:val="auto"/>
        </w:rPr>
      </w:pPr>
    </w:p>
    <w:p>
      <w:pPr>
        <w:jc w:val="both"/>
        <w:ind w:left="480" w:right="60"/>
        <w:spacing w:after="0" w:line="262" w:lineRule="auto"/>
        <w:rPr>
          <w:sz w:val="20"/>
          <w:szCs w:val="20"/>
          <w:color w:val="auto"/>
        </w:rPr>
      </w:pPr>
      <w:r>
        <w:rPr>
          <w:rFonts w:ascii="Arial" w:cs="Arial" w:eastAsia="Arial" w:hAnsi="Arial"/>
          <w:sz w:val="16"/>
          <w:szCs w:val="16"/>
          <w:color w:val="333333"/>
        </w:rPr>
        <w:t>Our governance principles and practices include a number of policies and structures that we believe are “best practices” in corporate governance, including:</w:t>
      </w:r>
    </w:p>
    <w:p>
      <w:pPr>
        <w:spacing w:after="0" w:line="39" w:lineRule="exact"/>
        <w:rPr>
          <w:sz w:val="20"/>
          <w:szCs w:val="20"/>
          <w:color w:val="auto"/>
        </w:rPr>
      </w:pPr>
    </w:p>
    <w:p>
      <w:pPr>
        <w:ind w:left="700" w:hanging="210"/>
        <w:spacing w:after="0"/>
        <w:tabs>
          <w:tab w:leader="none" w:pos="700" w:val="left"/>
        </w:tabs>
        <w:numPr>
          <w:ilvl w:val="0"/>
          <w:numId w:val="15"/>
        </w:numPr>
        <w:rPr>
          <w:rFonts w:ascii="Arial" w:cs="Arial" w:eastAsia="Arial" w:hAnsi="Arial"/>
          <w:sz w:val="16"/>
          <w:szCs w:val="16"/>
          <w:color w:val="333333"/>
        </w:rPr>
      </w:pPr>
      <w:r>
        <w:rPr>
          <w:rFonts w:ascii="Arial" w:cs="Arial" w:eastAsia="Arial" w:hAnsi="Arial"/>
          <w:sz w:val="16"/>
          <w:szCs w:val="16"/>
          <w:color w:val="333333"/>
        </w:rPr>
        <w:t>Election of Directors for one-year terms;</w:t>
      </w:r>
    </w:p>
    <w:p>
      <w:pPr>
        <w:spacing w:after="0" w:line="83" w:lineRule="exact"/>
        <w:rPr>
          <w:rFonts w:ascii="Arial" w:cs="Arial" w:eastAsia="Arial" w:hAnsi="Arial"/>
          <w:sz w:val="16"/>
          <w:szCs w:val="16"/>
          <w:color w:val="333333"/>
        </w:rPr>
      </w:pPr>
    </w:p>
    <w:p>
      <w:pPr>
        <w:jc w:val="both"/>
        <w:ind w:left="700" w:right="80" w:hanging="210"/>
        <w:spacing w:after="0" w:line="262" w:lineRule="auto"/>
        <w:tabs>
          <w:tab w:leader="none" w:pos="700" w:val="left"/>
        </w:tabs>
        <w:numPr>
          <w:ilvl w:val="0"/>
          <w:numId w:val="15"/>
        </w:numPr>
        <w:rPr>
          <w:rFonts w:ascii="Arial" w:cs="Arial" w:eastAsia="Arial" w:hAnsi="Arial"/>
          <w:sz w:val="16"/>
          <w:szCs w:val="16"/>
          <w:color w:val="333333"/>
        </w:rPr>
      </w:pPr>
      <w:r>
        <w:rPr>
          <w:rFonts w:ascii="Arial" w:cs="Arial" w:eastAsia="Arial" w:hAnsi="Arial"/>
          <w:sz w:val="16"/>
          <w:szCs w:val="16"/>
          <w:color w:val="333333"/>
        </w:rPr>
        <w:t>Appointment of a Lead Independent Director who participates in the process of preparing meeting agendas and schedules and presides over executive sessions of each Board meeting;</w:t>
      </w:r>
    </w:p>
    <w:p>
      <w:pPr>
        <w:spacing w:after="0" w:line="39" w:lineRule="exact"/>
        <w:rPr>
          <w:rFonts w:ascii="Arial" w:cs="Arial" w:eastAsia="Arial" w:hAnsi="Arial"/>
          <w:sz w:val="16"/>
          <w:szCs w:val="16"/>
          <w:color w:val="333333"/>
        </w:rPr>
      </w:pPr>
    </w:p>
    <w:p>
      <w:pPr>
        <w:ind w:left="700" w:right="80" w:hanging="210"/>
        <w:spacing w:after="0" w:line="279" w:lineRule="auto"/>
        <w:tabs>
          <w:tab w:leader="none" w:pos="700" w:val="left"/>
        </w:tabs>
        <w:numPr>
          <w:ilvl w:val="0"/>
          <w:numId w:val="15"/>
        </w:numPr>
        <w:rPr>
          <w:rFonts w:ascii="Arial" w:cs="Arial" w:eastAsia="Arial" w:hAnsi="Arial"/>
          <w:sz w:val="16"/>
          <w:szCs w:val="16"/>
          <w:color w:val="333333"/>
        </w:rPr>
      </w:pPr>
      <w:r>
        <w:rPr>
          <w:rFonts w:ascii="Arial" w:cs="Arial" w:eastAsia="Arial" w:hAnsi="Arial"/>
          <w:sz w:val="16"/>
          <w:szCs w:val="16"/>
          <w:color w:val="333333"/>
        </w:rPr>
        <w:t>Holding executive sessions with only independent directors present at each meeting of the Board;</w:t>
      </w:r>
    </w:p>
    <w:p>
      <w:pPr>
        <w:spacing w:after="0" w:line="26" w:lineRule="exact"/>
        <w:rPr>
          <w:rFonts w:ascii="Arial" w:cs="Arial" w:eastAsia="Arial" w:hAnsi="Arial"/>
          <w:sz w:val="16"/>
          <w:szCs w:val="16"/>
          <w:color w:val="333333"/>
        </w:rPr>
      </w:pPr>
    </w:p>
    <w:p>
      <w:pPr>
        <w:ind w:left="700" w:right="80" w:hanging="210"/>
        <w:spacing w:after="0" w:line="279" w:lineRule="auto"/>
        <w:tabs>
          <w:tab w:leader="none" w:pos="700" w:val="left"/>
        </w:tabs>
        <w:numPr>
          <w:ilvl w:val="0"/>
          <w:numId w:val="15"/>
        </w:numPr>
        <w:rPr>
          <w:rFonts w:ascii="Arial" w:cs="Arial" w:eastAsia="Arial" w:hAnsi="Arial"/>
          <w:sz w:val="16"/>
          <w:szCs w:val="16"/>
          <w:color w:val="333333"/>
        </w:rPr>
      </w:pPr>
      <w:r>
        <w:rPr>
          <w:rFonts w:ascii="Arial" w:cs="Arial" w:eastAsia="Arial" w:hAnsi="Arial"/>
          <w:sz w:val="16"/>
          <w:szCs w:val="16"/>
          <w:color w:val="333333"/>
        </w:rPr>
        <w:t>Minimum stock ownership guidelines applicable to directors and executive officers;</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005C5D"/>
        </w:rPr>
        <w:t>SHAREHOLDER ENGAGEMENT</w:t>
      </w:r>
    </w:p>
    <w:p>
      <w:pPr>
        <w:spacing w:after="0" w:line="167" w:lineRule="exact"/>
        <w:rPr>
          <w:sz w:val="20"/>
          <w:szCs w:val="20"/>
          <w:color w:val="auto"/>
        </w:rPr>
      </w:pPr>
    </w:p>
    <w:p>
      <w:pPr>
        <w:jc w:val="both"/>
        <w:ind w:left="480" w:right="60"/>
        <w:spacing w:after="0" w:line="262" w:lineRule="auto"/>
        <w:rPr>
          <w:sz w:val="20"/>
          <w:szCs w:val="20"/>
          <w:color w:val="auto"/>
        </w:rPr>
      </w:pPr>
      <w:r>
        <w:rPr>
          <w:rFonts w:ascii="Arial" w:cs="Arial" w:eastAsia="Arial" w:hAnsi="Arial"/>
          <w:sz w:val="16"/>
          <w:szCs w:val="16"/>
          <w:color w:val="333333"/>
        </w:rPr>
        <w:t>The Board maintains a process for shareholders and interested parties to communicate with the Board. Shareholders and interested parties may write or email our Board as provided below:</w:t>
      </w:r>
    </w:p>
    <w:p>
      <w:pPr>
        <w:spacing w:after="0" w:line="213"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005C5D"/>
        </w:rPr>
        <w:t>Write:</w:t>
      </w:r>
    </w:p>
    <w:p>
      <w:pPr>
        <w:ind w:left="880" w:hanging="390"/>
        <w:spacing w:after="0" w:line="181" w:lineRule="auto"/>
        <w:tabs>
          <w:tab w:leader="none" w:pos="880" w:val="left"/>
        </w:tabs>
        <w:numPr>
          <w:ilvl w:val="0"/>
          <w:numId w:val="16"/>
        </w:numPr>
        <w:rPr>
          <w:rFonts w:ascii="Arial" w:cs="Arial" w:eastAsia="Arial" w:hAnsi="Arial"/>
          <w:sz w:val="21"/>
          <w:szCs w:val="21"/>
          <w:color w:val="auto"/>
          <w:vertAlign w:val="subscript"/>
        </w:rPr>
      </w:pPr>
      <w:r>
        <w:rPr>
          <w:rFonts w:ascii="Arial" w:cs="Arial" w:eastAsia="Arial" w:hAnsi="Arial"/>
          <w:sz w:val="12"/>
          <w:szCs w:val="12"/>
          <w:color w:val="333333"/>
        </w:rPr>
        <w:t>Corporate Secretary Vera Bradley, Inc.</w:t>
      </w:r>
    </w:p>
    <w:p>
      <w:pPr>
        <w:jc w:val="both"/>
        <w:ind w:left="880" w:right="3020"/>
        <w:spacing w:after="0" w:line="260" w:lineRule="auto"/>
        <w:rPr>
          <w:rFonts w:ascii="Arial" w:cs="Arial" w:eastAsia="Arial" w:hAnsi="Arial"/>
          <w:sz w:val="21"/>
          <w:szCs w:val="21"/>
          <w:color w:val="auto"/>
          <w:vertAlign w:val="subscript"/>
        </w:rPr>
      </w:pPr>
      <w:r>
        <w:rPr>
          <w:rFonts w:ascii="Arial" w:cs="Arial" w:eastAsia="Arial" w:hAnsi="Arial"/>
          <w:sz w:val="14"/>
          <w:szCs w:val="14"/>
          <w:color w:val="333333"/>
        </w:rPr>
        <w:t>12420 Stonebridge Road Roanoke, Indiana 46783</w:t>
      </w:r>
    </w:p>
    <w:p>
      <w:pPr>
        <w:spacing w:after="0" w:line="73" w:lineRule="exact"/>
        <w:rPr>
          <w:rFonts w:ascii="Arial" w:cs="Arial" w:eastAsia="Arial" w:hAnsi="Arial"/>
          <w:sz w:val="21"/>
          <w:szCs w:val="21"/>
          <w:color w:val="auto"/>
          <w:vertAlign w:val="subscript"/>
        </w:rPr>
      </w:pPr>
    </w:p>
    <w:p>
      <w:pPr>
        <w:ind w:left="880"/>
        <w:spacing w:after="0"/>
        <w:rPr>
          <w:rFonts w:ascii="Arial" w:cs="Arial" w:eastAsia="Arial" w:hAnsi="Arial"/>
          <w:sz w:val="21"/>
          <w:szCs w:val="21"/>
          <w:color w:val="auto"/>
          <w:vertAlign w:val="subscript"/>
        </w:rPr>
      </w:pPr>
      <w:r>
        <w:rPr>
          <w:rFonts w:ascii="Arial" w:cs="Arial" w:eastAsia="Arial" w:hAnsi="Arial"/>
          <w:sz w:val="16"/>
          <w:szCs w:val="16"/>
          <w:b w:val="1"/>
          <w:bCs w:val="1"/>
          <w:color w:val="005C5D"/>
        </w:rPr>
        <w:t>Internet:</w:t>
      </w:r>
    </w:p>
    <w:p>
      <w:pPr>
        <w:spacing w:after="0" w:line="22" w:lineRule="exact"/>
        <w:rPr>
          <w:rFonts w:ascii="Arial" w:cs="Arial" w:eastAsia="Arial" w:hAnsi="Arial"/>
          <w:sz w:val="21"/>
          <w:szCs w:val="21"/>
          <w:color w:val="auto"/>
          <w:vertAlign w:val="subscript"/>
        </w:rPr>
      </w:pPr>
    </w:p>
    <w:p>
      <w:pPr>
        <w:ind w:left="880" w:hanging="390"/>
        <w:spacing w:after="0"/>
        <w:tabs>
          <w:tab w:leader="none" w:pos="880" w:val="left"/>
        </w:tabs>
        <w:numPr>
          <w:ilvl w:val="0"/>
          <w:numId w:val="16"/>
        </w:numPr>
        <w:rPr>
          <w:rFonts w:ascii="Arial" w:cs="Arial" w:eastAsia="Arial" w:hAnsi="Arial"/>
          <w:sz w:val="25"/>
          <w:szCs w:val="25"/>
          <w:color w:val="auto"/>
          <w:vertAlign w:val="subscript"/>
        </w:rPr>
      </w:pPr>
      <w:r>
        <w:rPr>
          <w:rFonts w:ascii="Arial" w:cs="Arial" w:eastAsia="Arial" w:hAnsi="Arial"/>
          <w:sz w:val="13"/>
          <w:szCs w:val="13"/>
          <w:color w:val="333333"/>
        </w:rPr>
        <w:t>http://investors.verabradley.com/corporate-governance/contact-the-board or</w:t>
      </w:r>
    </w:p>
    <w:p>
      <w:pPr>
        <w:spacing w:after="0" w:line="33" w:lineRule="exact"/>
        <w:rPr>
          <w:rFonts w:ascii="Arial" w:cs="Arial" w:eastAsia="Arial" w:hAnsi="Arial"/>
          <w:sz w:val="25"/>
          <w:szCs w:val="25"/>
          <w:color w:val="auto"/>
          <w:vertAlign w:val="subscript"/>
        </w:rPr>
      </w:pPr>
    </w:p>
    <w:p>
      <w:pPr>
        <w:ind w:left="880"/>
        <w:spacing w:after="0"/>
        <w:rPr>
          <w:rFonts w:ascii="Arial" w:cs="Arial" w:eastAsia="Arial" w:hAnsi="Arial"/>
          <w:sz w:val="25"/>
          <w:szCs w:val="25"/>
          <w:color w:val="auto"/>
          <w:vertAlign w:val="subscript"/>
        </w:rPr>
      </w:pPr>
      <w:r>
        <w:rPr>
          <w:rFonts w:ascii="Arial" w:cs="Arial" w:eastAsia="Arial" w:hAnsi="Arial"/>
          <w:sz w:val="14"/>
          <w:szCs w:val="14"/>
          <w:color w:val="333333"/>
        </w:rPr>
        <w:t>http://investors.verabradley.com/contact-us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jc w:val="both"/>
        <w:ind w:left="194" w:hanging="194"/>
        <w:spacing w:after="0" w:line="262" w:lineRule="auto"/>
        <w:tabs>
          <w:tab w:leader="none" w:pos="194" w:val="left"/>
        </w:tabs>
        <w:numPr>
          <w:ilvl w:val="0"/>
          <w:numId w:val="17"/>
        </w:numPr>
        <w:rPr>
          <w:rFonts w:ascii="Arial" w:cs="Arial" w:eastAsia="Arial" w:hAnsi="Arial"/>
          <w:sz w:val="16"/>
          <w:szCs w:val="16"/>
          <w:color w:val="333333"/>
        </w:rPr>
      </w:pPr>
      <w:r>
        <w:rPr>
          <w:rFonts w:ascii="Arial" w:cs="Arial" w:eastAsia="Arial" w:hAnsi="Arial"/>
          <w:sz w:val="16"/>
          <w:szCs w:val="16"/>
          <w:color w:val="333333"/>
        </w:rPr>
        <w:t>Holding requirements for equity grants made to directors and executive officers until minimum stock ownership guidelines are met;</w:t>
      </w:r>
    </w:p>
    <w:p>
      <w:pPr>
        <w:spacing w:after="0" w:line="39" w:lineRule="exact"/>
        <w:rPr>
          <w:rFonts w:ascii="Arial" w:cs="Arial" w:eastAsia="Arial" w:hAnsi="Arial"/>
          <w:sz w:val="16"/>
          <w:szCs w:val="16"/>
          <w:color w:val="333333"/>
        </w:rPr>
      </w:pPr>
    </w:p>
    <w:p>
      <w:pPr>
        <w:jc w:val="both"/>
        <w:ind w:left="194" w:hanging="194"/>
        <w:spacing w:after="0" w:line="262" w:lineRule="auto"/>
        <w:tabs>
          <w:tab w:leader="none" w:pos="194" w:val="left"/>
        </w:tabs>
        <w:numPr>
          <w:ilvl w:val="0"/>
          <w:numId w:val="17"/>
        </w:numPr>
        <w:rPr>
          <w:rFonts w:ascii="Arial" w:cs="Arial" w:eastAsia="Arial" w:hAnsi="Arial"/>
          <w:sz w:val="16"/>
          <w:szCs w:val="16"/>
          <w:color w:val="333333"/>
        </w:rPr>
      </w:pPr>
      <w:r>
        <w:rPr>
          <w:rFonts w:ascii="Arial" w:cs="Arial" w:eastAsia="Arial" w:hAnsi="Arial"/>
          <w:sz w:val="16"/>
          <w:szCs w:val="16"/>
          <w:color w:val="333333"/>
        </w:rPr>
        <w:t>Policies prohibiting hedging, pledging, and other problematic transactions involving Company securities by executive officers, directors, and key employees;</w:t>
      </w:r>
    </w:p>
    <w:p>
      <w:pPr>
        <w:spacing w:after="0" w:line="39" w:lineRule="exact"/>
        <w:rPr>
          <w:rFonts w:ascii="Arial" w:cs="Arial" w:eastAsia="Arial" w:hAnsi="Arial"/>
          <w:sz w:val="16"/>
          <w:szCs w:val="16"/>
          <w:color w:val="333333"/>
        </w:rPr>
      </w:pPr>
    </w:p>
    <w:p>
      <w:pPr>
        <w:ind w:left="194" w:right="20" w:hanging="194"/>
        <w:spacing w:after="0" w:line="279" w:lineRule="auto"/>
        <w:tabs>
          <w:tab w:leader="none" w:pos="194" w:val="left"/>
        </w:tabs>
        <w:numPr>
          <w:ilvl w:val="0"/>
          <w:numId w:val="17"/>
        </w:numPr>
        <w:rPr>
          <w:rFonts w:ascii="Arial" w:cs="Arial" w:eastAsia="Arial" w:hAnsi="Arial"/>
          <w:sz w:val="16"/>
          <w:szCs w:val="16"/>
          <w:color w:val="333333"/>
        </w:rPr>
      </w:pPr>
      <w:r>
        <w:rPr>
          <w:rFonts w:ascii="Arial" w:cs="Arial" w:eastAsia="Arial" w:hAnsi="Arial"/>
          <w:sz w:val="16"/>
          <w:szCs w:val="16"/>
          <w:color w:val="333333"/>
        </w:rPr>
        <w:t>Practice of no excise tax gross-ups for directors and executive officers;</w:t>
      </w:r>
    </w:p>
    <w:p>
      <w:pPr>
        <w:spacing w:after="0" w:line="26" w:lineRule="exact"/>
        <w:rPr>
          <w:rFonts w:ascii="Arial" w:cs="Arial" w:eastAsia="Arial" w:hAnsi="Arial"/>
          <w:sz w:val="16"/>
          <w:szCs w:val="16"/>
          <w:color w:val="333333"/>
        </w:rPr>
      </w:pPr>
    </w:p>
    <w:p>
      <w:pPr>
        <w:ind w:left="194" w:hanging="194"/>
        <w:spacing w:after="0"/>
        <w:tabs>
          <w:tab w:leader="none" w:pos="194" w:val="left"/>
        </w:tabs>
        <w:numPr>
          <w:ilvl w:val="0"/>
          <w:numId w:val="17"/>
        </w:numPr>
        <w:rPr>
          <w:rFonts w:ascii="Arial" w:cs="Arial" w:eastAsia="Arial" w:hAnsi="Arial"/>
          <w:sz w:val="16"/>
          <w:szCs w:val="16"/>
          <w:color w:val="333333"/>
        </w:rPr>
      </w:pPr>
      <w:r>
        <w:rPr>
          <w:rFonts w:ascii="Arial" w:cs="Arial" w:eastAsia="Arial" w:hAnsi="Arial"/>
          <w:sz w:val="16"/>
          <w:szCs w:val="16"/>
          <w:color w:val="333333"/>
        </w:rPr>
        <w:t>Allowing shareholders to unilaterally amend our bylaws; and</w:t>
      </w:r>
    </w:p>
    <w:p>
      <w:pPr>
        <w:spacing w:after="0" w:line="83" w:lineRule="exact"/>
        <w:rPr>
          <w:rFonts w:ascii="Arial" w:cs="Arial" w:eastAsia="Arial" w:hAnsi="Arial"/>
          <w:sz w:val="16"/>
          <w:szCs w:val="16"/>
          <w:color w:val="333333"/>
        </w:rPr>
      </w:pPr>
    </w:p>
    <w:p>
      <w:pPr>
        <w:ind w:left="194" w:right="20" w:hanging="194"/>
        <w:spacing w:after="0" w:line="279" w:lineRule="auto"/>
        <w:tabs>
          <w:tab w:leader="none" w:pos="194" w:val="left"/>
        </w:tabs>
        <w:numPr>
          <w:ilvl w:val="0"/>
          <w:numId w:val="17"/>
        </w:numPr>
        <w:rPr>
          <w:rFonts w:ascii="Arial" w:cs="Arial" w:eastAsia="Arial" w:hAnsi="Arial"/>
          <w:sz w:val="16"/>
          <w:szCs w:val="16"/>
          <w:color w:val="333333"/>
        </w:rPr>
      </w:pPr>
      <w:r>
        <w:rPr>
          <w:rFonts w:ascii="Arial" w:cs="Arial" w:eastAsia="Arial" w:hAnsi="Arial"/>
          <w:sz w:val="16"/>
          <w:szCs w:val="16"/>
          <w:color w:val="333333"/>
        </w:rPr>
        <w:t>Inclusion of double triggers for Severance Plan benefits upon a change in control.</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314"/>
        <w:spacing w:after="0" w:line="247" w:lineRule="auto"/>
        <w:rPr>
          <w:sz w:val="20"/>
          <w:szCs w:val="20"/>
          <w:color w:val="auto"/>
        </w:rPr>
      </w:pPr>
      <w:r>
        <w:rPr>
          <w:rFonts w:ascii="Arial" w:cs="Arial" w:eastAsia="Arial" w:hAnsi="Arial"/>
          <w:sz w:val="16"/>
          <w:szCs w:val="16"/>
          <w:color w:val="333333"/>
        </w:rPr>
        <w:t>We understand the importance of a robust shareholder engagement program. To that end, our Chief Executive Officer and appropriate members of management routinely participate in meetings and conference calls with institutional and individual shareholders. Our meetings and interactions with shareholders are designed to help us better understand how our shareholders perceive the Company and to provide our shareholders an opportunity to discuss matters that they believe deserve attention. We believe our engagement has been productive and provides an open exchange of ideas and perspectives for both our shareholders and us.</w:t>
      </w:r>
    </w:p>
    <w:p>
      <w:pPr>
        <w:spacing w:after="0" w:line="311" w:lineRule="exact"/>
        <w:rPr>
          <w:sz w:val="20"/>
          <w:szCs w:val="20"/>
          <w:color w:val="auto"/>
        </w:rPr>
      </w:pPr>
    </w:p>
    <w:p>
      <w:pPr>
        <w:sectPr>
          <w:pgSz w:w="11900" w:h="16838" w:orient="portrait"/>
          <w:cols w:equalWidth="0" w:num="2">
            <w:col w:w="5480" w:space="246"/>
            <w:col w:w="5034"/>
          </w:cols>
          <w:pgMar w:left="320" w:top="478" w:right="819" w:bottom="1440" w:gutter="0" w:footer="0" w:header="0"/>
          <w:type w:val="continuous"/>
        </w:sectPr>
      </w:pPr>
    </w:p>
    <w:p>
      <w:pPr>
        <w:ind w:left="880"/>
        <w:spacing w:after="0"/>
        <w:rPr>
          <w:sz w:val="20"/>
          <w:szCs w:val="20"/>
          <w:color w:val="auto"/>
        </w:rPr>
      </w:pPr>
      <w:r>
        <w:rPr>
          <w:rFonts w:ascii="Arial" w:cs="Arial" w:eastAsia="Arial" w:hAnsi="Arial"/>
          <w:sz w:val="16"/>
          <w:szCs w:val="16"/>
          <w:b w:val="1"/>
          <w:bCs w:val="1"/>
          <w:color w:val="005C5D"/>
        </w:rPr>
        <w:t>Email:</w:t>
      </w:r>
    </w:p>
    <w:p>
      <w:pPr>
        <w:spacing w:after="0" w:line="22" w:lineRule="exact"/>
        <w:rPr>
          <w:sz w:val="20"/>
          <w:szCs w:val="20"/>
          <w:color w:val="auto"/>
        </w:rPr>
      </w:pPr>
    </w:p>
    <w:p>
      <w:pPr>
        <w:ind w:left="880"/>
        <w:spacing w:after="0"/>
        <w:rPr>
          <w:sz w:val="20"/>
          <w:szCs w:val="20"/>
          <w:color w:val="auto"/>
        </w:rPr>
      </w:pPr>
      <w:r>
        <w:rPr>
          <w:rFonts w:ascii="Arial" w:cs="Arial" w:eastAsia="Arial" w:hAnsi="Arial"/>
          <w:sz w:val="14"/>
          <w:szCs w:val="14"/>
          <w:color w:val="333333"/>
        </w:rPr>
        <w:t>investorrelations@verabradley.com</w:t>
      </w:r>
    </w:p>
    <w:p>
      <w:pPr>
        <w:spacing w:after="0" w:line="31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005C5D"/>
        </w:rPr>
        <w:t>QUESTIONS AND ANSWERS</w:t>
      </w:r>
    </w:p>
    <w:p>
      <w:pPr>
        <w:spacing w:after="0" w:line="169" w:lineRule="exact"/>
        <w:rPr>
          <w:sz w:val="20"/>
          <w:szCs w:val="20"/>
          <w:color w:val="auto"/>
        </w:rPr>
      </w:pPr>
    </w:p>
    <w:p>
      <w:pPr>
        <w:ind w:left="480" w:right="640"/>
        <w:spacing w:after="0" w:line="290" w:lineRule="auto"/>
        <w:rPr>
          <w:sz w:val="20"/>
          <w:szCs w:val="20"/>
          <w:color w:val="auto"/>
        </w:rPr>
      </w:pPr>
      <w:r>
        <w:rPr>
          <w:rFonts w:ascii="Arial" w:cs="Arial" w:eastAsia="Arial" w:hAnsi="Arial"/>
          <w:sz w:val="16"/>
          <w:szCs w:val="16"/>
          <w:b w:val="1"/>
          <w:bCs w:val="1"/>
          <w:i w:val="1"/>
          <w:iCs w:val="1"/>
          <w:color w:val="005C5D"/>
        </w:rPr>
        <w:t>See “Questions and Answers” on page 41 for additional information.</w:t>
      </w:r>
    </w:p>
    <w:p>
      <w:pPr>
        <w:spacing w:after="0" w:line="35" w:lineRule="exact"/>
        <w:rPr>
          <w:sz w:val="20"/>
          <w:szCs w:val="20"/>
          <w:color w:val="auto"/>
        </w:rPr>
      </w:pPr>
    </w:p>
    <w:p>
      <w:pPr>
        <w:ind w:left="480"/>
        <w:spacing w:after="0" w:line="279" w:lineRule="auto"/>
        <w:rPr>
          <w:sz w:val="20"/>
          <w:szCs w:val="20"/>
          <w:color w:val="auto"/>
        </w:rPr>
      </w:pPr>
      <w:r>
        <w:rPr>
          <w:rFonts w:ascii="Arial" w:cs="Arial" w:eastAsia="Arial" w:hAnsi="Arial"/>
          <w:sz w:val="16"/>
          <w:szCs w:val="16"/>
          <w:color w:val="333333"/>
        </w:rPr>
        <w:t>Please see the Questions and Answers section beginning on page 41 for important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33333"/>
        </w:rPr>
        <w:t>about the proxy materials, voting, the Annual Meeting, Vera Bradley documents, communications, and the deadlines to submit shareholder proposals for the 2026 Annual Meeting of Shareholders.</w:t>
      </w:r>
    </w:p>
    <w:p>
      <w:pPr>
        <w:spacing w:after="0" w:line="506" w:lineRule="exact"/>
        <w:rPr>
          <w:sz w:val="20"/>
          <w:szCs w:val="20"/>
          <w:color w:val="auto"/>
        </w:rPr>
      </w:pPr>
    </w:p>
    <w:p>
      <w:pPr>
        <w:sectPr>
          <w:pgSz w:w="11900" w:h="16838" w:orient="portrait"/>
          <w:cols w:equalWidth="0" w:num="2">
            <w:col w:w="5400" w:space="320"/>
            <w:col w:w="5040"/>
          </w:cols>
          <w:pgMar w:left="320" w:top="478" w:right="819" w:bottom="1440" w:gutter="0" w:footer="0" w:header="0"/>
          <w:type w:val="continuous"/>
        </w:sectPr>
      </w:pPr>
    </w:p>
    <w:p>
      <w:pPr>
        <w:spacing w:after="0" w:line="353" w:lineRule="exact"/>
        <w:rPr>
          <w:sz w:val="20"/>
          <w:szCs w:val="20"/>
          <w:color w:val="auto"/>
        </w:rPr>
      </w:pPr>
    </w:p>
    <w:p>
      <w:pPr>
        <w:ind w:left="500"/>
        <w:spacing w:after="0"/>
        <w:tabs>
          <w:tab w:leader="none" w:pos="4940" w:val="left"/>
        </w:tabs>
        <w:rPr>
          <w:sz w:val="20"/>
          <w:szCs w:val="20"/>
          <w:color w:val="auto"/>
        </w:rPr>
      </w:pPr>
      <w:r>
        <w:rPr>
          <w:rFonts w:ascii="Arial" w:cs="Arial" w:eastAsia="Arial" w:hAnsi="Arial"/>
          <w:sz w:val="14"/>
          <w:szCs w:val="14"/>
          <w:color w:val="005C5D"/>
        </w:rPr>
        <w:t xml:space="preserve">4 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3"/>
          <w:szCs w:val="13"/>
          <w:b w:val="1"/>
          <w:bCs w:val="1"/>
          <w:color w:val="005C5D"/>
        </w:rPr>
        <w:t>VERA BRADLEY, INC.</w:t>
      </w:r>
    </w:p>
    <w:p>
      <w:pPr>
        <w:sectPr>
          <w:pgSz w:w="11900" w:h="16838" w:orient="portrait"/>
          <w:cols w:equalWidth="0" w:num="1">
            <w:col w:w="10760"/>
          </w:cols>
          <w:pgMar w:left="320" w:top="478" w:right="8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3295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9755" cy="3295015"/>
                    </a:xfrm>
                    <a:prstGeom prst="rect">
                      <a:avLst/>
                    </a:prstGeom>
                    <a:noFill/>
                  </pic:spPr>
                </pic:pic>
              </a:graphicData>
            </a:graphic>
          </wp:anchor>
        </w:drawing>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005C5D"/>
        </w:rPr>
        <w:t>Note about forward-looking statements</w:t>
      </w:r>
    </w:p>
    <w:p>
      <w:pPr>
        <w:spacing w:after="0" w:line="221" w:lineRule="exact"/>
        <w:rPr>
          <w:sz w:val="20"/>
          <w:szCs w:val="20"/>
          <w:color w:val="auto"/>
        </w:rPr>
      </w:pPr>
    </w:p>
    <w:p>
      <w:pPr>
        <w:jc w:val="both"/>
        <w:ind w:left="600" w:right="120"/>
        <w:spacing w:after="0" w:line="247" w:lineRule="auto"/>
        <w:rPr>
          <w:sz w:val="20"/>
          <w:szCs w:val="20"/>
          <w:color w:val="auto"/>
        </w:rPr>
      </w:pPr>
      <w:r>
        <w:rPr>
          <w:rFonts w:ascii="Arial" w:cs="Arial" w:eastAsia="Arial" w:hAnsi="Arial"/>
          <w:sz w:val="16"/>
          <w:szCs w:val="16"/>
          <w:color w:val="333333"/>
        </w:rPr>
        <w:t>Certain statements in this proxy statement, other than purely historical information, which may include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Forward-looking statements may appear throughout this Proxy Statement, including without limitation, this Proxy Summary and “Executive Compensation Discussion and Analysis.”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A detailed discussion of risks and uncertainties that could cause actual results and events to differ materially from such forward-looking statements is included in the section titled “Risk Factors” of our Forms 10-K and 10-Q. Additional risks and uncertainties not currently known to us, or that we currently deem to be immaterial, also may materially impact such forward-looking statements. We undertake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379" w:lineRule="exact"/>
        <w:rPr>
          <w:sz w:val="20"/>
          <w:szCs w:val="20"/>
          <w:color w:val="auto"/>
        </w:rPr>
      </w:pPr>
    </w:p>
    <w:p>
      <w:pPr>
        <w:ind w:left="4960"/>
        <w:spacing w:after="0"/>
        <w:tabs>
          <w:tab w:leader="none" w:pos="8840" w:val="left"/>
          <w:tab w:leader="none" w:pos="1066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5</w:t>
      </w:r>
    </w:p>
    <w:p>
      <w:pPr>
        <w:sectPr>
          <w:pgSz w:w="11900" w:h="16838" w:orient="portrait"/>
          <w:cols w:equalWidth="0" w:num="1">
            <w:col w:w="10760"/>
          </w:cols>
          <w:pgMar w:left="320" w:top="478" w:right="8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38010" cy="171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38010" cy="171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05C5D"/>
        </w:rPr>
        <w:t>PROPOSAL NO. 1</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27"/>
          <w:szCs w:val="27"/>
          <w:b w:val="1"/>
          <w:bCs w:val="1"/>
          <w:color w:val="005C5D"/>
        </w:rPr>
        <w:t>ELECTION OF DIRECTORS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05C5D"/>
        </w:rPr>
        <w:t>VOTE REQUIRED AND BOARD RECOMMENDATION</w:t>
      </w:r>
    </w:p>
    <w:p>
      <w:pPr>
        <w:spacing w:after="0" w:line="100" w:lineRule="exact"/>
        <w:rPr>
          <w:sz w:val="20"/>
          <w:szCs w:val="20"/>
          <w:color w:val="auto"/>
        </w:rPr>
      </w:pPr>
    </w:p>
    <w:p>
      <w:pPr>
        <w:jc w:val="both"/>
        <w:ind w:left="340" w:right="160"/>
        <w:spacing w:after="0" w:line="256" w:lineRule="auto"/>
        <w:rPr>
          <w:sz w:val="20"/>
          <w:szCs w:val="20"/>
          <w:color w:val="auto"/>
        </w:rPr>
      </w:pPr>
      <w:r>
        <w:rPr>
          <w:rFonts w:ascii="Arial" w:cs="Arial" w:eastAsia="Arial" w:hAnsi="Arial"/>
          <w:sz w:val="16"/>
          <w:szCs w:val="16"/>
          <w:color w:val="333333"/>
        </w:rPr>
        <w:t>The Company’s directors are elected for one-year terms, and below are the Directors nominated for election by shareholders at this year’s annual  shareholders’ meeting. The Board recommends a vote “FOR” each of the Directors. Each Director nominee will be elected by a plurality of votes cast, which means that the nominees receiving the highest number of votes will be elected as directors. Abstentions and broker non-votes will have no effect on the vote.</w:t>
      </w:r>
    </w:p>
    <w:p>
      <w:pPr>
        <w:spacing w:after="0" w:line="219" w:lineRule="exact"/>
        <w:rPr>
          <w:sz w:val="20"/>
          <w:szCs w:val="20"/>
          <w:color w:val="auto"/>
        </w:rPr>
      </w:pPr>
    </w:p>
    <w:tbl>
      <w:tblPr>
        <w:tblLayout w:type="fixed"/>
        <w:tblInd w:w="320" w:type="dxa"/>
        <w:tblCellMar>
          <w:top w:w="0" w:type="dxa"/>
          <w:left w:w="0" w:type="dxa"/>
          <w:bottom w:w="0" w:type="dxa"/>
          <w:right w:w="0" w:type="dxa"/>
        </w:tblCellMar>
      </w:tblPr>
      <w:tr>
        <w:trPr>
          <w:trHeight w:val="160"/>
        </w:trPr>
        <w:tc>
          <w:tcPr>
            <w:tcW w:w="6020" w:type="dxa"/>
            <w:vAlign w:val="bottom"/>
          </w:tcPr>
          <w:p>
            <w:pPr>
              <w:spacing w:after="0"/>
              <w:rPr>
                <w:sz w:val="13"/>
                <w:szCs w:val="13"/>
                <w:color w:val="auto"/>
              </w:rPr>
            </w:pPr>
          </w:p>
        </w:tc>
        <w:tc>
          <w:tcPr>
            <w:tcW w:w="760" w:type="dxa"/>
            <w:vAlign w:val="bottom"/>
            <w:shd w:val="clear" w:color="auto" w:fill="FCEFEB"/>
          </w:tcPr>
          <w:p>
            <w:pPr>
              <w:spacing w:after="0"/>
              <w:rPr>
                <w:sz w:val="13"/>
                <w:szCs w:val="13"/>
                <w:color w:val="auto"/>
              </w:rPr>
            </w:pPr>
          </w:p>
        </w:tc>
        <w:tc>
          <w:tcPr>
            <w:tcW w:w="1380" w:type="dxa"/>
            <w:vAlign w:val="bottom"/>
            <w:shd w:val="clear" w:color="auto" w:fill="FCEFEB"/>
          </w:tcPr>
          <w:p>
            <w:pPr>
              <w:spacing w:after="0"/>
              <w:rPr>
                <w:sz w:val="13"/>
                <w:szCs w:val="13"/>
                <w:color w:val="auto"/>
              </w:rPr>
            </w:pPr>
          </w:p>
        </w:tc>
        <w:tc>
          <w:tcPr>
            <w:tcW w:w="1460" w:type="dxa"/>
            <w:vAlign w:val="bottom"/>
            <w:shd w:val="clear" w:color="auto" w:fill="FCEFEB"/>
          </w:tcPr>
          <w:p>
            <w:pPr>
              <w:spacing w:after="0"/>
              <w:rPr>
                <w:sz w:val="13"/>
                <w:szCs w:val="13"/>
                <w:color w:val="auto"/>
              </w:rPr>
            </w:pPr>
          </w:p>
        </w:tc>
        <w:tc>
          <w:tcPr>
            <w:tcW w:w="860" w:type="dxa"/>
            <w:vAlign w:val="bottom"/>
            <w:shd w:val="clear" w:color="auto" w:fill="FCEFEB"/>
          </w:tcPr>
          <w:p>
            <w:pPr>
              <w:spacing w:after="0"/>
              <w:rPr>
                <w:sz w:val="13"/>
                <w:szCs w:val="13"/>
                <w:color w:val="auto"/>
              </w:rPr>
            </w:pPr>
          </w:p>
        </w:tc>
        <w:tc>
          <w:tcPr>
            <w:tcW w:w="100" w:type="dxa"/>
            <w:vAlign w:val="bottom"/>
            <w:shd w:val="clear" w:color="auto" w:fill="FCEFEB"/>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6020" w:type="dxa"/>
            <w:vAlign w:val="bottom"/>
            <w:shd w:val="clear" w:color="auto" w:fill="005C5D"/>
          </w:tcPr>
          <w:p>
            <w:pPr>
              <w:spacing w:after="0"/>
              <w:rPr>
                <w:sz w:val="5"/>
                <w:szCs w:val="5"/>
                <w:color w:val="auto"/>
              </w:rPr>
            </w:pPr>
          </w:p>
        </w:tc>
        <w:tc>
          <w:tcPr>
            <w:tcW w:w="760" w:type="dxa"/>
            <w:vAlign w:val="bottom"/>
            <w:shd w:val="clear" w:color="auto" w:fill="005C5D"/>
          </w:tcPr>
          <w:p>
            <w:pPr>
              <w:spacing w:after="0"/>
              <w:rPr>
                <w:sz w:val="5"/>
                <w:szCs w:val="5"/>
                <w:color w:val="auto"/>
              </w:rPr>
            </w:pPr>
          </w:p>
        </w:tc>
        <w:tc>
          <w:tcPr>
            <w:tcW w:w="1380" w:type="dxa"/>
            <w:vAlign w:val="bottom"/>
            <w:shd w:val="clear" w:color="auto" w:fill="005C5D"/>
          </w:tcPr>
          <w:p>
            <w:pPr>
              <w:spacing w:after="0"/>
              <w:rPr>
                <w:sz w:val="5"/>
                <w:szCs w:val="5"/>
                <w:color w:val="auto"/>
              </w:rPr>
            </w:pPr>
          </w:p>
        </w:tc>
        <w:tc>
          <w:tcPr>
            <w:tcW w:w="1460" w:type="dxa"/>
            <w:vAlign w:val="bottom"/>
            <w:shd w:val="clear" w:color="auto" w:fill="005C5D"/>
          </w:tcPr>
          <w:p>
            <w:pPr>
              <w:spacing w:after="0"/>
              <w:rPr>
                <w:sz w:val="5"/>
                <w:szCs w:val="5"/>
                <w:color w:val="auto"/>
              </w:rPr>
            </w:pPr>
          </w:p>
        </w:tc>
        <w:tc>
          <w:tcPr>
            <w:tcW w:w="860" w:type="dxa"/>
            <w:vAlign w:val="bottom"/>
            <w:shd w:val="clear" w:color="auto" w:fill="005C5D"/>
          </w:tcPr>
          <w:p>
            <w:pPr>
              <w:spacing w:after="0"/>
              <w:rPr>
                <w:sz w:val="5"/>
                <w:szCs w:val="5"/>
                <w:color w:val="auto"/>
              </w:rPr>
            </w:pPr>
          </w:p>
        </w:tc>
        <w:tc>
          <w:tcPr>
            <w:tcW w:w="100" w:type="dxa"/>
            <w:vAlign w:val="bottom"/>
            <w:shd w:val="clear" w:color="auto" w:fill="005C5D"/>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6020" w:type="dxa"/>
            <w:vAlign w:val="bottom"/>
            <w:shd w:val="clear" w:color="auto" w:fill="005C5D"/>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60" w:type="dxa"/>
            <w:vAlign w:val="bottom"/>
          </w:tcPr>
          <w:p>
            <w:pPr>
              <w:jc w:val="center"/>
              <w:ind w:left="129"/>
              <w:spacing w:after="0" w:line="151" w:lineRule="exact"/>
              <w:rPr>
                <w:sz w:val="20"/>
                <w:szCs w:val="20"/>
                <w:color w:val="auto"/>
              </w:rPr>
            </w:pPr>
            <w:r>
              <w:rPr>
                <w:rFonts w:ascii="Arial" w:cs="Arial" w:eastAsia="Arial" w:hAnsi="Arial"/>
                <w:sz w:val="14"/>
                <w:szCs w:val="14"/>
                <w:color w:val="FFFFFF"/>
                <w:w w:val="85"/>
              </w:rPr>
              <w:t>OTHER </w:t>
            </w:r>
          </w:p>
        </w:tc>
        <w:tc>
          <w:tcPr>
            <w:tcW w:w="100" w:type="dxa"/>
            <w:vAlign w:val="bottom"/>
          </w:tcPr>
          <w:p>
            <w:pPr>
              <w:ind w:left="40"/>
              <w:spacing w:after="0" w:line="151" w:lineRule="exact"/>
              <w:rPr>
                <w:sz w:val="20"/>
                <w:szCs w:val="20"/>
                <w:color w:val="auto"/>
              </w:rPr>
            </w:pPr>
            <w:r>
              <w:rPr>
                <w:rFonts w:ascii="Arial" w:cs="Arial" w:eastAsia="Arial" w:hAnsi="Arial"/>
                <w:sz w:val="14"/>
                <w:szCs w:val="14"/>
                <w:color w:val="FFFFFF"/>
              </w:rPr>
              <w:t>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20" w:type="dxa"/>
            <w:vAlign w:val="bottom"/>
            <w:shd w:val="clear" w:color="auto" w:fill="005C5D"/>
          </w:tcPr>
          <w:p>
            <w:pPr>
              <w:spacing w:after="0"/>
              <w:rPr>
                <w:sz w:val="13"/>
                <w:szCs w:val="13"/>
                <w:color w:val="auto"/>
              </w:rPr>
            </w:pPr>
          </w:p>
        </w:tc>
        <w:tc>
          <w:tcPr>
            <w:tcW w:w="760" w:type="dxa"/>
            <w:vAlign w:val="bottom"/>
          </w:tcPr>
          <w:p>
            <w:pPr>
              <w:ind w:left="480"/>
              <w:spacing w:after="0"/>
              <w:rPr>
                <w:sz w:val="20"/>
                <w:szCs w:val="20"/>
                <w:color w:val="auto"/>
              </w:rPr>
            </w:pPr>
            <w:r>
              <w:rPr>
                <w:rFonts w:ascii="Arial" w:cs="Arial" w:eastAsia="Arial" w:hAnsi="Arial"/>
                <w:sz w:val="14"/>
                <w:szCs w:val="14"/>
                <w:color w:val="FFFFFF"/>
              </w:rPr>
              <w:t> </w:t>
            </w:r>
          </w:p>
        </w:tc>
        <w:tc>
          <w:tcPr>
            <w:tcW w:w="1380" w:type="dxa"/>
            <w:vAlign w:val="bottom"/>
          </w:tcPr>
          <w:p>
            <w:pPr>
              <w:jc w:val="center"/>
              <w:ind w:left="169"/>
              <w:spacing w:after="0"/>
              <w:rPr>
                <w:sz w:val="20"/>
                <w:szCs w:val="20"/>
                <w:color w:val="auto"/>
              </w:rPr>
            </w:pPr>
            <w:r>
              <w:rPr>
                <w:rFonts w:ascii="Arial" w:cs="Arial" w:eastAsia="Arial" w:hAnsi="Arial"/>
                <w:sz w:val="14"/>
                <w:szCs w:val="14"/>
                <w:color w:val="FFFFFF"/>
              </w:rPr>
              <w:t>DIRECTOR</w:t>
            </w:r>
          </w:p>
        </w:tc>
        <w:tc>
          <w:tcPr>
            <w:tcW w:w="1460" w:type="dxa"/>
            <w:vAlign w:val="bottom"/>
          </w:tcPr>
          <w:p>
            <w:pPr>
              <w:jc w:val="center"/>
              <w:spacing w:after="0"/>
              <w:rPr>
                <w:sz w:val="20"/>
                <w:szCs w:val="20"/>
                <w:color w:val="auto"/>
              </w:rPr>
            </w:pPr>
            <w:r>
              <w:rPr>
                <w:rFonts w:ascii="Arial" w:cs="Arial" w:eastAsia="Arial" w:hAnsi="Arial"/>
                <w:sz w:val="14"/>
                <w:szCs w:val="14"/>
                <w:color w:val="FFFFFF"/>
              </w:rPr>
              <w:t>INDEPENDENT</w:t>
            </w:r>
          </w:p>
        </w:tc>
        <w:tc>
          <w:tcPr>
            <w:tcW w:w="860" w:type="dxa"/>
            <w:vAlign w:val="bottom"/>
          </w:tcPr>
          <w:p>
            <w:pPr>
              <w:jc w:val="center"/>
              <w:ind w:left="109"/>
              <w:spacing w:after="0"/>
              <w:rPr>
                <w:sz w:val="20"/>
                <w:szCs w:val="20"/>
                <w:color w:val="auto"/>
              </w:rPr>
            </w:pPr>
            <w:r>
              <w:rPr>
                <w:rFonts w:ascii="Arial" w:cs="Arial" w:eastAsia="Arial" w:hAnsi="Arial"/>
                <w:sz w:val="14"/>
                <w:szCs w:val="14"/>
                <w:color w:val="FFFFFF"/>
                <w:w w:val="86"/>
              </w:rPr>
              <w:t>PUBLIC </w:t>
            </w:r>
          </w:p>
        </w:tc>
        <w:tc>
          <w:tcPr>
            <w:tcW w:w="100" w:type="dxa"/>
            <w:vAlign w:val="bottom"/>
          </w:tcPr>
          <w:p>
            <w:pPr>
              <w:ind w:left="40"/>
              <w:spacing w:after="0"/>
              <w:rPr>
                <w:sz w:val="20"/>
                <w:szCs w:val="20"/>
                <w:color w:val="auto"/>
              </w:rPr>
            </w:pPr>
            <w:r>
              <w:rPr>
                <w:rFonts w:ascii="Arial" w:cs="Arial" w:eastAsia="Arial" w:hAnsi="Arial"/>
                <w:sz w:val="14"/>
                <w:szCs w:val="14"/>
                <w:color w:val="FFFFFF"/>
              </w:rPr>
              <w:t>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020" w:type="dxa"/>
            <w:vAlign w:val="bottom"/>
            <w:tcBorders>
              <w:bottom w:val="single" w:sz="8" w:color="005C5D"/>
            </w:tcBorders>
            <w:shd w:val="clear" w:color="auto" w:fill="005C5D"/>
          </w:tcPr>
          <w:p>
            <w:pPr>
              <w:ind w:left="80"/>
              <w:spacing w:after="0"/>
              <w:rPr>
                <w:sz w:val="20"/>
                <w:szCs w:val="20"/>
                <w:color w:val="auto"/>
              </w:rPr>
            </w:pPr>
            <w:r>
              <w:rPr>
                <w:rFonts w:ascii="Arial" w:cs="Arial" w:eastAsia="Arial" w:hAnsi="Arial"/>
                <w:sz w:val="14"/>
                <w:szCs w:val="14"/>
                <w:color w:val="FFFFFF"/>
              </w:rPr>
              <w:t>NAME AND OCCUPATION</w:t>
            </w:r>
          </w:p>
        </w:tc>
        <w:tc>
          <w:tcPr>
            <w:tcW w:w="760" w:type="dxa"/>
            <w:vAlign w:val="bottom"/>
          </w:tcPr>
          <w:p>
            <w:pPr>
              <w:ind w:left="320"/>
              <w:spacing w:after="0"/>
              <w:rPr>
                <w:sz w:val="20"/>
                <w:szCs w:val="20"/>
                <w:color w:val="auto"/>
              </w:rPr>
            </w:pPr>
            <w:r>
              <w:rPr>
                <w:rFonts w:ascii="Arial" w:cs="Arial" w:eastAsia="Arial" w:hAnsi="Arial"/>
                <w:sz w:val="14"/>
                <w:szCs w:val="14"/>
                <w:color w:val="FFFFFF"/>
                <w:w w:val="96"/>
              </w:rPr>
              <w:t>AGE </w:t>
            </w:r>
          </w:p>
        </w:tc>
        <w:tc>
          <w:tcPr>
            <w:tcW w:w="1380" w:type="dxa"/>
            <w:vAlign w:val="bottom"/>
          </w:tcPr>
          <w:p>
            <w:pPr>
              <w:jc w:val="center"/>
              <w:ind w:left="149"/>
              <w:spacing w:after="0"/>
              <w:rPr>
                <w:sz w:val="20"/>
                <w:szCs w:val="20"/>
                <w:color w:val="auto"/>
              </w:rPr>
            </w:pPr>
            <w:r>
              <w:rPr>
                <w:rFonts w:ascii="Arial" w:cs="Arial" w:eastAsia="Arial" w:hAnsi="Arial"/>
                <w:sz w:val="14"/>
                <w:szCs w:val="14"/>
                <w:color w:val="FFFFFF"/>
              </w:rPr>
              <w:t>SINCE</w:t>
            </w:r>
          </w:p>
        </w:tc>
        <w:tc>
          <w:tcPr>
            <w:tcW w:w="1460" w:type="dxa"/>
            <w:vAlign w:val="bottom"/>
          </w:tcPr>
          <w:p>
            <w:pPr>
              <w:jc w:val="center"/>
              <w:spacing w:after="0"/>
              <w:rPr>
                <w:sz w:val="20"/>
                <w:szCs w:val="20"/>
                <w:color w:val="auto"/>
              </w:rPr>
            </w:pPr>
            <w:r>
              <w:rPr>
                <w:rFonts w:ascii="Arial" w:cs="Arial" w:eastAsia="Arial" w:hAnsi="Arial"/>
                <w:sz w:val="14"/>
                <w:szCs w:val="14"/>
                <w:color w:val="FFFFFF"/>
              </w:rPr>
              <w:t>(Y/N)</w:t>
            </w:r>
          </w:p>
        </w:tc>
        <w:tc>
          <w:tcPr>
            <w:tcW w:w="860" w:type="dxa"/>
            <w:vAlign w:val="bottom"/>
          </w:tcPr>
          <w:p>
            <w:pPr>
              <w:jc w:val="center"/>
              <w:ind w:left="109"/>
              <w:spacing w:after="0"/>
              <w:rPr>
                <w:sz w:val="20"/>
                <w:szCs w:val="20"/>
                <w:color w:val="auto"/>
              </w:rPr>
            </w:pPr>
            <w:r>
              <w:rPr>
                <w:rFonts w:ascii="Arial" w:cs="Arial" w:eastAsia="Arial" w:hAnsi="Arial"/>
                <w:sz w:val="14"/>
                <w:szCs w:val="14"/>
                <w:color w:val="FFFFFF"/>
                <w:w w:val="87"/>
              </w:rPr>
              <w:t>BOARDS </w:t>
            </w:r>
          </w:p>
        </w:tc>
        <w:tc>
          <w:tcPr>
            <w:tcW w:w="120" w:type="dxa"/>
            <w:vAlign w:val="bottom"/>
            <w:gridSpan w:val="2"/>
          </w:tcPr>
          <w:p>
            <w:pPr>
              <w:ind w:left="80"/>
              <w:spacing w:after="0"/>
              <w:rPr>
                <w:sz w:val="20"/>
                <w:szCs w:val="20"/>
                <w:color w:val="auto"/>
              </w:rPr>
            </w:pPr>
            <w:r>
              <w:rPr>
                <w:rFonts w:ascii="Arial" w:cs="Arial" w:eastAsia="Arial" w:hAnsi="Arial"/>
                <w:sz w:val="14"/>
                <w:szCs w:val="14"/>
                <w:color w:val="FFFFFF"/>
                <w:w w:val="83"/>
              </w:rPr>
              <w:t> </w:t>
            </w:r>
          </w:p>
        </w:tc>
        <w:tc>
          <w:tcPr>
            <w:tcW w:w="0" w:type="dxa"/>
            <w:vAlign w:val="bottom"/>
          </w:tcPr>
          <w:p>
            <w:pPr>
              <w:spacing w:after="0"/>
              <w:rPr>
                <w:sz w:val="1"/>
                <w:szCs w:val="1"/>
                <w:color w:val="auto"/>
              </w:rPr>
            </w:pPr>
          </w:p>
        </w:tc>
      </w:tr>
      <w:tr>
        <w:trPr>
          <w:trHeight w:val="218"/>
        </w:trPr>
        <w:tc>
          <w:tcPr>
            <w:tcW w:w="6020" w:type="dxa"/>
            <w:vAlign w:val="bottom"/>
          </w:tcPr>
          <w:p>
            <w:pPr>
              <w:ind w:left="80"/>
              <w:spacing w:after="0"/>
              <w:rPr>
                <w:sz w:val="20"/>
                <w:szCs w:val="20"/>
                <w:color w:val="auto"/>
              </w:rPr>
            </w:pPr>
            <w:r>
              <w:rPr>
                <w:rFonts w:ascii="Arial" w:cs="Arial" w:eastAsia="Arial" w:hAnsi="Arial"/>
                <w:sz w:val="14"/>
                <w:szCs w:val="14"/>
                <w:b w:val="1"/>
                <w:bCs w:val="1"/>
                <w:color w:val="005C5D"/>
              </w:rPr>
              <w:t>Ian Bickley</w:t>
            </w:r>
          </w:p>
        </w:tc>
        <w:tc>
          <w:tcPr>
            <w:tcW w:w="760" w:type="dxa"/>
            <w:vAlign w:val="bottom"/>
            <w:vMerge w:val="restart"/>
            <w:shd w:val="clear" w:color="auto" w:fill="FCEFEB"/>
          </w:tcPr>
          <w:p>
            <w:pPr>
              <w:ind w:left="460"/>
              <w:spacing w:after="0"/>
              <w:rPr>
                <w:sz w:val="20"/>
                <w:szCs w:val="20"/>
                <w:color w:val="auto"/>
              </w:rPr>
            </w:pPr>
            <w:r>
              <w:rPr>
                <w:rFonts w:ascii="Arial" w:cs="Arial" w:eastAsia="Arial" w:hAnsi="Arial"/>
                <w:sz w:val="14"/>
                <w:szCs w:val="14"/>
                <w:color w:val="333333"/>
              </w:rPr>
              <w:t>62</w:t>
            </w:r>
          </w:p>
        </w:tc>
        <w:tc>
          <w:tcPr>
            <w:tcW w:w="1380" w:type="dxa"/>
            <w:vAlign w:val="bottom"/>
            <w:vMerge w:val="restart"/>
            <w:shd w:val="clear" w:color="auto" w:fill="FCEFEB"/>
          </w:tcPr>
          <w:p>
            <w:pPr>
              <w:jc w:val="center"/>
              <w:ind w:left="149"/>
              <w:spacing w:after="0"/>
              <w:rPr>
                <w:sz w:val="20"/>
                <w:szCs w:val="20"/>
                <w:color w:val="auto"/>
              </w:rPr>
            </w:pPr>
            <w:r>
              <w:rPr>
                <w:rFonts w:ascii="Arial" w:cs="Arial" w:eastAsia="Arial" w:hAnsi="Arial"/>
                <w:sz w:val="14"/>
                <w:szCs w:val="14"/>
                <w:color w:val="333333"/>
              </w:rPr>
              <w:t>2024</w:t>
            </w:r>
          </w:p>
        </w:tc>
        <w:tc>
          <w:tcPr>
            <w:tcW w:w="1460" w:type="dxa"/>
            <w:vAlign w:val="bottom"/>
            <w:vMerge w:val="restart"/>
            <w:shd w:val="clear" w:color="auto" w:fill="FCEFEB"/>
          </w:tcPr>
          <w:p>
            <w:pPr>
              <w:jc w:val="center"/>
              <w:spacing w:after="0"/>
              <w:rPr>
                <w:sz w:val="20"/>
                <w:szCs w:val="20"/>
                <w:color w:val="auto"/>
              </w:rPr>
            </w:pPr>
            <w:r>
              <w:rPr>
                <w:rFonts w:ascii="Arial" w:cs="Arial" w:eastAsia="Arial" w:hAnsi="Arial"/>
                <w:sz w:val="14"/>
                <w:szCs w:val="14"/>
                <w:color w:val="333333"/>
                <w:w w:val="98"/>
              </w:rPr>
              <w:t>N</w:t>
            </w:r>
          </w:p>
        </w:tc>
        <w:tc>
          <w:tcPr>
            <w:tcW w:w="860" w:type="dxa"/>
            <w:vAlign w:val="bottom"/>
            <w:vMerge w:val="restart"/>
            <w:shd w:val="clear" w:color="auto" w:fill="FCEFEB"/>
          </w:tcPr>
          <w:p>
            <w:pPr>
              <w:jc w:val="center"/>
              <w:ind w:left="229"/>
              <w:spacing w:after="0"/>
              <w:rPr>
                <w:sz w:val="20"/>
                <w:szCs w:val="20"/>
                <w:color w:val="auto"/>
              </w:rPr>
            </w:pPr>
            <w:r>
              <w:rPr>
                <w:rFonts w:ascii="Arial" w:cs="Arial" w:eastAsia="Arial" w:hAnsi="Arial"/>
                <w:sz w:val="14"/>
                <w:szCs w:val="14"/>
                <w:color w:val="333333"/>
              </w:rPr>
              <w:t>1</w:t>
            </w:r>
          </w:p>
        </w:tc>
        <w:tc>
          <w:tcPr>
            <w:tcW w:w="100" w:type="dxa"/>
            <w:vAlign w:val="bottom"/>
            <w:shd w:val="clear" w:color="auto" w:fill="FCEFEB"/>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6020" w:type="dxa"/>
            <w:vAlign w:val="bottom"/>
            <w:vMerge w:val="restart"/>
          </w:tcPr>
          <w:p>
            <w:pPr>
              <w:ind w:left="80"/>
              <w:spacing w:after="0"/>
              <w:rPr>
                <w:sz w:val="20"/>
                <w:szCs w:val="20"/>
                <w:color w:val="auto"/>
              </w:rPr>
            </w:pPr>
            <w:r>
              <w:rPr>
                <w:rFonts w:ascii="Arial" w:cs="Arial" w:eastAsia="Arial" w:hAnsi="Arial"/>
                <w:sz w:val="14"/>
                <w:szCs w:val="14"/>
                <w:color w:val="333333"/>
              </w:rPr>
              <w:t>Chief Executive Officer &amp; Executive Chairman, Vera Bradley, Inc.</w:t>
            </w:r>
          </w:p>
        </w:tc>
        <w:tc>
          <w:tcPr>
            <w:tcW w:w="760" w:type="dxa"/>
            <w:vAlign w:val="bottom"/>
            <w:vMerge w:val="continue"/>
            <w:shd w:val="clear" w:color="auto" w:fill="FCEFEB"/>
          </w:tcPr>
          <w:p>
            <w:pPr>
              <w:spacing w:after="0"/>
              <w:rPr>
                <w:sz w:val="9"/>
                <w:szCs w:val="9"/>
                <w:color w:val="auto"/>
              </w:rPr>
            </w:pPr>
          </w:p>
        </w:tc>
        <w:tc>
          <w:tcPr>
            <w:tcW w:w="1380" w:type="dxa"/>
            <w:vAlign w:val="bottom"/>
            <w:vMerge w:val="continue"/>
            <w:shd w:val="clear" w:color="auto" w:fill="FCEFEB"/>
          </w:tcPr>
          <w:p>
            <w:pPr>
              <w:spacing w:after="0"/>
              <w:rPr>
                <w:sz w:val="9"/>
                <w:szCs w:val="9"/>
                <w:color w:val="auto"/>
              </w:rPr>
            </w:pPr>
          </w:p>
        </w:tc>
        <w:tc>
          <w:tcPr>
            <w:tcW w:w="1460" w:type="dxa"/>
            <w:vAlign w:val="bottom"/>
            <w:vMerge w:val="continue"/>
            <w:shd w:val="clear" w:color="auto" w:fill="FCEFEB"/>
          </w:tcPr>
          <w:p>
            <w:pPr>
              <w:spacing w:after="0"/>
              <w:rPr>
                <w:sz w:val="9"/>
                <w:szCs w:val="9"/>
                <w:color w:val="auto"/>
              </w:rPr>
            </w:pPr>
          </w:p>
        </w:tc>
        <w:tc>
          <w:tcPr>
            <w:tcW w:w="860" w:type="dxa"/>
            <w:vAlign w:val="bottom"/>
            <w:vMerge w:val="continue"/>
            <w:shd w:val="clear" w:color="auto" w:fill="FCEFEB"/>
          </w:tcPr>
          <w:p>
            <w:pPr>
              <w:spacing w:after="0"/>
              <w:rPr>
                <w:sz w:val="9"/>
                <w:szCs w:val="9"/>
                <w:color w:val="auto"/>
              </w:rPr>
            </w:pPr>
          </w:p>
        </w:tc>
        <w:tc>
          <w:tcPr>
            <w:tcW w:w="100" w:type="dxa"/>
            <w:vAlign w:val="bottom"/>
            <w:shd w:val="clear" w:color="auto" w:fill="FCEFEB"/>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6020" w:type="dxa"/>
            <w:vAlign w:val="bottom"/>
            <w:vMerge w:val="continue"/>
          </w:tcPr>
          <w:p>
            <w:pPr>
              <w:spacing w:after="0"/>
              <w:rPr>
                <w:sz w:val="6"/>
                <w:szCs w:val="6"/>
                <w:color w:val="auto"/>
              </w:rPr>
            </w:pPr>
          </w:p>
        </w:tc>
        <w:tc>
          <w:tcPr>
            <w:tcW w:w="760" w:type="dxa"/>
            <w:vAlign w:val="bottom"/>
            <w:shd w:val="clear" w:color="auto" w:fill="FCEFEB"/>
          </w:tcPr>
          <w:p>
            <w:pPr>
              <w:spacing w:after="0"/>
              <w:rPr>
                <w:sz w:val="6"/>
                <w:szCs w:val="6"/>
                <w:color w:val="auto"/>
              </w:rPr>
            </w:pPr>
          </w:p>
        </w:tc>
        <w:tc>
          <w:tcPr>
            <w:tcW w:w="1380" w:type="dxa"/>
            <w:vAlign w:val="bottom"/>
            <w:shd w:val="clear" w:color="auto" w:fill="FCEFEB"/>
          </w:tcPr>
          <w:p>
            <w:pPr>
              <w:spacing w:after="0"/>
              <w:rPr>
                <w:sz w:val="6"/>
                <w:szCs w:val="6"/>
                <w:color w:val="auto"/>
              </w:rPr>
            </w:pPr>
          </w:p>
        </w:tc>
        <w:tc>
          <w:tcPr>
            <w:tcW w:w="1460" w:type="dxa"/>
            <w:vAlign w:val="bottom"/>
            <w:shd w:val="clear" w:color="auto" w:fill="FCEFEB"/>
          </w:tcPr>
          <w:p>
            <w:pPr>
              <w:spacing w:after="0"/>
              <w:rPr>
                <w:sz w:val="6"/>
                <w:szCs w:val="6"/>
                <w:color w:val="auto"/>
              </w:rPr>
            </w:pPr>
          </w:p>
        </w:tc>
        <w:tc>
          <w:tcPr>
            <w:tcW w:w="860" w:type="dxa"/>
            <w:vAlign w:val="bottom"/>
            <w:shd w:val="clear" w:color="auto" w:fill="FCEFEB"/>
          </w:tcPr>
          <w:p>
            <w:pPr>
              <w:spacing w:after="0"/>
              <w:rPr>
                <w:sz w:val="6"/>
                <w:szCs w:val="6"/>
                <w:color w:val="auto"/>
              </w:rPr>
            </w:pPr>
          </w:p>
        </w:tc>
        <w:tc>
          <w:tcPr>
            <w:tcW w:w="100" w:type="dxa"/>
            <w:vAlign w:val="bottom"/>
            <w:shd w:val="clear" w:color="auto" w:fill="FCEFEB"/>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6020" w:type="dxa"/>
            <w:vAlign w:val="bottom"/>
            <w:tcBorders>
              <w:bottom w:val="single" w:sz="8" w:color="005C5D"/>
            </w:tcBorders>
          </w:tcPr>
          <w:p>
            <w:pPr>
              <w:spacing w:after="0"/>
              <w:rPr>
                <w:sz w:val="5"/>
                <w:szCs w:val="5"/>
                <w:color w:val="auto"/>
              </w:rPr>
            </w:pPr>
          </w:p>
        </w:tc>
        <w:tc>
          <w:tcPr>
            <w:tcW w:w="760" w:type="dxa"/>
            <w:vAlign w:val="bottom"/>
            <w:tcBorders>
              <w:bottom w:val="single" w:sz="8" w:color="005C5D"/>
            </w:tcBorders>
            <w:shd w:val="clear" w:color="auto" w:fill="FCEFEB"/>
          </w:tcPr>
          <w:p>
            <w:pPr>
              <w:spacing w:after="0"/>
              <w:rPr>
                <w:sz w:val="5"/>
                <w:szCs w:val="5"/>
                <w:color w:val="auto"/>
              </w:rPr>
            </w:pPr>
          </w:p>
        </w:tc>
        <w:tc>
          <w:tcPr>
            <w:tcW w:w="1380" w:type="dxa"/>
            <w:vAlign w:val="bottom"/>
            <w:tcBorders>
              <w:bottom w:val="single" w:sz="8" w:color="005C5D"/>
            </w:tcBorders>
            <w:shd w:val="clear" w:color="auto" w:fill="FCEFEB"/>
          </w:tcPr>
          <w:p>
            <w:pPr>
              <w:spacing w:after="0"/>
              <w:rPr>
                <w:sz w:val="5"/>
                <w:szCs w:val="5"/>
                <w:color w:val="auto"/>
              </w:rPr>
            </w:pPr>
          </w:p>
        </w:tc>
        <w:tc>
          <w:tcPr>
            <w:tcW w:w="1460" w:type="dxa"/>
            <w:vAlign w:val="bottom"/>
            <w:tcBorders>
              <w:bottom w:val="single" w:sz="8" w:color="005C5D"/>
            </w:tcBorders>
            <w:shd w:val="clear" w:color="auto" w:fill="FCEFEB"/>
          </w:tcPr>
          <w:p>
            <w:pPr>
              <w:spacing w:after="0"/>
              <w:rPr>
                <w:sz w:val="5"/>
                <w:szCs w:val="5"/>
                <w:color w:val="auto"/>
              </w:rPr>
            </w:pPr>
          </w:p>
        </w:tc>
        <w:tc>
          <w:tcPr>
            <w:tcW w:w="860" w:type="dxa"/>
            <w:vAlign w:val="bottom"/>
            <w:tcBorders>
              <w:bottom w:val="single" w:sz="8" w:color="005C5D"/>
            </w:tcBorders>
            <w:shd w:val="clear" w:color="auto" w:fill="FCEFEB"/>
          </w:tcPr>
          <w:p>
            <w:pPr>
              <w:spacing w:after="0"/>
              <w:rPr>
                <w:sz w:val="5"/>
                <w:szCs w:val="5"/>
                <w:color w:val="auto"/>
              </w:rPr>
            </w:pPr>
          </w:p>
        </w:tc>
        <w:tc>
          <w:tcPr>
            <w:tcW w:w="100" w:type="dxa"/>
            <w:vAlign w:val="bottom"/>
            <w:tcBorders>
              <w:bottom w:val="single" w:sz="8" w:color="005C5D"/>
            </w:tcBorders>
            <w:shd w:val="clear" w:color="auto" w:fill="FCEFEB"/>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6020" w:type="dxa"/>
            <w:vAlign w:val="bottom"/>
          </w:tcPr>
          <w:p>
            <w:pPr>
              <w:ind w:left="80"/>
              <w:spacing w:after="0"/>
              <w:rPr>
                <w:sz w:val="20"/>
                <w:szCs w:val="20"/>
                <w:color w:val="auto"/>
              </w:rPr>
            </w:pPr>
            <w:r>
              <w:rPr>
                <w:rFonts w:ascii="Arial" w:cs="Arial" w:eastAsia="Arial" w:hAnsi="Arial"/>
                <w:sz w:val="14"/>
                <w:szCs w:val="14"/>
                <w:b w:val="1"/>
                <w:bCs w:val="1"/>
                <w:color w:val="005C5D"/>
              </w:rPr>
              <w:t>Ivan Brockman</w:t>
            </w:r>
          </w:p>
        </w:tc>
        <w:tc>
          <w:tcPr>
            <w:tcW w:w="760" w:type="dxa"/>
            <w:vAlign w:val="bottom"/>
            <w:vMerge w:val="restart"/>
            <w:shd w:val="clear" w:color="auto" w:fill="FCEFEB"/>
          </w:tcPr>
          <w:p>
            <w:pPr>
              <w:ind w:left="460"/>
              <w:spacing w:after="0"/>
              <w:rPr>
                <w:sz w:val="20"/>
                <w:szCs w:val="20"/>
                <w:color w:val="auto"/>
              </w:rPr>
            </w:pPr>
            <w:r>
              <w:rPr>
                <w:rFonts w:ascii="Arial" w:cs="Arial" w:eastAsia="Arial" w:hAnsi="Arial"/>
                <w:sz w:val="14"/>
                <w:szCs w:val="14"/>
                <w:color w:val="333333"/>
              </w:rPr>
              <w:t>56</w:t>
            </w:r>
          </w:p>
        </w:tc>
        <w:tc>
          <w:tcPr>
            <w:tcW w:w="1380" w:type="dxa"/>
            <w:vAlign w:val="bottom"/>
            <w:vMerge w:val="restart"/>
            <w:shd w:val="clear" w:color="auto" w:fill="FCEFEB"/>
          </w:tcPr>
          <w:p>
            <w:pPr>
              <w:jc w:val="center"/>
              <w:ind w:left="149"/>
              <w:spacing w:after="0"/>
              <w:rPr>
                <w:sz w:val="20"/>
                <w:szCs w:val="20"/>
                <w:color w:val="auto"/>
              </w:rPr>
            </w:pPr>
            <w:r>
              <w:rPr>
                <w:rFonts w:ascii="Arial" w:cs="Arial" w:eastAsia="Arial" w:hAnsi="Arial"/>
                <w:sz w:val="14"/>
                <w:szCs w:val="14"/>
                <w:color w:val="333333"/>
              </w:rPr>
              <w:t>2025</w:t>
            </w:r>
          </w:p>
        </w:tc>
        <w:tc>
          <w:tcPr>
            <w:tcW w:w="1460" w:type="dxa"/>
            <w:vAlign w:val="bottom"/>
            <w:vMerge w:val="restart"/>
            <w:shd w:val="clear" w:color="auto" w:fill="FCEFEB"/>
          </w:tcPr>
          <w:p>
            <w:pPr>
              <w:jc w:val="center"/>
              <w:spacing w:after="0"/>
              <w:rPr>
                <w:sz w:val="20"/>
                <w:szCs w:val="20"/>
                <w:color w:val="auto"/>
              </w:rPr>
            </w:pPr>
            <w:r>
              <w:rPr>
                <w:rFonts w:ascii="Arial" w:cs="Arial" w:eastAsia="Arial" w:hAnsi="Arial"/>
                <w:sz w:val="14"/>
                <w:szCs w:val="14"/>
                <w:color w:val="333333"/>
              </w:rPr>
              <w:t>Y</w:t>
            </w:r>
          </w:p>
        </w:tc>
        <w:tc>
          <w:tcPr>
            <w:tcW w:w="860" w:type="dxa"/>
            <w:vAlign w:val="bottom"/>
            <w:vMerge w:val="restart"/>
            <w:shd w:val="clear" w:color="auto" w:fill="FCEFEB"/>
          </w:tcPr>
          <w:p>
            <w:pPr>
              <w:jc w:val="center"/>
              <w:ind w:left="209"/>
              <w:spacing w:after="0"/>
              <w:rPr>
                <w:sz w:val="20"/>
                <w:szCs w:val="20"/>
                <w:color w:val="auto"/>
              </w:rPr>
            </w:pPr>
            <w:r>
              <w:rPr>
                <w:rFonts w:ascii="Arial" w:cs="Arial" w:eastAsia="Arial" w:hAnsi="Arial"/>
                <w:sz w:val="14"/>
                <w:szCs w:val="14"/>
                <w:color w:val="333333"/>
                <w:w w:val="85"/>
              </w:rPr>
              <w:t>— </w:t>
            </w:r>
          </w:p>
        </w:tc>
        <w:tc>
          <w:tcPr>
            <w:tcW w:w="100" w:type="dxa"/>
            <w:vAlign w:val="bottom"/>
            <w:shd w:val="clear" w:color="auto" w:fill="FCEFE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6020" w:type="dxa"/>
            <w:vAlign w:val="bottom"/>
            <w:vMerge w:val="restart"/>
          </w:tcPr>
          <w:p>
            <w:pPr>
              <w:ind w:left="80"/>
              <w:spacing w:after="0"/>
              <w:rPr>
                <w:sz w:val="20"/>
                <w:szCs w:val="20"/>
                <w:color w:val="auto"/>
              </w:rPr>
            </w:pPr>
            <w:r>
              <w:rPr>
                <w:rFonts w:ascii="Arial" w:cs="Arial" w:eastAsia="Arial" w:hAnsi="Arial"/>
                <w:sz w:val="14"/>
                <w:szCs w:val="14"/>
                <w:color w:val="333333"/>
              </w:rPr>
              <w:t>Senior Advisor, PJT Partners</w:t>
            </w:r>
          </w:p>
        </w:tc>
        <w:tc>
          <w:tcPr>
            <w:tcW w:w="760" w:type="dxa"/>
            <w:vAlign w:val="bottom"/>
            <w:vMerge w:val="continue"/>
            <w:shd w:val="clear" w:color="auto" w:fill="FCEFEB"/>
          </w:tcPr>
          <w:p>
            <w:pPr>
              <w:spacing w:after="0"/>
              <w:rPr>
                <w:sz w:val="9"/>
                <w:szCs w:val="9"/>
                <w:color w:val="auto"/>
              </w:rPr>
            </w:pPr>
          </w:p>
        </w:tc>
        <w:tc>
          <w:tcPr>
            <w:tcW w:w="1380" w:type="dxa"/>
            <w:vAlign w:val="bottom"/>
            <w:vMerge w:val="continue"/>
            <w:shd w:val="clear" w:color="auto" w:fill="FCEFEB"/>
          </w:tcPr>
          <w:p>
            <w:pPr>
              <w:spacing w:after="0"/>
              <w:rPr>
                <w:sz w:val="9"/>
                <w:szCs w:val="9"/>
                <w:color w:val="auto"/>
              </w:rPr>
            </w:pPr>
          </w:p>
        </w:tc>
        <w:tc>
          <w:tcPr>
            <w:tcW w:w="1460" w:type="dxa"/>
            <w:vAlign w:val="bottom"/>
            <w:vMerge w:val="continue"/>
            <w:shd w:val="clear" w:color="auto" w:fill="FCEFEB"/>
          </w:tcPr>
          <w:p>
            <w:pPr>
              <w:spacing w:after="0"/>
              <w:rPr>
                <w:sz w:val="9"/>
                <w:szCs w:val="9"/>
                <w:color w:val="auto"/>
              </w:rPr>
            </w:pPr>
          </w:p>
        </w:tc>
        <w:tc>
          <w:tcPr>
            <w:tcW w:w="860" w:type="dxa"/>
            <w:vAlign w:val="bottom"/>
            <w:vMerge w:val="continue"/>
            <w:shd w:val="clear" w:color="auto" w:fill="FCEFEB"/>
          </w:tcPr>
          <w:p>
            <w:pPr>
              <w:spacing w:after="0"/>
              <w:rPr>
                <w:sz w:val="9"/>
                <w:szCs w:val="9"/>
                <w:color w:val="auto"/>
              </w:rPr>
            </w:pPr>
          </w:p>
        </w:tc>
        <w:tc>
          <w:tcPr>
            <w:tcW w:w="100" w:type="dxa"/>
            <w:vAlign w:val="bottom"/>
            <w:shd w:val="clear" w:color="auto" w:fill="FCEFEB"/>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6020" w:type="dxa"/>
            <w:vAlign w:val="bottom"/>
            <w:vMerge w:val="continue"/>
          </w:tcPr>
          <w:p>
            <w:pPr>
              <w:spacing w:after="0"/>
              <w:rPr>
                <w:sz w:val="6"/>
                <w:szCs w:val="6"/>
                <w:color w:val="auto"/>
              </w:rPr>
            </w:pPr>
          </w:p>
        </w:tc>
        <w:tc>
          <w:tcPr>
            <w:tcW w:w="760" w:type="dxa"/>
            <w:vAlign w:val="bottom"/>
            <w:shd w:val="clear" w:color="auto" w:fill="FCEFEB"/>
          </w:tcPr>
          <w:p>
            <w:pPr>
              <w:spacing w:after="0"/>
              <w:rPr>
                <w:sz w:val="6"/>
                <w:szCs w:val="6"/>
                <w:color w:val="auto"/>
              </w:rPr>
            </w:pPr>
          </w:p>
        </w:tc>
        <w:tc>
          <w:tcPr>
            <w:tcW w:w="1380" w:type="dxa"/>
            <w:vAlign w:val="bottom"/>
            <w:shd w:val="clear" w:color="auto" w:fill="FCEFEB"/>
          </w:tcPr>
          <w:p>
            <w:pPr>
              <w:spacing w:after="0"/>
              <w:rPr>
                <w:sz w:val="6"/>
                <w:szCs w:val="6"/>
                <w:color w:val="auto"/>
              </w:rPr>
            </w:pPr>
          </w:p>
        </w:tc>
        <w:tc>
          <w:tcPr>
            <w:tcW w:w="1460" w:type="dxa"/>
            <w:vAlign w:val="bottom"/>
            <w:shd w:val="clear" w:color="auto" w:fill="FCEFEB"/>
          </w:tcPr>
          <w:p>
            <w:pPr>
              <w:spacing w:after="0"/>
              <w:rPr>
                <w:sz w:val="6"/>
                <w:szCs w:val="6"/>
                <w:color w:val="auto"/>
              </w:rPr>
            </w:pPr>
          </w:p>
        </w:tc>
        <w:tc>
          <w:tcPr>
            <w:tcW w:w="860" w:type="dxa"/>
            <w:vAlign w:val="bottom"/>
            <w:shd w:val="clear" w:color="auto" w:fill="FCEFEB"/>
          </w:tcPr>
          <w:p>
            <w:pPr>
              <w:spacing w:after="0"/>
              <w:rPr>
                <w:sz w:val="6"/>
                <w:szCs w:val="6"/>
                <w:color w:val="auto"/>
              </w:rPr>
            </w:pPr>
          </w:p>
        </w:tc>
        <w:tc>
          <w:tcPr>
            <w:tcW w:w="100" w:type="dxa"/>
            <w:vAlign w:val="bottom"/>
            <w:shd w:val="clear" w:color="auto" w:fill="FCEFEB"/>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6020" w:type="dxa"/>
            <w:vAlign w:val="bottom"/>
            <w:tcBorders>
              <w:bottom w:val="single" w:sz="8" w:color="005C5D"/>
            </w:tcBorders>
          </w:tcPr>
          <w:p>
            <w:pPr>
              <w:spacing w:after="0"/>
              <w:rPr>
                <w:sz w:val="5"/>
                <w:szCs w:val="5"/>
                <w:color w:val="auto"/>
              </w:rPr>
            </w:pPr>
          </w:p>
        </w:tc>
        <w:tc>
          <w:tcPr>
            <w:tcW w:w="760" w:type="dxa"/>
            <w:vAlign w:val="bottom"/>
            <w:tcBorders>
              <w:bottom w:val="single" w:sz="8" w:color="005C5D"/>
            </w:tcBorders>
            <w:shd w:val="clear" w:color="auto" w:fill="FCEFEB"/>
          </w:tcPr>
          <w:p>
            <w:pPr>
              <w:spacing w:after="0"/>
              <w:rPr>
                <w:sz w:val="5"/>
                <w:szCs w:val="5"/>
                <w:color w:val="auto"/>
              </w:rPr>
            </w:pPr>
          </w:p>
        </w:tc>
        <w:tc>
          <w:tcPr>
            <w:tcW w:w="1380" w:type="dxa"/>
            <w:vAlign w:val="bottom"/>
            <w:tcBorders>
              <w:bottom w:val="single" w:sz="8" w:color="005C5D"/>
            </w:tcBorders>
            <w:shd w:val="clear" w:color="auto" w:fill="FCEFEB"/>
          </w:tcPr>
          <w:p>
            <w:pPr>
              <w:spacing w:after="0"/>
              <w:rPr>
                <w:sz w:val="5"/>
                <w:szCs w:val="5"/>
                <w:color w:val="auto"/>
              </w:rPr>
            </w:pPr>
          </w:p>
        </w:tc>
        <w:tc>
          <w:tcPr>
            <w:tcW w:w="1460" w:type="dxa"/>
            <w:vAlign w:val="bottom"/>
            <w:tcBorders>
              <w:bottom w:val="single" w:sz="8" w:color="005C5D"/>
            </w:tcBorders>
            <w:shd w:val="clear" w:color="auto" w:fill="FCEFEB"/>
          </w:tcPr>
          <w:p>
            <w:pPr>
              <w:spacing w:after="0"/>
              <w:rPr>
                <w:sz w:val="5"/>
                <w:szCs w:val="5"/>
                <w:color w:val="auto"/>
              </w:rPr>
            </w:pPr>
          </w:p>
        </w:tc>
        <w:tc>
          <w:tcPr>
            <w:tcW w:w="860" w:type="dxa"/>
            <w:vAlign w:val="bottom"/>
            <w:tcBorders>
              <w:bottom w:val="single" w:sz="8" w:color="005C5D"/>
            </w:tcBorders>
            <w:shd w:val="clear" w:color="auto" w:fill="FCEFEB"/>
          </w:tcPr>
          <w:p>
            <w:pPr>
              <w:spacing w:after="0"/>
              <w:rPr>
                <w:sz w:val="5"/>
                <w:szCs w:val="5"/>
                <w:color w:val="auto"/>
              </w:rPr>
            </w:pPr>
          </w:p>
        </w:tc>
        <w:tc>
          <w:tcPr>
            <w:tcW w:w="100" w:type="dxa"/>
            <w:vAlign w:val="bottom"/>
            <w:tcBorders>
              <w:bottom w:val="single" w:sz="8" w:color="005C5D"/>
            </w:tcBorders>
            <w:shd w:val="clear" w:color="auto" w:fill="FCEFEB"/>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6020" w:type="dxa"/>
            <w:vAlign w:val="bottom"/>
          </w:tcPr>
          <w:p>
            <w:pPr>
              <w:ind w:left="80"/>
              <w:spacing w:after="0"/>
              <w:rPr>
                <w:sz w:val="20"/>
                <w:szCs w:val="20"/>
                <w:color w:val="auto"/>
              </w:rPr>
            </w:pPr>
            <w:r>
              <w:rPr>
                <w:rFonts w:ascii="Arial" w:cs="Arial" w:eastAsia="Arial" w:hAnsi="Arial"/>
                <w:sz w:val="14"/>
                <w:szCs w:val="14"/>
                <w:b w:val="1"/>
                <w:bCs w:val="1"/>
                <w:color w:val="005C5D"/>
              </w:rPr>
              <w:t>Kristina Cashman</w:t>
            </w:r>
          </w:p>
        </w:tc>
        <w:tc>
          <w:tcPr>
            <w:tcW w:w="760" w:type="dxa"/>
            <w:vAlign w:val="bottom"/>
            <w:vMerge w:val="restart"/>
            <w:shd w:val="clear" w:color="auto" w:fill="FCEFEB"/>
          </w:tcPr>
          <w:p>
            <w:pPr>
              <w:ind w:left="460"/>
              <w:spacing w:after="0"/>
              <w:rPr>
                <w:sz w:val="20"/>
                <w:szCs w:val="20"/>
                <w:color w:val="auto"/>
              </w:rPr>
            </w:pPr>
            <w:r>
              <w:rPr>
                <w:rFonts w:ascii="Arial" w:cs="Arial" w:eastAsia="Arial" w:hAnsi="Arial"/>
                <w:sz w:val="14"/>
                <w:szCs w:val="14"/>
                <w:color w:val="333333"/>
              </w:rPr>
              <w:t>59</w:t>
            </w:r>
          </w:p>
        </w:tc>
        <w:tc>
          <w:tcPr>
            <w:tcW w:w="1380" w:type="dxa"/>
            <w:vAlign w:val="bottom"/>
            <w:vMerge w:val="restart"/>
            <w:shd w:val="clear" w:color="auto" w:fill="FCEFEB"/>
          </w:tcPr>
          <w:p>
            <w:pPr>
              <w:jc w:val="center"/>
              <w:ind w:left="149"/>
              <w:spacing w:after="0"/>
              <w:rPr>
                <w:sz w:val="20"/>
                <w:szCs w:val="20"/>
                <w:color w:val="auto"/>
              </w:rPr>
            </w:pPr>
            <w:r>
              <w:rPr>
                <w:rFonts w:ascii="Arial" w:cs="Arial" w:eastAsia="Arial" w:hAnsi="Arial"/>
                <w:sz w:val="14"/>
                <w:szCs w:val="14"/>
                <w:color w:val="333333"/>
              </w:rPr>
              <w:t>2020</w:t>
            </w:r>
          </w:p>
        </w:tc>
        <w:tc>
          <w:tcPr>
            <w:tcW w:w="1460" w:type="dxa"/>
            <w:vAlign w:val="bottom"/>
            <w:vMerge w:val="restart"/>
            <w:shd w:val="clear" w:color="auto" w:fill="FCEFEB"/>
          </w:tcPr>
          <w:p>
            <w:pPr>
              <w:jc w:val="center"/>
              <w:spacing w:after="0"/>
              <w:rPr>
                <w:sz w:val="20"/>
                <w:szCs w:val="20"/>
                <w:color w:val="auto"/>
              </w:rPr>
            </w:pPr>
            <w:r>
              <w:rPr>
                <w:rFonts w:ascii="Arial" w:cs="Arial" w:eastAsia="Arial" w:hAnsi="Arial"/>
                <w:sz w:val="14"/>
                <w:szCs w:val="14"/>
                <w:color w:val="333333"/>
              </w:rPr>
              <w:t>Y</w:t>
            </w:r>
          </w:p>
        </w:tc>
        <w:tc>
          <w:tcPr>
            <w:tcW w:w="860" w:type="dxa"/>
            <w:vAlign w:val="bottom"/>
            <w:vMerge w:val="restart"/>
            <w:shd w:val="clear" w:color="auto" w:fill="FCEFEB"/>
          </w:tcPr>
          <w:p>
            <w:pPr>
              <w:jc w:val="center"/>
              <w:ind w:left="229"/>
              <w:spacing w:after="0"/>
              <w:rPr>
                <w:sz w:val="20"/>
                <w:szCs w:val="20"/>
                <w:color w:val="auto"/>
              </w:rPr>
            </w:pPr>
            <w:r>
              <w:rPr>
                <w:rFonts w:ascii="Arial" w:cs="Arial" w:eastAsia="Arial" w:hAnsi="Arial"/>
                <w:sz w:val="14"/>
                <w:szCs w:val="14"/>
                <w:color w:val="333333"/>
              </w:rPr>
              <w:t>2</w:t>
            </w:r>
          </w:p>
        </w:tc>
        <w:tc>
          <w:tcPr>
            <w:tcW w:w="100" w:type="dxa"/>
            <w:vAlign w:val="bottom"/>
            <w:shd w:val="clear" w:color="auto" w:fill="FCEFE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6020" w:type="dxa"/>
            <w:vAlign w:val="bottom"/>
            <w:vMerge w:val="restart"/>
          </w:tcPr>
          <w:p>
            <w:pPr>
              <w:ind w:left="80"/>
              <w:spacing w:after="0"/>
              <w:rPr>
                <w:sz w:val="20"/>
                <w:szCs w:val="20"/>
                <w:color w:val="auto"/>
              </w:rPr>
            </w:pPr>
            <w:r>
              <w:rPr>
                <w:rFonts w:ascii="Arial" w:cs="Arial" w:eastAsia="Arial" w:hAnsi="Arial"/>
                <w:sz w:val="14"/>
                <w:szCs w:val="14"/>
                <w:color w:val="333333"/>
              </w:rPr>
              <w:t>Chief Executive Officer, Guy and Larry Restaurants</w:t>
            </w:r>
          </w:p>
        </w:tc>
        <w:tc>
          <w:tcPr>
            <w:tcW w:w="760" w:type="dxa"/>
            <w:vAlign w:val="bottom"/>
            <w:vMerge w:val="continue"/>
            <w:shd w:val="clear" w:color="auto" w:fill="FCEFEB"/>
          </w:tcPr>
          <w:p>
            <w:pPr>
              <w:spacing w:after="0"/>
              <w:rPr>
                <w:sz w:val="9"/>
                <w:szCs w:val="9"/>
                <w:color w:val="auto"/>
              </w:rPr>
            </w:pPr>
          </w:p>
        </w:tc>
        <w:tc>
          <w:tcPr>
            <w:tcW w:w="1380" w:type="dxa"/>
            <w:vAlign w:val="bottom"/>
            <w:vMerge w:val="continue"/>
            <w:shd w:val="clear" w:color="auto" w:fill="FCEFEB"/>
          </w:tcPr>
          <w:p>
            <w:pPr>
              <w:spacing w:after="0"/>
              <w:rPr>
                <w:sz w:val="9"/>
                <w:szCs w:val="9"/>
                <w:color w:val="auto"/>
              </w:rPr>
            </w:pPr>
          </w:p>
        </w:tc>
        <w:tc>
          <w:tcPr>
            <w:tcW w:w="1460" w:type="dxa"/>
            <w:vAlign w:val="bottom"/>
            <w:vMerge w:val="continue"/>
            <w:shd w:val="clear" w:color="auto" w:fill="FCEFEB"/>
          </w:tcPr>
          <w:p>
            <w:pPr>
              <w:spacing w:after="0"/>
              <w:rPr>
                <w:sz w:val="9"/>
                <w:szCs w:val="9"/>
                <w:color w:val="auto"/>
              </w:rPr>
            </w:pPr>
          </w:p>
        </w:tc>
        <w:tc>
          <w:tcPr>
            <w:tcW w:w="860" w:type="dxa"/>
            <w:vAlign w:val="bottom"/>
            <w:vMerge w:val="continue"/>
            <w:shd w:val="clear" w:color="auto" w:fill="FCEFEB"/>
          </w:tcPr>
          <w:p>
            <w:pPr>
              <w:spacing w:after="0"/>
              <w:rPr>
                <w:sz w:val="9"/>
                <w:szCs w:val="9"/>
                <w:color w:val="auto"/>
              </w:rPr>
            </w:pPr>
          </w:p>
        </w:tc>
        <w:tc>
          <w:tcPr>
            <w:tcW w:w="100" w:type="dxa"/>
            <w:vAlign w:val="bottom"/>
            <w:shd w:val="clear" w:color="auto" w:fill="FCEFEB"/>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6020" w:type="dxa"/>
            <w:vAlign w:val="bottom"/>
            <w:vMerge w:val="continue"/>
          </w:tcPr>
          <w:p>
            <w:pPr>
              <w:spacing w:after="0"/>
              <w:rPr>
                <w:sz w:val="6"/>
                <w:szCs w:val="6"/>
                <w:color w:val="auto"/>
              </w:rPr>
            </w:pPr>
          </w:p>
        </w:tc>
        <w:tc>
          <w:tcPr>
            <w:tcW w:w="760" w:type="dxa"/>
            <w:vAlign w:val="bottom"/>
            <w:shd w:val="clear" w:color="auto" w:fill="FCEFEB"/>
          </w:tcPr>
          <w:p>
            <w:pPr>
              <w:spacing w:after="0"/>
              <w:rPr>
                <w:sz w:val="6"/>
                <w:szCs w:val="6"/>
                <w:color w:val="auto"/>
              </w:rPr>
            </w:pPr>
          </w:p>
        </w:tc>
        <w:tc>
          <w:tcPr>
            <w:tcW w:w="1380" w:type="dxa"/>
            <w:vAlign w:val="bottom"/>
            <w:shd w:val="clear" w:color="auto" w:fill="FCEFEB"/>
          </w:tcPr>
          <w:p>
            <w:pPr>
              <w:spacing w:after="0"/>
              <w:rPr>
                <w:sz w:val="6"/>
                <w:szCs w:val="6"/>
                <w:color w:val="auto"/>
              </w:rPr>
            </w:pPr>
          </w:p>
        </w:tc>
        <w:tc>
          <w:tcPr>
            <w:tcW w:w="1460" w:type="dxa"/>
            <w:vAlign w:val="bottom"/>
            <w:shd w:val="clear" w:color="auto" w:fill="FCEFEB"/>
          </w:tcPr>
          <w:p>
            <w:pPr>
              <w:spacing w:after="0"/>
              <w:rPr>
                <w:sz w:val="6"/>
                <w:szCs w:val="6"/>
                <w:color w:val="auto"/>
              </w:rPr>
            </w:pPr>
          </w:p>
        </w:tc>
        <w:tc>
          <w:tcPr>
            <w:tcW w:w="860" w:type="dxa"/>
            <w:vAlign w:val="bottom"/>
            <w:shd w:val="clear" w:color="auto" w:fill="FCEFEB"/>
          </w:tcPr>
          <w:p>
            <w:pPr>
              <w:spacing w:after="0"/>
              <w:rPr>
                <w:sz w:val="6"/>
                <w:szCs w:val="6"/>
                <w:color w:val="auto"/>
              </w:rPr>
            </w:pPr>
          </w:p>
        </w:tc>
        <w:tc>
          <w:tcPr>
            <w:tcW w:w="100" w:type="dxa"/>
            <w:vAlign w:val="bottom"/>
            <w:shd w:val="clear" w:color="auto" w:fill="FCEFEB"/>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6020" w:type="dxa"/>
            <w:vAlign w:val="bottom"/>
            <w:tcBorders>
              <w:bottom w:val="single" w:sz="8" w:color="005C5D"/>
            </w:tcBorders>
          </w:tcPr>
          <w:p>
            <w:pPr>
              <w:spacing w:after="0"/>
              <w:rPr>
                <w:sz w:val="5"/>
                <w:szCs w:val="5"/>
                <w:color w:val="auto"/>
              </w:rPr>
            </w:pPr>
          </w:p>
        </w:tc>
        <w:tc>
          <w:tcPr>
            <w:tcW w:w="760" w:type="dxa"/>
            <w:vAlign w:val="bottom"/>
            <w:tcBorders>
              <w:bottom w:val="single" w:sz="8" w:color="005C5D"/>
            </w:tcBorders>
            <w:shd w:val="clear" w:color="auto" w:fill="FCEFEB"/>
          </w:tcPr>
          <w:p>
            <w:pPr>
              <w:spacing w:after="0"/>
              <w:rPr>
                <w:sz w:val="5"/>
                <w:szCs w:val="5"/>
                <w:color w:val="auto"/>
              </w:rPr>
            </w:pPr>
          </w:p>
        </w:tc>
        <w:tc>
          <w:tcPr>
            <w:tcW w:w="1380" w:type="dxa"/>
            <w:vAlign w:val="bottom"/>
            <w:tcBorders>
              <w:bottom w:val="single" w:sz="8" w:color="005C5D"/>
            </w:tcBorders>
            <w:shd w:val="clear" w:color="auto" w:fill="FCEFEB"/>
          </w:tcPr>
          <w:p>
            <w:pPr>
              <w:spacing w:after="0"/>
              <w:rPr>
                <w:sz w:val="5"/>
                <w:szCs w:val="5"/>
                <w:color w:val="auto"/>
              </w:rPr>
            </w:pPr>
          </w:p>
        </w:tc>
        <w:tc>
          <w:tcPr>
            <w:tcW w:w="1460" w:type="dxa"/>
            <w:vAlign w:val="bottom"/>
            <w:tcBorders>
              <w:bottom w:val="single" w:sz="8" w:color="005C5D"/>
            </w:tcBorders>
            <w:shd w:val="clear" w:color="auto" w:fill="FCEFEB"/>
          </w:tcPr>
          <w:p>
            <w:pPr>
              <w:spacing w:after="0"/>
              <w:rPr>
                <w:sz w:val="5"/>
                <w:szCs w:val="5"/>
                <w:color w:val="auto"/>
              </w:rPr>
            </w:pPr>
          </w:p>
        </w:tc>
        <w:tc>
          <w:tcPr>
            <w:tcW w:w="860" w:type="dxa"/>
            <w:vAlign w:val="bottom"/>
            <w:tcBorders>
              <w:bottom w:val="single" w:sz="8" w:color="005C5D"/>
            </w:tcBorders>
            <w:shd w:val="clear" w:color="auto" w:fill="FCEFEB"/>
          </w:tcPr>
          <w:p>
            <w:pPr>
              <w:spacing w:after="0"/>
              <w:rPr>
                <w:sz w:val="5"/>
                <w:szCs w:val="5"/>
                <w:color w:val="auto"/>
              </w:rPr>
            </w:pPr>
          </w:p>
        </w:tc>
        <w:tc>
          <w:tcPr>
            <w:tcW w:w="100" w:type="dxa"/>
            <w:vAlign w:val="bottom"/>
            <w:tcBorders>
              <w:bottom w:val="single" w:sz="8" w:color="005C5D"/>
            </w:tcBorders>
            <w:shd w:val="clear" w:color="auto" w:fill="FCEFEB"/>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6020" w:type="dxa"/>
            <w:vAlign w:val="bottom"/>
          </w:tcPr>
          <w:p>
            <w:pPr>
              <w:ind w:left="80"/>
              <w:spacing w:after="0"/>
              <w:rPr>
                <w:sz w:val="20"/>
                <w:szCs w:val="20"/>
                <w:color w:val="auto"/>
              </w:rPr>
            </w:pPr>
            <w:r>
              <w:rPr>
                <w:rFonts w:ascii="Arial" w:cs="Arial" w:eastAsia="Arial" w:hAnsi="Arial"/>
                <w:sz w:val="14"/>
                <w:szCs w:val="14"/>
                <w:b w:val="1"/>
                <w:bCs w:val="1"/>
                <w:color w:val="005C5D"/>
              </w:rPr>
              <w:t>Robert J. Hall</w:t>
            </w:r>
          </w:p>
        </w:tc>
        <w:tc>
          <w:tcPr>
            <w:tcW w:w="760" w:type="dxa"/>
            <w:vAlign w:val="bottom"/>
            <w:vMerge w:val="restart"/>
            <w:shd w:val="clear" w:color="auto" w:fill="FCEFEB"/>
          </w:tcPr>
          <w:p>
            <w:pPr>
              <w:ind w:left="460"/>
              <w:spacing w:after="0"/>
              <w:rPr>
                <w:sz w:val="20"/>
                <w:szCs w:val="20"/>
                <w:color w:val="auto"/>
              </w:rPr>
            </w:pPr>
            <w:r>
              <w:rPr>
                <w:rFonts w:ascii="Arial" w:cs="Arial" w:eastAsia="Arial" w:hAnsi="Arial"/>
                <w:sz w:val="14"/>
                <w:szCs w:val="14"/>
                <w:color w:val="333333"/>
              </w:rPr>
              <w:t>67</w:t>
            </w:r>
          </w:p>
        </w:tc>
        <w:tc>
          <w:tcPr>
            <w:tcW w:w="1380" w:type="dxa"/>
            <w:vAlign w:val="bottom"/>
            <w:vMerge w:val="restart"/>
            <w:shd w:val="clear" w:color="auto" w:fill="FCEFEB"/>
          </w:tcPr>
          <w:p>
            <w:pPr>
              <w:jc w:val="center"/>
              <w:ind w:left="149"/>
              <w:spacing w:after="0"/>
              <w:rPr>
                <w:sz w:val="20"/>
                <w:szCs w:val="20"/>
                <w:color w:val="auto"/>
              </w:rPr>
            </w:pPr>
            <w:r>
              <w:rPr>
                <w:rFonts w:ascii="Arial" w:cs="Arial" w:eastAsia="Arial" w:hAnsi="Arial"/>
                <w:sz w:val="14"/>
                <w:szCs w:val="14"/>
                <w:color w:val="333333"/>
              </w:rPr>
              <w:t>2007</w:t>
            </w:r>
          </w:p>
        </w:tc>
        <w:tc>
          <w:tcPr>
            <w:tcW w:w="1460" w:type="dxa"/>
            <w:vAlign w:val="bottom"/>
            <w:vMerge w:val="restart"/>
            <w:shd w:val="clear" w:color="auto" w:fill="FCEFEB"/>
          </w:tcPr>
          <w:p>
            <w:pPr>
              <w:jc w:val="center"/>
              <w:spacing w:after="0"/>
              <w:rPr>
                <w:sz w:val="20"/>
                <w:szCs w:val="20"/>
                <w:color w:val="auto"/>
              </w:rPr>
            </w:pPr>
            <w:r>
              <w:rPr>
                <w:rFonts w:ascii="Arial" w:cs="Arial" w:eastAsia="Arial" w:hAnsi="Arial"/>
                <w:sz w:val="14"/>
                <w:szCs w:val="14"/>
                <w:color w:val="333333"/>
                <w:w w:val="98"/>
              </w:rPr>
              <w:t>N</w:t>
            </w:r>
          </w:p>
        </w:tc>
        <w:tc>
          <w:tcPr>
            <w:tcW w:w="860" w:type="dxa"/>
            <w:vAlign w:val="bottom"/>
            <w:vMerge w:val="restart"/>
            <w:shd w:val="clear" w:color="auto" w:fill="FCEFEB"/>
          </w:tcPr>
          <w:p>
            <w:pPr>
              <w:jc w:val="center"/>
              <w:ind w:left="209"/>
              <w:spacing w:after="0"/>
              <w:rPr>
                <w:sz w:val="20"/>
                <w:szCs w:val="20"/>
                <w:color w:val="auto"/>
              </w:rPr>
            </w:pPr>
            <w:r>
              <w:rPr>
                <w:rFonts w:ascii="Arial" w:cs="Arial" w:eastAsia="Arial" w:hAnsi="Arial"/>
                <w:sz w:val="14"/>
                <w:szCs w:val="14"/>
                <w:color w:val="333333"/>
                <w:w w:val="85"/>
              </w:rPr>
              <w:t>— </w:t>
            </w:r>
          </w:p>
        </w:tc>
        <w:tc>
          <w:tcPr>
            <w:tcW w:w="100" w:type="dxa"/>
            <w:vAlign w:val="bottom"/>
            <w:shd w:val="clear" w:color="auto" w:fill="FCEFE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6020" w:type="dxa"/>
            <w:vAlign w:val="bottom"/>
            <w:vMerge w:val="restart"/>
          </w:tcPr>
          <w:p>
            <w:pPr>
              <w:ind w:left="80"/>
              <w:spacing w:after="0"/>
              <w:rPr>
                <w:sz w:val="20"/>
                <w:szCs w:val="20"/>
                <w:color w:val="auto"/>
              </w:rPr>
            </w:pPr>
            <w:r>
              <w:rPr>
                <w:rFonts w:ascii="Arial" w:cs="Arial" w:eastAsia="Arial" w:hAnsi="Arial"/>
                <w:sz w:val="14"/>
                <w:szCs w:val="14"/>
                <w:color w:val="333333"/>
              </w:rPr>
              <w:t>President, Green Gable Partners</w:t>
            </w:r>
          </w:p>
        </w:tc>
        <w:tc>
          <w:tcPr>
            <w:tcW w:w="760" w:type="dxa"/>
            <w:vAlign w:val="bottom"/>
            <w:vMerge w:val="continue"/>
            <w:shd w:val="clear" w:color="auto" w:fill="FCEFEB"/>
          </w:tcPr>
          <w:p>
            <w:pPr>
              <w:spacing w:after="0"/>
              <w:rPr>
                <w:sz w:val="9"/>
                <w:szCs w:val="9"/>
                <w:color w:val="auto"/>
              </w:rPr>
            </w:pPr>
          </w:p>
        </w:tc>
        <w:tc>
          <w:tcPr>
            <w:tcW w:w="1380" w:type="dxa"/>
            <w:vAlign w:val="bottom"/>
            <w:vMerge w:val="continue"/>
            <w:shd w:val="clear" w:color="auto" w:fill="FCEFEB"/>
          </w:tcPr>
          <w:p>
            <w:pPr>
              <w:spacing w:after="0"/>
              <w:rPr>
                <w:sz w:val="9"/>
                <w:szCs w:val="9"/>
                <w:color w:val="auto"/>
              </w:rPr>
            </w:pPr>
          </w:p>
        </w:tc>
        <w:tc>
          <w:tcPr>
            <w:tcW w:w="1460" w:type="dxa"/>
            <w:vAlign w:val="bottom"/>
            <w:vMerge w:val="continue"/>
            <w:shd w:val="clear" w:color="auto" w:fill="FCEFEB"/>
          </w:tcPr>
          <w:p>
            <w:pPr>
              <w:spacing w:after="0"/>
              <w:rPr>
                <w:sz w:val="9"/>
                <w:szCs w:val="9"/>
                <w:color w:val="auto"/>
              </w:rPr>
            </w:pPr>
          </w:p>
        </w:tc>
        <w:tc>
          <w:tcPr>
            <w:tcW w:w="860" w:type="dxa"/>
            <w:vAlign w:val="bottom"/>
            <w:vMerge w:val="continue"/>
            <w:shd w:val="clear" w:color="auto" w:fill="FCEFEB"/>
          </w:tcPr>
          <w:p>
            <w:pPr>
              <w:spacing w:after="0"/>
              <w:rPr>
                <w:sz w:val="9"/>
                <w:szCs w:val="9"/>
                <w:color w:val="auto"/>
              </w:rPr>
            </w:pPr>
          </w:p>
        </w:tc>
        <w:tc>
          <w:tcPr>
            <w:tcW w:w="100" w:type="dxa"/>
            <w:vAlign w:val="bottom"/>
            <w:shd w:val="clear" w:color="auto" w:fill="FCEFEB"/>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6020" w:type="dxa"/>
            <w:vAlign w:val="bottom"/>
            <w:vMerge w:val="continue"/>
          </w:tcPr>
          <w:p>
            <w:pPr>
              <w:spacing w:after="0"/>
              <w:rPr>
                <w:sz w:val="6"/>
                <w:szCs w:val="6"/>
                <w:color w:val="auto"/>
              </w:rPr>
            </w:pPr>
          </w:p>
        </w:tc>
        <w:tc>
          <w:tcPr>
            <w:tcW w:w="760" w:type="dxa"/>
            <w:vAlign w:val="bottom"/>
            <w:shd w:val="clear" w:color="auto" w:fill="FCEFEB"/>
          </w:tcPr>
          <w:p>
            <w:pPr>
              <w:spacing w:after="0"/>
              <w:rPr>
                <w:sz w:val="6"/>
                <w:szCs w:val="6"/>
                <w:color w:val="auto"/>
              </w:rPr>
            </w:pPr>
          </w:p>
        </w:tc>
        <w:tc>
          <w:tcPr>
            <w:tcW w:w="1380" w:type="dxa"/>
            <w:vAlign w:val="bottom"/>
            <w:shd w:val="clear" w:color="auto" w:fill="FCEFEB"/>
          </w:tcPr>
          <w:p>
            <w:pPr>
              <w:spacing w:after="0"/>
              <w:rPr>
                <w:sz w:val="6"/>
                <w:szCs w:val="6"/>
                <w:color w:val="auto"/>
              </w:rPr>
            </w:pPr>
          </w:p>
        </w:tc>
        <w:tc>
          <w:tcPr>
            <w:tcW w:w="1460" w:type="dxa"/>
            <w:vAlign w:val="bottom"/>
            <w:shd w:val="clear" w:color="auto" w:fill="FCEFEB"/>
          </w:tcPr>
          <w:p>
            <w:pPr>
              <w:spacing w:after="0"/>
              <w:rPr>
                <w:sz w:val="6"/>
                <w:szCs w:val="6"/>
                <w:color w:val="auto"/>
              </w:rPr>
            </w:pPr>
          </w:p>
        </w:tc>
        <w:tc>
          <w:tcPr>
            <w:tcW w:w="860" w:type="dxa"/>
            <w:vAlign w:val="bottom"/>
            <w:shd w:val="clear" w:color="auto" w:fill="FCEFEB"/>
          </w:tcPr>
          <w:p>
            <w:pPr>
              <w:spacing w:after="0"/>
              <w:rPr>
                <w:sz w:val="6"/>
                <w:szCs w:val="6"/>
                <w:color w:val="auto"/>
              </w:rPr>
            </w:pPr>
          </w:p>
        </w:tc>
        <w:tc>
          <w:tcPr>
            <w:tcW w:w="100" w:type="dxa"/>
            <w:vAlign w:val="bottom"/>
            <w:shd w:val="clear" w:color="auto" w:fill="FCEFEB"/>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6020" w:type="dxa"/>
            <w:vAlign w:val="bottom"/>
            <w:tcBorders>
              <w:bottom w:val="single" w:sz="8" w:color="005C5D"/>
            </w:tcBorders>
          </w:tcPr>
          <w:p>
            <w:pPr>
              <w:spacing w:after="0"/>
              <w:rPr>
                <w:sz w:val="5"/>
                <w:szCs w:val="5"/>
                <w:color w:val="auto"/>
              </w:rPr>
            </w:pPr>
          </w:p>
        </w:tc>
        <w:tc>
          <w:tcPr>
            <w:tcW w:w="760" w:type="dxa"/>
            <w:vAlign w:val="bottom"/>
            <w:tcBorders>
              <w:bottom w:val="single" w:sz="8" w:color="005C5D"/>
            </w:tcBorders>
            <w:shd w:val="clear" w:color="auto" w:fill="FCEFEB"/>
          </w:tcPr>
          <w:p>
            <w:pPr>
              <w:spacing w:after="0"/>
              <w:rPr>
                <w:sz w:val="5"/>
                <w:szCs w:val="5"/>
                <w:color w:val="auto"/>
              </w:rPr>
            </w:pPr>
          </w:p>
        </w:tc>
        <w:tc>
          <w:tcPr>
            <w:tcW w:w="1380" w:type="dxa"/>
            <w:vAlign w:val="bottom"/>
            <w:tcBorders>
              <w:bottom w:val="single" w:sz="8" w:color="005C5D"/>
            </w:tcBorders>
            <w:shd w:val="clear" w:color="auto" w:fill="FCEFEB"/>
          </w:tcPr>
          <w:p>
            <w:pPr>
              <w:spacing w:after="0"/>
              <w:rPr>
                <w:sz w:val="5"/>
                <w:szCs w:val="5"/>
                <w:color w:val="auto"/>
              </w:rPr>
            </w:pPr>
          </w:p>
        </w:tc>
        <w:tc>
          <w:tcPr>
            <w:tcW w:w="1460" w:type="dxa"/>
            <w:vAlign w:val="bottom"/>
            <w:tcBorders>
              <w:bottom w:val="single" w:sz="8" w:color="005C5D"/>
            </w:tcBorders>
            <w:shd w:val="clear" w:color="auto" w:fill="FCEFEB"/>
          </w:tcPr>
          <w:p>
            <w:pPr>
              <w:spacing w:after="0"/>
              <w:rPr>
                <w:sz w:val="5"/>
                <w:szCs w:val="5"/>
                <w:color w:val="auto"/>
              </w:rPr>
            </w:pPr>
          </w:p>
        </w:tc>
        <w:tc>
          <w:tcPr>
            <w:tcW w:w="860" w:type="dxa"/>
            <w:vAlign w:val="bottom"/>
            <w:tcBorders>
              <w:bottom w:val="single" w:sz="8" w:color="005C5D"/>
            </w:tcBorders>
            <w:shd w:val="clear" w:color="auto" w:fill="FCEFEB"/>
          </w:tcPr>
          <w:p>
            <w:pPr>
              <w:spacing w:after="0"/>
              <w:rPr>
                <w:sz w:val="5"/>
                <w:szCs w:val="5"/>
                <w:color w:val="auto"/>
              </w:rPr>
            </w:pPr>
          </w:p>
        </w:tc>
        <w:tc>
          <w:tcPr>
            <w:tcW w:w="100" w:type="dxa"/>
            <w:vAlign w:val="bottom"/>
            <w:tcBorders>
              <w:bottom w:val="single" w:sz="8" w:color="005C5D"/>
            </w:tcBorders>
            <w:shd w:val="clear" w:color="auto" w:fill="FCEFEB"/>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6020" w:type="dxa"/>
            <w:vAlign w:val="bottom"/>
          </w:tcPr>
          <w:p>
            <w:pPr>
              <w:ind w:left="80"/>
              <w:spacing w:after="0"/>
              <w:rPr>
                <w:sz w:val="20"/>
                <w:szCs w:val="20"/>
                <w:color w:val="auto"/>
              </w:rPr>
            </w:pPr>
            <w:r>
              <w:rPr>
                <w:rFonts w:ascii="Arial" w:cs="Arial" w:eastAsia="Arial" w:hAnsi="Arial"/>
                <w:sz w:val="14"/>
                <w:szCs w:val="14"/>
                <w:b w:val="1"/>
                <w:bCs w:val="1"/>
                <w:color w:val="005C5D"/>
              </w:rPr>
              <w:t>Andrew Meslow</w:t>
            </w:r>
          </w:p>
        </w:tc>
        <w:tc>
          <w:tcPr>
            <w:tcW w:w="760" w:type="dxa"/>
            <w:vAlign w:val="bottom"/>
            <w:vMerge w:val="restart"/>
            <w:shd w:val="clear" w:color="auto" w:fill="FCEFEB"/>
          </w:tcPr>
          <w:p>
            <w:pPr>
              <w:ind w:left="460"/>
              <w:spacing w:after="0"/>
              <w:rPr>
                <w:sz w:val="20"/>
                <w:szCs w:val="20"/>
                <w:color w:val="auto"/>
              </w:rPr>
            </w:pPr>
            <w:r>
              <w:rPr>
                <w:rFonts w:ascii="Arial" w:cs="Arial" w:eastAsia="Arial" w:hAnsi="Arial"/>
                <w:sz w:val="14"/>
                <w:szCs w:val="14"/>
                <w:color w:val="333333"/>
              </w:rPr>
              <w:t>57</w:t>
            </w:r>
          </w:p>
        </w:tc>
        <w:tc>
          <w:tcPr>
            <w:tcW w:w="1380" w:type="dxa"/>
            <w:vAlign w:val="bottom"/>
            <w:vMerge w:val="restart"/>
            <w:shd w:val="clear" w:color="auto" w:fill="FCEFEB"/>
          </w:tcPr>
          <w:p>
            <w:pPr>
              <w:jc w:val="center"/>
              <w:ind w:left="149"/>
              <w:spacing w:after="0"/>
              <w:rPr>
                <w:sz w:val="20"/>
                <w:szCs w:val="20"/>
                <w:color w:val="auto"/>
              </w:rPr>
            </w:pPr>
            <w:r>
              <w:rPr>
                <w:rFonts w:ascii="Arial" w:cs="Arial" w:eastAsia="Arial" w:hAnsi="Arial"/>
                <w:sz w:val="14"/>
                <w:szCs w:val="14"/>
                <w:color w:val="333333"/>
              </w:rPr>
              <w:t>2025</w:t>
            </w:r>
          </w:p>
        </w:tc>
        <w:tc>
          <w:tcPr>
            <w:tcW w:w="1460" w:type="dxa"/>
            <w:vAlign w:val="bottom"/>
            <w:vMerge w:val="restart"/>
            <w:shd w:val="clear" w:color="auto" w:fill="FCEFEB"/>
          </w:tcPr>
          <w:p>
            <w:pPr>
              <w:jc w:val="center"/>
              <w:spacing w:after="0"/>
              <w:rPr>
                <w:sz w:val="20"/>
                <w:szCs w:val="20"/>
                <w:color w:val="auto"/>
              </w:rPr>
            </w:pPr>
            <w:r>
              <w:rPr>
                <w:rFonts w:ascii="Arial" w:cs="Arial" w:eastAsia="Arial" w:hAnsi="Arial"/>
                <w:sz w:val="14"/>
                <w:szCs w:val="14"/>
                <w:color w:val="333333"/>
              </w:rPr>
              <w:t>Y</w:t>
            </w:r>
          </w:p>
        </w:tc>
        <w:tc>
          <w:tcPr>
            <w:tcW w:w="860" w:type="dxa"/>
            <w:vAlign w:val="bottom"/>
            <w:vMerge w:val="restart"/>
            <w:shd w:val="clear" w:color="auto" w:fill="FCEFEB"/>
          </w:tcPr>
          <w:p>
            <w:pPr>
              <w:jc w:val="center"/>
              <w:ind w:left="209"/>
              <w:spacing w:after="0"/>
              <w:rPr>
                <w:sz w:val="20"/>
                <w:szCs w:val="20"/>
                <w:color w:val="auto"/>
              </w:rPr>
            </w:pPr>
            <w:r>
              <w:rPr>
                <w:rFonts w:ascii="Arial" w:cs="Arial" w:eastAsia="Arial" w:hAnsi="Arial"/>
                <w:sz w:val="14"/>
                <w:szCs w:val="14"/>
                <w:color w:val="333333"/>
                <w:w w:val="85"/>
              </w:rPr>
              <w:t>— </w:t>
            </w:r>
          </w:p>
        </w:tc>
        <w:tc>
          <w:tcPr>
            <w:tcW w:w="100" w:type="dxa"/>
            <w:vAlign w:val="bottom"/>
            <w:shd w:val="clear" w:color="auto" w:fill="FCEFE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6020" w:type="dxa"/>
            <w:vAlign w:val="bottom"/>
            <w:vMerge w:val="restart"/>
          </w:tcPr>
          <w:p>
            <w:pPr>
              <w:ind w:left="80"/>
              <w:spacing w:after="0"/>
              <w:rPr>
                <w:sz w:val="20"/>
                <w:szCs w:val="20"/>
                <w:color w:val="auto"/>
              </w:rPr>
            </w:pPr>
            <w:r>
              <w:rPr>
                <w:rFonts w:ascii="Arial" w:cs="Arial" w:eastAsia="Arial" w:hAnsi="Arial"/>
                <w:sz w:val="14"/>
                <w:szCs w:val="14"/>
                <w:color w:val="333333"/>
              </w:rPr>
              <w:t>Retired Chief Executive Officer, L Brands and Bath &amp; Body Works</w:t>
            </w:r>
          </w:p>
        </w:tc>
        <w:tc>
          <w:tcPr>
            <w:tcW w:w="760" w:type="dxa"/>
            <w:vAlign w:val="bottom"/>
            <w:vMerge w:val="continue"/>
            <w:shd w:val="clear" w:color="auto" w:fill="FCEFEB"/>
          </w:tcPr>
          <w:p>
            <w:pPr>
              <w:spacing w:after="0"/>
              <w:rPr>
                <w:sz w:val="9"/>
                <w:szCs w:val="9"/>
                <w:color w:val="auto"/>
              </w:rPr>
            </w:pPr>
          </w:p>
        </w:tc>
        <w:tc>
          <w:tcPr>
            <w:tcW w:w="1380" w:type="dxa"/>
            <w:vAlign w:val="bottom"/>
            <w:vMerge w:val="continue"/>
            <w:shd w:val="clear" w:color="auto" w:fill="FCEFEB"/>
          </w:tcPr>
          <w:p>
            <w:pPr>
              <w:spacing w:after="0"/>
              <w:rPr>
                <w:sz w:val="9"/>
                <w:szCs w:val="9"/>
                <w:color w:val="auto"/>
              </w:rPr>
            </w:pPr>
          </w:p>
        </w:tc>
        <w:tc>
          <w:tcPr>
            <w:tcW w:w="1460" w:type="dxa"/>
            <w:vAlign w:val="bottom"/>
            <w:vMerge w:val="continue"/>
            <w:shd w:val="clear" w:color="auto" w:fill="FCEFEB"/>
          </w:tcPr>
          <w:p>
            <w:pPr>
              <w:spacing w:after="0"/>
              <w:rPr>
                <w:sz w:val="9"/>
                <w:szCs w:val="9"/>
                <w:color w:val="auto"/>
              </w:rPr>
            </w:pPr>
          </w:p>
        </w:tc>
        <w:tc>
          <w:tcPr>
            <w:tcW w:w="860" w:type="dxa"/>
            <w:vAlign w:val="bottom"/>
            <w:vMerge w:val="continue"/>
            <w:shd w:val="clear" w:color="auto" w:fill="FCEFEB"/>
          </w:tcPr>
          <w:p>
            <w:pPr>
              <w:spacing w:after="0"/>
              <w:rPr>
                <w:sz w:val="9"/>
                <w:szCs w:val="9"/>
                <w:color w:val="auto"/>
              </w:rPr>
            </w:pPr>
          </w:p>
        </w:tc>
        <w:tc>
          <w:tcPr>
            <w:tcW w:w="100" w:type="dxa"/>
            <w:vAlign w:val="bottom"/>
            <w:shd w:val="clear" w:color="auto" w:fill="FCEFEB"/>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6020" w:type="dxa"/>
            <w:vAlign w:val="bottom"/>
            <w:vMerge w:val="continue"/>
          </w:tcPr>
          <w:p>
            <w:pPr>
              <w:spacing w:after="0"/>
              <w:rPr>
                <w:sz w:val="6"/>
                <w:szCs w:val="6"/>
                <w:color w:val="auto"/>
              </w:rPr>
            </w:pPr>
          </w:p>
        </w:tc>
        <w:tc>
          <w:tcPr>
            <w:tcW w:w="760" w:type="dxa"/>
            <w:vAlign w:val="bottom"/>
            <w:shd w:val="clear" w:color="auto" w:fill="FCEFEB"/>
          </w:tcPr>
          <w:p>
            <w:pPr>
              <w:spacing w:after="0"/>
              <w:rPr>
                <w:sz w:val="6"/>
                <w:szCs w:val="6"/>
                <w:color w:val="auto"/>
              </w:rPr>
            </w:pPr>
          </w:p>
        </w:tc>
        <w:tc>
          <w:tcPr>
            <w:tcW w:w="1380" w:type="dxa"/>
            <w:vAlign w:val="bottom"/>
            <w:shd w:val="clear" w:color="auto" w:fill="FCEFEB"/>
          </w:tcPr>
          <w:p>
            <w:pPr>
              <w:spacing w:after="0"/>
              <w:rPr>
                <w:sz w:val="6"/>
                <w:szCs w:val="6"/>
                <w:color w:val="auto"/>
              </w:rPr>
            </w:pPr>
          </w:p>
        </w:tc>
        <w:tc>
          <w:tcPr>
            <w:tcW w:w="1460" w:type="dxa"/>
            <w:vAlign w:val="bottom"/>
            <w:shd w:val="clear" w:color="auto" w:fill="FCEFEB"/>
          </w:tcPr>
          <w:p>
            <w:pPr>
              <w:spacing w:after="0"/>
              <w:rPr>
                <w:sz w:val="6"/>
                <w:szCs w:val="6"/>
                <w:color w:val="auto"/>
              </w:rPr>
            </w:pPr>
          </w:p>
        </w:tc>
        <w:tc>
          <w:tcPr>
            <w:tcW w:w="860" w:type="dxa"/>
            <w:vAlign w:val="bottom"/>
            <w:shd w:val="clear" w:color="auto" w:fill="FCEFEB"/>
          </w:tcPr>
          <w:p>
            <w:pPr>
              <w:spacing w:after="0"/>
              <w:rPr>
                <w:sz w:val="6"/>
                <w:szCs w:val="6"/>
                <w:color w:val="auto"/>
              </w:rPr>
            </w:pPr>
          </w:p>
        </w:tc>
        <w:tc>
          <w:tcPr>
            <w:tcW w:w="100" w:type="dxa"/>
            <w:vAlign w:val="bottom"/>
            <w:shd w:val="clear" w:color="auto" w:fill="FCEFEB"/>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6020" w:type="dxa"/>
            <w:vAlign w:val="bottom"/>
            <w:tcBorders>
              <w:bottom w:val="single" w:sz="8" w:color="005C5D"/>
            </w:tcBorders>
          </w:tcPr>
          <w:p>
            <w:pPr>
              <w:spacing w:after="0"/>
              <w:rPr>
                <w:sz w:val="5"/>
                <w:szCs w:val="5"/>
                <w:color w:val="auto"/>
              </w:rPr>
            </w:pPr>
          </w:p>
        </w:tc>
        <w:tc>
          <w:tcPr>
            <w:tcW w:w="760" w:type="dxa"/>
            <w:vAlign w:val="bottom"/>
            <w:tcBorders>
              <w:bottom w:val="single" w:sz="8" w:color="005C5D"/>
            </w:tcBorders>
            <w:shd w:val="clear" w:color="auto" w:fill="FCEFEB"/>
          </w:tcPr>
          <w:p>
            <w:pPr>
              <w:spacing w:after="0"/>
              <w:rPr>
                <w:sz w:val="5"/>
                <w:szCs w:val="5"/>
                <w:color w:val="auto"/>
              </w:rPr>
            </w:pPr>
          </w:p>
        </w:tc>
        <w:tc>
          <w:tcPr>
            <w:tcW w:w="1380" w:type="dxa"/>
            <w:vAlign w:val="bottom"/>
            <w:tcBorders>
              <w:bottom w:val="single" w:sz="8" w:color="005C5D"/>
            </w:tcBorders>
            <w:shd w:val="clear" w:color="auto" w:fill="FCEFEB"/>
          </w:tcPr>
          <w:p>
            <w:pPr>
              <w:spacing w:after="0"/>
              <w:rPr>
                <w:sz w:val="5"/>
                <w:szCs w:val="5"/>
                <w:color w:val="auto"/>
              </w:rPr>
            </w:pPr>
          </w:p>
        </w:tc>
        <w:tc>
          <w:tcPr>
            <w:tcW w:w="1460" w:type="dxa"/>
            <w:vAlign w:val="bottom"/>
            <w:tcBorders>
              <w:bottom w:val="single" w:sz="8" w:color="005C5D"/>
            </w:tcBorders>
            <w:shd w:val="clear" w:color="auto" w:fill="FCEFEB"/>
          </w:tcPr>
          <w:p>
            <w:pPr>
              <w:spacing w:after="0"/>
              <w:rPr>
                <w:sz w:val="5"/>
                <w:szCs w:val="5"/>
                <w:color w:val="auto"/>
              </w:rPr>
            </w:pPr>
          </w:p>
        </w:tc>
        <w:tc>
          <w:tcPr>
            <w:tcW w:w="860" w:type="dxa"/>
            <w:vAlign w:val="bottom"/>
            <w:tcBorders>
              <w:bottom w:val="single" w:sz="8" w:color="005C5D"/>
            </w:tcBorders>
            <w:shd w:val="clear" w:color="auto" w:fill="FCEFEB"/>
          </w:tcPr>
          <w:p>
            <w:pPr>
              <w:spacing w:after="0"/>
              <w:rPr>
                <w:sz w:val="5"/>
                <w:szCs w:val="5"/>
                <w:color w:val="auto"/>
              </w:rPr>
            </w:pPr>
          </w:p>
        </w:tc>
        <w:tc>
          <w:tcPr>
            <w:tcW w:w="100" w:type="dxa"/>
            <w:vAlign w:val="bottom"/>
            <w:tcBorders>
              <w:bottom w:val="single" w:sz="8" w:color="005C5D"/>
            </w:tcBorders>
            <w:shd w:val="clear" w:color="auto" w:fill="FCEFEB"/>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6020" w:type="dxa"/>
            <w:vAlign w:val="bottom"/>
          </w:tcPr>
          <w:p>
            <w:pPr>
              <w:ind w:left="80"/>
              <w:spacing w:after="0"/>
              <w:rPr>
                <w:sz w:val="20"/>
                <w:szCs w:val="20"/>
                <w:color w:val="auto"/>
              </w:rPr>
            </w:pPr>
            <w:r>
              <w:rPr>
                <w:rFonts w:ascii="Arial" w:cs="Arial" w:eastAsia="Arial" w:hAnsi="Arial"/>
                <w:sz w:val="14"/>
                <w:szCs w:val="14"/>
                <w:b w:val="1"/>
                <w:bCs w:val="1"/>
                <w:color w:val="005C5D"/>
              </w:rPr>
              <w:t>Jessica Rodriguez</w:t>
            </w:r>
          </w:p>
        </w:tc>
        <w:tc>
          <w:tcPr>
            <w:tcW w:w="760" w:type="dxa"/>
            <w:vAlign w:val="bottom"/>
            <w:vMerge w:val="restart"/>
            <w:shd w:val="clear" w:color="auto" w:fill="FCEFEB"/>
          </w:tcPr>
          <w:p>
            <w:pPr>
              <w:ind w:left="460"/>
              <w:spacing w:after="0"/>
              <w:rPr>
                <w:sz w:val="20"/>
                <w:szCs w:val="20"/>
                <w:color w:val="auto"/>
              </w:rPr>
            </w:pPr>
            <w:r>
              <w:rPr>
                <w:rFonts w:ascii="Arial" w:cs="Arial" w:eastAsia="Arial" w:hAnsi="Arial"/>
                <w:sz w:val="14"/>
                <w:szCs w:val="14"/>
                <w:color w:val="333333"/>
              </w:rPr>
              <w:t>53</w:t>
            </w:r>
          </w:p>
        </w:tc>
        <w:tc>
          <w:tcPr>
            <w:tcW w:w="1380" w:type="dxa"/>
            <w:vAlign w:val="bottom"/>
            <w:vMerge w:val="restart"/>
            <w:shd w:val="clear" w:color="auto" w:fill="FCEFEB"/>
          </w:tcPr>
          <w:p>
            <w:pPr>
              <w:jc w:val="center"/>
              <w:ind w:left="149"/>
              <w:spacing w:after="0"/>
              <w:rPr>
                <w:sz w:val="20"/>
                <w:szCs w:val="20"/>
                <w:color w:val="auto"/>
              </w:rPr>
            </w:pPr>
            <w:r>
              <w:rPr>
                <w:rFonts w:ascii="Arial" w:cs="Arial" w:eastAsia="Arial" w:hAnsi="Arial"/>
                <w:sz w:val="14"/>
                <w:szCs w:val="14"/>
                <w:color w:val="333333"/>
              </w:rPr>
              <w:t>2024</w:t>
            </w:r>
          </w:p>
        </w:tc>
        <w:tc>
          <w:tcPr>
            <w:tcW w:w="1460" w:type="dxa"/>
            <w:vAlign w:val="bottom"/>
            <w:vMerge w:val="restart"/>
            <w:shd w:val="clear" w:color="auto" w:fill="FCEFEB"/>
          </w:tcPr>
          <w:p>
            <w:pPr>
              <w:jc w:val="center"/>
              <w:spacing w:after="0"/>
              <w:rPr>
                <w:sz w:val="20"/>
                <w:szCs w:val="20"/>
                <w:color w:val="auto"/>
              </w:rPr>
            </w:pPr>
            <w:r>
              <w:rPr>
                <w:rFonts w:ascii="Arial" w:cs="Arial" w:eastAsia="Arial" w:hAnsi="Arial"/>
                <w:sz w:val="14"/>
                <w:szCs w:val="14"/>
                <w:color w:val="333333"/>
              </w:rPr>
              <w:t>Y</w:t>
            </w:r>
          </w:p>
        </w:tc>
        <w:tc>
          <w:tcPr>
            <w:tcW w:w="860" w:type="dxa"/>
            <w:vAlign w:val="bottom"/>
            <w:vMerge w:val="restart"/>
            <w:shd w:val="clear" w:color="auto" w:fill="FCEFEB"/>
          </w:tcPr>
          <w:p>
            <w:pPr>
              <w:jc w:val="center"/>
              <w:ind w:left="229"/>
              <w:spacing w:after="0"/>
              <w:rPr>
                <w:sz w:val="20"/>
                <w:szCs w:val="20"/>
                <w:color w:val="auto"/>
              </w:rPr>
            </w:pPr>
            <w:r>
              <w:rPr>
                <w:rFonts w:ascii="Arial" w:cs="Arial" w:eastAsia="Arial" w:hAnsi="Arial"/>
                <w:sz w:val="14"/>
                <w:szCs w:val="14"/>
                <w:color w:val="333333"/>
              </w:rPr>
              <w:t>1</w:t>
            </w:r>
          </w:p>
        </w:tc>
        <w:tc>
          <w:tcPr>
            <w:tcW w:w="100" w:type="dxa"/>
            <w:vAlign w:val="bottom"/>
            <w:shd w:val="clear" w:color="auto" w:fill="FCEFE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6020" w:type="dxa"/>
            <w:vAlign w:val="bottom"/>
            <w:vMerge w:val="restart"/>
          </w:tcPr>
          <w:p>
            <w:pPr>
              <w:ind w:left="80"/>
              <w:spacing w:after="0"/>
              <w:rPr>
                <w:sz w:val="20"/>
                <w:szCs w:val="20"/>
                <w:color w:val="auto"/>
              </w:rPr>
            </w:pPr>
            <w:r>
              <w:rPr>
                <w:rFonts w:ascii="Arial" w:cs="Arial" w:eastAsia="Arial" w:hAnsi="Arial"/>
                <w:sz w:val="14"/>
                <w:szCs w:val="14"/>
                <w:color w:val="333333"/>
              </w:rPr>
              <w:t>Former President of Entertainment and Chief Brand Officer, Univision Communications, Inc.</w:t>
            </w:r>
          </w:p>
        </w:tc>
        <w:tc>
          <w:tcPr>
            <w:tcW w:w="760" w:type="dxa"/>
            <w:vAlign w:val="bottom"/>
            <w:vMerge w:val="continue"/>
            <w:shd w:val="clear" w:color="auto" w:fill="FCEFEB"/>
          </w:tcPr>
          <w:p>
            <w:pPr>
              <w:spacing w:after="0"/>
              <w:rPr>
                <w:sz w:val="9"/>
                <w:szCs w:val="9"/>
                <w:color w:val="auto"/>
              </w:rPr>
            </w:pPr>
          </w:p>
        </w:tc>
        <w:tc>
          <w:tcPr>
            <w:tcW w:w="1380" w:type="dxa"/>
            <w:vAlign w:val="bottom"/>
            <w:vMerge w:val="continue"/>
            <w:shd w:val="clear" w:color="auto" w:fill="FCEFEB"/>
          </w:tcPr>
          <w:p>
            <w:pPr>
              <w:spacing w:after="0"/>
              <w:rPr>
                <w:sz w:val="9"/>
                <w:szCs w:val="9"/>
                <w:color w:val="auto"/>
              </w:rPr>
            </w:pPr>
          </w:p>
        </w:tc>
        <w:tc>
          <w:tcPr>
            <w:tcW w:w="1460" w:type="dxa"/>
            <w:vAlign w:val="bottom"/>
            <w:vMerge w:val="continue"/>
            <w:shd w:val="clear" w:color="auto" w:fill="FCEFEB"/>
          </w:tcPr>
          <w:p>
            <w:pPr>
              <w:spacing w:after="0"/>
              <w:rPr>
                <w:sz w:val="9"/>
                <w:szCs w:val="9"/>
                <w:color w:val="auto"/>
              </w:rPr>
            </w:pPr>
          </w:p>
        </w:tc>
        <w:tc>
          <w:tcPr>
            <w:tcW w:w="860" w:type="dxa"/>
            <w:vAlign w:val="bottom"/>
            <w:vMerge w:val="continue"/>
            <w:shd w:val="clear" w:color="auto" w:fill="FCEFEB"/>
          </w:tcPr>
          <w:p>
            <w:pPr>
              <w:spacing w:after="0"/>
              <w:rPr>
                <w:sz w:val="9"/>
                <w:szCs w:val="9"/>
                <w:color w:val="auto"/>
              </w:rPr>
            </w:pPr>
          </w:p>
        </w:tc>
        <w:tc>
          <w:tcPr>
            <w:tcW w:w="100" w:type="dxa"/>
            <w:vAlign w:val="bottom"/>
            <w:shd w:val="clear" w:color="auto" w:fill="FCEFEB"/>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6020" w:type="dxa"/>
            <w:vAlign w:val="bottom"/>
            <w:vMerge w:val="continue"/>
          </w:tcPr>
          <w:p>
            <w:pPr>
              <w:spacing w:after="0"/>
              <w:rPr>
                <w:sz w:val="6"/>
                <w:szCs w:val="6"/>
                <w:color w:val="auto"/>
              </w:rPr>
            </w:pPr>
          </w:p>
        </w:tc>
        <w:tc>
          <w:tcPr>
            <w:tcW w:w="760" w:type="dxa"/>
            <w:vAlign w:val="bottom"/>
            <w:shd w:val="clear" w:color="auto" w:fill="FCEFEB"/>
          </w:tcPr>
          <w:p>
            <w:pPr>
              <w:spacing w:after="0"/>
              <w:rPr>
                <w:sz w:val="6"/>
                <w:szCs w:val="6"/>
                <w:color w:val="auto"/>
              </w:rPr>
            </w:pPr>
          </w:p>
        </w:tc>
        <w:tc>
          <w:tcPr>
            <w:tcW w:w="1380" w:type="dxa"/>
            <w:vAlign w:val="bottom"/>
            <w:shd w:val="clear" w:color="auto" w:fill="FCEFEB"/>
          </w:tcPr>
          <w:p>
            <w:pPr>
              <w:spacing w:after="0"/>
              <w:rPr>
                <w:sz w:val="6"/>
                <w:szCs w:val="6"/>
                <w:color w:val="auto"/>
              </w:rPr>
            </w:pPr>
          </w:p>
        </w:tc>
        <w:tc>
          <w:tcPr>
            <w:tcW w:w="1460" w:type="dxa"/>
            <w:vAlign w:val="bottom"/>
            <w:shd w:val="clear" w:color="auto" w:fill="FCEFEB"/>
          </w:tcPr>
          <w:p>
            <w:pPr>
              <w:spacing w:after="0"/>
              <w:rPr>
                <w:sz w:val="6"/>
                <w:szCs w:val="6"/>
                <w:color w:val="auto"/>
              </w:rPr>
            </w:pPr>
          </w:p>
        </w:tc>
        <w:tc>
          <w:tcPr>
            <w:tcW w:w="860" w:type="dxa"/>
            <w:vAlign w:val="bottom"/>
            <w:shd w:val="clear" w:color="auto" w:fill="FCEFEB"/>
          </w:tcPr>
          <w:p>
            <w:pPr>
              <w:spacing w:after="0"/>
              <w:rPr>
                <w:sz w:val="6"/>
                <w:szCs w:val="6"/>
                <w:color w:val="auto"/>
              </w:rPr>
            </w:pPr>
          </w:p>
        </w:tc>
        <w:tc>
          <w:tcPr>
            <w:tcW w:w="100" w:type="dxa"/>
            <w:vAlign w:val="bottom"/>
            <w:shd w:val="clear" w:color="auto" w:fill="FCEFEB"/>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020" w:type="dxa"/>
            <w:vAlign w:val="bottom"/>
            <w:tcBorders>
              <w:bottom w:val="single" w:sz="8" w:color="005C5D"/>
            </w:tcBorders>
          </w:tcPr>
          <w:p>
            <w:pPr>
              <w:spacing w:after="0"/>
              <w:rPr>
                <w:sz w:val="5"/>
                <w:szCs w:val="5"/>
                <w:color w:val="auto"/>
              </w:rPr>
            </w:pPr>
          </w:p>
        </w:tc>
        <w:tc>
          <w:tcPr>
            <w:tcW w:w="760" w:type="dxa"/>
            <w:vAlign w:val="bottom"/>
            <w:tcBorders>
              <w:bottom w:val="single" w:sz="8" w:color="005C5D"/>
            </w:tcBorders>
            <w:shd w:val="clear" w:color="auto" w:fill="FCEFEB"/>
          </w:tcPr>
          <w:p>
            <w:pPr>
              <w:spacing w:after="0"/>
              <w:rPr>
                <w:sz w:val="5"/>
                <w:szCs w:val="5"/>
                <w:color w:val="auto"/>
              </w:rPr>
            </w:pPr>
          </w:p>
        </w:tc>
        <w:tc>
          <w:tcPr>
            <w:tcW w:w="1380" w:type="dxa"/>
            <w:vAlign w:val="bottom"/>
            <w:tcBorders>
              <w:bottom w:val="single" w:sz="8" w:color="005C5D"/>
            </w:tcBorders>
            <w:shd w:val="clear" w:color="auto" w:fill="FCEFEB"/>
          </w:tcPr>
          <w:p>
            <w:pPr>
              <w:spacing w:after="0"/>
              <w:rPr>
                <w:sz w:val="5"/>
                <w:szCs w:val="5"/>
                <w:color w:val="auto"/>
              </w:rPr>
            </w:pPr>
          </w:p>
        </w:tc>
        <w:tc>
          <w:tcPr>
            <w:tcW w:w="1460" w:type="dxa"/>
            <w:vAlign w:val="bottom"/>
            <w:tcBorders>
              <w:bottom w:val="single" w:sz="8" w:color="005C5D"/>
            </w:tcBorders>
            <w:shd w:val="clear" w:color="auto" w:fill="FCEFEB"/>
          </w:tcPr>
          <w:p>
            <w:pPr>
              <w:spacing w:after="0"/>
              <w:rPr>
                <w:sz w:val="5"/>
                <w:szCs w:val="5"/>
                <w:color w:val="auto"/>
              </w:rPr>
            </w:pPr>
          </w:p>
        </w:tc>
        <w:tc>
          <w:tcPr>
            <w:tcW w:w="860" w:type="dxa"/>
            <w:vAlign w:val="bottom"/>
            <w:tcBorders>
              <w:bottom w:val="single" w:sz="8" w:color="005C5D"/>
            </w:tcBorders>
            <w:shd w:val="clear" w:color="auto" w:fill="FCEFEB"/>
          </w:tcPr>
          <w:p>
            <w:pPr>
              <w:spacing w:after="0"/>
              <w:rPr>
                <w:sz w:val="5"/>
                <w:szCs w:val="5"/>
                <w:color w:val="auto"/>
              </w:rPr>
            </w:pPr>
          </w:p>
        </w:tc>
        <w:tc>
          <w:tcPr>
            <w:tcW w:w="100" w:type="dxa"/>
            <w:vAlign w:val="bottom"/>
            <w:tcBorders>
              <w:bottom w:val="single" w:sz="8" w:color="005C5D"/>
            </w:tcBorders>
            <w:shd w:val="clear" w:color="auto" w:fill="FCEFEB"/>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-2148205</wp:posOffset>
            </wp:positionV>
            <wp:extent cx="2895600" cy="347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5600" cy="347980"/>
                    </a:xfrm>
                    <a:prstGeom prst="rect">
                      <a:avLst/>
                    </a:prstGeom>
                    <a:noFill/>
                  </pic:spPr>
                </pic:pic>
              </a:graphicData>
            </a:graphic>
          </wp:anchor>
        </w:drawing>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color w:val="333333"/>
        </w:rPr>
        <w:t>Additional information regarding each director nominee follows below.</w:t>
      </w:r>
    </w:p>
    <w:p>
      <w:pPr>
        <w:spacing w:after="0" w:line="110" w:lineRule="exact"/>
        <w:rPr>
          <w:sz w:val="20"/>
          <w:szCs w:val="20"/>
          <w:color w:val="auto"/>
        </w:rPr>
      </w:pPr>
    </w:p>
    <w:p>
      <w:pPr>
        <w:jc w:val="both"/>
        <w:ind w:left="340" w:right="160"/>
        <w:spacing w:after="0" w:line="262" w:lineRule="auto"/>
        <w:rPr>
          <w:sz w:val="20"/>
          <w:szCs w:val="20"/>
          <w:color w:val="auto"/>
        </w:rPr>
      </w:pPr>
      <w:r>
        <w:rPr>
          <w:rFonts w:ascii="Arial" w:cs="Arial" w:eastAsia="Arial" w:hAnsi="Arial"/>
          <w:sz w:val="16"/>
          <w:szCs w:val="16"/>
          <w:color w:val="333333"/>
        </w:rPr>
        <w:t>The Board of Directors has no reason to believe that any of the nominees will be unable to serve as a director. If, however, any nominee becomes unable to serve as a director prior to the Annual Meeting, the proxies will have discretionary authority to vote for a substitute nominee. Unless authority to do so is withheld, the persons named as proxies will vote “FOR” the election of 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212090</wp:posOffset>
            </wp:positionV>
            <wp:extent cx="6725920" cy="415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25920" cy="415925"/>
                    </a:xfrm>
                    <a:prstGeom prst="rect">
                      <a:avLst/>
                    </a:prstGeom>
                    <a:noFill/>
                  </pic:spPr>
                </pic:pic>
              </a:graphicData>
            </a:graphic>
          </wp:anchor>
        </w:drawing>
      </w:r>
    </w:p>
    <w:p>
      <w:pPr>
        <w:spacing w:after="0" w:line="398" w:lineRule="exact"/>
        <w:rPr>
          <w:sz w:val="20"/>
          <w:szCs w:val="20"/>
          <w:color w:val="auto"/>
        </w:rPr>
      </w:pPr>
    </w:p>
    <w:p>
      <w:pPr>
        <w:jc w:val="center"/>
        <w:ind w:left="620" w:right="300"/>
        <w:spacing w:after="0" w:line="254" w:lineRule="auto"/>
        <w:rPr>
          <w:sz w:val="20"/>
          <w:szCs w:val="20"/>
          <w:color w:val="auto"/>
        </w:rPr>
      </w:pPr>
      <w:r>
        <w:rPr>
          <w:rFonts w:ascii="Arial" w:cs="Arial" w:eastAsia="Arial" w:hAnsi="Arial"/>
          <w:sz w:val="20"/>
          <w:szCs w:val="20"/>
          <w:color w:val="005C5D"/>
        </w:rPr>
        <w:t xml:space="preserve">VERA BRADLEY’S BOARD OF DIRECTORS UNANIMOUSLY RECOMMENDS A VOTE </w:t>
      </w:r>
      <w:r>
        <w:rPr>
          <w:rFonts w:ascii="Arial" w:cs="Arial" w:eastAsia="Arial" w:hAnsi="Arial"/>
          <w:sz w:val="20"/>
          <w:szCs w:val="20"/>
          <w:b w:val="1"/>
          <w:bCs w:val="1"/>
          <w:color w:val="005C5D"/>
        </w:rPr>
        <w:t>“FOR”</w:t>
      </w:r>
      <w:r>
        <w:rPr>
          <w:rFonts w:ascii="Arial" w:cs="Arial" w:eastAsia="Arial" w:hAnsi="Arial"/>
          <w:sz w:val="20"/>
          <w:szCs w:val="20"/>
          <w:color w:val="005C5D"/>
        </w:rPr>
        <w:t xml:space="preserve"> THE ELECTION OF THE ABOVE-LISTED NOMINEES TO THE BOARD OF DIRECTORS.</w:t>
      </w:r>
    </w:p>
    <w:p>
      <w:pPr>
        <w:spacing w:after="0" w:line="200" w:lineRule="exact"/>
        <w:rPr>
          <w:sz w:val="20"/>
          <w:szCs w:val="20"/>
          <w:color w:val="auto"/>
        </w:rPr>
      </w:pPr>
    </w:p>
    <w:p>
      <w:pPr>
        <w:spacing w:after="0" w:line="331" w:lineRule="exact"/>
        <w:rPr>
          <w:sz w:val="20"/>
          <w:szCs w:val="20"/>
          <w:color w:val="auto"/>
        </w:rPr>
      </w:pPr>
    </w:p>
    <w:p>
      <w:pPr>
        <w:jc w:val="right"/>
        <w:spacing w:after="0"/>
        <w:tabs>
          <w:tab w:leader="none" w:pos="1880" w:val="left"/>
          <w:tab w:leader="none" w:pos="6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1</w:t>
      </w:r>
    </w:p>
    <w:p>
      <w:pPr>
        <w:sectPr>
          <w:pgSz w:w="11900" w:h="16838" w:orient="portrait"/>
          <w:cols w:equalWidth="0" w:num="1">
            <w:col w:w="11080"/>
          </w:cols>
          <w:pgMar w:left="320" w:top="478"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2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THE BOARD OF DIRECTORS</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5D"/>
        </w:rPr>
        <w:t>DIRECTOR QUALIFICATIONS AND SELECTION PROCESS</w:t>
      </w:r>
    </w:p>
    <w:p>
      <w:pPr>
        <w:spacing w:after="0" w:line="110"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color w:val="333333"/>
        </w:rPr>
        <w:t>Each year at the Company’s annual meeting of shareholders, the Board recommends a slate of director nominees for election by shareholders. In addition, the Board fills vacancies on the Board when necessary or appropriate. The Board’s recommendations or determinations are based on the recommendations of, and information supplied by, the Nominating, Governance and Sustainability Committee as to the suitability of each individual and, where applicable, the slate as a whole to serve as directors, taking into account the criteria described below and other factors, including the requirements for Board committee membership.</w:t>
      </w:r>
    </w:p>
    <w:p>
      <w:pPr>
        <w:spacing w:after="0" w:line="108" w:lineRule="exact"/>
        <w:rPr>
          <w:sz w:val="20"/>
          <w:szCs w:val="20"/>
          <w:color w:val="auto"/>
        </w:rPr>
      </w:pPr>
    </w:p>
    <w:p>
      <w:pPr>
        <w:jc w:val="both"/>
        <w:ind w:left="160"/>
        <w:spacing w:after="0" w:line="247" w:lineRule="auto"/>
        <w:rPr>
          <w:sz w:val="20"/>
          <w:szCs w:val="20"/>
          <w:color w:val="auto"/>
        </w:rPr>
      </w:pPr>
      <w:r>
        <w:rPr>
          <w:rFonts w:ascii="Arial" w:cs="Arial" w:eastAsia="Arial" w:hAnsi="Arial"/>
          <w:sz w:val="16"/>
          <w:szCs w:val="16"/>
          <w:color w:val="333333"/>
        </w:rPr>
        <w:t>The Nominating, Governance and Sustainability Committee is responsible for, among other things, reviewing on an annual basis the appropriate skills and characteristics required of directors in the context of prevailing business conditions and for making recommendations regarding the size and composition of the Board. The objective is a Board that brings to the Company a variety of perspectives and skills that are derived from high-quality business and professional experience and that are aligned with the Company’s strategic objectives. The Board has determined the most effective size of the Board currently to be six members and, effective at the Annual Meeting, has set the number of directors at six.</w:t>
      </w:r>
    </w:p>
    <w:p>
      <w:pPr>
        <w:spacing w:after="0" w:line="313" w:lineRule="exact"/>
        <w:rPr>
          <w:sz w:val="20"/>
          <w:szCs w:val="20"/>
          <w:color w:val="auto"/>
        </w:rPr>
      </w:pPr>
    </w:p>
    <w:p>
      <w:pPr>
        <w:jc w:val="both"/>
        <w:ind w:left="160"/>
        <w:spacing w:after="0" w:line="256" w:lineRule="auto"/>
        <w:rPr>
          <w:sz w:val="20"/>
          <w:szCs w:val="20"/>
          <w:color w:val="auto"/>
        </w:rPr>
      </w:pPr>
      <w:r>
        <w:rPr>
          <w:rFonts w:ascii="Arial" w:cs="Arial" w:eastAsia="Arial" w:hAnsi="Arial"/>
          <w:sz w:val="16"/>
          <w:szCs w:val="16"/>
          <w:color w:val="333333"/>
        </w:rPr>
        <w:t>In addition, in May of 2025, Vera Bradley’s Co-Founder Ms. Barbara Bradley Baekgaard moved into a Board Member Emeritus role. As a Board Member Emeritus, Ms. Bradley Baekgaard is a non-voting member of the Board and is invited to attend all of the Board meetings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333333"/>
        </w:rPr>
        <w:t>in an advisory capacity so she can still share her insights and experience regarding the Brand. She regularly attends Board meetings.</w:t>
      </w:r>
    </w:p>
    <w:p>
      <w:pPr>
        <w:spacing w:after="0" w:line="8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333333"/>
        </w:rPr>
        <w:t>Nominees for the Board must be committed to enhancing long-term shareholder value and possess a high level of personal and professional ethics, sound business judgment, appropriate experience and achievements, personal character, and integrity. Board members are expected to understand our business and the industry in which we operate, regularly attend Board and relevant committee meetings, participate in meetings and decision-making processes in an objective and constructive manner, and be available to advise our officers and management. Evaluations of candidates generally involve a review of background materials, internal discussions, and interviews with selected candidates, as appropriate. Upon selection of a qualified candidate, the Nominating, Governance and Sustainability Committee recommends the candidate to the Board.</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33333"/>
        </w:rPr>
        <w:t>The Board also seeks members from diverse backgrounds so that the Board consists of members with a broad spectrum of experience and expertise and with a reputation for integrity.</w:t>
      </w:r>
    </w:p>
    <w:p>
      <w:pPr>
        <w:spacing w:after="0" w:line="10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333333"/>
        </w:rPr>
        <w:t>The Nominating, Governance and Sustainability Committee may engage consultants or third-party search firms to assist in identifying and evaluating potential nominees. In recommending nominees, the Nominating, Governance and Sustainability Committee considers nominees recommended by the Company’s shareholders in the same manner as described above provided any such shareholder follows the procedures set forth in the Company’s bylaws.</w:t>
      </w:r>
    </w:p>
    <w:p>
      <w:pPr>
        <w:spacing w:after="0" w:line="205"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50" w:lineRule="exact"/>
        <w:rPr>
          <w:sz w:val="20"/>
          <w:szCs w:val="20"/>
          <w:color w:val="auto"/>
        </w:rPr>
      </w:pPr>
    </w:p>
    <w:p>
      <w:pPr>
        <w:ind w:left="160"/>
        <w:spacing w:after="0"/>
        <w:tabs>
          <w:tab w:leader="none" w:pos="4920" w:val="left"/>
        </w:tabs>
        <w:rPr>
          <w:sz w:val="20"/>
          <w:szCs w:val="20"/>
          <w:color w:val="auto"/>
        </w:rPr>
      </w:pPr>
      <w:r>
        <w:rPr>
          <w:rFonts w:ascii="Arial" w:cs="Arial" w:eastAsia="Arial" w:hAnsi="Arial"/>
          <w:sz w:val="14"/>
          <w:szCs w:val="14"/>
          <w:color w:val="005C5D"/>
        </w:rPr>
        <w:t xml:space="preserve">2 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1080"/>
          </w:cols>
          <w:pgMar w:left="320" w:top="478" w:right="4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3390" w:type="dxa"/>
            <w:vAlign w:val="bottom"/>
          </w:tcPr>
          <w:p>
            <w:pPr>
              <w:spacing w:after="0"/>
              <w:rPr>
                <w:sz w:val="16"/>
                <w:szCs w:val="16"/>
                <w:color w:val="auto"/>
              </w:rPr>
            </w:pPr>
          </w:p>
        </w:tc>
        <w:tc>
          <w:tcPr>
            <w:tcW w:w="185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060" w:type="dxa"/>
            <w:vAlign w:val="bottom"/>
          </w:tcPr>
          <w:p>
            <w:pPr>
              <w:jc w:val="right"/>
              <w:spacing w:after="0"/>
              <w:rPr>
                <w:sz w:val="20"/>
                <w:szCs w:val="20"/>
                <w:color w:val="auto"/>
              </w:rPr>
            </w:pPr>
            <w:r>
              <w:rPr>
                <w:rFonts w:ascii="Arial" w:cs="Arial" w:eastAsia="Arial" w:hAnsi="Arial"/>
                <w:sz w:val="14"/>
                <w:szCs w:val="14"/>
                <w:color w:val="005C5D"/>
              </w:rPr>
              <w:t>PROPOSAL NO. 1 Election of Directors</w:t>
            </w:r>
          </w:p>
        </w:tc>
      </w:tr>
      <w:tr>
        <w:trPr>
          <w:trHeight w:val="108"/>
        </w:trPr>
        <w:tc>
          <w:tcPr>
            <w:tcW w:w="3390" w:type="dxa"/>
            <w:vAlign w:val="bottom"/>
            <w:tcBorders>
              <w:bottom w:val="single" w:sz="8" w:color="F5CABF"/>
            </w:tcBorders>
          </w:tcPr>
          <w:p>
            <w:pPr>
              <w:spacing w:after="0"/>
              <w:rPr>
                <w:sz w:val="9"/>
                <w:szCs w:val="9"/>
                <w:color w:val="auto"/>
              </w:rPr>
            </w:pPr>
          </w:p>
        </w:tc>
        <w:tc>
          <w:tcPr>
            <w:tcW w:w="2190" w:type="dxa"/>
            <w:vAlign w:val="bottom"/>
            <w:tcBorders>
              <w:bottom w:val="single" w:sz="8" w:color="F5CABF"/>
            </w:tcBorders>
            <w:gridSpan w:val="2"/>
          </w:tcPr>
          <w:p>
            <w:pPr>
              <w:spacing w:after="0"/>
              <w:rPr>
                <w:sz w:val="9"/>
                <w:szCs w:val="9"/>
                <w:color w:val="auto"/>
              </w:rPr>
            </w:pPr>
          </w:p>
        </w:tc>
        <w:tc>
          <w:tcPr>
            <w:tcW w:w="2280" w:type="dxa"/>
            <w:vAlign w:val="bottom"/>
            <w:tcBorders>
              <w:bottom w:val="single" w:sz="8" w:color="F5CABF"/>
            </w:tcBorders>
          </w:tcPr>
          <w:p>
            <w:pPr>
              <w:spacing w:after="0"/>
              <w:rPr>
                <w:sz w:val="9"/>
                <w:szCs w:val="9"/>
                <w:color w:val="auto"/>
              </w:rPr>
            </w:pPr>
          </w:p>
        </w:tc>
        <w:tc>
          <w:tcPr>
            <w:tcW w:w="3060" w:type="dxa"/>
            <w:vAlign w:val="bottom"/>
            <w:tcBorders>
              <w:bottom w:val="single" w:sz="8" w:color="F5CABF"/>
            </w:tcBorders>
          </w:tcPr>
          <w:p>
            <w:pPr>
              <w:spacing w:after="0"/>
              <w:rPr>
                <w:sz w:val="9"/>
                <w:szCs w:val="9"/>
                <w:color w:val="auto"/>
              </w:rPr>
            </w:pPr>
          </w:p>
        </w:tc>
      </w:tr>
      <w:tr>
        <w:trPr>
          <w:trHeight w:val="527"/>
        </w:trPr>
        <w:tc>
          <w:tcPr>
            <w:tcW w:w="7860" w:type="dxa"/>
            <w:vAlign w:val="bottom"/>
            <w:gridSpan w:val="4"/>
          </w:tcPr>
          <w:p>
            <w:pPr>
              <w:spacing w:after="0"/>
              <w:rPr>
                <w:sz w:val="20"/>
                <w:szCs w:val="20"/>
                <w:color w:val="auto"/>
              </w:rPr>
            </w:pPr>
            <w:r>
              <w:rPr>
                <w:rFonts w:ascii="Arial" w:cs="Arial" w:eastAsia="Arial" w:hAnsi="Arial"/>
                <w:sz w:val="20"/>
                <w:szCs w:val="20"/>
                <w:b w:val="1"/>
                <w:bCs w:val="1"/>
                <w:color w:val="005C5D"/>
              </w:rPr>
              <w:t>DIRECTOR NOMINEES FOR ELECTION AT THE 2026 ANNUAL MEETING</w:t>
            </w:r>
          </w:p>
        </w:tc>
        <w:tc>
          <w:tcPr>
            <w:tcW w:w="3060" w:type="dxa"/>
            <w:vAlign w:val="bottom"/>
          </w:tcPr>
          <w:p>
            <w:pPr>
              <w:spacing w:after="0"/>
              <w:rPr>
                <w:sz w:val="24"/>
                <w:szCs w:val="24"/>
                <w:color w:val="auto"/>
              </w:rPr>
            </w:pPr>
          </w:p>
        </w:tc>
      </w:tr>
      <w:tr>
        <w:trPr>
          <w:trHeight w:val="262"/>
        </w:trPr>
        <w:tc>
          <w:tcPr>
            <w:tcW w:w="3390" w:type="dxa"/>
            <w:vAlign w:val="bottom"/>
          </w:tcPr>
          <w:p>
            <w:pPr>
              <w:spacing w:after="0"/>
              <w:rPr>
                <w:sz w:val="22"/>
                <w:szCs w:val="22"/>
                <w:color w:val="auto"/>
              </w:rPr>
            </w:pPr>
          </w:p>
        </w:tc>
        <w:tc>
          <w:tcPr>
            <w:tcW w:w="185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060" w:type="dxa"/>
            <w:vAlign w:val="bottom"/>
          </w:tcPr>
          <w:p>
            <w:pPr>
              <w:spacing w:after="0"/>
              <w:rPr>
                <w:sz w:val="22"/>
                <w:szCs w:val="22"/>
                <w:color w:val="auto"/>
              </w:rPr>
            </w:pPr>
          </w:p>
        </w:tc>
      </w:tr>
      <w:tr>
        <w:trPr>
          <w:trHeight w:val="281"/>
        </w:trPr>
        <w:tc>
          <w:tcPr>
            <w:tcW w:w="3390" w:type="dxa"/>
            <w:vAlign w:val="bottom"/>
            <w:shd w:val="clear" w:color="auto" w:fill="005C5D"/>
          </w:tcPr>
          <w:p>
            <w:pPr>
              <w:ind w:left="80"/>
              <w:spacing w:after="0"/>
              <w:rPr>
                <w:sz w:val="20"/>
                <w:szCs w:val="20"/>
                <w:color w:val="auto"/>
              </w:rPr>
            </w:pPr>
            <w:r>
              <w:rPr>
                <w:rFonts w:ascii="Arial" w:cs="Arial" w:eastAsia="Arial" w:hAnsi="Arial"/>
                <w:sz w:val="20"/>
                <w:szCs w:val="20"/>
                <w:b w:val="1"/>
                <w:bCs w:val="1"/>
                <w:color w:val="FFFFFF"/>
              </w:rPr>
              <w:t>Ian Bickley</w:t>
            </w:r>
          </w:p>
        </w:tc>
        <w:tc>
          <w:tcPr>
            <w:tcW w:w="1850" w:type="dxa"/>
            <w:vAlign w:val="bottom"/>
            <w:shd w:val="clear" w:color="auto" w:fill="005C5D"/>
          </w:tcPr>
          <w:p>
            <w:pPr>
              <w:jc w:val="right"/>
              <w:spacing w:after="0"/>
              <w:rPr>
                <w:sz w:val="20"/>
                <w:szCs w:val="20"/>
                <w:color w:val="auto"/>
              </w:rPr>
            </w:pPr>
            <w:r>
              <w:rPr>
                <w:rFonts w:ascii="Arial" w:cs="Arial" w:eastAsia="Arial" w:hAnsi="Arial"/>
                <w:sz w:val="16"/>
                <w:szCs w:val="16"/>
                <w:color w:val="FFFFFF"/>
              </w:rPr>
              <w:t>Age</w:t>
            </w:r>
            <w:r>
              <w:rPr>
                <w:rFonts w:ascii="Arial" w:cs="Arial" w:eastAsia="Arial" w:hAnsi="Arial"/>
                <w:sz w:val="24"/>
                <w:szCs w:val="24"/>
                <w:color w:val="FFFFFF"/>
                <w:vertAlign w:val="superscript"/>
              </w:rPr>
              <w:t>(1)</w:t>
            </w:r>
            <w:r>
              <w:rPr>
                <w:rFonts w:ascii="Arial" w:cs="Arial" w:eastAsia="Arial" w:hAnsi="Arial"/>
                <w:sz w:val="16"/>
                <w:szCs w:val="16"/>
                <w:color w:val="FFFFFF"/>
              </w:rPr>
              <w:t xml:space="preserve"> 62</w:t>
            </w:r>
          </w:p>
        </w:tc>
        <w:tc>
          <w:tcPr>
            <w:tcW w:w="340" w:type="dxa"/>
            <w:vAlign w:val="bottom"/>
          </w:tcPr>
          <w:p>
            <w:pPr>
              <w:spacing w:after="0"/>
              <w:rPr>
                <w:sz w:val="24"/>
                <w:szCs w:val="24"/>
                <w:color w:val="auto"/>
              </w:rPr>
            </w:pPr>
          </w:p>
        </w:tc>
        <w:tc>
          <w:tcPr>
            <w:tcW w:w="2280" w:type="dxa"/>
            <w:vAlign w:val="bottom"/>
            <w:shd w:val="clear" w:color="auto" w:fill="005C5D"/>
          </w:tcPr>
          <w:p>
            <w:pPr>
              <w:ind w:left="60"/>
              <w:spacing w:after="0"/>
              <w:rPr>
                <w:sz w:val="20"/>
                <w:szCs w:val="20"/>
                <w:color w:val="auto"/>
              </w:rPr>
            </w:pPr>
            <w:r>
              <w:rPr>
                <w:rFonts w:ascii="Arial" w:cs="Arial" w:eastAsia="Arial" w:hAnsi="Arial"/>
                <w:sz w:val="20"/>
                <w:szCs w:val="20"/>
                <w:b w:val="1"/>
                <w:bCs w:val="1"/>
                <w:color w:val="FFFFFF"/>
              </w:rPr>
              <w:t>Kristina Cashman</w:t>
            </w:r>
          </w:p>
        </w:tc>
        <w:tc>
          <w:tcPr>
            <w:tcW w:w="3060" w:type="dxa"/>
            <w:vAlign w:val="bottom"/>
            <w:shd w:val="clear" w:color="auto" w:fill="005C5D"/>
          </w:tcPr>
          <w:p>
            <w:pPr>
              <w:jc w:val="right"/>
              <w:spacing w:after="0"/>
              <w:rPr>
                <w:sz w:val="20"/>
                <w:szCs w:val="20"/>
                <w:color w:val="auto"/>
              </w:rPr>
            </w:pPr>
            <w:r>
              <w:rPr>
                <w:rFonts w:ascii="Arial" w:cs="Arial" w:eastAsia="Arial" w:hAnsi="Arial"/>
                <w:sz w:val="16"/>
                <w:szCs w:val="16"/>
                <w:color w:val="FFFFFF"/>
              </w:rPr>
              <w:t>Age</w:t>
            </w:r>
            <w:r>
              <w:rPr>
                <w:rFonts w:ascii="Arial" w:cs="Arial" w:eastAsia="Arial" w:hAnsi="Arial"/>
                <w:sz w:val="24"/>
                <w:szCs w:val="24"/>
                <w:color w:val="FFFFFF"/>
                <w:vertAlign w:val="superscript"/>
              </w:rPr>
              <w:t>(1)</w:t>
            </w:r>
            <w:r>
              <w:rPr>
                <w:rFonts w:ascii="Arial" w:cs="Arial" w:eastAsia="Arial" w:hAnsi="Arial"/>
                <w:sz w:val="16"/>
                <w:szCs w:val="16"/>
                <w:color w:val="FFFFFF"/>
              </w:rPr>
              <w:t xml:space="preserve"> 59</w:t>
            </w:r>
          </w:p>
        </w:tc>
      </w:tr>
      <w:tr>
        <w:trPr>
          <w:trHeight w:val="211"/>
        </w:trPr>
        <w:tc>
          <w:tcPr>
            <w:tcW w:w="3390" w:type="dxa"/>
            <w:vAlign w:val="bottom"/>
            <w:shd w:val="clear" w:color="auto" w:fill="005C5D"/>
          </w:tcPr>
          <w:p>
            <w:pPr>
              <w:ind w:left="80"/>
              <w:spacing w:after="0"/>
              <w:rPr>
                <w:sz w:val="20"/>
                <w:szCs w:val="20"/>
                <w:color w:val="auto"/>
              </w:rPr>
            </w:pPr>
            <w:r>
              <w:rPr>
                <w:rFonts w:ascii="Arial" w:cs="Arial" w:eastAsia="Arial" w:hAnsi="Arial"/>
                <w:sz w:val="16"/>
                <w:szCs w:val="16"/>
                <w:color w:val="FFFFFF"/>
              </w:rPr>
              <w:t>Chair</w:t>
            </w:r>
          </w:p>
        </w:tc>
        <w:tc>
          <w:tcPr>
            <w:tcW w:w="1850" w:type="dxa"/>
            <w:vAlign w:val="bottom"/>
            <w:shd w:val="clear" w:color="auto" w:fill="005C5D"/>
          </w:tcPr>
          <w:p>
            <w:pPr>
              <w:jc w:val="right"/>
              <w:spacing w:after="0"/>
              <w:rPr>
                <w:sz w:val="20"/>
                <w:szCs w:val="20"/>
                <w:color w:val="auto"/>
              </w:rPr>
            </w:pPr>
            <w:r>
              <w:rPr>
                <w:rFonts w:ascii="Arial" w:cs="Arial" w:eastAsia="Arial" w:hAnsi="Arial"/>
                <w:sz w:val="16"/>
                <w:szCs w:val="16"/>
                <w:color w:val="FFFFFF"/>
              </w:rPr>
              <w:t>Director Since 2024</w:t>
            </w:r>
          </w:p>
        </w:tc>
        <w:tc>
          <w:tcPr>
            <w:tcW w:w="340" w:type="dxa"/>
            <w:vAlign w:val="bottom"/>
          </w:tcPr>
          <w:p>
            <w:pPr>
              <w:spacing w:after="0"/>
              <w:rPr>
                <w:sz w:val="18"/>
                <w:szCs w:val="18"/>
                <w:color w:val="auto"/>
              </w:rPr>
            </w:pPr>
          </w:p>
        </w:tc>
        <w:tc>
          <w:tcPr>
            <w:tcW w:w="2280" w:type="dxa"/>
            <w:vAlign w:val="bottom"/>
            <w:shd w:val="clear" w:color="auto" w:fill="005C5D"/>
          </w:tcPr>
          <w:p>
            <w:pPr>
              <w:spacing w:after="0"/>
              <w:rPr>
                <w:sz w:val="18"/>
                <w:szCs w:val="18"/>
                <w:color w:val="auto"/>
              </w:rPr>
            </w:pPr>
          </w:p>
        </w:tc>
        <w:tc>
          <w:tcPr>
            <w:tcW w:w="3060" w:type="dxa"/>
            <w:vAlign w:val="bottom"/>
            <w:shd w:val="clear" w:color="auto" w:fill="005C5D"/>
          </w:tcPr>
          <w:p>
            <w:pPr>
              <w:jc w:val="right"/>
              <w:spacing w:after="0"/>
              <w:rPr>
                <w:sz w:val="20"/>
                <w:szCs w:val="20"/>
                <w:color w:val="auto"/>
              </w:rPr>
            </w:pPr>
            <w:r>
              <w:rPr>
                <w:rFonts w:ascii="Arial" w:cs="Arial" w:eastAsia="Arial" w:hAnsi="Arial"/>
                <w:sz w:val="16"/>
                <w:szCs w:val="16"/>
                <w:color w:val="FFFFFF"/>
              </w:rPr>
              <w:t>Director Since 2020</w:t>
            </w:r>
          </w:p>
        </w:tc>
      </w:tr>
      <w:tr>
        <w:trPr>
          <w:trHeight w:val="43"/>
        </w:trPr>
        <w:tc>
          <w:tcPr>
            <w:tcW w:w="3390" w:type="dxa"/>
            <w:vAlign w:val="bottom"/>
            <w:shd w:val="clear" w:color="auto" w:fill="005C5D"/>
          </w:tcPr>
          <w:p>
            <w:pPr>
              <w:spacing w:after="0"/>
              <w:rPr>
                <w:sz w:val="3"/>
                <w:szCs w:val="3"/>
                <w:color w:val="auto"/>
              </w:rPr>
            </w:pPr>
          </w:p>
        </w:tc>
        <w:tc>
          <w:tcPr>
            <w:tcW w:w="1850" w:type="dxa"/>
            <w:vAlign w:val="bottom"/>
            <w:shd w:val="clear" w:color="auto" w:fill="005C5D"/>
          </w:tcPr>
          <w:p>
            <w:pPr>
              <w:spacing w:after="0"/>
              <w:rPr>
                <w:sz w:val="3"/>
                <w:szCs w:val="3"/>
                <w:color w:val="auto"/>
              </w:rPr>
            </w:pPr>
          </w:p>
        </w:tc>
        <w:tc>
          <w:tcPr>
            <w:tcW w:w="340" w:type="dxa"/>
            <w:vAlign w:val="bottom"/>
          </w:tcPr>
          <w:p>
            <w:pPr>
              <w:spacing w:after="0"/>
              <w:rPr>
                <w:sz w:val="3"/>
                <w:szCs w:val="3"/>
                <w:color w:val="auto"/>
              </w:rPr>
            </w:pPr>
          </w:p>
        </w:tc>
        <w:tc>
          <w:tcPr>
            <w:tcW w:w="2280" w:type="dxa"/>
            <w:vAlign w:val="bottom"/>
            <w:shd w:val="clear" w:color="auto" w:fill="005C5D"/>
          </w:tcPr>
          <w:p>
            <w:pPr>
              <w:spacing w:after="0"/>
              <w:rPr>
                <w:sz w:val="3"/>
                <w:szCs w:val="3"/>
                <w:color w:val="auto"/>
              </w:rPr>
            </w:pPr>
          </w:p>
        </w:tc>
        <w:tc>
          <w:tcPr>
            <w:tcW w:w="3060" w:type="dxa"/>
            <w:vAlign w:val="bottom"/>
            <w:shd w:val="clear" w:color="auto" w:fill="005C5D"/>
          </w:tcPr>
          <w:p>
            <w:pPr>
              <w:spacing w:after="0"/>
              <w:rPr>
                <w:sz w:val="3"/>
                <w:szCs w:val="3"/>
                <w:color w:val="auto"/>
              </w:rPr>
            </w:pPr>
          </w:p>
        </w:tc>
      </w:tr>
    </w:tbl>
    <w:p>
      <w:pPr>
        <w:spacing w:after="0" w:line="1" w:lineRule="exact"/>
        <w:rPr>
          <w:sz w:val="20"/>
          <w:szCs w:val="20"/>
          <w:color w:val="auto"/>
        </w:rPr>
      </w:pPr>
    </w:p>
    <w:p>
      <w:pPr>
        <w:sectPr>
          <w:pgSz w:w="11900" w:h="16838" w:orient="portrait"/>
          <w:cols w:equalWidth="0" w:num="1">
            <w:col w:w="11080"/>
          </w:cols>
          <w:pgMar w:left="320" w:top="478" w:right="499" w:bottom="1440" w:gutter="0" w:footer="0" w:header="0"/>
        </w:sectPr>
      </w:pPr>
    </w:p>
    <w:p>
      <w:pPr>
        <w:jc w:val="both"/>
        <w:ind w:left="240"/>
        <w:spacing w:after="0" w:line="246" w:lineRule="auto"/>
        <w:rPr>
          <w:sz w:val="20"/>
          <w:szCs w:val="20"/>
          <w:color w:val="auto"/>
        </w:rPr>
      </w:pPr>
      <w:r>
        <w:rPr>
          <w:rFonts w:ascii="Arial" w:cs="Arial" w:eastAsia="Arial" w:hAnsi="Arial"/>
          <w:sz w:val="16"/>
          <w:szCs w:val="16"/>
          <w:color w:val="333333"/>
        </w:rPr>
        <w:t>Mr. Bickley was appointed permanent Chief Executive Officer in March 2026 after serving as our Executive Chairman since July 2025. Mr. Bickley has been a member of our Board of Directors since November 2024. Mr. Bickley previously held numerous leadership roles during his nearly 25-year tenure with Coach, including serving for more than 10 years as President of the company’s International Group. Earlier in his career, he served as President and Chief Executive Officer of Coach Japan. Mr. Bickley also served as Interim Chief Executive Officer of The Body Shop and President of Global Business Development at Tapestry.</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color w:val="333333"/>
        </w:rPr>
        <w:t>Mr. Bickley serves as a director for publicly-held Crocs, Inc..</w:t>
      </w:r>
    </w:p>
    <w:p>
      <w:pPr>
        <w:spacing w:after="0" w:line="137" w:lineRule="exact"/>
        <w:rPr>
          <w:sz w:val="20"/>
          <w:szCs w:val="20"/>
          <w:color w:val="auto"/>
        </w:rPr>
      </w:pPr>
    </w:p>
    <w:p>
      <w:pPr>
        <w:jc w:val="both"/>
        <w:ind w:left="240"/>
        <w:spacing w:after="0" w:line="253" w:lineRule="auto"/>
        <w:rPr>
          <w:sz w:val="20"/>
          <w:szCs w:val="20"/>
          <w:color w:val="auto"/>
        </w:rPr>
      </w:pPr>
      <w:r>
        <w:rPr>
          <w:rFonts w:ascii="Arial" w:cs="Arial" w:eastAsia="Arial" w:hAnsi="Arial"/>
          <w:sz w:val="16"/>
          <w:szCs w:val="16"/>
          <w:b w:val="1"/>
          <w:bCs w:val="1"/>
          <w:color w:val="337C7D"/>
        </w:rPr>
        <w:t xml:space="preserve">Qualifications: </w:t>
      </w:r>
      <w:r>
        <w:rPr>
          <w:rFonts w:ascii="Arial" w:cs="Arial" w:eastAsia="Arial" w:hAnsi="Arial"/>
          <w:sz w:val="16"/>
          <w:szCs w:val="16"/>
          <w:color w:val="333333"/>
        </w:rPr>
        <w:t>Mr. Bickley brings a breadth of brand transformation and</w:t>
      </w:r>
      <w:r>
        <w:rPr>
          <w:rFonts w:ascii="Arial" w:cs="Arial" w:eastAsia="Arial" w:hAnsi="Arial"/>
          <w:sz w:val="16"/>
          <w:szCs w:val="16"/>
          <w:b w:val="1"/>
          <w:bCs w:val="1"/>
          <w:color w:val="337C7D"/>
        </w:rPr>
        <w:t xml:space="preserve"> </w:t>
      </w:r>
      <w:r>
        <w:rPr>
          <w:rFonts w:ascii="Arial" w:cs="Arial" w:eastAsia="Arial" w:hAnsi="Arial"/>
          <w:sz w:val="16"/>
          <w:szCs w:val="16"/>
          <w:color w:val="333333"/>
        </w:rPr>
        <w:t>business development expertise from his time with Tapestry, Inc. (formerly Coach, Inc.). Mr. Bickley has established an exceptional track record in building and revitalizing brands, developing omni-channel businesses, and managing and integrating a global multi-brand portfolio.</w:t>
      </w:r>
    </w:p>
    <w:p>
      <w:pPr>
        <w:spacing w:after="0" w:line="342" w:lineRule="exact"/>
        <w:rPr>
          <w:sz w:val="20"/>
          <w:szCs w:val="20"/>
          <w:color w:val="auto"/>
        </w:rPr>
      </w:pPr>
    </w:p>
    <w:tbl>
      <w:tblPr>
        <w:tblLayout w:type="fixed"/>
        <w:tblInd w:w="160" w:type="dxa"/>
        <w:tblCellMar>
          <w:top w:w="0" w:type="dxa"/>
          <w:left w:w="0" w:type="dxa"/>
          <w:bottom w:w="0" w:type="dxa"/>
          <w:right w:w="0" w:type="dxa"/>
        </w:tblCellMar>
      </w:tblPr>
      <w:tr>
        <w:trPr>
          <w:trHeight w:val="281"/>
        </w:trPr>
        <w:tc>
          <w:tcPr>
            <w:tcW w:w="3390" w:type="dxa"/>
            <w:vAlign w:val="bottom"/>
            <w:shd w:val="clear" w:color="auto" w:fill="005C5D"/>
          </w:tcPr>
          <w:p>
            <w:pPr>
              <w:ind w:left="80"/>
              <w:spacing w:after="0"/>
              <w:rPr>
                <w:sz w:val="20"/>
                <w:szCs w:val="20"/>
                <w:color w:val="auto"/>
              </w:rPr>
            </w:pPr>
            <w:r>
              <w:rPr>
                <w:rFonts w:ascii="Arial" w:cs="Arial" w:eastAsia="Arial" w:hAnsi="Arial"/>
                <w:sz w:val="20"/>
                <w:szCs w:val="20"/>
                <w:b w:val="1"/>
                <w:bCs w:val="1"/>
                <w:color w:val="FFFFFF"/>
              </w:rPr>
              <w:t>Ivan Brockman</w:t>
            </w:r>
          </w:p>
        </w:tc>
        <w:tc>
          <w:tcPr>
            <w:tcW w:w="1850" w:type="dxa"/>
            <w:vAlign w:val="bottom"/>
            <w:shd w:val="clear" w:color="auto" w:fill="005C5D"/>
          </w:tcPr>
          <w:p>
            <w:pPr>
              <w:jc w:val="right"/>
              <w:spacing w:after="0"/>
              <w:rPr>
                <w:sz w:val="20"/>
                <w:szCs w:val="20"/>
                <w:color w:val="auto"/>
              </w:rPr>
            </w:pPr>
            <w:r>
              <w:rPr>
                <w:rFonts w:ascii="Arial" w:cs="Arial" w:eastAsia="Arial" w:hAnsi="Arial"/>
                <w:sz w:val="16"/>
                <w:szCs w:val="16"/>
                <w:color w:val="FFFFFF"/>
              </w:rPr>
              <w:t>Age</w:t>
            </w:r>
            <w:r>
              <w:rPr>
                <w:rFonts w:ascii="Arial" w:cs="Arial" w:eastAsia="Arial" w:hAnsi="Arial"/>
                <w:sz w:val="24"/>
                <w:szCs w:val="24"/>
                <w:color w:val="FFFFFF"/>
                <w:vertAlign w:val="superscript"/>
              </w:rPr>
              <w:t>(1)</w:t>
            </w:r>
            <w:r>
              <w:rPr>
                <w:rFonts w:ascii="Arial" w:cs="Arial" w:eastAsia="Arial" w:hAnsi="Arial"/>
                <w:sz w:val="16"/>
                <w:szCs w:val="16"/>
                <w:color w:val="FFFFFF"/>
              </w:rPr>
              <w:t xml:space="preserve"> 56</w:t>
            </w:r>
          </w:p>
        </w:tc>
      </w:tr>
      <w:tr>
        <w:trPr>
          <w:trHeight w:val="211"/>
        </w:trPr>
        <w:tc>
          <w:tcPr>
            <w:tcW w:w="3390" w:type="dxa"/>
            <w:vAlign w:val="bottom"/>
            <w:shd w:val="clear" w:color="auto" w:fill="005C5D"/>
          </w:tcPr>
          <w:p>
            <w:pPr>
              <w:spacing w:after="0"/>
              <w:rPr>
                <w:sz w:val="18"/>
                <w:szCs w:val="18"/>
                <w:color w:val="auto"/>
              </w:rPr>
            </w:pPr>
          </w:p>
        </w:tc>
        <w:tc>
          <w:tcPr>
            <w:tcW w:w="1850" w:type="dxa"/>
            <w:vAlign w:val="bottom"/>
            <w:shd w:val="clear" w:color="auto" w:fill="005C5D"/>
          </w:tcPr>
          <w:p>
            <w:pPr>
              <w:jc w:val="right"/>
              <w:spacing w:after="0"/>
              <w:rPr>
                <w:sz w:val="20"/>
                <w:szCs w:val="20"/>
                <w:color w:val="auto"/>
              </w:rPr>
            </w:pPr>
            <w:r>
              <w:rPr>
                <w:rFonts w:ascii="Arial" w:cs="Arial" w:eastAsia="Arial" w:hAnsi="Arial"/>
                <w:sz w:val="16"/>
                <w:szCs w:val="16"/>
                <w:color w:val="FFFFFF"/>
              </w:rPr>
              <w:t>Director Since 2025</w:t>
            </w:r>
          </w:p>
        </w:tc>
      </w:tr>
      <w:tr>
        <w:trPr>
          <w:trHeight w:val="43"/>
        </w:trPr>
        <w:tc>
          <w:tcPr>
            <w:tcW w:w="3390" w:type="dxa"/>
            <w:vAlign w:val="bottom"/>
            <w:shd w:val="clear" w:color="auto" w:fill="005C5D"/>
          </w:tcPr>
          <w:p>
            <w:pPr>
              <w:spacing w:after="0"/>
              <w:rPr>
                <w:sz w:val="3"/>
                <w:szCs w:val="3"/>
                <w:color w:val="auto"/>
              </w:rPr>
            </w:pPr>
          </w:p>
        </w:tc>
        <w:tc>
          <w:tcPr>
            <w:tcW w:w="1850" w:type="dxa"/>
            <w:vAlign w:val="bottom"/>
            <w:shd w:val="clear" w:color="auto" w:fill="005C5D"/>
          </w:tcPr>
          <w:p>
            <w:pPr>
              <w:spacing w:after="0"/>
              <w:rPr>
                <w:sz w:val="3"/>
                <w:szCs w:val="3"/>
                <w:color w:val="auto"/>
              </w:rPr>
            </w:pPr>
          </w:p>
        </w:tc>
      </w:tr>
    </w:tbl>
    <w:p>
      <w:pPr>
        <w:jc w:val="both"/>
        <w:ind w:left="240"/>
        <w:spacing w:after="0" w:line="245" w:lineRule="auto"/>
        <w:rPr>
          <w:sz w:val="20"/>
          <w:szCs w:val="20"/>
          <w:color w:val="auto"/>
        </w:rPr>
      </w:pPr>
      <w:r>
        <w:rPr>
          <w:rFonts w:ascii="Arial" w:cs="Arial" w:eastAsia="Arial" w:hAnsi="Arial"/>
          <w:sz w:val="16"/>
          <w:szCs w:val="16"/>
          <w:color w:val="333333"/>
        </w:rPr>
        <w:t>Mr. Brockman has served as a Senior Advisor at PJT Partners, a boutique financial services firm, since January 2025. He was previously a Partner of that firm since its spin-off from Blackstone in October 2015 to December 2024. He was a Partner and Senior Managing Director of Blackstone from August 2008 to September 2015. Prior to joining Blackstone, he held various roles at multiple investment banking institutions, building broad experience across the industry including serving as co-head of West Coast Technology Investment Banking for Citigroup and as a Vice President with Goldman Sachs’ TMT investment banking group. Mr. Brockman began his career practicing corporate securities law for several years with Wilson Sonsini Goodrich &amp; Rosati.</w:t>
      </w:r>
    </w:p>
    <w:p>
      <w:pPr>
        <w:spacing w:after="0" w:line="113" w:lineRule="exact"/>
        <w:rPr>
          <w:sz w:val="20"/>
          <w:szCs w:val="20"/>
          <w:color w:val="auto"/>
        </w:rPr>
      </w:pPr>
    </w:p>
    <w:p>
      <w:pPr>
        <w:jc w:val="both"/>
        <w:ind w:left="240"/>
        <w:spacing w:after="0" w:line="256" w:lineRule="auto"/>
        <w:rPr>
          <w:sz w:val="20"/>
          <w:szCs w:val="20"/>
          <w:color w:val="auto"/>
        </w:rPr>
      </w:pPr>
      <w:r>
        <w:rPr>
          <w:rFonts w:ascii="Arial" w:cs="Arial" w:eastAsia="Arial" w:hAnsi="Arial"/>
          <w:sz w:val="16"/>
          <w:szCs w:val="16"/>
          <w:b w:val="1"/>
          <w:bCs w:val="1"/>
          <w:color w:val="337C7D"/>
        </w:rPr>
        <w:t xml:space="preserve">Qualifications: </w:t>
      </w:r>
      <w:r>
        <w:rPr>
          <w:rFonts w:ascii="Arial" w:cs="Arial" w:eastAsia="Arial" w:hAnsi="Arial"/>
          <w:sz w:val="16"/>
          <w:szCs w:val="16"/>
          <w:color w:val="333333"/>
        </w:rPr>
        <w:t>Mr. Brockman brings to the Board of Directors a</w:t>
      </w:r>
      <w:r>
        <w:rPr>
          <w:rFonts w:ascii="Arial" w:cs="Arial" w:eastAsia="Arial" w:hAnsi="Arial"/>
          <w:sz w:val="16"/>
          <w:szCs w:val="16"/>
          <w:b w:val="1"/>
          <w:bCs w:val="1"/>
          <w:color w:val="337C7D"/>
        </w:rPr>
        <w:t xml:space="preserve"> </w:t>
      </w:r>
      <w:r>
        <w:rPr>
          <w:rFonts w:ascii="Arial" w:cs="Arial" w:eastAsia="Arial" w:hAnsi="Arial"/>
          <w:sz w:val="16"/>
          <w:szCs w:val="16"/>
          <w:color w:val="333333"/>
        </w:rPr>
        <w:t>specialized perspective shaped by his extensive investment banking experience and as a direct investor in technology and consumer start-up companies.</w:t>
      </w:r>
    </w:p>
    <w:p>
      <w:pPr>
        <w:spacing w:after="0" w:line="20" w:lineRule="exact"/>
        <w:rPr>
          <w:sz w:val="20"/>
          <w:szCs w:val="20"/>
          <w:color w:val="auto"/>
        </w:rPr>
      </w:pPr>
      <w:r>
        <w:rPr>
          <w:sz w:val="20"/>
          <w:szCs w:val="20"/>
          <w:color w:val="auto"/>
        </w:rPr>
        <w:br w:type="column"/>
      </w:r>
    </w:p>
    <w:p>
      <w:pPr>
        <w:jc w:val="both"/>
        <w:ind w:left="60" w:right="20"/>
        <w:spacing w:after="0" w:line="247" w:lineRule="auto"/>
        <w:rPr>
          <w:sz w:val="20"/>
          <w:szCs w:val="20"/>
          <w:color w:val="auto"/>
        </w:rPr>
      </w:pPr>
      <w:r>
        <w:rPr>
          <w:rFonts w:ascii="Arial" w:cs="Arial" w:eastAsia="Arial" w:hAnsi="Arial"/>
          <w:sz w:val="16"/>
          <w:szCs w:val="16"/>
          <w:color w:val="333333"/>
        </w:rPr>
        <w:t>Since July 2024, Ms. Cashman has served as Chief Executive Officer of Guy and Larry Restaurants. Ms. Cashman also serves as President and Chief Executive Officer of Cashman Restaurant &amp; Retail Consulting. Ms. Cashman’s prior experience includes serving as Chief Financial Officer of several restaurant companies including Hopdoddy Burger Bar, Inc., Eddie V’s Restaurants, Inc., and P.F. Chang’s China Bistro.</w:t>
      </w:r>
    </w:p>
    <w:p>
      <w:pPr>
        <w:spacing w:after="0" w:line="94" w:lineRule="exact"/>
        <w:rPr>
          <w:sz w:val="20"/>
          <w:szCs w:val="20"/>
          <w:color w:val="auto"/>
        </w:rPr>
      </w:pPr>
    </w:p>
    <w:p>
      <w:pPr>
        <w:jc w:val="both"/>
        <w:ind w:left="60"/>
        <w:spacing w:after="0" w:line="262" w:lineRule="auto"/>
        <w:rPr>
          <w:sz w:val="20"/>
          <w:szCs w:val="20"/>
          <w:color w:val="auto"/>
        </w:rPr>
      </w:pPr>
      <w:r>
        <w:rPr>
          <w:rFonts w:ascii="Arial" w:cs="Arial" w:eastAsia="Arial" w:hAnsi="Arial"/>
          <w:sz w:val="16"/>
          <w:szCs w:val="16"/>
          <w:color w:val="333333"/>
        </w:rPr>
        <w:t>Ms. Cashman serves as a director and Chair of the Audit Committee for publicly-held Basset Furniture Industries, Inc. and as a director for publicy-held Black Rock Coffee Bar, Inc..</w:t>
      </w:r>
    </w:p>
    <w:p>
      <w:pPr>
        <w:spacing w:after="0" w:line="93" w:lineRule="exact"/>
        <w:rPr>
          <w:sz w:val="20"/>
          <w:szCs w:val="20"/>
          <w:color w:val="auto"/>
        </w:rPr>
      </w:pPr>
    </w:p>
    <w:p>
      <w:pPr>
        <w:jc w:val="both"/>
        <w:ind w:left="60"/>
        <w:spacing w:after="0" w:line="256" w:lineRule="auto"/>
        <w:rPr>
          <w:sz w:val="20"/>
          <w:szCs w:val="20"/>
          <w:color w:val="auto"/>
        </w:rPr>
      </w:pPr>
      <w:r>
        <w:rPr>
          <w:rFonts w:ascii="Arial" w:cs="Arial" w:eastAsia="Arial" w:hAnsi="Arial"/>
          <w:sz w:val="16"/>
          <w:szCs w:val="16"/>
          <w:b w:val="1"/>
          <w:bCs w:val="1"/>
          <w:color w:val="337C7D"/>
        </w:rPr>
        <w:t xml:space="preserve">Qualifications: </w:t>
      </w:r>
      <w:r>
        <w:rPr>
          <w:rFonts w:ascii="Arial" w:cs="Arial" w:eastAsia="Arial" w:hAnsi="Arial"/>
          <w:sz w:val="16"/>
          <w:szCs w:val="16"/>
          <w:color w:val="333333"/>
        </w:rPr>
        <w:t>Ms. Cashman brings to the Board of Directors particular</w:t>
      </w:r>
      <w:r>
        <w:rPr>
          <w:rFonts w:ascii="Arial" w:cs="Arial" w:eastAsia="Arial" w:hAnsi="Arial"/>
          <w:sz w:val="16"/>
          <w:szCs w:val="16"/>
          <w:b w:val="1"/>
          <w:bCs w:val="1"/>
          <w:color w:val="337C7D"/>
        </w:rPr>
        <w:t xml:space="preserve"> </w:t>
      </w:r>
      <w:r>
        <w:rPr>
          <w:rFonts w:ascii="Arial" w:cs="Arial" w:eastAsia="Arial" w:hAnsi="Arial"/>
          <w:sz w:val="16"/>
          <w:szCs w:val="16"/>
          <w:color w:val="333333"/>
        </w:rPr>
        <w:t>knowledge and experience in finance, accounting, tax, and capital structure, as well as strategic planning, real estate strategy and selection, operations, and incentive compensation plan development.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450" w:type="dxa"/>
            <w:vAlign w:val="bottom"/>
            <w:shd w:val="clear" w:color="auto" w:fill="005C5D"/>
          </w:tcPr>
          <w:p>
            <w:pPr>
              <w:ind w:left="60"/>
              <w:spacing w:after="0"/>
              <w:rPr>
                <w:sz w:val="20"/>
                <w:szCs w:val="20"/>
                <w:color w:val="auto"/>
              </w:rPr>
            </w:pPr>
            <w:r>
              <w:rPr>
                <w:rFonts w:ascii="Arial" w:cs="Arial" w:eastAsia="Arial" w:hAnsi="Arial"/>
                <w:sz w:val="20"/>
                <w:szCs w:val="20"/>
                <w:b w:val="1"/>
                <w:bCs w:val="1"/>
                <w:color w:val="FFFFFF"/>
              </w:rPr>
              <w:t>Robert J. Hall</w:t>
            </w:r>
          </w:p>
        </w:tc>
        <w:tc>
          <w:tcPr>
            <w:tcW w:w="1890" w:type="dxa"/>
            <w:vAlign w:val="bottom"/>
            <w:shd w:val="clear" w:color="auto" w:fill="005C5D"/>
          </w:tcPr>
          <w:p>
            <w:pPr>
              <w:jc w:val="right"/>
              <w:spacing w:after="0"/>
              <w:rPr>
                <w:sz w:val="20"/>
                <w:szCs w:val="20"/>
                <w:color w:val="auto"/>
              </w:rPr>
            </w:pPr>
            <w:r>
              <w:rPr>
                <w:rFonts w:ascii="Arial" w:cs="Arial" w:eastAsia="Arial" w:hAnsi="Arial"/>
                <w:sz w:val="16"/>
                <w:szCs w:val="16"/>
                <w:color w:val="FFFFFF"/>
              </w:rPr>
              <w:t>Age</w:t>
            </w:r>
            <w:r>
              <w:rPr>
                <w:rFonts w:ascii="Arial" w:cs="Arial" w:eastAsia="Arial" w:hAnsi="Arial"/>
                <w:sz w:val="24"/>
                <w:szCs w:val="24"/>
                <w:color w:val="FFFFFF"/>
                <w:vertAlign w:val="superscript"/>
              </w:rPr>
              <w:t>(1)</w:t>
            </w:r>
            <w:r>
              <w:rPr>
                <w:rFonts w:ascii="Arial" w:cs="Arial" w:eastAsia="Arial" w:hAnsi="Arial"/>
                <w:sz w:val="16"/>
                <w:szCs w:val="16"/>
                <w:color w:val="FFFFFF"/>
              </w:rPr>
              <w:t xml:space="preserve"> 67</w:t>
            </w:r>
          </w:p>
        </w:tc>
      </w:tr>
      <w:tr>
        <w:trPr>
          <w:trHeight w:val="211"/>
        </w:trPr>
        <w:tc>
          <w:tcPr>
            <w:tcW w:w="3450" w:type="dxa"/>
            <w:vAlign w:val="bottom"/>
            <w:shd w:val="clear" w:color="auto" w:fill="005C5D"/>
          </w:tcPr>
          <w:p>
            <w:pPr>
              <w:spacing w:after="0"/>
              <w:rPr>
                <w:sz w:val="18"/>
                <w:szCs w:val="18"/>
                <w:color w:val="auto"/>
              </w:rPr>
            </w:pPr>
          </w:p>
        </w:tc>
        <w:tc>
          <w:tcPr>
            <w:tcW w:w="1890" w:type="dxa"/>
            <w:vAlign w:val="bottom"/>
            <w:shd w:val="clear" w:color="auto" w:fill="005C5D"/>
          </w:tcPr>
          <w:p>
            <w:pPr>
              <w:jc w:val="right"/>
              <w:spacing w:after="0"/>
              <w:rPr>
                <w:sz w:val="20"/>
                <w:szCs w:val="20"/>
                <w:color w:val="auto"/>
              </w:rPr>
            </w:pPr>
            <w:r>
              <w:rPr>
                <w:rFonts w:ascii="Arial" w:cs="Arial" w:eastAsia="Arial" w:hAnsi="Arial"/>
                <w:sz w:val="16"/>
                <w:szCs w:val="16"/>
                <w:color w:val="FFFFFF"/>
              </w:rPr>
              <w:t>Director Since 2007</w:t>
            </w:r>
          </w:p>
        </w:tc>
      </w:tr>
      <w:tr>
        <w:trPr>
          <w:trHeight w:val="43"/>
        </w:trPr>
        <w:tc>
          <w:tcPr>
            <w:tcW w:w="3450" w:type="dxa"/>
            <w:vAlign w:val="bottom"/>
            <w:shd w:val="clear" w:color="auto" w:fill="005C5D"/>
          </w:tcPr>
          <w:p>
            <w:pPr>
              <w:spacing w:after="0"/>
              <w:rPr>
                <w:sz w:val="3"/>
                <w:szCs w:val="3"/>
                <w:color w:val="auto"/>
              </w:rPr>
            </w:pPr>
          </w:p>
        </w:tc>
        <w:tc>
          <w:tcPr>
            <w:tcW w:w="1890" w:type="dxa"/>
            <w:vAlign w:val="bottom"/>
            <w:shd w:val="clear" w:color="auto" w:fill="005C5D"/>
          </w:tcPr>
          <w:p>
            <w:pPr>
              <w:spacing w:after="0"/>
              <w:rPr>
                <w:sz w:val="3"/>
                <w:szCs w:val="3"/>
                <w:color w:val="auto"/>
              </w:rPr>
            </w:pPr>
          </w:p>
        </w:tc>
      </w:tr>
    </w:tbl>
    <w:p>
      <w:pPr>
        <w:jc w:val="both"/>
        <w:ind w:left="60"/>
        <w:spacing w:after="0" w:line="248" w:lineRule="auto"/>
        <w:rPr>
          <w:sz w:val="20"/>
          <w:szCs w:val="20"/>
          <w:color w:val="auto"/>
        </w:rPr>
      </w:pPr>
      <w:r>
        <w:rPr>
          <w:rFonts w:ascii="Arial" w:cs="Arial" w:eastAsia="Arial" w:hAnsi="Arial"/>
          <w:sz w:val="16"/>
          <w:szCs w:val="16"/>
          <w:color w:val="333333"/>
        </w:rPr>
        <w:t>Mr. Hall is the President of Green Gables Partners, a private investment firm that he founded in 2010. Prior to founding Green Gables, Mr. Hall started Andesite Holdings, a private equity firm, where he served as principal from 2007 to 2014. Mr. Hall served as an Executive Director for UBS Financial Services from 2000 to 2007.</w:t>
      </w:r>
    </w:p>
    <w:p>
      <w:pPr>
        <w:spacing w:after="0" w:line="92" w:lineRule="exact"/>
        <w:rPr>
          <w:sz w:val="20"/>
          <w:szCs w:val="20"/>
          <w:color w:val="auto"/>
        </w:rPr>
      </w:pPr>
    </w:p>
    <w:p>
      <w:pPr>
        <w:jc w:val="both"/>
        <w:ind w:left="60"/>
        <w:spacing w:after="0" w:line="256" w:lineRule="auto"/>
        <w:rPr>
          <w:sz w:val="20"/>
          <w:szCs w:val="20"/>
          <w:color w:val="auto"/>
        </w:rPr>
      </w:pPr>
      <w:r>
        <w:rPr>
          <w:rFonts w:ascii="Arial" w:cs="Arial" w:eastAsia="Arial" w:hAnsi="Arial"/>
          <w:sz w:val="16"/>
          <w:szCs w:val="16"/>
          <w:color w:val="333333"/>
        </w:rPr>
        <w:t>Mr. Hall serves as a director of FlyLow Gear Co., a privately-held manufacturer of outerwear; a director of Glade Optics, a privately-held retailer of ski goggles and casual apparel and accessories; and Chairman of the U.S. Biathlon Association.</w:t>
      </w:r>
    </w:p>
    <w:p>
      <w:pPr>
        <w:spacing w:after="0" w:line="98" w:lineRule="exact"/>
        <w:rPr>
          <w:sz w:val="20"/>
          <w:szCs w:val="20"/>
          <w:color w:val="auto"/>
        </w:rPr>
      </w:pPr>
    </w:p>
    <w:p>
      <w:pPr>
        <w:jc w:val="both"/>
        <w:ind w:left="60"/>
        <w:spacing w:after="0" w:line="256" w:lineRule="auto"/>
        <w:rPr>
          <w:sz w:val="20"/>
          <w:szCs w:val="20"/>
          <w:color w:val="auto"/>
        </w:rPr>
      </w:pPr>
      <w:r>
        <w:rPr>
          <w:rFonts w:ascii="Arial" w:cs="Arial" w:eastAsia="Arial" w:hAnsi="Arial"/>
          <w:sz w:val="16"/>
          <w:szCs w:val="16"/>
          <w:b w:val="1"/>
          <w:bCs w:val="1"/>
          <w:color w:val="337C7D"/>
        </w:rPr>
        <w:t xml:space="preserve">Qualifications: </w:t>
      </w:r>
      <w:r>
        <w:rPr>
          <w:rFonts w:ascii="Arial" w:cs="Arial" w:eastAsia="Arial" w:hAnsi="Arial"/>
          <w:sz w:val="16"/>
          <w:szCs w:val="16"/>
          <w:color w:val="333333"/>
        </w:rPr>
        <w:t>Mr. Hall provides our Board of Directors with insight and</w:t>
      </w:r>
      <w:r>
        <w:rPr>
          <w:rFonts w:ascii="Arial" w:cs="Arial" w:eastAsia="Arial" w:hAnsi="Arial"/>
          <w:sz w:val="16"/>
          <w:szCs w:val="16"/>
          <w:b w:val="1"/>
          <w:bCs w:val="1"/>
          <w:color w:val="337C7D"/>
        </w:rPr>
        <w:t xml:space="preserve"> </w:t>
      </w:r>
      <w:r>
        <w:rPr>
          <w:rFonts w:ascii="Arial" w:cs="Arial" w:eastAsia="Arial" w:hAnsi="Arial"/>
          <w:sz w:val="16"/>
          <w:szCs w:val="16"/>
          <w:color w:val="333333"/>
        </w:rPr>
        <w:t>perspective on general strategic and financial matters stemming from his extensive experience in investment banking, investment management, financial planning, and private placements.</w:t>
      </w:r>
    </w:p>
    <w:p>
      <w:pPr>
        <w:spacing w:after="0" w:line="1015"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50" w:lineRule="exact"/>
        <w:rPr>
          <w:sz w:val="20"/>
          <w:szCs w:val="20"/>
          <w:color w:val="auto"/>
        </w:rPr>
      </w:pPr>
    </w:p>
    <w:p>
      <w:pPr>
        <w:ind w:left="4940"/>
        <w:spacing w:after="0"/>
        <w:tabs>
          <w:tab w:leader="none" w:pos="9160" w:val="left"/>
          <w:tab w:leader="none" w:pos="1098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3</w:t>
      </w:r>
    </w:p>
    <w:p>
      <w:pPr>
        <w:sectPr>
          <w:pgSz w:w="11900" w:h="16838" w:orient="portrait"/>
          <w:cols w:equalWidth="0" w:num="1">
            <w:col w:w="11080"/>
          </w:cols>
          <w:pgMar w:left="320" w:top="478" w:right="4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281"/>
        </w:trPr>
        <w:tc>
          <w:tcPr>
            <w:tcW w:w="7050" w:type="dxa"/>
            <w:vAlign w:val="bottom"/>
            <w:shd w:val="clear" w:color="auto" w:fill="005C5D"/>
          </w:tcPr>
          <w:p>
            <w:pPr>
              <w:ind w:left="80"/>
              <w:spacing w:after="0"/>
              <w:rPr>
                <w:sz w:val="20"/>
                <w:szCs w:val="20"/>
                <w:color w:val="auto"/>
              </w:rPr>
            </w:pPr>
            <w:r>
              <w:rPr>
                <w:rFonts w:ascii="Arial" w:cs="Arial" w:eastAsia="Arial" w:hAnsi="Arial"/>
                <w:sz w:val="20"/>
                <w:szCs w:val="20"/>
                <w:b w:val="1"/>
                <w:bCs w:val="1"/>
                <w:color w:val="FFFFFF"/>
              </w:rPr>
              <w:t>Andrew Meslow</w:t>
            </w:r>
          </w:p>
        </w:tc>
        <w:tc>
          <w:tcPr>
            <w:tcW w:w="3870" w:type="dxa"/>
            <w:vAlign w:val="bottom"/>
            <w:shd w:val="clear" w:color="auto" w:fill="005C5D"/>
          </w:tcPr>
          <w:p>
            <w:pPr>
              <w:jc w:val="right"/>
              <w:spacing w:after="0"/>
              <w:rPr>
                <w:sz w:val="20"/>
                <w:szCs w:val="20"/>
                <w:color w:val="auto"/>
              </w:rPr>
            </w:pPr>
            <w:r>
              <w:rPr>
                <w:rFonts w:ascii="Arial" w:cs="Arial" w:eastAsia="Arial" w:hAnsi="Arial"/>
                <w:sz w:val="16"/>
                <w:szCs w:val="16"/>
                <w:color w:val="FFFFFF"/>
              </w:rPr>
              <w:t>Age</w:t>
            </w:r>
            <w:r>
              <w:rPr>
                <w:rFonts w:ascii="Arial" w:cs="Arial" w:eastAsia="Arial" w:hAnsi="Arial"/>
                <w:sz w:val="24"/>
                <w:szCs w:val="24"/>
                <w:color w:val="FFFFFF"/>
                <w:vertAlign w:val="superscript"/>
              </w:rPr>
              <w:t>(1)</w:t>
            </w:r>
            <w:r>
              <w:rPr>
                <w:rFonts w:ascii="Arial" w:cs="Arial" w:eastAsia="Arial" w:hAnsi="Arial"/>
                <w:sz w:val="16"/>
                <w:szCs w:val="16"/>
                <w:color w:val="FFFFFF"/>
              </w:rPr>
              <w:t xml:space="preserve"> 57</w:t>
            </w:r>
          </w:p>
        </w:tc>
      </w:tr>
      <w:tr>
        <w:trPr>
          <w:trHeight w:val="211"/>
        </w:trPr>
        <w:tc>
          <w:tcPr>
            <w:tcW w:w="7050" w:type="dxa"/>
            <w:vAlign w:val="bottom"/>
            <w:shd w:val="clear" w:color="auto" w:fill="005C5D"/>
          </w:tcPr>
          <w:p>
            <w:pPr>
              <w:spacing w:after="0"/>
              <w:rPr>
                <w:sz w:val="18"/>
                <w:szCs w:val="18"/>
                <w:color w:val="auto"/>
              </w:rPr>
            </w:pPr>
          </w:p>
        </w:tc>
        <w:tc>
          <w:tcPr>
            <w:tcW w:w="3870" w:type="dxa"/>
            <w:vAlign w:val="bottom"/>
            <w:shd w:val="clear" w:color="auto" w:fill="005C5D"/>
          </w:tcPr>
          <w:p>
            <w:pPr>
              <w:jc w:val="right"/>
              <w:spacing w:after="0"/>
              <w:rPr>
                <w:sz w:val="20"/>
                <w:szCs w:val="20"/>
                <w:color w:val="auto"/>
              </w:rPr>
            </w:pPr>
            <w:r>
              <w:rPr>
                <w:rFonts w:ascii="Arial" w:cs="Arial" w:eastAsia="Arial" w:hAnsi="Arial"/>
                <w:sz w:val="16"/>
                <w:szCs w:val="16"/>
                <w:color w:val="FFFFFF"/>
              </w:rPr>
              <w:t>Director Since 2025</w:t>
            </w:r>
          </w:p>
        </w:tc>
      </w:tr>
      <w:tr>
        <w:trPr>
          <w:trHeight w:val="43"/>
        </w:trPr>
        <w:tc>
          <w:tcPr>
            <w:tcW w:w="7050" w:type="dxa"/>
            <w:vAlign w:val="bottom"/>
            <w:shd w:val="clear" w:color="auto" w:fill="005C5D"/>
          </w:tcPr>
          <w:p>
            <w:pPr>
              <w:spacing w:after="0"/>
              <w:rPr>
                <w:sz w:val="3"/>
                <w:szCs w:val="3"/>
                <w:color w:val="auto"/>
              </w:rPr>
            </w:pPr>
          </w:p>
        </w:tc>
        <w:tc>
          <w:tcPr>
            <w:tcW w:w="3870" w:type="dxa"/>
            <w:vAlign w:val="bottom"/>
            <w:shd w:val="clear" w:color="auto" w:fill="005C5D"/>
          </w:tcPr>
          <w:p>
            <w:pPr>
              <w:spacing w:after="0"/>
              <w:rPr>
                <w:sz w:val="3"/>
                <w:szCs w:val="3"/>
                <w:color w:val="auto"/>
              </w:rPr>
            </w:pPr>
          </w:p>
        </w:tc>
      </w:tr>
    </w:tbl>
    <w:p>
      <w:pPr>
        <w:jc w:val="both"/>
        <w:ind w:left="240"/>
        <w:spacing w:after="0" w:line="248" w:lineRule="auto"/>
        <w:rPr>
          <w:sz w:val="20"/>
          <w:szCs w:val="20"/>
          <w:color w:val="auto"/>
        </w:rPr>
      </w:pPr>
      <w:r>
        <w:rPr>
          <w:rFonts w:ascii="Arial" w:cs="Arial" w:eastAsia="Arial" w:hAnsi="Arial"/>
          <w:sz w:val="16"/>
          <w:szCs w:val="16"/>
          <w:color w:val="333333"/>
        </w:rPr>
        <w:t>Mr. Meslow last served as the Chief Executive Officer of L Brands and Bath &amp; Body Works, Inc. He was promoted to CEO of Bath &amp; Body Works in February 2020 after serving as the brand’s chief operating officer for eight years. He joined the L Brands board of directors and became the company’s CEO at the close of its annual meeting of stockholders on May 2020. In his prior role of the COO of Bath &amp; Body Works, Andrew led several areas of the business, including finance, merchandise planning and allocation, store operations and the direct channel. He joined L Brands in 2003, working in roles at Victoria’s Secret and the corporate group before moving to Bath &amp; Body Works in 2005 as Executive Vice President and Chief Financial Officer.</w:t>
      </w:r>
    </w:p>
    <w:p>
      <w:pPr>
        <w:spacing w:after="0" w:line="92" w:lineRule="exact"/>
        <w:rPr>
          <w:sz w:val="20"/>
          <w:szCs w:val="20"/>
          <w:color w:val="auto"/>
        </w:rPr>
      </w:pPr>
    </w:p>
    <w:p>
      <w:pPr>
        <w:jc w:val="both"/>
        <w:ind w:left="240"/>
        <w:spacing w:after="0" w:line="262" w:lineRule="auto"/>
        <w:rPr>
          <w:sz w:val="20"/>
          <w:szCs w:val="20"/>
          <w:color w:val="auto"/>
        </w:rPr>
      </w:pPr>
      <w:r>
        <w:rPr>
          <w:rFonts w:ascii="Arial" w:cs="Arial" w:eastAsia="Arial" w:hAnsi="Arial"/>
          <w:sz w:val="16"/>
          <w:szCs w:val="16"/>
          <w:color w:val="333333"/>
        </w:rPr>
        <w:t>Mr. Meslow serves on the board and is the Chair of Lutheran Social Services, a non-profit with a mission of uplifting families and strengthening communities in Ohio. He is also on the board of trustees of the Marburn Academy, a private non-profit school in Ohio that serves students with alternate learning styles.</w:t>
      </w:r>
    </w:p>
    <w:p>
      <w:pPr>
        <w:spacing w:after="0" w:line="93" w:lineRule="exact"/>
        <w:rPr>
          <w:sz w:val="20"/>
          <w:szCs w:val="20"/>
          <w:color w:val="auto"/>
        </w:rPr>
      </w:pPr>
    </w:p>
    <w:p>
      <w:pPr>
        <w:jc w:val="both"/>
        <w:ind w:left="240"/>
        <w:spacing w:after="0" w:line="279" w:lineRule="auto"/>
        <w:rPr>
          <w:sz w:val="20"/>
          <w:szCs w:val="20"/>
          <w:color w:val="auto"/>
        </w:rPr>
      </w:pPr>
      <w:r>
        <w:rPr>
          <w:rFonts w:ascii="Arial" w:cs="Arial" w:eastAsia="Arial" w:hAnsi="Arial"/>
          <w:sz w:val="16"/>
          <w:szCs w:val="16"/>
          <w:b w:val="1"/>
          <w:bCs w:val="1"/>
          <w:color w:val="337C7D"/>
        </w:rPr>
        <w:t xml:space="preserve">Qualifications: </w:t>
      </w:r>
      <w:r>
        <w:rPr>
          <w:rFonts w:ascii="Arial" w:cs="Arial" w:eastAsia="Arial" w:hAnsi="Arial"/>
          <w:sz w:val="16"/>
          <w:szCs w:val="16"/>
          <w:color w:val="333333"/>
        </w:rPr>
        <w:t>Mr. Meslow is a seasoned senior retail executive, with a track record of driving operational excellence at some of the world’s best</w:t>
      </w:r>
      <w:r>
        <w:rPr>
          <w:rFonts w:ascii="Arial" w:cs="Arial" w:eastAsia="Arial" w:hAnsi="Arial"/>
          <w:sz w:val="16"/>
          <w:szCs w:val="16"/>
          <w:b w:val="1"/>
          <w:bCs w:val="1"/>
          <w:color w:val="337C7D"/>
        </w:rPr>
        <w:t xml:space="preserve"> </w:t>
      </w:r>
      <w:r>
        <w:rPr>
          <w:rFonts w:ascii="Arial" w:cs="Arial" w:eastAsia="Arial" w:hAnsi="Arial"/>
          <w:sz w:val="16"/>
          <w:szCs w:val="16"/>
          <w:color w:val="333333"/>
        </w:rPr>
        <w:t>specialty retail brands, as well as public company CEO experience.</w:t>
      </w:r>
    </w:p>
    <w:p>
      <w:pPr>
        <w:spacing w:after="0" w:line="322" w:lineRule="exact"/>
        <w:rPr>
          <w:sz w:val="20"/>
          <w:szCs w:val="20"/>
          <w:color w:val="auto"/>
        </w:rPr>
      </w:pPr>
    </w:p>
    <w:tbl>
      <w:tblPr>
        <w:tblLayout w:type="fixed"/>
        <w:tblInd w:w="160" w:type="dxa"/>
        <w:tblCellMar>
          <w:top w:w="0" w:type="dxa"/>
          <w:left w:w="0" w:type="dxa"/>
          <w:bottom w:w="0" w:type="dxa"/>
          <w:right w:w="0" w:type="dxa"/>
        </w:tblCellMar>
      </w:tblPr>
      <w:tr>
        <w:trPr>
          <w:trHeight w:val="281"/>
        </w:trPr>
        <w:tc>
          <w:tcPr>
            <w:tcW w:w="7050" w:type="dxa"/>
            <w:vAlign w:val="bottom"/>
            <w:shd w:val="clear" w:color="auto" w:fill="005C5D"/>
          </w:tcPr>
          <w:p>
            <w:pPr>
              <w:ind w:left="80"/>
              <w:spacing w:after="0"/>
              <w:rPr>
                <w:sz w:val="20"/>
                <w:szCs w:val="20"/>
                <w:color w:val="auto"/>
              </w:rPr>
            </w:pPr>
            <w:r>
              <w:rPr>
                <w:rFonts w:ascii="Arial" w:cs="Arial" w:eastAsia="Arial" w:hAnsi="Arial"/>
                <w:sz w:val="20"/>
                <w:szCs w:val="20"/>
                <w:b w:val="1"/>
                <w:bCs w:val="1"/>
                <w:color w:val="FFFFFF"/>
              </w:rPr>
              <w:t>Jessica Rodriguez</w:t>
            </w:r>
          </w:p>
        </w:tc>
        <w:tc>
          <w:tcPr>
            <w:tcW w:w="3870" w:type="dxa"/>
            <w:vAlign w:val="bottom"/>
            <w:shd w:val="clear" w:color="auto" w:fill="005C5D"/>
          </w:tcPr>
          <w:p>
            <w:pPr>
              <w:jc w:val="right"/>
              <w:spacing w:after="0"/>
              <w:rPr>
                <w:sz w:val="20"/>
                <w:szCs w:val="20"/>
                <w:color w:val="auto"/>
              </w:rPr>
            </w:pPr>
            <w:r>
              <w:rPr>
                <w:rFonts w:ascii="Arial" w:cs="Arial" w:eastAsia="Arial" w:hAnsi="Arial"/>
                <w:sz w:val="16"/>
                <w:szCs w:val="16"/>
                <w:color w:val="FFFFFF"/>
              </w:rPr>
              <w:t>Age</w:t>
            </w:r>
            <w:r>
              <w:rPr>
                <w:rFonts w:ascii="Arial" w:cs="Arial" w:eastAsia="Arial" w:hAnsi="Arial"/>
                <w:sz w:val="24"/>
                <w:szCs w:val="24"/>
                <w:color w:val="FFFFFF"/>
                <w:vertAlign w:val="superscript"/>
              </w:rPr>
              <w:t>(1)</w:t>
            </w:r>
            <w:r>
              <w:rPr>
                <w:rFonts w:ascii="Arial" w:cs="Arial" w:eastAsia="Arial" w:hAnsi="Arial"/>
                <w:sz w:val="16"/>
                <w:szCs w:val="16"/>
                <w:color w:val="FFFFFF"/>
              </w:rPr>
              <w:t xml:space="preserve"> 53</w:t>
            </w:r>
          </w:p>
        </w:tc>
      </w:tr>
      <w:tr>
        <w:trPr>
          <w:trHeight w:val="211"/>
        </w:trPr>
        <w:tc>
          <w:tcPr>
            <w:tcW w:w="7050" w:type="dxa"/>
            <w:vAlign w:val="bottom"/>
            <w:shd w:val="clear" w:color="auto" w:fill="005C5D"/>
          </w:tcPr>
          <w:p>
            <w:pPr>
              <w:spacing w:after="0"/>
              <w:rPr>
                <w:sz w:val="18"/>
                <w:szCs w:val="18"/>
                <w:color w:val="auto"/>
              </w:rPr>
            </w:pPr>
          </w:p>
        </w:tc>
        <w:tc>
          <w:tcPr>
            <w:tcW w:w="3870" w:type="dxa"/>
            <w:vAlign w:val="bottom"/>
            <w:shd w:val="clear" w:color="auto" w:fill="005C5D"/>
          </w:tcPr>
          <w:p>
            <w:pPr>
              <w:jc w:val="right"/>
              <w:spacing w:after="0"/>
              <w:rPr>
                <w:sz w:val="20"/>
                <w:szCs w:val="20"/>
                <w:color w:val="auto"/>
              </w:rPr>
            </w:pPr>
            <w:r>
              <w:rPr>
                <w:rFonts w:ascii="Arial" w:cs="Arial" w:eastAsia="Arial" w:hAnsi="Arial"/>
                <w:sz w:val="16"/>
                <w:szCs w:val="16"/>
                <w:color w:val="FFFFFF"/>
              </w:rPr>
              <w:t>Director Since 2024</w:t>
            </w:r>
          </w:p>
        </w:tc>
      </w:tr>
      <w:tr>
        <w:trPr>
          <w:trHeight w:val="43"/>
        </w:trPr>
        <w:tc>
          <w:tcPr>
            <w:tcW w:w="7050" w:type="dxa"/>
            <w:vAlign w:val="bottom"/>
            <w:shd w:val="clear" w:color="auto" w:fill="005C5D"/>
          </w:tcPr>
          <w:p>
            <w:pPr>
              <w:spacing w:after="0"/>
              <w:rPr>
                <w:sz w:val="3"/>
                <w:szCs w:val="3"/>
                <w:color w:val="auto"/>
              </w:rPr>
            </w:pPr>
          </w:p>
        </w:tc>
        <w:tc>
          <w:tcPr>
            <w:tcW w:w="3870" w:type="dxa"/>
            <w:vAlign w:val="bottom"/>
            <w:shd w:val="clear" w:color="auto" w:fill="005C5D"/>
          </w:tcPr>
          <w:p>
            <w:pPr>
              <w:spacing w:after="0"/>
              <w:rPr>
                <w:sz w:val="3"/>
                <w:szCs w:val="3"/>
                <w:color w:val="auto"/>
              </w:rPr>
            </w:pPr>
          </w:p>
        </w:tc>
      </w:tr>
    </w:tbl>
    <w:p>
      <w:pPr>
        <w:jc w:val="both"/>
        <w:ind w:left="240"/>
        <w:spacing w:after="0" w:line="247" w:lineRule="auto"/>
        <w:rPr>
          <w:sz w:val="20"/>
          <w:szCs w:val="20"/>
          <w:color w:val="auto"/>
        </w:rPr>
      </w:pPr>
      <w:r>
        <w:rPr>
          <w:rFonts w:ascii="Arial" w:cs="Arial" w:eastAsia="Arial" w:hAnsi="Arial"/>
          <w:sz w:val="16"/>
          <w:szCs w:val="16"/>
          <w:color w:val="333333"/>
        </w:rPr>
        <w:t>From October 2018 until March 2022, Ms. Rodriguez served as President of Entertainment for Univision Communications, Inc., an American Spanish-language television network, and assumed the additional role of Chief Brand Officer from July 2021 through March 2022. Ms. Rodriguez began her 20-plus year career in media as Vice President and Station Manager for Univision Puerto Rico. From there, she successfully progressed through the organization in roles of increasing responsibility, including Vice President and Special Assistant to the President for Univision Networks, Inc.; Senior Vice President, Univision Cable Networks; Executive Vice President and Chief Marketing Officer, Univision; and Chief Operating Officer, Univision Networks, a post she held from January 2018 through December 2020.</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6"/>
          <w:szCs w:val="16"/>
          <w:color w:val="333333"/>
        </w:rPr>
        <w:t>Ms. Rodriguez currently serves as a member of the board for public company off-price retailer Burlington Stores, Inc.</w:t>
      </w:r>
    </w:p>
    <w:p>
      <w:pPr>
        <w:spacing w:after="0" w:line="137" w:lineRule="exact"/>
        <w:rPr>
          <w:sz w:val="20"/>
          <w:szCs w:val="20"/>
          <w:color w:val="auto"/>
        </w:rPr>
      </w:pPr>
    </w:p>
    <w:p>
      <w:pPr>
        <w:jc w:val="both"/>
        <w:ind w:left="240"/>
        <w:spacing w:after="0" w:line="256" w:lineRule="auto"/>
        <w:rPr>
          <w:sz w:val="20"/>
          <w:szCs w:val="20"/>
          <w:color w:val="auto"/>
        </w:rPr>
      </w:pPr>
      <w:r>
        <w:rPr>
          <w:rFonts w:ascii="Arial" w:cs="Arial" w:eastAsia="Arial" w:hAnsi="Arial"/>
          <w:sz w:val="16"/>
          <w:szCs w:val="16"/>
          <w:b w:val="1"/>
          <w:bCs w:val="1"/>
          <w:color w:val="337C7D"/>
        </w:rPr>
        <w:t xml:space="preserve">Qualifications: </w:t>
      </w:r>
      <w:r>
        <w:rPr>
          <w:rFonts w:ascii="Arial" w:cs="Arial" w:eastAsia="Arial" w:hAnsi="Arial"/>
          <w:sz w:val="16"/>
          <w:szCs w:val="16"/>
          <w:color w:val="333333"/>
        </w:rPr>
        <w:t>Ms. Rodriguez brings particular knowledge and experience in business strategy; operations; media and brand marketing; consumer</w:t>
      </w:r>
      <w:r>
        <w:rPr>
          <w:rFonts w:ascii="Arial" w:cs="Arial" w:eastAsia="Arial" w:hAnsi="Arial"/>
          <w:sz w:val="16"/>
          <w:szCs w:val="16"/>
          <w:b w:val="1"/>
          <w:bCs w:val="1"/>
          <w:color w:val="337C7D"/>
        </w:rPr>
        <w:t xml:space="preserve"> </w:t>
      </w:r>
      <w:r>
        <w:rPr>
          <w:rFonts w:ascii="Arial" w:cs="Arial" w:eastAsia="Arial" w:hAnsi="Arial"/>
          <w:sz w:val="16"/>
          <w:szCs w:val="16"/>
          <w:color w:val="333333"/>
        </w:rPr>
        <w:t>insights; and creating, transforming, leading, and motivating high-performing, diverse, purpose-driven organizations. She provides insight and counsel on a variety of issues as the Company continues to execute our long-term strategic plan, which includes elevating our digital-first strategy and our marketing efforts.</w:t>
      </w:r>
    </w:p>
    <w:p>
      <w:pPr>
        <w:ind w:left="160"/>
        <w:spacing w:after="0"/>
        <w:tabs>
          <w:tab w:leader="none" w:pos="400" w:val="left"/>
        </w:tabs>
        <w:rPr>
          <w:sz w:val="20"/>
          <w:szCs w:val="20"/>
          <w:color w:val="auto"/>
        </w:rPr>
      </w:pPr>
      <w:r>
        <w:rPr>
          <w:rFonts w:ascii="Arial" w:cs="Arial" w:eastAsia="Arial" w:hAnsi="Arial"/>
          <w:sz w:val="12"/>
          <w:szCs w:val="12"/>
          <w:color w:val="333333"/>
        </w:rPr>
        <w:t>(1)</w:t>
        <w:tab/>
        <w:t>Represents age as of the Annual Meeting date.</w:t>
      </w:r>
    </w:p>
    <w:p>
      <w:pPr>
        <w:spacing w:after="0" w:line="152" w:lineRule="exact"/>
        <w:rPr>
          <w:sz w:val="20"/>
          <w:szCs w:val="20"/>
          <w:color w:val="auto"/>
        </w:rPr>
      </w:pPr>
    </w:p>
    <w:p>
      <w:pPr>
        <w:ind w:left="160"/>
        <w:spacing w:after="0"/>
        <w:tabs>
          <w:tab w:leader="none" w:pos="4920" w:val="left"/>
        </w:tabs>
        <w:rPr>
          <w:sz w:val="20"/>
          <w:szCs w:val="20"/>
          <w:color w:val="auto"/>
        </w:rPr>
      </w:pPr>
      <w:r>
        <w:rPr>
          <w:rFonts w:ascii="Arial" w:cs="Arial" w:eastAsia="Arial" w:hAnsi="Arial"/>
          <w:sz w:val="14"/>
          <w:szCs w:val="14"/>
          <w:color w:val="005C5D"/>
        </w:rPr>
        <w:t xml:space="preserve">4 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1080"/>
          </w:cols>
          <w:pgMar w:left="320" w:top="478"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27"/>
          <w:szCs w:val="27"/>
          <w:b w:val="1"/>
          <w:bCs w:val="1"/>
          <w:color w:val="005C5D"/>
        </w:rPr>
        <w:t>CORPORATE GOVERNANCE</w:t>
      </w:r>
    </w:p>
    <w:p>
      <w:pPr>
        <w:spacing w:after="0" w:line="226" w:lineRule="exact"/>
        <w:rPr>
          <w:sz w:val="20"/>
          <w:szCs w:val="20"/>
          <w:color w:val="auto"/>
        </w:rPr>
      </w:pPr>
    </w:p>
    <w:p>
      <w:pPr>
        <w:jc w:val="both"/>
        <w:ind w:left="160"/>
        <w:spacing w:after="0" w:line="256" w:lineRule="auto"/>
        <w:rPr>
          <w:sz w:val="20"/>
          <w:szCs w:val="20"/>
          <w:color w:val="auto"/>
        </w:rPr>
      </w:pPr>
      <w:r>
        <w:rPr>
          <w:rFonts w:ascii="Arial" w:cs="Arial" w:eastAsia="Arial" w:hAnsi="Arial"/>
          <w:sz w:val="16"/>
          <w:szCs w:val="16"/>
          <w:color w:val="333333"/>
        </w:rPr>
        <w:t>We believe corporate governance should promote the long-term interests of our shareholders, as well as maintain internal checks and balances, strengthen management accountability, engender public trust, and foster responsible decision making and accountability. We continue to evaluate and strengthen existing governance practices and, as appropriate, develop new policies that make us a better company. To that end, the following policies and practices are used to guide and regulate various actions, in addition to the Company’s Articles of Incorporation and Bylaws.</w:t>
      </w:r>
    </w:p>
    <w:p>
      <w:pPr>
        <w:sectPr>
          <w:pgSz w:w="11900" w:h="16838" w:orient="portrait"/>
          <w:cols w:equalWidth="0" w:num="1">
            <w:col w:w="11080"/>
          </w:cols>
          <w:pgMar w:left="320" w:top="478" w:right="499" w:bottom="1440" w:gutter="0" w:footer="0" w:header="0"/>
        </w:sectPr>
      </w:pPr>
    </w:p>
    <w:p>
      <w:pPr>
        <w:spacing w:after="0" w:line="24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CORPORATE GOVERNANCE GUIDELINES</w:t>
      </w:r>
    </w:p>
    <w:p>
      <w:pPr>
        <w:spacing w:after="0" w:line="100"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color w:val="333333"/>
        </w:rPr>
        <w:t>Our Corporate Governance Guidelines set out various rules and principles for self-governance and address such matters as Board composition and structure, duties and responsibilities of directors and the Board and the duties of the Lead Independent Director, among other matters.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207" w:hanging="207"/>
        <w:spacing w:after="0"/>
        <w:tabs>
          <w:tab w:leader="none" w:pos="207" w:val="left"/>
        </w:tabs>
        <w:numPr>
          <w:ilvl w:val="0"/>
          <w:numId w:val="18"/>
        </w:numPr>
        <w:rPr>
          <w:rFonts w:ascii="Arial" w:cs="Arial" w:eastAsia="Arial" w:hAnsi="Arial"/>
          <w:sz w:val="16"/>
          <w:szCs w:val="16"/>
          <w:color w:val="333333"/>
        </w:rPr>
      </w:pPr>
      <w:r>
        <w:rPr>
          <w:rFonts w:ascii="Arial" w:cs="Arial" w:eastAsia="Arial" w:hAnsi="Arial"/>
          <w:sz w:val="16"/>
          <w:szCs w:val="16"/>
          <w:color w:val="333333"/>
        </w:rPr>
        <w:t>Compliance with applicable governmental laws, rules, and regulations.</w:t>
      </w:r>
    </w:p>
    <w:p>
      <w:pPr>
        <w:spacing w:after="0" w:line="123" w:lineRule="exact"/>
        <w:rPr>
          <w:rFonts w:ascii="Arial" w:cs="Arial" w:eastAsia="Arial" w:hAnsi="Arial"/>
          <w:sz w:val="16"/>
          <w:szCs w:val="16"/>
          <w:color w:val="333333"/>
        </w:rPr>
      </w:pPr>
    </w:p>
    <w:p>
      <w:pPr>
        <w:ind w:left="207" w:right="20" w:hanging="207"/>
        <w:spacing w:after="0" w:line="279" w:lineRule="auto"/>
        <w:tabs>
          <w:tab w:leader="none" w:pos="207" w:val="left"/>
        </w:tabs>
        <w:numPr>
          <w:ilvl w:val="0"/>
          <w:numId w:val="18"/>
        </w:numPr>
        <w:rPr>
          <w:rFonts w:ascii="Arial" w:cs="Arial" w:eastAsia="Arial" w:hAnsi="Arial"/>
          <w:sz w:val="16"/>
          <w:szCs w:val="16"/>
          <w:color w:val="333333"/>
        </w:rPr>
      </w:pPr>
      <w:r>
        <w:rPr>
          <w:rFonts w:ascii="Arial" w:cs="Arial" w:eastAsia="Arial" w:hAnsi="Arial"/>
          <w:sz w:val="16"/>
          <w:szCs w:val="16"/>
          <w:color w:val="333333"/>
        </w:rPr>
        <w:t>The prompt internal reporting of violations of the Code to an appropriate person or persons identified in the Code.</w:t>
      </w:r>
    </w:p>
    <w:p>
      <w:pPr>
        <w:spacing w:after="0" w:line="67" w:lineRule="exact"/>
        <w:rPr>
          <w:rFonts w:ascii="Arial" w:cs="Arial" w:eastAsia="Arial" w:hAnsi="Arial"/>
          <w:sz w:val="16"/>
          <w:szCs w:val="16"/>
          <w:color w:val="333333"/>
        </w:rPr>
      </w:pPr>
    </w:p>
    <w:p>
      <w:pPr>
        <w:ind w:left="207" w:hanging="207"/>
        <w:spacing w:after="0"/>
        <w:tabs>
          <w:tab w:leader="none" w:pos="207" w:val="left"/>
        </w:tabs>
        <w:numPr>
          <w:ilvl w:val="0"/>
          <w:numId w:val="18"/>
        </w:numPr>
        <w:rPr>
          <w:rFonts w:ascii="Arial" w:cs="Arial" w:eastAsia="Arial" w:hAnsi="Arial"/>
          <w:sz w:val="16"/>
          <w:szCs w:val="16"/>
          <w:color w:val="333333"/>
        </w:rPr>
      </w:pPr>
      <w:r>
        <w:rPr>
          <w:rFonts w:ascii="Arial" w:cs="Arial" w:eastAsia="Arial" w:hAnsi="Arial"/>
          <w:sz w:val="16"/>
          <w:szCs w:val="16"/>
          <w:color w:val="333333"/>
        </w:rPr>
        <w:t>Accountability for adherence to the Code.</w:t>
      </w:r>
    </w:p>
    <w:p>
      <w:pPr>
        <w:spacing w:after="0" w:line="314" w:lineRule="exact"/>
        <w:rPr>
          <w:sz w:val="20"/>
          <w:szCs w:val="20"/>
          <w:color w:val="auto"/>
        </w:rPr>
      </w:pPr>
    </w:p>
    <w:p>
      <w:pPr>
        <w:sectPr>
          <w:pgSz w:w="11900" w:h="16838" w:orient="portrait"/>
          <w:cols w:equalWidth="0" w:num="2">
            <w:col w:w="5400" w:space="333"/>
            <w:col w:w="5347"/>
          </w:cols>
          <w:pgMar w:left="320" w:top="478" w:right="499" w:bottom="1440" w:gutter="0" w:footer="0" w:header="0"/>
          <w:type w:val="continuous"/>
        </w:sectPr>
      </w:pPr>
    </w:p>
    <w:p>
      <w:pPr>
        <w:spacing w:after="0" w:line="268" w:lineRule="exact"/>
        <w:rPr>
          <w:sz w:val="20"/>
          <w:szCs w:val="20"/>
          <w:color w:val="auto"/>
        </w:rPr>
      </w:pPr>
    </w:p>
    <w:p>
      <w:pPr>
        <w:ind w:left="160" w:right="580"/>
        <w:spacing w:after="0" w:line="264" w:lineRule="auto"/>
        <w:rPr>
          <w:sz w:val="20"/>
          <w:szCs w:val="20"/>
          <w:color w:val="auto"/>
        </w:rPr>
      </w:pPr>
      <w:r>
        <w:rPr>
          <w:rFonts w:ascii="Arial" w:cs="Arial" w:eastAsia="Arial" w:hAnsi="Arial"/>
          <w:sz w:val="20"/>
          <w:szCs w:val="20"/>
          <w:b w:val="1"/>
          <w:bCs w:val="1"/>
          <w:color w:val="005C5D"/>
        </w:rPr>
        <w:t>CONFLICT OF INTEREST AND BUSINESS ETHICS POLICY</w:t>
      </w:r>
    </w:p>
    <w:p>
      <w:pPr>
        <w:spacing w:after="0" w:line="38"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color w:val="333333"/>
        </w:rPr>
        <w:t>We believe that credibility, integrity, trustworthiness, and our core values are critical components of the current and future success of our business. Our Conflict of Interest and Business Ethics Policy is intended to help uphold high ethical standards in all of our operations by promoting ethical conduct and compliance with applicable laws, rules, regulations, and standards. Our Board recognizes that no code of ethics can replace the thoughtful behavior of an ethical director or employee, but such a Code can provide guidance to help recognize and deal with ethical issues and to foster a culture of accountability.</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CODE OF ETHICS FOR SENIOR FINANCIAL OFFICERS</w:t>
      </w:r>
    </w:p>
    <w:p>
      <w:pPr>
        <w:spacing w:after="0" w:line="100" w:lineRule="exact"/>
        <w:rPr>
          <w:sz w:val="20"/>
          <w:szCs w:val="20"/>
          <w:color w:val="auto"/>
        </w:rPr>
      </w:pPr>
    </w:p>
    <w:p>
      <w:pPr>
        <w:jc w:val="both"/>
        <w:ind w:left="160"/>
        <w:spacing w:after="0" w:line="249" w:lineRule="auto"/>
        <w:rPr>
          <w:sz w:val="20"/>
          <w:szCs w:val="20"/>
          <w:color w:val="auto"/>
        </w:rPr>
      </w:pPr>
      <w:r>
        <w:rPr>
          <w:rFonts w:ascii="Arial" w:cs="Arial" w:eastAsia="Arial" w:hAnsi="Arial"/>
          <w:sz w:val="16"/>
          <w:szCs w:val="16"/>
          <w:color w:val="333333"/>
        </w:rPr>
        <w:t>In addition to being subject to the Conflict of Interest and Business Ethics Policy, our CEO, Chief Financial Officer (“CFO”), and Corporate Controller and Treasurer are also subject to our Code of Ethics for Senior Financial Officers. We will disclose on our website (www.verbradley.com) any amendment to, or waiver from, a provision of the Conflict of Interest and Business Ethics Policy or the Code of Ethics for Senior Financial Officers that applies to our CEO, CFO, or Corporate Controller and Treasurer, or persons performing similar functions and that relates to:</w:t>
      </w:r>
    </w:p>
    <w:p>
      <w:pPr>
        <w:spacing w:after="0" w:line="51" w:lineRule="exact"/>
        <w:rPr>
          <w:sz w:val="20"/>
          <w:szCs w:val="20"/>
          <w:color w:val="auto"/>
        </w:rPr>
      </w:pPr>
    </w:p>
    <w:p>
      <w:pPr>
        <w:jc w:val="both"/>
        <w:ind w:left="360" w:hanging="193"/>
        <w:spacing w:after="0" w:line="262" w:lineRule="auto"/>
        <w:tabs>
          <w:tab w:leader="none" w:pos="360" w:val="left"/>
        </w:tabs>
        <w:numPr>
          <w:ilvl w:val="0"/>
          <w:numId w:val="19"/>
        </w:numPr>
        <w:rPr>
          <w:rFonts w:ascii="Arial" w:cs="Arial" w:eastAsia="Arial" w:hAnsi="Arial"/>
          <w:sz w:val="16"/>
          <w:szCs w:val="16"/>
          <w:color w:val="333333"/>
        </w:rPr>
      </w:pPr>
      <w:r>
        <w:rPr>
          <w:rFonts w:ascii="Arial" w:cs="Arial" w:eastAsia="Arial" w:hAnsi="Arial"/>
          <w:sz w:val="16"/>
          <w:szCs w:val="16"/>
          <w:color w:val="333333"/>
        </w:rPr>
        <w:t>Honest and ethical conduct, including the ethical handling of actual or apparent conflicts of interest between personal and professional relationships.</w:t>
      </w:r>
    </w:p>
    <w:p>
      <w:pPr>
        <w:spacing w:after="0" w:line="79" w:lineRule="exact"/>
        <w:rPr>
          <w:rFonts w:ascii="Arial" w:cs="Arial" w:eastAsia="Arial" w:hAnsi="Arial"/>
          <w:sz w:val="16"/>
          <w:szCs w:val="16"/>
          <w:color w:val="333333"/>
        </w:rPr>
      </w:pPr>
    </w:p>
    <w:p>
      <w:pPr>
        <w:jc w:val="both"/>
        <w:ind w:left="360" w:hanging="193"/>
        <w:spacing w:after="0" w:line="262" w:lineRule="auto"/>
        <w:tabs>
          <w:tab w:leader="none" w:pos="360" w:val="left"/>
        </w:tabs>
        <w:numPr>
          <w:ilvl w:val="0"/>
          <w:numId w:val="19"/>
        </w:numPr>
        <w:rPr>
          <w:rFonts w:ascii="Arial" w:cs="Arial" w:eastAsia="Arial" w:hAnsi="Arial"/>
          <w:sz w:val="16"/>
          <w:szCs w:val="16"/>
          <w:color w:val="333333"/>
        </w:rPr>
      </w:pPr>
      <w:r>
        <w:rPr>
          <w:rFonts w:ascii="Arial" w:cs="Arial" w:eastAsia="Arial" w:hAnsi="Arial"/>
          <w:sz w:val="16"/>
          <w:szCs w:val="16"/>
          <w:color w:val="333333"/>
        </w:rPr>
        <w:t>Full, fair, accurate, timely, and understandable disclosure in reports and documents that we file with the SEC and in other public communications we make.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005C5D"/>
        </w:rPr>
        <w:t>RISK OVERSIGHT</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333333"/>
        </w:rPr>
        <w:t>Our Board has and exercises ultimate oversight responsibility with respect to enterprise risk assessment and to the management of the strategic, operational, financial, cybersecurity, and legal risks facing our Company and its operations and financial condition. The Board is involved in setting our business and financial strategies and establishing what constitutes the appropriate level of risk for us and our business segments. Various committees of the Board provide assistance to the Board in its oversight of, among other things, risk assessment and risk management. The Board also monitors the process by which risk assessment and management is developed and implemented by management and reported to the full Board.</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333333"/>
        </w:rPr>
        <w:t>Our Audit Committee assists the Board in its oversight of our policies relating to risk assessment and risk management generally, with particular focus on our management of major financial and cybersecurity risk exposures.</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333333"/>
        </w:rPr>
        <w:t>Our Talent and Compensation Committee assists the Board in assessing the nature and degree of risk that may be created by our compensation policies and practices to ensure their appropriateness in terms of both the level of risk-taking and consistency with our business strategies. In conjunction with its assessment, the Committee, with the assistance of independent consultants and independent compensation resources, reviews our compensation policies and practices. That review encompasses each of our incentive plans, eligible participants, performance measurements, parties responsible for certifying performance achievement and sums that could be earned, including caps on the amount of bonus and performance share units that can be earned.</w:t>
      </w:r>
    </w:p>
    <w:p>
      <w:pPr>
        <w:spacing w:after="0" w:line="699"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45" w:lineRule="exact"/>
        <w:rPr>
          <w:sz w:val="20"/>
          <w:szCs w:val="20"/>
          <w:color w:val="auto"/>
        </w:rPr>
      </w:pPr>
    </w:p>
    <w:p>
      <w:pPr>
        <w:ind w:left="4940"/>
        <w:spacing w:after="0"/>
        <w:tabs>
          <w:tab w:leader="none" w:pos="9160" w:val="left"/>
          <w:tab w:leader="none" w:pos="1098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5</w:t>
      </w:r>
    </w:p>
    <w:p>
      <w:pPr>
        <w:sectPr>
          <w:pgSz w:w="11900" w:h="16838" w:orient="portrait"/>
          <w:cols w:equalWidth="0" w:num="1">
            <w:col w:w="11080"/>
          </w:cols>
          <w:pgMar w:left="320" w:top="478" w:right="4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ectPr>
          <w:pgSz w:w="11900" w:h="16838" w:orient="portrait"/>
          <w:cols w:equalWidth="0" w:num="1">
            <w:col w:w="10139"/>
          </w:cols>
          <w:pgMar w:left="320" w:top="478" w:right="1440"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005C5D"/>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69297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0920"/>
          </w:cols>
          <w:pgMar w:left="480" w:top="304" w:right="49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005C5D"/>
        </w:rPr>
        <w:t>STOCK OWNERSHIP GUIDELINES</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Our Board of Directors has adopted stock ownership guidelines for directors, executive officers, and other senior executives. These guidelines are a means to motivate directors and executives to perpetuate enduring shareholder value and to ensure that the interests of directors and executives are aligned with those of shareholders.</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333333"/>
        </w:rPr>
        <w:t>The stock ownership guidelines require that all non-employee directors own share units (as defined below) of the Company’s common stock with a value equal to four times the annual cash retainer, or $198,000 in fiscal 2026. Until such time as a director has attained the applicable share ownership guideline, he or she is expected to retain share units awarded to him or her by the Company, with certain allowances to sell in order to meet tax obligations. The guideline is automatically revised in the event that the annual retainer is changed.</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333333"/>
        </w:rPr>
        <w:t>The CEO is required to hold share units with a value equal to four times his annual base salary rate, or $2,880,000 in fiscal 2026. The guideline is automatically revised in the event the CEO’s annual base salary rate changes. Certain executive officers, as determined by the Talent and Compensation Committee, are required to hold share units with a value equal to two times their annual base salary rate. Until such time as the CEO or another officer covered by the guidelines has attained the applicable share ownership guideline, they are expected to retain the share units awarded to him or her by the Company, with certain allowances to sell in order to meet tax obligations.</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333333"/>
        </w:rPr>
        <w:t>The guidelines define a “share unit” as each share of Vera Bradley common stock beneficially owned, including shares of restricted stock and restricted stock units (but excluding any stock options). Both vested and unvested shares of restricted stock and restricted stock units are included in calculating share units. Unvested equity awards subject to performance criteria are included at achieved performance levels for completed performance years and at estimated performance levels for incomplete performance years. All directors and officers subject to the stock ownership guidelines were in compliance with the guidelines as of April 8,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05C5D"/>
        </w:rPr>
        <w:t>HEDGING, DERIVATIVES AND PLEDGING</w:t>
      </w:r>
    </w:p>
    <w:p>
      <w:pPr>
        <w:spacing w:after="0" w:line="141" w:lineRule="exact"/>
        <w:rPr>
          <w:sz w:val="20"/>
          <w:szCs w:val="20"/>
          <w:color w:val="auto"/>
        </w:rPr>
      </w:pPr>
    </w:p>
    <w:p>
      <w:pPr>
        <w:ind w:left="7"/>
        <w:spacing w:after="0" w:line="279" w:lineRule="auto"/>
        <w:rPr>
          <w:sz w:val="20"/>
          <w:szCs w:val="20"/>
          <w:color w:val="auto"/>
        </w:rPr>
      </w:pPr>
      <w:r>
        <w:rPr>
          <w:rFonts w:ascii="Arial" w:cs="Arial" w:eastAsia="Arial" w:hAnsi="Arial"/>
          <w:sz w:val="16"/>
          <w:szCs w:val="16"/>
          <w:color w:val="333333"/>
        </w:rPr>
        <w:t>The Company has adopted an Insider Trading Policy, which, among other things, prohibits directors and employees from:</w:t>
      </w:r>
    </w:p>
    <w:p>
      <w:pPr>
        <w:spacing w:after="0" w:line="94" w:lineRule="exact"/>
        <w:rPr>
          <w:sz w:val="20"/>
          <w:szCs w:val="20"/>
          <w:color w:val="auto"/>
        </w:rPr>
      </w:pPr>
    </w:p>
    <w:p>
      <w:pPr>
        <w:jc w:val="both"/>
        <w:ind w:left="207" w:right="20" w:hanging="207"/>
        <w:spacing w:after="0" w:line="256" w:lineRule="auto"/>
        <w:tabs>
          <w:tab w:leader="none" w:pos="207" w:val="left"/>
        </w:tabs>
        <w:numPr>
          <w:ilvl w:val="0"/>
          <w:numId w:val="20"/>
        </w:numPr>
        <w:rPr>
          <w:rFonts w:ascii="Arial" w:cs="Arial" w:eastAsia="Arial" w:hAnsi="Arial"/>
          <w:sz w:val="16"/>
          <w:szCs w:val="16"/>
          <w:color w:val="333333"/>
        </w:rPr>
      </w:pPr>
      <w:r>
        <w:rPr>
          <w:rFonts w:ascii="Arial" w:cs="Arial" w:eastAsia="Arial" w:hAnsi="Arial"/>
          <w:sz w:val="16"/>
          <w:szCs w:val="16"/>
          <w:color w:val="333333"/>
        </w:rPr>
        <w:t>Entering into hedging (making an investment to reduce the risk of adverse price movements or to offset potential losses/gains in a Company security) or other monetization transactions or similar arrangements with respect to the Company’s securities.</w:t>
      </w:r>
    </w:p>
    <w:p>
      <w:pPr>
        <w:spacing w:after="0" w:line="111" w:lineRule="exact"/>
        <w:rPr>
          <w:rFonts w:ascii="Arial" w:cs="Arial" w:eastAsia="Arial" w:hAnsi="Arial"/>
          <w:sz w:val="16"/>
          <w:szCs w:val="16"/>
          <w:color w:val="333333"/>
        </w:rPr>
      </w:pPr>
    </w:p>
    <w:p>
      <w:pPr>
        <w:ind w:left="207" w:right="20" w:hanging="207"/>
        <w:spacing w:after="0" w:line="279" w:lineRule="auto"/>
        <w:tabs>
          <w:tab w:leader="none" w:pos="207" w:val="left"/>
        </w:tabs>
        <w:numPr>
          <w:ilvl w:val="0"/>
          <w:numId w:val="20"/>
        </w:numPr>
        <w:rPr>
          <w:rFonts w:ascii="Arial" w:cs="Arial" w:eastAsia="Arial" w:hAnsi="Arial"/>
          <w:sz w:val="16"/>
          <w:szCs w:val="16"/>
          <w:color w:val="333333"/>
        </w:rPr>
      </w:pPr>
      <w:r>
        <w:rPr>
          <w:rFonts w:ascii="Arial" w:cs="Arial" w:eastAsia="Arial" w:hAnsi="Arial"/>
          <w:sz w:val="16"/>
          <w:szCs w:val="16"/>
          <w:color w:val="333333"/>
        </w:rPr>
        <w:t>Engaging in transactions in publicly-traded options on Company securities (such as puts, calls, and other derivative securities).</w:t>
      </w:r>
    </w:p>
    <w:p>
      <w:pPr>
        <w:spacing w:after="0" w:line="93" w:lineRule="exact"/>
        <w:rPr>
          <w:rFonts w:ascii="Arial" w:cs="Arial" w:eastAsia="Arial" w:hAnsi="Arial"/>
          <w:sz w:val="16"/>
          <w:szCs w:val="16"/>
          <w:color w:val="333333"/>
        </w:rPr>
      </w:pPr>
    </w:p>
    <w:p>
      <w:pPr>
        <w:ind w:left="207" w:right="20" w:hanging="207"/>
        <w:spacing w:after="0" w:line="279" w:lineRule="auto"/>
        <w:tabs>
          <w:tab w:leader="none" w:pos="207" w:val="left"/>
        </w:tabs>
        <w:numPr>
          <w:ilvl w:val="0"/>
          <w:numId w:val="20"/>
        </w:numPr>
        <w:rPr>
          <w:rFonts w:ascii="Arial" w:cs="Arial" w:eastAsia="Arial" w:hAnsi="Arial"/>
          <w:sz w:val="16"/>
          <w:szCs w:val="16"/>
          <w:color w:val="333333"/>
        </w:rPr>
      </w:pPr>
      <w:r>
        <w:rPr>
          <w:rFonts w:ascii="Arial" w:cs="Arial" w:eastAsia="Arial" w:hAnsi="Arial"/>
          <w:sz w:val="16"/>
          <w:szCs w:val="16"/>
          <w:color w:val="333333"/>
        </w:rPr>
        <w:t>Entering into pledging arrangements with respect to Company securities.</w:t>
      </w:r>
    </w:p>
    <w:p>
      <w:pPr>
        <w:spacing w:after="0" w:line="258" w:lineRule="exact"/>
        <w:rPr>
          <w:sz w:val="20"/>
          <w:szCs w:val="20"/>
          <w:color w:val="auto"/>
        </w:rPr>
      </w:pPr>
    </w:p>
    <w:p>
      <w:pPr>
        <w:ind w:left="7" w:right="1200"/>
        <w:spacing w:after="0" w:line="291" w:lineRule="auto"/>
        <w:rPr>
          <w:sz w:val="20"/>
          <w:szCs w:val="20"/>
          <w:color w:val="auto"/>
        </w:rPr>
      </w:pPr>
      <w:r>
        <w:rPr>
          <w:rFonts w:ascii="Arial" w:cs="Arial" w:eastAsia="Arial" w:hAnsi="Arial"/>
          <w:sz w:val="19"/>
          <w:szCs w:val="19"/>
          <w:b w:val="1"/>
          <w:bCs w:val="1"/>
          <w:color w:val="005C5D"/>
        </w:rPr>
        <w:t>TALENT AND COMPENSATION COMMITTEE INTERLOCKS AND INSIDER PARTICIPATION</w:t>
      </w:r>
    </w:p>
    <w:p>
      <w:pPr>
        <w:spacing w:after="0" w:line="41" w:lineRule="exact"/>
        <w:rPr>
          <w:sz w:val="20"/>
          <w:szCs w:val="20"/>
          <w:color w:val="auto"/>
        </w:rPr>
      </w:pPr>
    </w:p>
    <w:p>
      <w:pPr>
        <w:jc w:val="both"/>
        <w:ind w:left="7"/>
        <w:spacing w:after="0" w:line="248" w:lineRule="auto"/>
        <w:rPr>
          <w:sz w:val="20"/>
          <w:szCs w:val="20"/>
          <w:color w:val="auto"/>
        </w:rPr>
      </w:pPr>
      <w:r>
        <w:rPr>
          <w:rFonts w:ascii="Arial" w:cs="Arial" w:eastAsia="Arial" w:hAnsi="Arial"/>
          <w:sz w:val="16"/>
          <w:szCs w:val="16"/>
          <w:color w:val="333333"/>
        </w:rPr>
        <w:t>The members of the Talent and Compensation Committee as of January 31, 2026 were Andrew Meslow, Carrie M. Tharp, and Kristina Cashman. None of the members of the Talent and Compensation Committee are now serving or previously have served as employees or officers of the Company or any subsidiary, nor has any member of the Talent and Compensation Committee engaged in any related party transaction with the Company. None of the Company’s executive officers serve as directors of, or in any compensation-related capacity for, companies with which members of the Talent and Compensation Committee are affiliated.</w:t>
      </w:r>
    </w:p>
    <w:p>
      <w:pPr>
        <w:spacing w:after="0" w:line="286"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05C5D"/>
        </w:rPr>
        <w:t>POLICY ON RELATED PARTY TRANSACTIONS</w:t>
      </w:r>
    </w:p>
    <w:p>
      <w:pPr>
        <w:spacing w:after="0" w:line="141" w:lineRule="exact"/>
        <w:rPr>
          <w:sz w:val="20"/>
          <w:szCs w:val="20"/>
          <w:color w:val="auto"/>
        </w:rPr>
      </w:pPr>
    </w:p>
    <w:p>
      <w:pPr>
        <w:jc w:val="both"/>
        <w:ind w:left="7"/>
        <w:spacing w:after="0" w:line="247" w:lineRule="auto"/>
        <w:rPr>
          <w:sz w:val="20"/>
          <w:szCs w:val="20"/>
          <w:color w:val="auto"/>
        </w:rPr>
      </w:pPr>
      <w:r>
        <w:rPr>
          <w:rFonts w:ascii="Arial" w:cs="Arial" w:eastAsia="Arial" w:hAnsi="Arial"/>
          <w:sz w:val="16"/>
          <w:szCs w:val="16"/>
          <w:color w:val="333333"/>
        </w:rPr>
        <w:t>In accordance with the rules of The NASDAQ Stock Market and our Audit Committee Charter, our Audit Committee reviews and, prior to consummation, approves any transaction, arrangement, or relationship in which the Company is a participant; the amount involved exceeds $120,000; and one of our executive officers, directors, director nominees, or 5% or greater shareholders (or their immediate family members) (each, a “related party”) has a direct or indirect material interest. Based on its consideration of all relevant facts and circumstances, the Audit Committee decides whether or not to approve the particular transaction and will generally approve only those transactions that are on terms no less favorable to us than those that we could obtain from unaffiliated third parties and have terms and conditions that are reasonable and customary.</w:t>
      </w:r>
    </w:p>
    <w:p>
      <w:pPr>
        <w:spacing w:after="0" w:line="200" w:lineRule="exact"/>
        <w:rPr>
          <w:sz w:val="20"/>
          <w:szCs w:val="20"/>
          <w:color w:val="auto"/>
        </w:rPr>
      </w:pPr>
    </w:p>
    <w:p>
      <w:pPr>
        <w:sectPr>
          <w:pgSz w:w="11900" w:h="16838" w:orient="portrait"/>
          <w:cols w:equalWidth="0" w:num="2">
            <w:col w:w="5240" w:space="333"/>
            <w:col w:w="5347"/>
          </w:cols>
          <w:pgMar w:left="480" w:top="304" w:right="499" w:bottom="1440" w:gutter="0" w:footer="0" w:header="0"/>
          <w:type w:val="continuous"/>
        </w:sectPr>
      </w:pPr>
    </w:p>
    <w:p>
      <w:pPr>
        <w:spacing w:after="0" w:line="74" w:lineRule="exact"/>
        <w:rPr>
          <w:sz w:val="20"/>
          <w:szCs w:val="20"/>
          <w:color w:val="auto"/>
        </w:rPr>
      </w:pPr>
    </w:p>
    <w:p>
      <w:pPr>
        <w:spacing w:after="0"/>
        <w:tabs>
          <w:tab w:leader="none" w:pos="4760" w:val="left"/>
        </w:tabs>
        <w:rPr>
          <w:sz w:val="20"/>
          <w:szCs w:val="20"/>
          <w:color w:val="auto"/>
        </w:rPr>
      </w:pPr>
      <w:r>
        <w:rPr>
          <w:rFonts w:ascii="Arial" w:cs="Arial" w:eastAsia="Arial" w:hAnsi="Arial"/>
          <w:sz w:val="14"/>
          <w:szCs w:val="14"/>
          <w:color w:val="005C5D"/>
        </w:rPr>
        <w:t xml:space="preserve">6 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0920"/>
          </w:cols>
          <w:pgMar w:left="480" w:top="304" w:right="4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RELATED PARTY TRANSACTIONS FOR FISCAL 2026</w:t>
      </w:r>
    </w:p>
    <w:p>
      <w:pPr>
        <w:spacing w:after="0" w:line="127" w:lineRule="exact"/>
        <w:rPr>
          <w:sz w:val="20"/>
          <w:szCs w:val="20"/>
          <w:color w:val="auto"/>
        </w:rPr>
      </w:pPr>
    </w:p>
    <w:p>
      <w:pPr>
        <w:jc w:val="both"/>
        <w:ind w:left="160"/>
        <w:spacing w:after="0" w:line="249" w:lineRule="auto"/>
        <w:rPr>
          <w:sz w:val="20"/>
          <w:szCs w:val="20"/>
          <w:color w:val="auto"/>
        </w:rPr>
      </w:pPr>
      <w:r>
        <w:rPr>
          <w:rFonts w:ascii="Arial" w:cs="Arial" w:eastAsia="Arial" w:hAnsi="Arial"/>
          <w:sz w:val="16"/>
          <w:szCs w:val="16"/>
          <w:b w:val="1"/>
          <w:bCs w:val="1"/>
          <w:color w:val="337C7D"/>
        </w:rPr>
        <w:t xml:space="preserve">Vera Bradley Foundation for Breast Cancer. </w:t>
      </w:r>
      <w:r>
        <w:rPr>
          <w:rFonts w:ascii="Arial" w:cs="Arial" w:eastAsia="Arial" w:hAnsi="Arial"/>
          <w:sz w:val="16"/>
          <w:szCs w:val="16"/>
          <w:color w:val="333333"/>
        </w:rPr>
        <w:t>The Company routinely</w:t>
      </w:r>
      <w:r>
        <w:rPr>
          <w:rFonts w:ascii="Arial" w:cs="Arial" w:eastAsia="Arial" w:hAnsi="Arial"/>
          <w:sz w:val="16"/>
          <w:szCs w:val="16"/>
          <w:b w:val="1"/>
          <w:bCs w:val="1"/>
          <w:color w:val="337C7D"/>
        </w:rPr>
        <w:t xml:space="preserve"> </w:t>
      </w:r>
      <w:r>
        <w:rPr>
          <w:rFonts w:ascii="Arial" w:cs="Arial" w:eastAsia="Arial" w:hAnsi="Arial"/>
          <w:sz w:val="16"/>
          <w:szCs w:val="16"/>
          <w:color w:val="333333"/>
        </w:rPr>
        <w:t>makes charitable contributions to the Vera Bradley Foundation for Breast Cancer (the “Foundation”) and also provides employees and office space to the Foundation. The Foundation was founded by co-founder of the Company, Barbara Bradley Baekgaard. Ms. Baekgaard is an employee and a Director Emeritus of the Company, and serves on the board of directors of the Foundation. There were approximately $133,000 of Company contributions made to the Foundation in fiscal 2026.</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FAMILY RELATIONSHIPS</w:t>
      </w:r>
    </w:p>
    <w:p>
      <w:pPr>
        <w:spacing w:after="0" w:line="141" w:lineRule="exact"/>
        <w:rPr>
          <w:sz w:val="20"/>
          <w:szCs w:val="20"/>
          <w:color w:val="auto"/>
        </w:rPr>
      </w:pPr>
    </w:p>
    <w:p>
      <w:pPr>
        <w:jc w:val="both"/>
        <w:ind w:left="160"/>
        <w:spacing w:after="0" w:line="256" w:lineRule="auto"/>
        <w:rPr>
          <w:sz w:val="20"/>
          <w:szCs w:val="20"/>
          <w:color w:val="auto"/>
        </w:rPr>
      </w:pPr>
      <w:r>
        <w:rPr>
          <w:rFonts w:ascii="Arial" w:cs="Arial" w:eastAsia="Arial" w:hAnsi="Arial"/>
          <w:sz w:val="16"/>
          <w:szCs w:val="16"/>
          <w:color w:val="333333"/>
        </w:rPr>
        <w:t>Barbara Bradley Baekgaard and Patricia Miller founded the Company in 1982 in Fort Wayne, Indiana. Ms. Baekgaard is an employee and director of the Company. Robert J. Hall, a board member, is the son-in-law of Ms. Baekgaard.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05C5D"/>
        </w:rPr>
        <w:t>COPIES OF GOVERNANCE DOCUMENTS</w:t>
      </w:r>
    </w:p>
    <w:p>
      <w:pPr>
        <w:spacing w:after="0" w:line="127" w:lineRule="exact"/>
        <w:rPr>
          <w:sz w:val="20"/>
          <w:szCs w:val="20"/>
          <w:color w:val="auto"/>
        </w:rPr>
      </w:pPr>
    </w:p>
    <w:p>
      <w:pPr>
        <w:jc w:val="both"/>
        <w:ind w:left="7"/>
        <w:spacing w:after="0" w:line="262" w:lineRule="auto"/>
        <w:rPr>
          <w:sz w:val="20"/>
          <w:szCs w:val="20"/>
          <w:color w:val="auto"/>
        </w:rPr>
      </w:pPr>
      <w:r>
        <w:rPr>
          <w:rFonts w:ascii="Arial" w:cs="Arial" w:eastAsia="Arial" w:hAnsi="Arial"/>
          <w:sz w:val="16"/>
          <w:szCs w:val="16"/>
          <w:color w:val="333333"/>
        </w:rPr>
        <w:t>You may view the following documents at http://investors.verabradley.com/corporate-governance (please note that our website is not a part of this proxy statement):</w:t>
      </w:r>
    </w:p>
    <w:p>
      <w:pPr>
        <w:spacing w:after="0" w:line="106" w:lineRule="exact"/>
        <w:rPr>
          <w:sz w:val="20"/>
          <w:szCs w:val="20"/>
          <w:color w:val="auto"/>
        </w:rPr>
      </w:pPr>
    </w:p>
    <w:p>
      <w:pPr>
        <w:ind w:left="207" w:hanging="207"/>
        <w:spacing w:after="0"/>
        <w:tabs>
          <w:tab w:leader="none" w:pos="207" w:val="left"/>
        </w:tabs>
        <w:numPr>
          <w:ilvl w:val="0"/>
          <w:numId w:val="21"/>
        </w:numPr>
        <w:rPr>
          <w:rFonts w:ascii="Arial" w:cs="Arial" w:eastAsia="Arial" w:hAnsi="Arial"/>
          <w:sz w:val="16"/>
          <w:szCs w:val="16"/>
          <w:color w:val="333333"/>
        </w:rPr>
      </w:pPr>
      <w:r>
        <w:rPr>
          <w:rFonts w:ascii="Arial" w:cs="Arial" w:eastAsia="Arial" w:hAnsi="Arial"/>
          <w:sz w:val="16"/>
          <w:szCs w:val="16"/>
          <w:color w:val="333333"/>
        </w:rPr>
        <w:t>Corporate Governance Guidelines</w:t>
      </w:r>
    </w:p>
    <w:p>
      <w:pPr>
        <w:spacing w:after="0" w:line="150" w:lineRule="exact"/>
        <w:rPr>
          <w:rFonts w:ascii="Arial" w:cs="Arial" w:eastAsia="Arial" w:hAnsi="Arial"/>
          <w:sz w:val="16"/>
          <w:szCs w:val="16"/>
          <w:color w:val="333333"/>
        </w:rPr>
      </w:pPr>
    </w:p>
    <w:p>
      <w:pPr>
        <w:ind w:left="207" w:hanging="207"/>
        <w:spacing w:after="0"/>
        <w:tabs>
          <w:tab w:leader="none" w:pos="207" w:val="left"/>
        </w:tabs>
        <w:numPr>
          <w:ilvl w:val="0"/>
          <w:numId w:val="21"/>
        </w:numPr>
        <w:rPr>
          <w:rFonts w:ascii="Arial" w:cs="Arial" w:eastAsia="Arial" w:hAnsi="Arial"/>
          <w:sz w:val="16"/>
          <w:szCs w:val="16"/>
          <w:color w:val="333333"/>
        </w:rPr>
      </w:pPr>
      <w:r>
        <w:rPr>
          <w:rFonts w:ascii="Arial" w:cs="Arial" w:eastAsia="Arial" w:hAnsi="Arial"/>
          <w:sz w:val="16"/>
          <w:szCs w:val="16"/>
          <w:color w:val="333333"/>
        </w:rPr>
        <w:t>Conflict of Interest and Business Ethics Policy</w:t>
      </w:r>
    </w:p>
    <w:p>
      <w:pPr>
        <w:spacing w:after="0" w:line="150" w:lineRule="exact"/>
        <w:rPr>
          <w:rFonts w:ascii="Arial" w:cs="Arial" w:eastAsia="Arial" w:hAnsi="Arial"/>
          <w:sz w:val="16"/>
          <w:szCs w:val="16"/>
          <w:color w:val="333333"/>
        </w:rPr>
      </w:pPr>
    </w:p>
    <w:p>
      <w:pPr>
        <w:ind w:left="207" w:hanging="207"/>
        <w:spacing w:after="0"/>
        <w:tabs>
          <w:tab w:leader="none" w:pos="207" w:val="left"/>
        </w:tabs>
        <w:numPr>
          <w:ilvl w:val="0"/>
          <w:numId w:val="21"/>
        </w:numPr>
        <w:rPr>
          <w:rFonts w:ascii="Arial" w:cs="Arial" w:eastAsia="Arial" w:hAnsi="Arial"/>
          <w:sz w:val="16"/>
          <w:szCs w:val="16"/>
          <w:color w:val="333333"/>
        </w:rPr>
      </w:pPr>
      <w:r>
        <w:rPr>
          <w:rFonts w:ascii="Arial" w:cs="Arial" w:eastAsia="Arial" w:hAnsi="Arial"/>
          <w:sz w:val="16"/>
          <w:szCs w:val="16"/>
          <w:color w:val="333333"/>
        </w:rPr>
        <w:t>Code of Ethics for Senior Financial Officers</w:t>
      </w:r>
    </w:p>
    <w:p>
      <w:pPr>
        <w:spacing w:after="0" w:line="150" w:lineRule="exact"/>
        <w:rPr>
          <w:rFonts w:ascii="Arial" w:cs="Arial" w:eastAsia="Arial" w:hAnsi="Arial"/>
          <w:sz w:val="16"/>
          <w:szCs w:val="16"/>
          <w:color w:val="333333"/>
        </w:rPr>
      </w:pPr>
    </w:p>
    <w:p>
      <w:pPr>
        <w:ind w:left="207" w:hanging="207"/>
        <w:spacing w:after="0"/>
        <w:tabs>
          <w:tab w:leader="none" w:pos="207" w:val="left"/>
        </w:tabs>
        <w:numPr>
          <w:ilvl w:val="0"/>
          <w:numId w:val="21"/>
        </w:numPr>
        <w:rPr>
          <w:rFonts w:ascii="Arial" w:cs="Arial" w:eastAsia="Arial" w:hAnsi="Arial"/>
          <w:sz w:val="16"/>
          <w:szCs w:val="16"/>
          <w:color w:val="333333"/>
        </w:rPr>
      </w:pPr>
      <w:r>
        <w:rPr>
          <w:rFonts w:ascii="Arial" w:cs="Arial" w:eastAsia="Arial" w:hAnsi="Arial"/>
          <w:sz w:val="16"/>
          <w:szCs w:val="16"/>
          <w:color w:val="333333"/>
        </w:rPr>
        <w:t>Insider Trading Policy</w:t>
      </w:r>
    </w:p>
    <w:p>
      <w:pPr>
        <w:spacing w:after="0" w:line="150" w:lineRule="exact"/>
        <w:rPr>
          <w:rFonts w:ascii="Arial" w:cs="Arial" w:eastAsia="Arial" w:hAnsi="Arial"/>
          <w:sz w:val="16"/>
          <w:szCs w:val="16"/>
          <w:color w:val="333333"/>
        </w:rPr>
      </w:pPr>
    </w:p>
    <w:p>
      <w:pPr>
        <w:ind w:left="207" w:hanging="207"/>
        <w:spacing w:after="0"/>
        <w:tabs>
          <w:tab w:leader="none" w:pos="207" w:val="left"/>
        </w:tabs>
        <w:numPr>
          <w:ilvl w:val="0"/>
          <w:numId w:val="21"/>
        </w:numPr>
        <w:rPr>
          <w:rFonts w:ascii="Arial" w:cs="Arial" w:eastAsia="Arial" w:hAnsi="Arial"/>
          <w:sz w:val="16"/>
          <w:szCs w:val="16"/>
          <w:color w:val="333333"/>
        </w:rPr>
      </w:pPr>
      <w:r>
        <w:rPr>
          <w:rFonts w:ascii="Arial" w:cs="Arial" w:eastAsia="Arial" w:hAnsi="Arial"/>
          <w:sz w:val="16"/>
          <w:szCs w:val="16"/>
          <w:color w:val="333333"/>
        </w:rPr>
        <w:t>Stock Ownership Guidelines</w:t>
      </w:r>
    </w:p>
    <w:p>
      <w:pPr>
        <w:spacing w:after="0" w:line="150" w:lineRule="exact"/>
        <w:rPr>
          <w:rFonts w:ascii="Arial" w:cs="Arial" w:eastAsia="Arial" w:hAnsi="Arial"/>
          <w:sz w:val="16"/>
          <w:szCs w:val="16"/>
          <w:color w:val="333333"/>
        </w:rPr>
      </w:pPr>
    </w:p>
    <w:p>
      <w:pPr>
        <w:ind w:left="207" w:hanging="207"/>
        <w:spacing w:after="0"/>
        <w:tabs>
          <w:tab w:leader="none" w:pos="207" w:val="left"/>
        </w:tabs>
        <w:numPr>
          <w:ilvl w:val="0"/>
          <w:numId w:val="21"/>
        </w:numPr>
        <w:rPr>
          <w:rFonts w:ascii="Arial" w:cs="Arial" w:eastAsia="Arial" w:hAnsi="Arial"/>
          <w:sz w:val="16"/>
          <w:szCs w:val="16"/>
          <w:color w:val="333333"/>
        </w:rPr>
      </w:pPr>
      <w:r>
        <w:rPr>
          <w:rFonts w:ascii="Arial" w:cs="Arial" w:eastAsia="Arial" w:hAnsi="Arial"/>
          <w:sz w:val="16"/>
          <w:szCs w:val="16"/>
          <w:color w:val="333333"/>
        </w:rPr>
        <w:t>Disclosure Policy</w:t>
      </w:r>
    </w:p>
    <w:p>
      <w:pPr>
        <w:spacing w:after="0" w:line="600" w:lineRule="exact"/>
        <w:rPr>
          <w:sz w:val="20"/>
          <w:szCs w:val="20"/>
          <w:color w:val="auto"/>
        </w:rPr>
      </w:pPr>
    </w:p>
    <w:p>
      <w:pPr>
        <w:sectPr>
          <w:pgSz w:w="11900" w:h="16838" w:orient="portrait"/>
          <w:cols w:equalWidth="0" w:num="2">
            <w:col w:w="5400" w:space="333"/>
            <w:col w:w="5347"/>
          </w:cols>
          <w:pgMar w:left="320" w:top="478" w:right="499" w:bottom="1440" w:gutter="0" w:footer="0" w:header="0"/>
          <w:type w:val="continuous"/>
        </w:sectPr>
      </w:pPr>
    </w:p>
    <w:p>
      <w:pPr>
        <w:spacing w:after="0" w:line="50" w:lineRule="exact"/>
        <w:rPr>
          <w:sz w:val="20"/>
          <w:szCs w:val="20"/>
          <w:color w:val="auto"/>
        </w:rPr>
      </w:pPr>
    </w:p>
    <w:p>
      <w:pPr>
        <w:ind w:left="4940"/>
        <w:spacing w:after="0"/>
        <w:tabs>
          <w:tab w:leader="none" w:pos="9160" w:val="left"/>
          <w:tab w:leader="none" w:pos="1098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7</w:t>
      </w:r>
    </w:p>
    <w:p>
      <w:pPr>
        <w:sectPr>
          <w:pgSz w:w="11900" w:h="16838" w:orient="portrait"/>
          <w:cols w:equalWidth="0" w:num="1">
            <w:col w:w="11080"/>
          </w:cols>
          <w:pgMar w:left="320" w:top="478" w:right="4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27"/>
          <w:szCs w:val="27"/>
          <w:b w:val="1"/>
          <w:bCs w:val="1"/>
          <w:color w:val="005C5D"/>
        </w:rPr>
        <w:t>THE BOARD AND ITS COMMITTEES</w:t>
      </w: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BOARD RESPONSIBILITIES</w:t>
      </w:r>
    </w:p>
    <w:p>
      <w:pPr>
        <w:spacing w:after="0" w:line="100" w:lineRule="exact"/>
        <w:rPr>
          <w:sz w:val="20"/>
          <w:szCs w:val="20"/>
          <w:color w:val="auto"/>
        </w:rPr>
      </w:pPr>
    </w:p>
    <w:p>
      <w:pPr>
        <w:jc w:val="both"/>
        <w:ind w:left="160"/>
        <w:spacing w:after="0" w:line="251" w:lineRule="auto"/>
        <w:rPr>
          <w:sz w:val="20"/>
          <w:szCs w:val="20"/>
          <w:color w:val="auto"/>
        </w:rPr>
      </w:pPr>
      <w:r>
        <w:rPr>
          <w:rFonts w:ascii="Arial" w:cs="Arial" w:eastAsia="Arial" w:hAnsi="Arial"/>
          <w:sz w:val="16"/>
          <w:szCs w:val="16"/>
          <w:color w:val="333333"/>
        </w:rPr>
        <w:t>Being elected to serve on the Board of Directors is a high honor and privilege, and one that carries with it a serious responsibility to serve the interests of the Company and its shareholders. It is our desire that all Board members conduct themselves and perform their duties in an exemplary fashion, commensurate with the position of leadership that has been bestowed upon them by the shareholders.</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Each Board member has the following basic responsibilities:</w:t>
      </w:r>
    </w:p>
    <w:p>
      <w:pPr>
        <w:spacing w:after="0" w:line="150" w:lineRule="exact"/>
        <w:rPr>
          <w:sz w:val="20"/>
          <w:szCs w:val="20"/>
          <w:color w:val="auto"/>
        </w:rPr>
      </w:pPr>
    </w:p>
    <w:p>
      <w:pPr>
        <w:ind w:left="360" w:hanging="193"/>
        <w:spacing w:after="0" w:line="279" w:lineRule="auto"/>
        <w:tabs>
          <w:tab w:leader="none" w:pos="360" w:val="left"/>
        </w:tabs>
        <w:numPr>
          <w:ilvl w:val="0"/>
          <w:numId w:val="22"/>
        </w:numPr>
        <w:rPr>
          <w:rFonts w:ascii="Arial" w:cs="Arial" w:eastAsia="Arial" w:hAnsi="Arial"/>
          <w:sz w:val="16"/>
          <w:szCs w:val="16"/>
          <w:color w:val="333333"/>
        </w:rPr>
      </w:pPr>
      <w:r>
        <w:rPr>
          <w:rFonts w:ascii="Arial" w:cs="Arial" w:eastAsia="Arial" w:hAnsi="Arial"/>
          <w:sz w:val="16"/>
          <w:szCs w:val="16"/>
          <w:color w:val="333333"/>
        </w:rPr>
        <w:t>To support the mission and purpose of the Company, and to abide by its Articles of Incorporation, Bylaws, and policies.</w:t>
      </w:r>
    </w:p>
    <w:p>
      <w:pPr>
        <w:spacing w:after="0" w:line="93" w:lineRule="exact"/>
        <w:rPr>
          <w:rFonts w:ascii="Arial" w:cs="Arial" w:eastAsia="Arial" w:hAnsi="Arial"/>
          <w:sz w:val="16"/>
          <w:szCs w:val="16"/>
          <w:color w:val="333333"/>
        </w:rPr>
      </w:pPr>
    </w:p>
    <w:p>
      <w:pPr>
        <w:ind w:left="360" w:hanging="193"/>
        <w:spacing w:after="0" w:line="279" w:lineRule="auto"/>
        <w:tabs>
          <w:tab w:leader="none" w:pos="360" w:val="left"/>
        </w:tabs>
        <w:numPr>
          <w:ilvl w:val="0"/>
          <w:numId w:val="22"/>
        </w:numPr>
        <w:rPr>
          <w:rFonts w:ascii="Arial" w:cs="Arial" w:eastAsia="Arial" w:hAnsi="Arial"/>
          <w:sz w:val="16"/>
          <w:szCs w:val="16"/>
          <w:color w:val="333333"/>
        </w:rPr>
      </w:pPr>
      <w:r>
        <w:rPr>
          <w:rFonts w:ascii="Arial" w:cs="Arial" w:eastAsia="Arial" w:hAnsi="Arial"/>
          <w:sz w:val="16"/>
          <w:szCs w:val="16"/>
          <w:color w:val="333333"/>
        </w:rPr>
        <w:t>To be diligent in preparation for, attendance at, and participation in Board meetings and related activities on behalf of the Company.</w:t>
      </w:r>
    </w:p>
    <w:p>
      <w:pPr>
        <w:spacing w:after="0" w:line="93" w:lineRule="exact"/>
        <w:rPr>
          <w:rFonts w:ascii="Arial" w:cs="Arial" w:eastAsia="Arial" w:hAnsi="Arial"/>
          <w:sz w:val="16"/>
          <w:szCs w:val="16"/>
          <w:color w:val="333333"/>
        </w:rPr>
      </w:pPr>
    </w:p>
    <w:p>
      <w:pPr>
        <w:jc w:val="both"/>
        <w:ind w:left="360" w:hanging="193"/>
        <w:spacing w:after="0" w:line="262" w:lineRule="auto"/>
        <w:tabs>
          <w:tab w:leader="none" w:pos="360" w:val="left"/>
        </w:tabs>
        <w:numPr>
          <w:ilvl w:val="0"/>
          <w:numId w:val="22"/>
        </w:numPr>
        <w:rPr>
          <w:rFonts w:ascii="Arial" w:cs="Arial" w:eastAsia="Arial" w:hAnsi="Arial"/>
          <w:sz w:val="16"/>
          <w:szCs w:val="16"/>
          <w:color w:val="333333"/>
        </w:rPr>
      </w:pPr>
      <w:r>
        <w:rPr>
          <w:rFonts w:ascii="Arial" w:cs="Arial" w:eastAsia="Arial" w:hAnsi="Arial"/>
          <w:sz w:val="16"/>
          <w:szCs w:val="16"/>
          <w:color w:val="333333"/>
        </w:rPr>
        <w:t>To ensure that the financial and business affairs of the Company are, to the best of the Board member’s awareness, managed in a responsible manner.</w:t>
      </w:r>
    </w:p>
    <w:p>
      <w:pPr>
        <w:spacing w:after="0" w:line="106" w:lineRule="exact"/>
        <w:rPr>
          <w:rFonts w:ascii="Arial" w:cs="Arial" w:eastAsia="Arial" w:hAnsi="Arial"/>
          <w:sz w:val="16"/>
          <w:szCs w:val="16"/>
          <w:color w:val="333333"/>
        </w:rPr>
      </w:pPr>
    </w:p>
    <w:p>
      <w:pPr>
        <w:ind w:left="360" w:hanging="193"/>
        <w:spacing w:after="0" w:line="279" w:lineRule="auto"/>
        <w:tabs>
          <w:tab w:leader="none" w:pos="360" w:val="left"/>
        </w:tabs>
        <w:numPr>
          <w:ilvl w:val="0"/>
          <w:numId w:val="22"/>
        </w:numPr>
        <w:rPr>
          <w:rFonts w:ascii="Arial" w:cs="Arial" w:eastAsia="Arial" w:hAnsi="Arial"/>
          <w:sz w:val="16"/>
          <w:szCs w:val="16"/>
          <w:color w:val="333333"/>
        </w:rPr>
      </w:pPr>
      <w:r>
        <w:rPr>
          <w:rFonts w:ascii="Arial" w:cs="Arial" w:eastAsia="Arial" w:hAnsi="Arial"/>
          <w:sz w:val="16"/>
          <w:szCs w:val="16"/>
          <w:color w:val="333333"/>
        </w:rPr>
        <w:t>To act always in good faith and in the best interest of the Company, above any personal interest.</w:t>
      </w:r>
    </w:p>
    <w:p>
      <w:pPr>
        <w:spacing w:after="0" w:line="93" w:lineRule="exact"/>
        <w:rPr>
          <w:rFonts w:ascii="Arial" w:cs="Arial" w:eastAsia="Arial" w:hAnsi="Arial"/>
          <w:sz w:val="16"/>
          <w:szCs w:val="16"/>
          <w:color w:val="333333"/>
        </w:rPr>
      </w:pPr>
    </w:p>
    <w:p>
      <w:pPr>
        <w:ind w:left="360" w:right="20" w:hanging="193"/>
        <w:spacing w:after="0" w:line="279" w:lineRule="auto"/>
        <w:tabs>
          <w:tab w:leader="none" w:pos="360" w:val="left"/>
        </w:tabs>
        <w:numPr>
          <w:ilvl w:val="0"/>
          <w:numId w:val="22"/>
        </w:numPr>
        <w:rPr>
          <w:rFonts w:ascii="Arial" w:cs="Arial" w:eastAsia="Arial" w:hAnsi="Arial"/>
          <w:sz w:val="16"/>
          <w:szCs w:val="16"/>
          <w:color w:val="333333"/>
        </w:rPr>
      </w:pPr>
      <w:r>
        <w:rPr>
          <w:rFonts w:ascii="Arial" w:cs="Arial" w:eastAsia="Arial" w:hAnsi="Arial"/>
          <w:sz w:val="16"/>
          <w:szCs w:val="16"/>
          <w:color w:val="333333"/>
        </w:rPr>
        <w:t>To maintain the confidentiality of sensitive or proprietary information obtained as a result of Board service.</w:t>
      </w:r>
    </w:p>
    <w:p>
      <w:pPr>
        <w:spacing w:after="0" w:line="94"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color w:val="333333"/>
        </w:rPr>
        <w:t>The primary duties of the Board include maximizing long-term shareholder value, by:</w:t>
      </w:r>
    </w:p>
    <w:p>
      <w:pPr>
        <w:spacing w:after="0" w:line="94" w:lineRule="exact"/>
        <w:rPr>
          <w:sz w:val="20"/>
          <w:szCs w:val="20"/>
          <w:color w:val="auto"/>
        </w:rPr>
      </w:pPr>
    </w:p>
    <w:p>
      <w:pPr>
        <w:ind w:left="360" w:hanging="193"/>
        <w:spacing w:after="0" w:line="279" w:lineRule="auto"/>
        <w:tabs>
          <w:tab w:leader="none" w:pos="3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Ensuring that the Company operates in a legal, ethical, and socially responsible manner.</w:t>
      </w:r>
    </w:p>
    <w:p>
      <w:pPr>
        <w:spacing w:after="0" w:line="93" w:lineRule="exact"/>
        <w:rPr>
          <w:rFonts w:ascii="Arial" w:cs="Arial" w:eastAsia="Arial" w:hAnsi="Arial"/>
          <w:sz w:val="16"/>
          <w:szCs w:val="16"/>
          <w:color w:val="333333"/>
        </w:rPr>
      </w:pPr>
    </w:p>
    <w:p>
      <w:pPr>
        <w:jc w:val="both"/>
        <w:ind w:left="360" w:right="20" w:hanging="193"/>
        <w:spacing w:after="0" w:line="256" w:lineRule="auto"/>
        <w:tabs>
          <w:tab w:leader="none" w:pos="3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Selecting, evaluating, and offering substantive advice and counsel to the CEO and working with the CEO to develop effective measurement systems that will evaluate and determine the Company’s degree of success in creating long-term economic value for its shareholders.</w:t>
      </w:r>
    </w:p>
    <w:p>
      <w:pPr>
        <w:spacing w:after="0" w:line="111" w:lineRule="exact"/>
        <w:rPr>
          <w:rFonts w:ascii="Arial" w:cs="Arial" w:eastAsia="Arial" w:hAnsi="Arial"/>
          <w:sz w:val="16"/>
          <w:szCs w:val="16"/>
          <w:color w:val="333333"/>
        </w:rPr>
      </w:pPr>
    </w:p>
    <w:p>
      <w:pPr>
        <w:ind w:left="360" w:hanging="193"/>
        <w:spacing w:after="0" w:line="279" w:lineRule="auto"/>
        <w:tabs>
          <w:tab w:leader="none" w:pos="3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Reviewing, approving, and monitoring fundamental financial and business strategies and major corporate actions.</w:t>
      </w:r>
    </w:p>
    <w:p>
      <w:pPr>
        <w:spacing w:after="0" w:line="93" w:lineRule="exact"/>
        <w:rPr>
          <w:rFonts w:ascii="Arial" w:cs="Arial" w:eastAsia="Arial" w:hAnsi="Arial"/>
          <w:sz w:val="16"/>
          <w:szCs w:val="16"/>
          <w:color w:val="333333"/>
        </w:rPr>
      </w:pPr>
    </w:p>
    <w:p>
      <w:pPr>
        <w:ind w:left="360" w:hanging="193"/>
        <w:spacing w:after="0" w:line="279" w:lineRule="auto"/>
        <w:tabs>
          <w:tab w:leader="none" w:pos="3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Overseeing the Company’s capital structure and financial policies and practices.</w:t>
      </w:r>
    </w:p>
    <w:p>
      <w:pPr>
        <w:spacing w:after="0" w:line="93" w:lineRule="exact"/>
        <w:rPr>
          <w:rFonts w:ascii="Arial" w:cs="Arial" w:eastAsia="Arial" w:hAnsi="Arial"/>
          <w:sz w:val="16"/>
          <w:szCs w:val="16"/>
          <w:color w:val="333333"/>
        </w:rPr>
      </w:pPr>
    </w:p>
    <w:p>
      <w:pPr>
        <w:ind w:left="360" w:hanging="193"/>
        <w:spacing w:after="0" w:line="279" w:lineRule="auto"/>
        <w:tabs>
          <w:tab w:leader="none" w:pos="3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Assessing major risks facing the Company and reviewing options for their mitigation.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207" w:right="20" w:hanging="207"/>
        <w:spacing w:after="0" w:line="262" w:lineRule="auto"/>
        <w:tabs>
          <w:tab w:leader="none" w:pos="207" w:val="left"/>
        </w:tabs>
        <w:numPr>
          <w:ilvl w:val="0"/>
          <w:numId w:val="24"/>
        </w:numPr>
        <w:rPr>
          <w:rFonts w:ascii="Arial" w:cs="Arial" w:eastAsia="Arial" w:hAnsi="Arial"/>
          <w:sz w:val="16"/>
          <w:szCs w:val="16"/>
          <w:color w:val="333333"/>
        </w:rPr>
      </w:pPr>
      <w:r>
        <w:rPr>
          <w:rFonts w:ascii="Arial" w:cs="Arial" w:eastAsia="Arial" w:hAnsi="Arial"/>
          <w:sz w:val="16"/>
          <w:szCs w:val="16"/>
          <w:color w:val="333333"/>
        </w:rPr>
        <w:t>Providing counsel and oversight on the selection, evaluation, development, and compensation of executive officers and providing critical and candid feedback on their performance.</w:t>
      </w:r>
    </w:p>
    <w:p>
      <w:pPr>
        <w:spacing w:after="0" w:line="271"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05C5D"/>
        </w:rPr>
        <w:t>BOARD INDEPENDENCE</w:t>
      </w:r>
    </w:p>
    <w:p>
      <w:pPr>
        <w:spacing w:after="0" w:line="100" w:lineRule="exact"/>
        <w:rPr>
          <w:sz w:val="20"/>
          <w:szCs w:val="20"/>
          <w:color w:val="auto"/>
        </w:rPr>
      </w:pPr>
    </w:p>
    <w:p>
      <w:pPr>
        <w:jc w:val="both"/>
        <w:ind w:left="7"/>
        <w:spacing w:after="0" w:line="247" w:lineRule="auto"/>
        <w:rPr>
          <w:sz w:val="20"/>
          <w:szCs w:val="20"/>
          <w:color w:val="auto"/>
        </w:rPr>
      </w:pPr>
      <w:r>
        <w:rPr>
          <w:rFonts w:ascii="Arial" w:cs="Arial" w:eastAsia="Arial" w:hAnsi="Arial"/>
          <w:sz w:val="16"/>
          <w:szCs w:val="16"/>
          <w:color w:val="333333"/>
        </w:rPr>
        <w:t>A majority of our directors are independent of the Company and management. The Board (with the input of the Nominating, Governance and Sustainability Committee) has evaluated all business and charitable relationships between the Company and the Company’s current non-employee directors and nominees for election at the June 4, 2026 Annual Meeting and all other relevant facts and circumstances. As a result of the evaluation, the Board determined, as required by the Company’s Corporate Governance Guidelines, that the following non-employee directors or nominees are “independent” as defined by the standards for director independence established and described below: Ivan Brockman, Kristina Cashman, Andrew Meslow, and Jessica Rodriguez. Under these same standards, the Board of Directors has determined that Ian Bickley and Robert J. Hall are not independent.</w:t>
      </w:r>
    </w:p>
    <w:p>
      <w:pPr>
        <w:spacing w:after="0" w:line="106" w:lineRule="exact"/>
        <w:rPr>
          <w:sz w:val="20"/>
          <w:szCs w:val="20"/>
          <w:color w:val="auto"/>
        </w:rPr>
      </w:pPr>
    </w:p>
    <w:p>
      <w:pPr>
        <w:jc w:val="both"/>
        <w:ind w:left="7"/>
        <w:spacing w:after="0" w:line="246" w:lineRule="auto"/>
        <w:rPr>
          <w:sz w:val="20"/>
          <w:szCs w:val="20"/>
          <w:color w:val="auto"/>
        </w:rPr>
      </w:pPr>
      <w:r>
        <w:rPr>
          <w:rFonts w:ascii="Arial" w:cs="Arial" w:eastAsia="Arial" w:hAnsi="Arial"/>
          <w:sz w:val="16"/>
          <w:szCs w:val="16"/>
          <w:color w:val="333333"/>
        </w:rPr>
        <w:t>Under the corporate governance requirements of The NASDAQ Stock Market (“NASDAQ”) our Board of Directors has a responsibility to make an affirmative determination that our directors serving as independent directors have no relationships with the Company that would impair their independence. Subject to some exceptions, the standards for independent directors established by NASDAQ and the Securities and Exchange Commission (“SEC”) generally provide that a non-employee director will not be independent if (a) the director is, or in the past three years has been, an employee of the Company; (b) the director or a member of the director’s immediate family is, or in the past three years has been, an executive officer of the Company; (c) the director or a member of the director’s immediate family has, in the past three years, received more than $120,000 per year in direct compensation from the Company (other than for service as a director or, for the immediate family member, as a non-executive employee); (d) the director is an employee, or the director or a member of the director’s immediate family is employed as a partner, of Deloitte &amp; Touche LLP, the Company’s independent registered public accountants, or the director has an immediate family member who is a current employee of such firm and works in any</w:t>
      </w:r>
    </w:p>
    <w:p>
      <w:pPr>
        <w:spacing w:after="0" w:line="963" w:lineRule="exact"/>
        <w:rPr>
          <w:sz w:val="20"/>
          <w:szCs w:val="20"/>
          <w:color w:val="auto"/>
        </w:rPr>
      </w:pPr>
    </w:p>
    <w:p>
      <w:pPr>
        <w:sectPr>
          <w:pgSz w:w="11900" w:h="16838" w:orient="portrait"/>
          <w:cols w:equalWidth="0" w:num="2">
            <w:col w:w="5400" w:space="333"/>
            <w:col w:w="5347"/>
          </w:cols>
          <w:pgMar w:left="320" w:top="478" w:right="499" w:bottom="1440" w:gutter="0" w:footer="0" w:header="0"/>
          <w:type w:val="continuous"/>
        </w:sectPr>
      </w:pPr>
    </w:p>
    <w:p>
      <w:pPr>
        <w:spacing w:after="0" w:line="32" w:lineRule="exact"/>
        <w:rPr>
          <w:sz w:val="20"/>
          <w:szCs w:val="20"/>
          <w:color w:val="auto"/>
        </w:rPr>
      </w:pPr>
    </w:p>
    <w:p>
      <w:pPr>
        <w:ind w:left="160"/>
        <w:spacing w:after="0"/>
        <w:tabs>
          <w:tab w:leader="none" w:pos="4920" w:val="left"/>
        </w:tabs>
        <w:rPr>
          <w:sz w:val="20"/>
          <w:szCs w:val="20"/>
          <w:color w:val="auto"/>
        </w:rPr>
      </w:pPr>
      <w:r>
        <w:rPr>
          <w:rFonts w:ascii="Arial" w:cs="Arial" w:eastAsia="Arial" w:hAnsi="Arial"/>
          <w:sz w:val="14"/>
          <w:szCs w:val="14"/>
          <w:color w:val="005C5D"/>
        </w:rPr>
        <w:t xml:space="preserve">8 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1080"/>
          </w:cols>
          <w:pgMar w:left="320" w:top="478" w:right="4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both"/>
        <w:ind w:left="160"/>
        <w:spacing w:after="0" w:line="251" w:lineRule="auto"/>
        <w:rPr>
          <w:sz w:val="20"/>
          <w:szCs w:val="20"/>
          <w:color w:val="auto"/>
        </w:rPr>
      </w:pPr>
      <w:r>
        <w:rPr>
          <w:rFonts w:ascii="Arial" w:cs="Arial" w:eastAsia="Arial" w:hAnsi="Arial"/>
          <w:sz w:val="16"/>
          <w:szCs w:val="16"/>
          <w:color w:val="333333"/>
        </w:rPr>
        <w:t>capacity on the Company’s audit, or the director or an immediate family member was within the last three years a partner or employee of such firm and personally worked on the Company’s audit within that time;</w:t>
      </w:r>
    </w:p>
    <w:p>
      <w:pPr>
        <w:jc w:val="both"/>
        <w:ind w:left="160" w:firstLine="7"/>
        <w:spacing w:after="0" w:line="245" w:lineRule="auto"/>
        <w:tabs>
          <w:tab w:leader="none" w:pos="402" w:val="left"/>
        </w:tabs>
        <w:numPr>
          <w:ilvl w:val="0"/>
          <w:numId w:val="25"/>
        </w:numPr>
        <w:rPr>
          <w:rFonts w:ascii="Arial" w:cs="Arial" w:eastAsia="Arial" w:hAnsi="Arial"/>
          <w:sz w:val="16"/>
          <w:szCs w:val="16"/>
          <w:color w:val="333333"/>
        </w:rPr>
      </w:pPr>
      <w:r>
        <w:rPr>
          <w:rFonts w:ascii="Arial" w:cs="Arial" w:eastAsia="Arial" w:hAnsi="Arial"/>
          <w:sz w:val="16"/>
          <w:szCs w:val="16"/>
          <w:color w:val="333333"/>
        </w:rPr>
        <w:t>the director or a member of the director’s immediate family is, or in the past three years has been, employed as an executive officer of a company where a Vera Bradley executive officer at the same time serves or served on the Talent and Compensation committee; or (f) the director is an employee, or a member of the director’s immediate family is an executive officer, of a company that makes payments to, or receives payments from, Vera Bradley in an amount which, in any twelve-month period during the past three years, exceeds the greater of $200,000 or five percent of the consolidated gross revenues of the company receiving the payment.</w:t>
      </w:r>
    </w:p>
    <w:p>
      <w:pPr>
        <w:spacing w:after="0" w:line="112"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color w:val="333333"/>
        </w:rPr>
        <w:t>The Company’s Corporate Governance Guidelines require that the independent directors meet in executive session at each regular meeting of the Board. During fiscal 2026, the independent directors satisfied this requirement and held a total of six executive sessions, including sessions in connection with each of the four regular Board meetings. These executive sessions are chaired by the Lead Independent Director, Mr. Meslow.</w:t>
      </w:r>
    </w:p>
    <w:p>
      <w:pPr>
        <w:spacing w:after="0" w:line="281" w:lineRule="exact"/>
        <w:rPr>
          <w:sz w:val="20"/>
          <w:szCs w:val="20"/>
          <w:color w:val="auto"/>
        </w:rPr>
      </w:pPr>
    </w:p>
    <w:p>
      <w:pPr>
        <w:ind w:left="160" w:right="860"/>
        <w:spacing w:after="0" w:line="264" w:lineRule="auto"/>
        <w:rPr>
          <w:sz w:val="20"/>
          <w:szCs w:val="20"/>
          <w:color w:val="auto"/>
        </w:rPr>
      </w:pPr>
      <w:r>
        <w:rPr>
          <w:rFonts w:ascii="Arial" w:cs="Arial" w:eastAsia="Arial" w:hAnsi="Arial"/>
          <w:sz w:val="20"/>
          <w:szCs w:val="20"/>
          <w:b w:val="1"/>
          <w:bCs w:val="1"/>
          <w:color w:val="005C5D"/>
        </w:rPr>
        <w:t>BOARD LEADERSHIP STRUCTURE AND LEAD INDEPENDENT DIRECTOR</w:t>
      </w:r>
    </w:p>
    <w:p>
      <w:pPr>
        <w:spacing w:after="0" w:line="38"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color w:val="333333"/>
        </w:rPr>
        <w:t>Our Board of Directors believes that one of its most important functions is to protect shareholders’ interests through independent oversight of management, including the CEO; however, the Board of Directors does not believe that effective management oversight necessarily mandates a particular management structure, such as a separation of the role and identities of the Chair of the Board of Directors and CEO. The Board considers it important to retain flexibility to exercise its judgment as to the most appropriate management structure for us, based on the particular circumstances facing us from time to time. Currently, the positions of Chair of the Board of Directors and CEO are held by the same person.</w:t>
      </w:r>
    </w:p>
    <w:p>
      <w:pPr>
        <w:spacing w:after="0" w:line="118" w:lineRule="exact"/>
        <w:rPr>
          <w:sz w:val="20"/>
          <w:szCs w:val="20"/>
          <w:color w:val="auto"/>
        </w:rPr>
      </w:pPr>
    </w:p>
    <w:p>
      <w:pPr>
        <w:jc w:val="both"/>
        <w:ind w:left="160"/>
        <w:spacing w:after="0" w:line="249" w:lineRule="auto"/>
        <w:rPr>
          <w:sz w:val="20"/>
          <w:szCs w:val="20"/>
          <w:color w:val="auto"/>
        </w:rPr>
      </w:pPr>
      <w:r>
        <w:rPr>
          <w:rFonts w:ascii="Arial" w:cs="Arial" w:eastAsia="Arial" w:hAnsi="Arial"/>
          <w:sz w:val="16"/>
          <w:szCs w:val="16"/>
          <w:color w:val="333333"/>
        </w:rPr>
        <w:t>Andrew Meslow currently serves as the Lead Independent Director. Pursuant to the Company’s Corporate Governance Guidelines, the lead director is an independent director who is elected from time to time, but not less frequently than annually, by the affirmative vote of a majority of the independent directors. The Lead Independent Director, among other things, chairs executive sessions of the independent directors, reviews the meeting agenda with our CEO, leads the discussion with our CEO following the independent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333333"/>
        </w:rPr>
        <w:t>executive sessions, ensures that the Board’s individual group and committee self-assessments are done annually and leads periodic discussions with other Board members and management concerning the Board’s information needs. The Board believes this structure allows all of the independent directors to participate in the full range of the Board’s responsibilities with respect to its oversight of the Company’s management. The Board of Directors has determined that this leadership structure is appropriate given the size and complexity of the Company, the number of directors overseeing the Company, and the Board of Directors’ oversight responsibilities. Further, the Board of Directors believes that these responsibilities appropriately and effectively complement the roles of our CEO and Chair of the Board.</w:t>
      </w:r>
    </w:p>
    <w:p>
      <w:pPr>
        <w:spacing w:after="0" w:line="286" w:lineRule="exact"/>
        <w:rPr>
          <w:sz w:val="20"/>
          <w:szCs w:val="20"/>
          <w:color w:val="auto"/>
        </w:rPr>
      </w:pPr>
    </w:p>
    <w:p>
      <w:pPr>
        <w:ind w:right="640"/>
        <w:spacing w:after="0" w:line="264" w:lineRule="auto"/>
        <w:rPr>
          <w:sz w:val="20"/>
          <w:szCs w:val="20"/>
          <w:color w:val="auto"/>
        </w:rPr>
      </w:pPr>
      <w:r>
        <w:rPr>
          <w:rFonts w:ascii="Arial" w:cs="Arial" w:eastAsia="Arial" w:hAnsi="Arial"/>
          <w:sz w:val="20"/>
          <w:szCs w:val="20"/>
          <w:b w:val="1"/>
          <w:bCs w:val="1"/>
          <w:color w:val="005C5D"/>
        </w:rPr>
        <w:t>STANDING COMMITTEES AND MEETINGS OF THE BOARD</w:t>
      </w:r>
    </w:p>
    <w:p>
      <w:pPr>
        <w:spacing w:after="0" w:line="3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33333"/>
        </w:rPr>
        <w:t>Our Board of Directors has established Audit; Talent and Compensation; Nominating, Governance and Sustainability; and Strategy and Transformation Committees.</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333333"/>
        </w:rPr>
        <w:t>Our Board of Directors held six meetings in executive session during fiscal 2026, and each of our directors attended at least 75% of the total number of meetings of the Board and at least 75% of the committees of the Board of which such director was a member held during the period in which such director served. Directors are encouraged to attend our annual meetings of shareholders, and all directors serving at that time attended the annual shareholders meeting held on June 5, 2025.</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005C5D"/>
        </w:rPr>
        <w:t>CURRENT COMMITTEE MEMBERSHIP</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40" w:type="dxa"/>
            <w:vAlign w:val="bottom"/>
            <w:tcBorders>
              <w:bottom w:val="single" w:sz="8" w:color="005C5D"/>
            </w:tcBorders>
            <w:shd w:val="clear" w:color="auto" w:fill="005C5D"/>
          </w:tcPr>
          <w:p>
            <w:pPr>
              <w:ind w:left="60"/>
              <w:spacing w:after="0"/>
              <w:rPr>
                <w:sz w:val="20"/>
                <w:szCs w:val="20"/>
                <w:color w:val="auto"/>
              </w:rPr>
            </w:pPr>
            <w:r>
              <w:rPr>
                <w:rFonts w:ascii="Arial" w:cs="Arial" w:eastAsia="Arial" w:hAnsi="Arial"/>
                <w:sz w:val="14"/>
                <w:szCs w:val="14"/>
                <w:color w:val="FFFFFF"/>
              </w:rPr>
              <w:t>COMMITTEE</w:t>
            </w:r>
          </w:p>
        </w:tc>
        <w:tc>
          <w:tcPr>
            <w:tcW w:w="160" w:type="dxa"/>
            <w:vAlign w:val="bottom"/>
            <w:tcBorders>
              <w:bottom w:val="single" w:sz="8" w:color="005C5D"/>
            </w:tcBorders>
            <w:shd w:val="clear" w:color="auto" w:fill="005C5D"/>
          </w:tcPr>
          <w:p>
            <w:pPr>
              <w:spacing w:after="0"/>
              <w:rPr>
                <w:sz w:val="23"/>
                <w:szCs w:val="23"/>
                <w:color w:val="auto"/>
              </w:rPr>
            </w:pPr>
          </w:p>
        </w:tc>
        <w:tc>
          <w:tcPr>
            <w:tcW w:w="1760" w:type="dxa"/>
            <w:vAlign w:val="bottom"/>
            <w:tcBorders>
              <w:bottom w:val="single" w:sz="8" w:color="005C5D"/>
            </w:tcBorders>
            <w:shd w:val="clear" w:color="auto" w:fill="005C5D"/>
          </w:tcPr>
          <w:p>
            <w:pPr>
              <w:jc w:val="center"/>
              <w:spacing w:after="0"/>
              <w:rPr>
                <w:sz w:val="20"/>
                <w:szCs w:val="20"/>
                <w:color w:val="auto"/>
              </w:rPr>
            </w:pPr>
            <w:r>
              <w:rPr>
                <w:rFonts w:ascii="Arial" w:cs="Arial" w:eastAsia="Arial" w:hAnsi="Arial"/>
                <w:sz w:val="14"/>
                <w:szCs w:val="14"/>
                <w:color w:val="FFFFFF"/>
              </w:rPr>
              <w:t>MEMBERS</w:t>
            </w:r>
          </w:p>
        </w:tc>
        <w:tc>
          <w:tcPr>
            <w:tcW w:w="1380" w:type="dxa"/>
            <w:vAlign w:val="bottom"/>
            <w:tcBorders>
              <w:bottom w:val="single" w:sz="8" w:color="005C5D"/>
            </w:tcBorders>
            <w:shd w:val="clear" w:color="auto" w:fill="005C5D"/>
          </w:tcPr>
          <w:p>
            <w:pPr>
              <w:jc w:val="center"/>
              <w:ind w:left="69"/>
              <w:spacing w:after="0"/>
              <w:rPr>
                <w:sz w:val="20"/>
                <w:szCs w:val="20"/>
                <w:color w:val="auto"/>
              </w:rPr>
            </w:pPr>
            <w:r>
              <w:rPr>
                <w:rFonts w:ascii="Arial" w:cs="Arial" w:eastAsia="Arial" w:hAnsi="Arial"/>
                <w:sz w:val="14"/>
                <w:szCs w:val="14"/>
                <w:color w:val="FFFFFF"/>
              </w:rPr>
              <w:t>CHAIR</w:t>
            </w:r>
          </w:p>
        </w:tc>
        <w:tc>
          <w:tcPr>
            <w:tcW w:w="0" w:type="dxa"/>
            <w:vAlign w:val="bottom"/>
          </w:tcPr>
          <w:p>
            <w:pPr>
              <w:spacing w:after="0"/>
              <w:rPr>
                <w:sz w:val="1"/>
                <w:szCs w:val="1"/>
                <w:color w:val="auto"/>
              </w:rPr>
            </w:pPr>
          </w:p>
        </w:tc>
      </w:tr>
      <w:tr>
        <w:trPr>
          <w:trHeight w:val="247"/>
        </w:trPr>
        <w:tc>
          <w:tcPr>
            <w:tcW w:w="2040" w:type="dxa"/>
            <w:vAlign w:val="bottom"/>
          </w:tcPr>
          <w:p>
            <w:pPr>
              <w:jc w:val="center"/>
              <w:spacing w:after="0"/>
              <w:rPr>
                <w:sz w:val="20"/>
                <w:szCs w:val="20"/>
                <w:color w:val="auto"/>
              </w:rPr>
            </w:pPr>
            <w:r>
              <w:rPr>
                <w:rFonts w:ascii="Arial" w:cs="Arial" w:eastAsia="Arial" w:hAnsi="Arial"/>
                <w:sz w:val="14"/>
                <w:szCs w:val="14"/>
                <w:color w:val="333333"/>
              </w:rPr>
              <w:t>Audit</w:t>
            </w:r>
          </w:p>
        </w:tc>
        <w:tc>
          <w:tcPr>
            <w:tcW w:w="160" w:type="dxa"/>
            <w:vAlign w:val="bottom"/>
            <w:shd w:val="clear" w:color="auto" w:fill="FCEFEB"/>
          </w:tcPr>
          <w:p>
            <w:pPr>
              <w:spacing w:after="0"/>
              <w:rPr>
                <w:sz w:val="21"/>
                <w:szCs w:val="21"/>
                <w:color w:val="auto"/>
              </w:rPr>
            </w:pPr>
          </w:p>
        </w:tc>
        <w:tc>
          <w:tcPr>
            <w:tcW w:w="1760" w:type="dxa"/>
            <w:vAlign w:val="bottom"/>
            <w:shd w:val="clear" w:color="auto" w:fill="FCEFEB"/>
          </w:tcPr>
          <w:p>
            <w:pPr>
              <w:jc w:val="center"/>
              <w:spacing w:after="0"/>
              <w:rPr>
                <w:sz w:val="20"/>
                <w:szCs w:val="20"/>
                <w:color w:val="auto"/>
              </w:rPr>
            </w:pPr>
            <w:r>
              <w:rPr>
                <w:rFonts w:ascii="Arial" w:cs="Arial" w:eastAsia="Arial" w:hAnsi="Arial"/>
                <w:sz w:val="14"/>
                <w:szCs w:val="14"/>
                <w:color w:val="333333"/>
              </w:rPr>
              <w:t>Kristina Cashman</w:t>
            </w:r>
          </w:p>
        </w:tc>
        <w:tc>
          <w:tcPr>
            <w:tcW w:w="1380" w:type="dxa"/>
            <w:vAlign w:val="bottom"/>
            <w:shd w:val="clear" w:color="auto" w:fill="FCEFEB"/>
          </w:tcPr>
          <w:p>
            <w:pPr>
              <w:jc w:val="center"/>
              <w:ind w:left="69"/>
              <w:spacing w:after="0"/>
              <w:rPr>
                <w:sz w:val="20"/>
                <w:szCs w:val="20"/>
                <w:color w:val="auto"/>
              </w:rPr>
            </w:pPr>
            <w:r>
              <w:rPr>
                <w:rFonts w:ascii="Times New Roman" w:cs="Times New Roman" w:eastAsia="Times New Roman" w:hAnsi="Times New Roman"/>
                <w:sz w:val="14"/>
                <w:szCs w:val="14"/>
                <w:color w:val="333333"/>
                <w:w w:val="94"/>
              </w:rPr>
              <w:t>●</w:t>
            </w:r>
          </w:p>
        </w:tc>
        <w:tc>
          <w:tcPr>
            <w:tcW w:w="0" w:type="dxa"/>
            <w:vAlign w:val="bottom"/>
          </w:tcPr>
          <w:p>
            <w:pPr>
              <w:spacing w:after="0"/>
              <w:rPr>
                <w:sz w:val="1"/>
                <w:szCs w:val="1"/>
                <w:color w:val="auto"/>
              </w:rPr>
            </w:pPr>
          </w:p>
        </w:tc>
      </w:tr>
      <w:tr>
        <w:trPr>
          <w:trHeight w:val="227"/>
        </w:trPr>
        <w:tc>
          <w:tcPr>
            <w:tcW w:w="2040" w:type="dxa"/>
            <w:vAlign w:val="bottom"/>
          </w:tcPr>
          <w:p>
            <w:pPr>
              <w:spacing w:after="0"/>
              <w:rPr>
                <w:sz w:val="19"/>
                <w:szCs w:val="19"/>
                <w:color w:val="auto"/>
              </w:rPr>
            </w:pPr>
          </w:p>
        </w:tc>
        <w:tc>
          <w:tcPr>
            <w:tcW w:w="160" w:type="dxa"/>
            <w:vAlign w:val="bottom"/>
            <w:shd w:val="clear" w:color="auto" w:fill="FCEFEB"/>
          </w:tcPr>
          <w:p>
            <w:pPr>
              <w:spacing w:after="0"/>
              <w:rPr>
                <w:sz w:val="19"/>
                <w:szCs w:val="19"/>
                <w:color w:val="auto"/>
              </w:rPr>
            </w:pPr>
          </w:p>
        </w:tc>
        <w:tc>
          <w:tcPr>
            <w:tcW w:w="1760" w:type="dxa"/>
            <w:vAlign w:val="bottom"/>
            <w:shd w:val="clear" w:color="auto" w:fill="FCEFEB"/>
          </w:tcPr>
          <w:p>
            <w:pPr>
              <w:jc w:val="center"/>
              <w:spacing w:after="0"/>
              <w:rPr>
                <w:sz w:val="20"/>
                <w:szCs w:val="20"/>
                <w:color w:val="auto"/>
              </w:rPr>
            </w:pPr>
            <w:r>
              <w:rPr>
                <w:rFonts w:ascii="Arial" w:cs="Arial" w:eastAsia="Arial" w:hAnsi="Arial"/>
                <w:sz w:val="14"/>
                <w:szCs w:val="14"/>
                <w:color w:val="333333"/>
              </w:rPr>
              <w:t>Ivan Brockman</w:t>
            </w:r>
          </w:p>
        </w:tc>
        <w:tc>
          <w:tcPr>
            <w:tcW w:w="1380" w:type="dxa"/>
            <w:vAlign w:val="bottom"/>
            <w:shd w:val="clear" w:color="auto" w:fill="FCEFEB"/>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40" w:type="dxa"/>
            <w:vAlign w:val="bottom"/>
          </w:tcPr>
          <w:p>
            <w:pPr>
              <w:spacing w:after="0"/>
              <w:rPr>
                <w:sz w:val="19"/>
                <w:szCs w:val="19"/>
                <w:color w:val="auto"/>
              </w:rPr>
            </w:pPr>
          </w:p>
        </w:tc>
        <w:tc>
          <w:tcPr>
            <w:tcW w:w="160" w:type="dxa"/>
            <w:vAlign w:val="bottom"/>
            <w:shd w:val="clear" w:color="auto" w:fill="FCEFEB"/>
          </w:tcPr>
          <w:p>
            <w:pPr>
              <w:spacing w:after="0"/>
              <w:rPr>
                <w:sz w:val="19"/>
                <w:szCs w:val="19"/>
                <w:color w:val="auto"/>
              </w:rPr>
            </w:pPr>
          </w:p>
        </w:tc>
        <w:tc>
          <w:tcPr>
            <w:tcW w:w="1760" w:type="dxa"/>
            <w:vAlign w:val="bottom"/>
            <w:shd w:val="clear" w:color="auto" w:fill="FCEFEB"/>
          </w:tcPr>
          <w:p>
            <w:pPr>
              <w:jc w:val="center"/>
              <w:spacing w:after="0"/>
              <w:rPr>
                <w:sz w:val="20"/>
                <w:szCs w:val="20"/>
                <w:color w:val="auto"/>
              </w:rPr>
            </w:pPr>
            <w:r>
              <w:rPr>
                <w:rFonts w:ascii="Arial" w:cs="Arial" w:eastAsia="Arial" w:hAnsi="Arial"/>
                <w:sz w:val="14"/>
                <w:szCs w:val="14"/>
                <w:color w:val="333333"/>
              </w:rPr>
              <w:t>Andrew Meslow</w:t>
            </w:r>
          </w:p>
        </w:tc>
        <w:tc>
          <w:tcPr>
            <w:tcW w:w="1380" w:type="dxa"/>
            <w:vAlign w:val="bottom"/>
            <w:shd w:val="clear" w:color="auto" w:fill="FCEFEB"/>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040" w:type="dxa"/>
            <w:vAlign w:val="bottom"/>
          </w:tcPr>
          <w:p>
            <w:pPr>
              <w:spacing w:after="0"/>
              <w:rPr>
                <w:sz w:val="23"/>
                <w:szCs w:val="23"/>
                <w:color w:val="auto"/>
              </w:rPr>
            </w:pPr>
          </w:p>
        </w:tc>
        <w:tc>
          <w:tcPr>
            <w:tcW w:w="160" w:type="dxa"/>
            <w:vAlign w:val="bottom"/>
            <w:tcBorders>
              <w:bottom w:val="single" w:sz="8" w:color="FCEFEB"/>
            </w:tcBorders>
            <w:shd w:val="clear" w:color="auto" w:fill="FCEFEB"/>
          </w:tcPr>
          <w:p>
            <w:pPr>
              <w:spacing w:after="0"/>
              <w:rPr>
                <w:sz w:val="23"/>
                <w:szCs w:val="23"/>
                <w:color w:val="auto"/>
              </w:rPr>
            </w:pPr>
          </w:p>
        </w:tc>
        <w:tc>
          <w:tcPr>
            <w:tcW w:w="1760" w:type="dxa"/>
            <w:vAlign w:val="bottom"/>
            <w:tcBorders>
              <w:bottom w:val="single" w:sz="8" w:color="FCEFEB"/>
            </w:tcBorders>
            <w:shd w:val="clear" w:color="auto" w:fill="FCEFEB"/>
          </w:tcPr>
          <w:p>
            <w:pPr>
              <w:jc w:val="center"/>
              <w:spacing w:after="0"/>
              <w:rPr>
                <w:sz w:val="20"/>
                <w:szCs w:val="20"/>
                <w:color w:val="auto"/>
              </w:rPr>
            </w:pPr>
            <w:r>
              <w:rPr>
                <w:rFonts w:ascii="Arial" w:cs="Arial" w:eastAsia="Arial" w:hAnsi="Arial"/>
                <w:sz w:val="14"/>
                <w:szCs w:val="14"/>
                <w:color w:val="333333"/>
              </w:rPr>
              <w:t>Jessica Rodriguez</w:t>
            </w:r>
          </w:p>
        </w:tc>
        <w:tc>
          <w:tcPr>
            <w:tcW w:w="1380" w:type="dxa"/>
            <w:vAlign w:val="bottom"/>
            <w:tcBorders>
              <w:bottom w:val="single" w:sz="8" w:color="FCEFEB"/>
            </w:tcBorders>
            <w:shd w:val="clear" w:color="auto" w:fill="FCEFEB"/>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40" w:type="dxa"/>
            <w:vAlign w:val="bottom"/>
            <w:tcBorders>
              <w:top w:val="single" w:sz="8" w:color="005C5D"/>
            </w:tcBorders>
          </w:tcPr>
          <w:p>
            <w:pPr>
              <w:jc w:val="center"/>
              <w:spacing w:after="0"/>
              <w:rPr>
                <w:sz w:val="20"/>
                <w:szCs w:val="20"/>
                <w:color w:val="auto"/>
              </w:rPr>
            </w:pPr>
            <w:r>
              <w:rPr>
                <w:rFonts w:ascii="Arial" w:cs="Arial" w:eastAsia="Arial" w:hAnsi="Arial"/>
                <w:sz w:val="14"/>
                <w:szCs w:val="14"/>
                <w:color w:val="333333"/>
                <w:w w:val="99"/>
              </w:rPr>
              <w:t>Talent and</w:t>
            </w:r>
          </w:p>
        </w:tc>
        <w:tc>
          <w:tcPr>
            <w:tcW w:w="160" w:type="dxa"/>
            <w:vAlign w:val="bottom"/>
            <w:tcBorders>
              <w:top w:val="single" w:sz="8" w:color="005C5D"/>
            </w:tcBorders>
            <w:shd w:val="clear" w:color="auto" w:fill="FCEFEB"/>
          </w:tcPr>
          <w:p>
            <w:pPr>
              <w:spacing w:after="0"/>
              <w:rPr>
                <w:sz w:val="17"/>
                <w:szCs w:val="17"/>
                <w:color w:val="auto"/>
              </w:rPr>
            </w:pPr>
          </w:p>
        </w:tc>
        <w:tc>
          <w:tcPr>
            <w:tcW w:w="1760" w:type="dxa"/>
            <w:vAlign w:val="bottom"/>
            <w:tcBorders>
              <w:top w:val="single" w:sz="8" w:color="005C5D"/>
            </w:tcBorders>
            <w:shd w:val="clear" w:color="auto" w:fill="FCEFEB"/>
          </w:tcPr>
          <w:p>
            <w:pPr>
              <w:jc w:val="center"/>
              <w:spacing w:after="0"/>
              <w:rPr>
                <w:sz w:val="20"/>
                <w:szCs w:val="20"/>
                <w:color w:val="auto"/>
              </w:rPr>
            </w:pPr>
            <w:r>
              <w:rPr>
                <w:rFonts w:ascii="Arial" w:cs="Arial" w:eastAsia="Arial" w:hAnsi="Arial"/>
                <w:sz w:val="14"/>
                <w:szCs w:val="14"/>
                <w:color w:val="333333"/>
              </w:rPr>
              <w:t>Andrew Meslow</w:t>
            </w:r>
          </w:p>
        </w:tc>
        <w:tc>
          <w:tcPr>
            <w:tcW w:w="1380" w:type="dxa"/>
            <w:vAlign w:val="bottom"/>
            <w:tcBorders>
              <w:top w:val="single" w:sz="8" w:color="005C5D"/>
            </w:tcBorders>
            <w:shd w:val="clear" w:color="auto" w:fill="FCEFEB"/>
          </w:tcPr>
          <w:p>
            <w:pPr>
              <w:jc w:val="center"/>
              <w:ind w:left="69"/>
              <w:spacing w:after="0"/>
              <w:rPr>
                <w:sz w:val="20"/>
                <w:szCs w:val="20"/>
                <w:color w:val="auto"/>
              </w:rPr>
            </w:pPr>
            <w:r>
              <w:rPr>
                <w:rFonts w:ascii="Times New Roman" w:cs="Times New Roman" w:eastAsia="Times New Roman" w:hAnsi="Times New Roman"/>
                <w:sz w:val="14"/>
                <w:szCs w:val="14"/>
                <w:color w:val="333333"/>
                <w:w w:val="94"/>
              </w:rPr>
              <w:t>●</w:t>
            </w:r>
          </w:p>
        </w:tc>
        <w:tc>
          <w:tcPr>
            <w:tcW w:w="0" w:type="dxa"/>
            <w:vAlign w:val="bottom"/>
          </w:tcPr>
          <w:p>
            <w:pPr>
              <w:spacing w:after="0"/>
              <w:rPr>
                <w:sz w:val="1"/>
                <w:szCs w:val="1"/>
                <w:color w:val="auto"/>
              </w:rPr>
            </w:pPr>
          </w:p>
        </w:tc>
      </w:tr>
      <w:tr>
        <w:trPr>
          <w:trHeight w:val="189"/>
        </w:trPr>
        <w:tc>
          <w:tcPr>
            <w:tcW w:w="2040" w:type="dxa"/>
            <w:vAlign w:val="bottom"/>
          </w:tcPr>
          <w:p>
            <w:pPr>
              <w:jc w:val="center"/>
              <w:ind w:left="9"/>
              <w:spacing w:after="0"/>
              <w:rPr>
                <w:sz w:val="20"/>
                <w:szCs w:val="20"/>
                <w:color w:val="auto"/>
              </w:rPr>
            </w:pPr>
            <w:r>
              <w:rPr>
                <w:rFonts w:ascii="Arial" w:cs="Arial" w:eastAsia="Arial" w:hAnsi="Arial"/>
                <w:sz w:val="14"/>
                <w:szCs w:val="14"/>
                <w:color w:val="333333"/>
              </w:rPr>
              <w:t>Compensation</w:t>
            </w:r>
          </w:p>
        </w:tc>
        <w:tc>
          <w:tcPr>
            <w:tcW w:w="160" w:type="dxa"/>
            <w:vAlign w:val="bottom"/>
            <w:shd w:val="clear" w:color="auto" w:fill="FCEFEB"/>
          </w:tcPr>
          <w:p>
            <w:pPr>
              <w:spacing w:after="0"/>
              <w:rPr>
                <w:sz w:val="16"/>
                <w:szCs w:val="16"/>
                <w:color w:val="auto"/>
              </w:rPr>
            </w:pPr>
          </w:p>
        </w:tc>
        <w:tc>
          <w:tcPr>
            <w:tcW w:w="1760" w:type="dxa"/>
            <w:vAlign w:val="bottom"/>
            <w:vMerge w:val="restart"/>
            <w:shd w:val="clear" w:color="auto" w:fill="FCEFEB"/>
          </w:tcPr>
          <w:p>
            <w:pPr>
              <w:jc w:val="center"/>
              <w:spacing w:after="0"/>
              <w:rPr>
                <w:sz w:val="20"/>
                <w:szCs w:val="20"/>
                <w:color w:val="auto"/>
              </w:rPr>
            </w:pPr>
            <w:r>
              <w:rPr>
                <w:rFonts w:ascii="Arial" w:cs="Arial" w:eastAsia="Arial" w:hAnsi="Arial"/>
                <w:sz w:val="14"/>
                <w:szCs w:val="14"/>
                <w:color w:val="333333"/>
              </w:rPr>
              <w:t>Carrie M. Tharp</w:t>
            </w:r>
          </w:p>
        </w:tc>
        <w:tc>
          <w:tcPr>
            <w:tcW w:w="1380" w:type="dxa"/>
            <w:vAlign w:val="bottom"/>
            <w:shd w:val="clear" w:color="auto" w:fill="FCEFEB"/>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40" w:type="dxa"/>
            <w:vAlign w:val="bottom"/>
          </w:tcPr>
          <w:p>
            <w:pPr>
              <w:spacing w:after="0"/>
              <w:rPr>
                <w:sz w:val="5"/>
                <w:szCs w:val="5"/>
                <w:color w:val="auto"/>
              </w:rPr>
            </w:pPr>
          </w:p>
        </w:tc>
        <w:tc>
          <w:tcPr>
            <w:tcW w:w="160" w:type="dxa"/>
            <w:vAlign w:val="bottom"/>
            <w:shd w:val="clear" w:color="auto" w:fill="FCEFEB"/>
          </w:tcPr>
          <w:p>
            <w:pPr>
              <w:spacing w:after="0"/>
              <w:rPr>
                <w:sz w:val="5"/>
                <w:szCs w:val="5"/>
                <w:color w:val="auto"/>
              </w:rPr>
            </w:pPr>
          </w:p>
        </w:tc>
        <w:tc>
          <w:tcPr>
            <w:tcW w:w="1760" w:type="dxa"/>
            <w:vAlign w:val="bottom"/>
            <w:vMerge w:val="continue"/>
            <w:shd w:val="clear" w:color="auto" w:fill="FCEFEB"/>
          </w:tcPr>
          <w:p>
            <w:pPr>
              <w:spacing w:after="0"/>
              <w:rPr>
                <w:sz w:val="5"/>
                <w:szCs w:val="5"/>
                <w:color w:val="auto"/>
              </w:rPr>
            </w:pPr>
          </w:p>
        </w:tc>
        <w:tc>
          <w:tcPr>
            <w:tcW w:w="1380" w:type="dxa"/>
            <w:vAlign w:val="bottom"/>
            <w:shd w:val="clear" w:color="auto" w:fill="FCEFEB"/>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2040" w:type="dxa"/>
            <w:vAlign w:val="bottom"/>
          </w:tcPr>
          <w:p>
            <w:pPr>
              <w:spacing w:after="0"/>
              <w:rPr>
                <w:sz w:val="23"/>
                <w:szCs w:val="23"/>
                <w:color w:val="auto"/>
              </w:rPr>
            </w:pPr>
          </w:p>
        </w:tc>
        <w:tc>
          <w:tcPr>
            <w:tcW w:w="160" w:type="dxa"/>
            <w:vAlign w:val="bottom"/>
            <w:tcBorders>
              <w:bottom w:val="single" w:sz="8" w:color="FCEFEB"/>
            </w:tcBorders>
            <w:shd w:val="clear" w:color="auto" w:fill="FCEFEB"/>
          </w:tcPr>
          <w:p>
            <w:pPr>
              <w:spacing w:after="0"/>
              <w:rPr>
                <w:sz w:val="23"/>
                <w:szCs w:val="23"/>
                <w:color w:val="auto"/>
              </w:rPr>
            </w:pPr>
          </w:p>
        </w:tc>
        <w:tc>
          <w:tcPr>
            <w:tcW w:w="1760" w:type="dxa"/>
            <w:vAlign w:val="bottom"/>
            <w:tcBorders>
              <w:bottom w:val="single" w:sz="8" w:color="FCEFEB"/>
            </w:tcBorders>
            <w:shd w:val="clear" w:color="auto" w:fill="FCEFEB"/>
          </w:tcPr>
          <w:p>
            <w:pPr>
              <w:jc w:val="center"/>
              <w:spacing w:after="0"/>
              <w:rPr>
                <w:sz w:val="20"/>
                <w:szCs w:val="20"/>
                <w:color w:val="auto"/>
              </w:rPr>
            </w:pPr>
            <w:r>
              <w:rPr>
                <w:rFonts w:ascii="Arial" w:cs="Arial" w:eastAsia="Arial" w:hAnsi="Arial"/>
                <w:sz w:val="14"/>
                <w:szCs w:val="14"/>
                <w:color w:val="333333"/>
              </w:rPr>
              <w:t>Kristina Cashman</w:t>
            </w:r>
          </w:p>
        </w:tc>
        <w:tc>
          <w:tcPr>
            <w:tcW w:w="1380" w:type="dxa"/>
            <w:vAlign w:val="bottom"/>
            <w:tcBorders>
              <w:bottom w:val="single" w:sz="8" w:color="FCEFEB"/>
            </w:tcBorders>
            <w:shd w:val="clear" w:color="auto" w:fill="FCEFEB"/>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40" w:type="dxa"/>
            <w:vAlign w:val="bottom"/>
            <w:tcBorders>
              <w:top w:val="single" w:sz="8" w:color="005C5D"/>
            </w:tcBorders>
          </w:tcPr>
          <w:p>
            <w:pPr>
              <w:jc w:val="center"/>
              <w:ind w:left="9"/>
              <w:spacing w:after="0"/>
              <w:rPr>
                <w:sz w:val="20"/>
                <w:szCs w:val="20"/>
                <w:color w:val="auto"/>
              </w:rPr>
            </w:pPr>
            <w:r>
              <w:rPr>
                <w:rFonts w:ascii="Arial" w:cs="Arial" w:eastAsia="Arial" w:hAnsi="Arial"/>
                <w:sz w:val="14"/>
                <w:szCs w:val="14"/>
                <w:color w:val="333333"/>
              </w:rPr>
              <w:t>Nominating,</w:t>
            </w:r>
          </w:p>
        </w:tc>
        <w:tc>
          <w:tcPr>
            <w:tcW w:w="160" w:type="dxa"/>
            <w:vAlign w:val="bottom"/>
            <w:tcBorders>
              <w:top w:val="single" w:sz="8" w:color="005C5D"/>
            </w:tcBorders>
            <w:shd w:val="clear" w:color="auto" w:fill="FCEFEB"/>
          </w:tcPr>
          <w:p>
            <w:pPr>
              <w:spacing w:after="0"/>
              <w:rPr>
                <w:sz w:val="17"/>
                <w:szCs w:val="17"/>
                <w:color w:val="auto"/>
              </w:rPr>
            </w:pPr>
          </w:p>
        </w:tc>
        <w:tc>
          <w:tcPr>
            <w:tcW w:w="1760" w:type="dxa"/>
            <w:vAlign w:val="bottom"/>
            <w:tcBorders>
              <w:top w:val="single" w:sz="8" w:color="005C5D"/>
            </w:tcBorders>
            <w:shd w:val="clear" w:color="auto" w:fill="FCEFEB"/>
          </w:tcPr>
          <w:p>
            <w:pPr>
              <w:jc w:val="center"/>
              <w:spacing w:after="0"/>
              <w:rPr>
                <w:sz w:val="20"/>
                <w:szCs w:val="20"/>
                <w:color w:val="auto"/>
              </w:rPr>
            </w:pPr>
            <w:r>
              <w:rPr>
                <w:rFonts w:ascii="Arial" w:cs="Arial" w:eastAsia="Arial" w:hAnsi="Arial"/>
                <w:sz w:val="14"/>
                <w:szCs w:val="14"/>
                <w:color w:val="333333"/>
              </w:rPr>
              <w:t>Jessica Rodriguez</w:t>
            </w:r>
          </w:p>
        </w:tc>
        <w:tc>
          <w:tcPr>
            <w:tcW w:w="1380" w:type="dxa"/>
            <w:vAlign w:val="bottom"/>
            <w:tcBorders>
              <w:top w:val="single" w:sz="8" w:color="005C5D"/>
            </w:tcBorders>
            <w:shd w:val="clear" w:color="auto" w:fill="FCEFEB"/>
          </w:tcPr>
          <w:p>
            <w:pPr>
              <w:jc w:val="center"/>
              <w:ind w:left="69"/>
              <w:spacing w:after="0"/>
              <w:rPr>
                <w:sz w:val="20"/>
                <w:szCs w:val="20"/>
                <w:color w:val="auto"/>
              </w:rPr>
            </w:pPr>
            <w:r>
              <w:rPr>
                <w:rFonts w:ascii="Times New Roman" w:cs="Times New Roman" w:eastAsia="Times New Roman" w:hAnsi="Times New Roman"/>
                <w:sz w:val="14"/>
                <w:szCs w:val="14"/>
                <w:color w:val="333333"/>
                <w:w w:val="94"/>
              </w:rPr>
              <w:t>●</w:t>
            </w:r>
          </w:p>
        </w:tc>
        <w:tc>
          <w:tcPr>
            <w:tcW w:w="0" w:type="dxa"/>
            <w:vAlign w:val="bottom"/>
          </w:tcPr>
          <w:p>
            <w:pPr>
              <w:spacing w:after="0"/>
              <w:rPr>
                <w:sz w:val="1"/>
                <w:szCs w:val="1"/>
                <w:color w:val="auto"/>
              </w:rPr>
            </w:pPr>
          </w:p>
        </w:tc>
      </w:tr>
      <w:tr>
        <w:trPr>
          <w:trHeight w:val="160"/>
        </w:trPr>
        <w:tc>
          <w:tcPr>
            <w:tcW w:w="2040" w:type="dxa"/>
            <w:vAlign w:val="bottom"/>
          </w:tcPr>
          <w:p>
            <w:pPr>
              <w:jc w:val="center"/>
              <w:spacing w:after="0"/>
              <w:rPr>
                <w:sz w:val="20"/>
                <w:szCs w:val="20"/>
                <w:color w:val="auto"/>
              </w:rPr>
            </w:pPr>
            <w:r>
              <w:rPr>
                <w:rFonts w:ascii="Arial" w:cs="Arial" w:eastAsia="Arial" w:hAnsi="Arial"/>
                <w:sz w:val="14"/>
                <w:szCs w:val="14"/>
                <w:color w:val="333333"/>
              </w:rPr>
              <w:t>Governance</w:t>
            </w:r>
          </w:p>
        </w:tc>
        <w:tc>
          <w:tcPr>
            <w:tcW w:w="160" w:type="dxa"/>
            <w:vAlign w:val="bottom"/>
            <w:shd w:val="clear" w:color="auto" w:fill="FCEFEB"/>
          </w:tcPr>
          <w:p>
            <w:pPr>
              <w:spacing w:after="0"/>
              <w:rPr>
                <w:sz w:val="13"/>
                <w:szCs w:val="13"/>
                <w:color w:val="auto"/>
              </w:rPr>
            </w:pPr>
          </w:p>
        </w:tc>
        <w:tc>
          <w:tcPr>
            <w:tcW w:w="1760" w:type="dxa"/>
            <w:vAlign w:val="bottom"/>
            <w:vMerge w:val="restart"/>
            <w:shd w:val="clear" w:color="auto" w:fill="FCEFEB"/>
          </w:tcPr>
          <w:p>
            <w:pPr>
              <w:jc w:val="center"/>
              <w:spacing w:after="0"/>
              <w:rPr>
                <w:sz w:val="20"/>
                <w:szCs w:val="20"/>
                <w:color w:val="auto"/>
              </w:rPr>
            </w:pPr>
            <w:r>
              <w:rPr>
                <w:rFonts w:ascii="Arial" w:cs="Arial" w:eastAsia="Arial" w:hAnsi="Arial"/>
                <w:sz w:val="14"/>
                <w:szCs w:val="14"/>
                <w:color w:val="333333"/>
              </w:rPr>
              <w:t>Kristina Cashman</w:t>
            </w:r>
          </w:p>
        </w:tc>
        <w:tc>
          <w:tcPr>
            <w:tcW w:w="1380" w:type="dxa"/>
            <w:vAlign w:val="bottom"/>
            <w:shd w:val="clear" w:color="auto" w:fill="FCEFEB"/>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40" w:type="dxa"/>
            <w:vAlign w:val="bottom"/>
            <w:vMerge w:val="restart"/>
          </w:tcPr>
          <w:p>
            <w:pPr>
              <w:jc w:val="center"/>
              <w:spacing w:after="0"/>
              <w:rPr>
                <w:sz w:val="20"/>
                <w:szCs w:val="20"/>
                <w:color w:val="auto"/>
              </w:rPr>
            </w:pPr>
            <w:r>
              <w:rPr>
                <w:rFonts w:ascii="Arial" w:cs="Arial" w:eastAsia="Arial" w:hAnsi="Arial"/>
                <w:sz w:val="14"/>
                <w:szCs w:val="14"/>
                <w:color w:val="333333"/>
                <w:w w:val="94"/>
              </w:rPr>
              <w:t>and</w:t>
            </w:r>
          </w:p>
        </w:tc>
        <w:tc>
          <w:tcPr>
            <w:tcW w:w="160" w:type="dxa"/>
            <w:vAlign w:val="bottom"/>
            <w:shd w:val="clear" w:color="auto" w:fill="FCEFEB"/>
          </w:tcPr>
          <w:p>
            <w:pPr>
              <w:spacing w:after="0"/>
              <w:rPr>
                <w:sz w:val="9"/>
                <w:szCs w:val="9"/>
                <w:color w:val="auto"/>
              </w:rPr>
            </w:pPr>
          </w:p>
        </w:tc>
        <w:tc>
          <w:tcPr>
            <w:tcW w:w="1760" w:type="dxa"/>
            <w:vAlign w:val="bottom"/>
            <w:vMerge w:val="continue"/>
            <w:shd w:val="clear" w:color="auto" w:fill="FCEFEB"/>
          </w:tcPr>
          <w:p>
            <w:pPr>
              <w:spacing w:after="0"/>
              <w:rPr>
                <w:sz w:val="9"/>
                <w:szCs w:val="9"/>
                <w:color w:val="auto"/>
              </w:rPr>
            </w:pPr>
          </w:p>
        </w:tc>
        <w:tc>
          <w:tcPr>
            <w:tcW w:w="1380" w:type="dxa"/>
            <w:vAlign w:val="bottom"/>
            <w:shd w:val="clear" w:color="auto" w:fill="FCEFEB"/>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40" w:type="dxa"/>
            <w:vAlign w:val="bottom"/>
            <w:vMerge w:val="continue"/>
          </w:tcPr>
          <w:p>
            <w:pPr>
              <w:spacing w:after="0"/>
              <w:rPr>
                <w:sz w:val="5"/>
                <w:szCs w:val="5"/>
                <w:color w:val="auto"/>
              </w:rPr>
            </w:pPr>
          </w:p>
        </w:tc>
        <w:tc>
          <w:tcPr>
            <w:tcW w:w="160" w:type="dxa"/>
            <w:vAlign w:val="bottom"/>
            <w:shd w:val="clear" w:color="auto" w:fill="FCEFEB"/>
          </w:tcPr>
          <w:p>
            <w:pPr>
              <w:spacing w:after="0"/>
              <w:rPr>
                <w:sz w:val="5"/>
                <w:szCs w:val="5"/>
                <w:color w:val="auto"/>
              </w:rPr>
            </w:pPr>
          </w:p>
        </w:tc>
        <w:tc>
          <w:tcPr>
            <w:tcW w:w="1760" w:type="dxa"/>
            <w:vAlign w:val="bottom"/>
            <w:shd w:val="clear" w:color="auto" w:fill="FCEFEB"/>
          </w:tcPr>
          <w:p>
            <w:pPr>
              <w:spacing w:after="0"/>
              <w:rPr>
                <w:sz w:val="5"/>
                <w:szCs w:val="5"/>
                <w:color w:val="auto"/>
              </w:rPr>
            </w:pPr>
          </w:p>
        </w:tc>
        <w:tc>
          <w:tcPr>
            <w:tcW w:w="1380" w:type="dxa"/>
            <w:vAlign w:val="bottom"/>
            <w:shd w:val="clear" w:color="auto" w:fill="FCEFEB"/>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40" w:type="dxa"/>
            <w:vAlign w:val="bottom"/>
          </w:tcPr>
          <w:p>
            <w:pPr>
              <w:jc w:val="center"/>
              <w:ind w:left="9"/>
              <w:spacing w:after="0"/>
              <w:rPr>
                <w:sz w:val="20"/>
                <w:szCs w:val="20"/>
                <w:color w:val="auto"/>
              </w:rPr>
            </w:pPr>
            <w:r>
              <w:rPr>
                <w:rFonts w:ascii="Arial" w:cs="Arial" w:eastAsia="Arial" w:hAnsi="Arial"/>
                <w:sz w:val="14"/>
                <w:szCs w:val="14"/>
                <w:color w:val="333333"/>
              </w:rPr>
              <w:t>Sustainability</w:t>
            </w:r>
          </w:p>
        </w:tc>
        <w:tc>
          <w:tcPr>
            <w:tcW w:w="160" w:type="dxa"/>
            <w:vAlign w:val="bottom"/>
            <w:tcBorders>
              <w:bottom w:val="single" w:sz="8" w:color="FCEFEB"/>
            </w:tcBorders>
            <w:shd w:val="clear" w:color="auto" w:fill="FCEFEB"/>
          </w:tcPr>
          <w:p>
            <w:pPr>
              <w:spacing w:after="0"/>
              <w:rPr>
                <w:sz w:val="20"/>
                <w:szCs w:val="20"/>
                <w:color w:val="auto"/>
              </w:rPr>
            </w:pPr>
          </w:p>
        </w:tc>
        <w:tc>
          <w:tcPr>
            <w:tcW w:w="1760" w:type="dxa"/>
            <w:vAlign w:val="bottom"/>
            <w:tcBorders>
              <w:bottom w:val="single" w:sz="8" w:color="FCEFEB"/>
            </w:tcBorders>
            <w:shd w:val="clear" w:color="auto" w:fill="FCEFEB"/>
          </w:tcPr>
          <w:p>
            <w:pPr>
              <w:jc w:val="center"/>
              <w:spacing w:after="0"/>
              <w:rPr>
                <w:sz w:val="20"/>
                <w:szCs w:val="20"/>
                <w:color w:val="auto"/>
              </w:rPr>
            </w:pPr>
            <w:r>
              <w:rPr>
                <w:rFonts w:ascii="Arial" w:cs="Arial" w:eastAsia="Arial" w:hAnsi="Arial"/>
                <w:sz w:val="14"/>
                <w:szCs w:val="14"/>
                <w:color w:val="333333"/>
              </w:rPr>
              <w:t>Andrew Meslow</w:t>
            </w:r>
          </w:p>
        </w:tc>
        <w:tc>
          <w:tcPr>
            <w:tcW w:w="1380" w:type="dxa"/>
            <w:vAlign w:val="bottom"/>
            <w:tcBorders>
              <w:bottom w:val="single" w:sz="8" w:color="FCEFEB"/>
            </w:tcBorders>
            <w:shd w:val="clear" w:color="auto" w:fill="FCEFEB"/>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40" w:type="dxa"/>
            <w:vAlign w:val="bottom"/>
            <w:tcBorders>
              <w:top w:val="single" w:sz="8" w:color="005C5D"/>
            </w:tcBorders>
          </w:tcPr>
          <w:p>
            <w:pPr>
              <w:jc w:val="center"/>
              <w:spacing w:after="0"/>
              <w:rPr>
                <w:sz w:val="20"/>
                <w:szCs w:val="20"/>
                <w:color w:val="auto"/>
              </w:rPr>
            </w:pPr>
            <w:r>
              <w:rPr>
                <w:rFonts w:ascii="Arial" w:cs="Arial" w:eastAsia="Arial" w:hAnsi="Arial"/>
                <w:sz w:val="14"/>
                <w:szCs w:val="14"/>
                <w:color w:val="333333"/>
              </w:rPr>
              <w:t>Strategy and</w:t>
            </w:r>
          </w:p>
        </w:tc>
        <w:tc>
          <w:tcPr>
            <w:tcW w:w="160" w:type="dxa"/>
            <w:vAlign w:val="bottom"/>
            <w:tcBorders>
              <w:top w:val="single" w:sz="8" w:color="005C5D"/>
            </w:tcBorders>
            <w:shd w:val="clear" w:color="auto" w:fill="FCEFEB"/>
          </w:tcPr>
          <w:p>
            <w:pPr>
              <w:spacing w:after="0"/>
              <w:rPr>
                <w:sz w:val="17"/>
                <w:szCs w:val="17"/>
                <w:color w:val="auto"/>
              </w:rPr>
            </w:pPr>
          </w:p>
        </w:tc>
        <w:tc>
          <w:tcPr>
            <w:tcW w:w="1760" w:type="dxa"/>
            <w:vAlign w:val="bottom"/>
            <w:tcBorders>
              <w:top w:val="single" w:sz="8" w:color="005C5D"/>
            </w:tcBorders>
            <w:shd w:val="clear" w:color="auto" w:fill="FCEFEB"/>
          </w:tcPr>
          <w:p>
            <w:pPr>
              <w:jc w:val="center"/>
              <w:spacing w:after="0"/>
              <w:rPr>
                <w:sz w:val="20"/>
                <w:szCs w:val="20"/>
                <w:color w:val="auto"/>
              </w:rPr>
            </w:pPr>
            <w:r>
              <w:rPr>
                <w:rFonts w:ascii="Arial" w:cs="Arial" w:eastAsia="Arial" w:hAnsi="Arial"/>
                <w:sz w:val="14"/>
                <w:szCs w:val="14"/>
                <w:color w:val="333333"/>
              </w:rPr>
              <w:t>Andrew Meslow</w:t>
            </w:r>
          </w:p>
        </w:tc>
        <w:tc>
          <w:tcPr>
            <w:tcW w:w="1380" w:type="dxa"/>
            <w:vAlign w:val="bottom"/>
            <w:tcBorders>
              <w:top w:val="single" w:sz="8" w:color="005C5D"/>
            </w:tcBorders>
            <w:shd w:val="clear" w:color="auto" w:fill="FCEFEB"/>
          </w:tcPr>
          <w:p>
            <w:pPr>
              <w:jc w:val="center"/>
              <w:ind w:left="69"/>
              <w:spacing w:after="0"/>
              <w:rPr>
                <w:sz w:val="20"/>
                <w:szCs w:val="20"/>
                <w:color w:val="auto"/>
              </w:rPr>
            </w:pPr>
            <w:r>
              <w:rPr>
                <w:rFonts w:ascii="Times New Roman" w:cs="Times New Roman" w:eastAsia="Times New Roman" w:hAnsi="Times New Roman"/>
                <w:sz w:val="14"/>
                <w:szCs w:val="14"/>
                <w:color w:val="333333"/>
                <w:w w:val="94"/>
              </w:rPr>
              <w:t>●</w:t>
            </w:r>
          </w:p>
        </w:tc>
        <w:tc>
          <w:tcPr>
            <w:tcW w:w="0" w:type="dxa"/>
            <w:vAlign w:val="bottom"/>
          </w:tcPr>
          <w:p>
            <w:pPr>
              <w:spacing w:after="0"/>
              <w:rPr>
                <w:sz w:val="1"/>
                <w:szCs w:val="1"/>
                <w:color w:val="auto"/>
              </w:rPr>
            </w:pPr>
          </w:p>
        </w:tc>
      </w:tr>
      <w:tr>
        <w:trPr>
          <w:trHeight w:val="160"/>
        </w:trPr>
        <w:tc>
          <w:tcPr>
            <w:tcW w:w="2040" w:type="dxa"/>
            <w:vAlign w:val="bottom"/>
          </w:tcPr>
          <w:p>
            <w:pPr>
              <w:jc w:val="center"/>
              <w:spacing w:after="0"/>
              <w:rPr>
                <w:sz w:val="20"/>
                <w:szCs w:val="20"/>
                <w:color w:val="auto"/>
              </w:rPr>
            </w:pPr>
            <w:r>
              <w:rPr>
                <w:rFonts w:ascii="Arial" w:cs="Arial" w:eastAsia="Arial" w:hAnsi="Arial"/>
                <w:sz w:val="14"/>
                <w:szCs w:val="14"/>
                <w:color w:val="333333"/>
                <w:w w:val="99"/>
              </w:rPr>
              <w:t>Transformation</w:t>
            </w:r>
          </w:p>
        </w:tc>
        <w:tc>
          <w:tcPr>
            <w:tcW w:w="160" w:type="dxa"/>
            <w:vAlign w:val="bottom"/>
            <w:shd w:val="clear" w:color="auto" w:fill="FCEFEB"/>
          </w:tcPr>
          <w:p>
            <w:pPr>
              <w:spacing w:after="0"/>
              <w:rPr>
                <w:sz w:val="13"/>
                <w:szCs w:val="13"/>
                <w:color w:val="auto"/>
              </w:rPr>
            </w:pPr>
          </w:p>
        </w:tc>
        <w:tc>
          <w:tcPr>
            <w:tcW w:w="1760" w:type="dxa"/>
            <w:vAlign w:val="bottom"/>
            <w:shd w:val="clear" w:color="auto" w:fill="FCEFEB"/>
          </w:tcPr>
          <w:p>
            <w:pPr>
              <w:jc w:val="center"/>
              <w:spacing w:after="0"/>
              <w:rPr>
                <w:sz w:val="20"/>
                <w:szCs w:val="20"/>
                <w:color w:val="auto"/>
              </w:rPr>
            </w:pPr>
            <w:r>
              <w:rPr>
                <w:rFonts w:ascii="Arial" w:cs="Arial" w:eastAsia="Arial" w:hAnsi="Arial"/>
                <w:sz w:val="14"/>
                <w:szCs w:val="14"/>
                <w:color w:val="333333"/>
              </w:rPr>
              <w:t>Ian Bickley</w:t>
            </w:r>
          </w:p>
        </w:tc>
        <w:tc>
          <w:tcPr>
            <w:tcW w:w="1380" w:type="dxa"/>
            <w:vAlign w:val="bottom"/>
            <w:shd w:val="clear" w:color="auto" w:fill="FCEFEB"/>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40" w:type="dxa"/>
            <w:vAlign w:val="bottom"/>
          </w:tcPr>
          <w:p>
            <w:pPr>
              <w:jc w:val="center"/>
              <w:spacing w:after="0"/>
              <w:rPr>
                <w:sz w:val="20"/>
                <w:szCs w:val="20"/>
                <w:color w:val="auto"/>
              </w:rPr>
            </w:pPr>
            <w:r>
              <w:rPr>
                <w:rFonts w:ascii="Arial" w:cs="Arial" w:eastAsia="Arial" w:hAnsi="Arial"/>
                <w:sz w:val="14"/>
                <w:szCs w:val="14"/>
                <w:color w:val="333333"/>
              </w:rPr>
              <w:t>Committee</w:t>
            </w:r>
          </w:p>
        </w:tc>
        <w:tc>
          <w:tcPr>
            <w:tcW w:w="160" w:type="dxa"/>
            <w:vAlign w:val="bottom"/>
            <w:shd w:val="clear" w:color="auto" w:fill="FCEFEB"/>
          </w:tcPr>
          <w:p>
            <w:pPr>
              <w:spacing w:after="0"/>
              <w:rPr>
                <w:sz w:val="16"/>
                <w:szCs w:val="16"/>
                <w:color w:val="auto"/>
              </w:rPr>
            </w:pPr>
          </w:p>
        </w:tc>
        <w:tc>
          <w:tcPr>
            <w:tcW w:w="1760" w:type="dxa"/>
            <w:vAlign w:val="bottom"/>
            <w:shd w:val="clear" w:color="auto" w:fill="FCEFEB"/>
          </w:tcPr>
          <w:p>
            <w:pPr>
              <w:spacing w:after="0"/>
              <w:rPr>
                <w:sz w:val="16"/>
                <w:szCs w:val="16"/>
                <w:color w:val="auto"/>
              </w:rPr>
            </w:pPr>
          </w:p>
        </w:tc>
        <w:tc>
          <w:tcPr>
            <w:tcW w:w="1380" w:type="dxa"/>
            <w:vAlign w:val="bottom"/>
            <w:shd w:val="clear" w:color="auto" w:fill="FCEFEB"/>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40" w:type="dxa"/>
            <w:vAlign w:val="bottom"/>
            <w:tcBorders>
              <w:bottom w:val="single" w:sz="8" w:color="005C5D"/>
            </w:tcBorders>
          </w:tcPr>
          <w:p>
            <w:pPr>
              <w:spacing w:after="0"/>
              <w:rPr>
                <w:sz w:val="5"/>
                <w:szCs w:val="5"/>
                <w:color w:val="auto"/>
              </w:rPr>
            </w:pPr>
          </w:p>
        </w:tc>
        <w:tc>
          <w:tcPr>
            <w:tcW w:w="160" w:type="dxa"/>
            <w:vAlign w:val="bottom"/>
            <w:tcBorders>
              <w:bottom w:val="single" w:sz="8" w:color="005C5D"/>
            </w:tcBorders>
            <w:shd w:val="clear" w:color="auto" w:fill="FCEFEB"/>
          </w:tcPr>
          <w:p>
            <w:pPr>
              <w:spacing w:after="0"/>
              <w:rPr>
                <w:sz w:val="5"/>
                <w:szCs w:val="5"/>
                <w:color w:val="auto"/>
              </w:rPr>
            </w:pPr>
          </w:p>
        </w:tc>
        <w:tc>
          <w:tcPr>
            <w:tcW w:w="1760" w:type="dxa"/>
            <w:vAlign w:val="bottom"/>
            <w:tcBorders>
              <w:bottom w:val="single" w:sz="8" w:color="005C5D"/>
            </w:tcBorders>
            <w:shd w:val="clear" w:color="auto" w:fill="FCEFEB"/>
          </w:tcPr>
          <w:p>
            <w:pPr>
              <w:spacing w:after="0"/>
              <w:rPr>
                <w:sz w:val="5"/>
                <w:szCs w:val="5"/>
                <w:color w:val="auto"/>
              </w:rPr>
            </w:pPr>
          </w:p>
        </w:tc>
        <w:tc>
          <w:tcPr>
            <w:tcW w:w="1380" w:type="dxa"/>
            <w:vAlign w:val="bottom"/>
            <w:tcBorders>
              <w:bottom w:val="single" w:sz="8" w:color="005C5D"/>
            </w:tcBorders>
            <w:shd w:val="clear" w:color="auto" w:fill="FCEFEB"/>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85" w:lineRule="exact"/>
        <w:rPr>
          <w:sz w:val="20"/>
          <w:szCs w:val="20"/>
          <w:color w:val="auto"/>
        </w:rPr>
      </w:pPr>
    </w:p>
    <w:p>
      <w:pPr>
        <w:ind w:left="4940"/>
        <w:spacing w:after="0"/>
        <w:tabs>
          <w:tab w:leader="none" w:pos="9160" w:val="left"/>
          <w:tab w:leader="none" w:pos="1098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9</w:t>
      </w:r>
    </w:p>
    <w:p>
      <w:pPr>
        <w:sectPr>
          <w:pgSz w:w="11900" w:h="16838" w:orient="portrait"/>
          <w:cols w:equalWidth="0" w:num="1">
            <w:col w:w="11080"/>
          </w:cols>
          <w:pgMar w:left="320" w:top="478" w:right="4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both"/>
        <w:ind w:left="160"/>
        <w:spacing w:after="0" w:line="246" w:lineRule="auto"/>
        <w:rPr>
          <w:sz w:val="20"/>
          <w:szCs w:val="20"/>
          <w:color w:val="auto"/>
        </w:rPr>
      </w:pPr>
      <w:r>
        <w:rPr>
          <w:rFonts w:ascii="Arial" w:cs="Arial" w:eastAsia="Arial" w:hAnsi="Arial"/>
          <w:sz w:val="16"/>
          <w:szCs w:val="16"/>
          <w:b w:val="1"/>
          <w:bCs w:val="1"/>
          <w:color w:val="337C7D"/>
        </w:rPr>
        <w:t xml:space="preserve">Audit Committee. </w:t>
      </w:r>
      <w:r>
        <w:rPr>
          <w:rFonts w:ascii="Arial" w:cs="Arial" w:eastAsia="Arial" w:hAnsi="Arial"/>
          <w:sz w:val="16"/>
          <w:szCs w:val="16"/>
          <w:color w:val="333333"/>
        </w:rPr>
        <w:t>Our Audit Committee reviews and recommends to the</w:t>
      </w:r>
      <w:r>
        <w:rPr>
          <w:rFonts w:ascii="Arial" w:cs="Arial" w:eastAsia="Arial" w:hAnsi="Arial"/>
          <w:sz w:val="16"/>
          <w:szCs w:val="16"/>
          <w:b w:val="1"/>
          <w:bCs w:val="1"/>
          <w:color w:val="337C7D"/>
        </w:rPr>
        <w:t xml:space="preserve"> </w:t>
      </w:r>
      <w:r>
        <w:rPr>
          <w:rFonts w:ascii="Arial" w:cs="Arial" w:eastAsia="Arial" w:hAnsi="Arial"/>
          <w:sz w:val="16"/>
          <w:szCs w:val="16"/>
          <w:color w:val="333333"/>
        </w:rPr>
        <w:t>Board of Directors internal accounting and financial controls, accounting principles, and auditing practices to be employed in the preparation and review of our financial statements. In addition, our Audit Committee has the authority to engage, oversee, and dismiss public accountants to audit our annual financial statements and determine the scope of the audit to be undertaken by such accountants. Our Audit Committee also reviews the fairness of related party transactions and assists the Board in managing enterprise risk, cybersecurity, and capital spending. The Board of Directors has determined that Kristina Cashman, the Chair of the Audit Committee is an “audit committee financial expert” (as defined by Item 407(d)(5)(ii) of Regulation S-K) and is “independent” (under the definitions and interpretations of NASDAQ Stock Market), in accordance with the rules of The NASDAQ Stock Market. The Audit Committee met eight times in fiscal 2026.</w:t>
      </w:r>
    </w:p>
    <w:p>
      <w:pPr>
        <w:spacing w:after="0" w:line="113"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b w:val="1"/>
          <w:bCs w:val="1"/>
          <w:color w:val="337C7D"/>
        </w:rPr>
        <w:t xml:space="preserve">Talent and Compensation Committee. </w:t>
      </w:r>
      <w:r>
        <w:rPr>
          <w:rFonts w:ascii="Arial" w:cs="Arial" w:eastAsia="Arial" w:hAnsi="Arial"/>
          <w:sz w:val="16"/>
          <w:szCs w:val="16"/>
          <w:color w:val="333333"/>
        </w:rPr>
        <w:t>Our Talent and Compensation</w:t>
      </w:r>
      <w:r>
        <w:rPr>
          <w:rFonts w:ascii="Arial" w:cs="Arial" w:eastAsia="Arial" w:hAnsi="Arial"/>
          <w:sz w:val="16"/>
          <w:szCs w:val="16"/>
          <w:b w:val="1"/>
          <w:bCs w:val="1"/>
          <w:color w:val="337C7D"/>
        </w:rPr>
        <w:t xml:space="preserve"> </w:t>
      </w:r>
      <w:r>
        <w:rPr>
          <w:rFonts w:ascii="Arial" w:cs="Arial" w:eastAsia="Arial" w:hAnsi="Arial"/>
          <w:sz w:val="16"/>
          <w:szCs w:val="16"/>
          <w:color w:val="333333"/>
        </w:rPr>
        <w:t>Committee reviews and determines policies, practices and procedures relating to the compensation of executive officers, including the CEO, and the establishment and administration of certain employee benefit plans for executive officers. The Talent and Compensation Committee has the authority to administer our 2020 Equity and Incentive Plan, as amended (“2020 Plan”) and to advise and consult with our officers regarding managerial personnel policies. All members of the Committee are independent. The Talent and Compensation Committee met five times in fiscal 2026.</w:t>
      </w:r>
    </w:p>
    <w:p>
      <w:pPr>
        <w:spacing w:after="0" w:line="118" w:lineRule="exact"/>
        <w:rPr>
          <w:sz w:val="20"/>
          <w:szCs w:val="20"/>
          <w:color w:val="auto"/>
        </w:rPr>
      </w:pPr>
    </w:p>
    <w:p>
      <w:pPr>
        <w:jc w:val="both"/>
        <w:ind w:left="160"/>
        <w:spacing w:after="0" w:line="246" w:lineRule="auto"/>
        <w:rPr>
          <w:sz w:val="20"/>
          <w:szCs w:val="20"/>
          <w:color w:val="auto"/>
        </w:rPr>
      </w:pPr>
      <w:r>
        <w:rPr>
          <w:rFonts w:ascii="Arial" w:cs="Arial" w:eastAsia="Arial" w:hAnsi="Arial"/>
          <w:sz w:val="16"/>
          <w:szCs w:val="16"/>
          <w:b w:val="1"/>
          <w:bCs w:val="1"/>
          <w:color w:val="337C7D"/>
        </w:rPr>
        <w:t xml:space="preserve">Nominating, Governance and Sustainability Committee. </w:t>
      </w:r>
      <w:r>
        <w:rPr>
          <w:rFonts w:ascii="Arial" w:cs="Arial" w:eastAsia="Arial" w:hAnsi="Arial"/>
          <w:sz w:val="16"/>
          <w:szCs w:val="16"/>
          <w:color w:val="333333"/>
        </w:rPr>
        <w:t>Our</w:t>
      </w:r>
      <w:r>
        <w:rPr>
          <w:rFonts w:ascii="Arial" w:cs="Arial" w:eastAsia="Arial" w:hAnsi="Arial"/>
          <w:sz w:val="16"/>
          <w:szCs w:val="16"/>
          <w:b w:val="1"/>
          <w:bCs w:val="1"/>
          <w:color w:val="337C7D"/>
        </w:rPr>
        <w:t xml:space="preserve"> </w:t>
      </w:r>
      <w:r>
        <w:rPr>
          <w:rFonts w:ascii="Arial" w:cs="Arial" w:eastAsia="Arial" w:hAnsi="Arial"/>
          <w:sz w:val="16"/>
          <w:szCs w:val="16"/>
          <w:color w:val="333333"/>
        </w:rPr>
        <w:t>Nominating, Governance and Sustainability Committee assists the Board of Directors with its responsibilities regarding the identification of individuals qualified to become directors, the selection of the director nominees for the next annual meeting of shareholders, and the selection of director candidates to fill any vacancies on the Board of Directors. It also has oversight of the Company’s Corporate Responsibility efforts, including reviewing and making recommendations to the Board regarding the Company’s sustainability strategy and compliance with corporate governance, environmental sustainability, and social responsibility. The Nominating, Governance and Sustainability Committee also reviews our efforts to audit our suppliers to ensure compliance with our vendor code of conduct. It reviews and makes recommendations to the Board regarding the preparation, review of, and compliance with corporate governance policies, succession planning for the CEO, and tenure and retirement policies for directors. The Nominating, Governance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both"/>
        <w:ind w:left="7"/>
        <w:spacing w:after="0" w:line="248" w:lineRule="auto"/>
        <w:rPr>
          <w:sz w:val="20"/>
          <w:szCs w:val="20"/>
          <w:color w:val="auto"/>
        </w:rPr>
      </w:pPr>
      <w:r>
        <w:rPr>
          <w:rFonts w:ascii="Arial" w:cs="Arial" w:eastAsia="Arial" w:hAnsi="Arial"/>
          <w:sz w:val="16"/>
          <w:szCs w:val="16"/>
          <w:color w:val="333333"/>
        </w:rPr>
        <w:t>Sustainability Committee and management are responsible for director continuing education programs to assist directors in maintaining the skills and knowledge necessary or appropriate for the performance of their responsibilities. Continuing education programs for directors may include a combination of internally developed materials and presentations, programs presented by third parties, and financial and administrative support for attendance at qualifying academic or other independent programs. All members of the Committee are independent. The Nominating, Governance and Sustainability Committee met four times in fiscal 2026.</w:t>
      </w:r>
    </w:p>
    <w:p>
      <w:pPr>
        <w:spacing w:after="0" w:line="108" w:lineRule="exact"/>
        <w:rPr>
          <w:sz w:val="20"/>
          <w:szCs w:val="20"/>
          <w:color w:val="auto"/>
        </w:rPr>
      </w:pPr>
    </w:p>
    <w:p>
      <w:pPr>
        <w:jc w:val="both"/>
        <w:ind w:left="7"/>
        <w:spacing w:after="0" w:line="250" w:lineRule="auto"/>
        <w:rPr>
          <w:sz w:val="20"/>
          <w:szCs w:val="20"/>
          <w:color w:val="auto"/>
        </w:rPr>
      </w:pPr>
      <w:r>
        <w:rPr>
          <w:rFonts w:ascii="Arial" w:cs="Arial" w:eastAsia="Arial" w:hAnsi="Arial"/>
          <w:sz w:val="16"/>
          <w:szCs w:val="16"/>
          <w:b w:val="1"/>
          <w:bCs w:val="1"/>
          <w:color w:val="337C7D"/>
        </w:rPr>
        <w:t xml:space="preserve">Strategy and Transformation Committee. </w:t>
      </w:r>
      <w:r>
        <w:rPr>
          <w:rFonts w:ascii="Arial" w:cs="Arial" w:eastAsia="Arial" w:hAnsi="Arial"/>
          <w:sz w:val="16"/>
          <w:szCs w:val="16"/>
          <w:color w:val="333333"/>
        </w:rPr>
        <w:t>Our Strategy and</w:t>
      </w:r>
      <w:r>
        <w:rPr>
          <w:rFonts w:ascii="Arial" w:cs="Arial" w:eastAsia="Arial" w:hAnsi="Arial"/>
          <w:sz w:val="16"/>
          <w:szCs w:val="16"/>
          <w:b w:val="1"/>
          <w:bCs w:val="1"/>
          <w:color w:val="337C7D"/>
        </w:rPr>
        <w:t xml:space="preserve"> </w:t>
      </w:r>
      <w:r>
        <w:rPr>
          <w:rFonts w:ascii="Arial" w:cs="Arial" w:eastAsia="Arial" w:hAnsi="Arial"/>
          <w:sz w:val="16"/>
          <w:szCs w:val="16"/>
          <w:color w:val="333333"/>
        </w:rPr>
        <w:t>Transformation Committee works closely with leadership in shaping the Company’s strategic direction and future growth initiatives. Since its creation, the Strategy and Transformation Committee has spearheaded Project Sunshine, a comprehensive strategy to strengthen our market position by tapping into our brand’s strong emotional connection with consumers. The five key initiatives of Project Sunshine are:</w:t>
      </w:r>
    </w:p>
    <w:p>
      <w:pPr>
        <w:spacing w:after="0" w:line="116" w:lineRule="exact"/>
        <w:rPr>
          <w:sz w:val="20"/>
          <w:szCs w:val="20"/>
          <w:color w:val="auto"/>
        </w:rPr>
      </w:pPr>
    </w:p>
    <w:p>
      <w:pPr>
        <w:jc w:val="both"/>
        <w:ind w:left="207" w:right="20" w:hanging="207"/>
        <w:spacing w:after="0" w:line="256" w:lineRule="auto"/>
        <w:tabs>
          <w:tab w:leader="none" w:pos="207" w:val="left"/>
        </w:tabs>
        <w:numPr>
          <w:ilvl w:val="0"/>
          <w:numId w:val="26"/>
        </w:numPr>
        <w:rPr>
          <w:rFonts w:ascii="Arial" w:cs="Arial" w:eastAsia="Arial" w:hAnsi="Arial"/>
          <w:sz w:val="16"/>
          <w:szCs w:val="16"/>
          <w:color w:val="333333"/>
        </w:rPr>
      </w:pPr>
      <w:r>
        <w:rPr>
          <w:rFonts w:ascii="Arial" w:cs="Arial" w:eastAsia="Arial" w:hAnsi="Arial"/>
          <w:sz w:val="16"/>
          <w:szCs w:val="16"/>
          <w:u w:val="single" w:color="auto"/>
          <w:color w:val="333333"/>
        </w:rPr>
        <w:t>Sharpening Our Brand Focus</w:t>
      </w:r>
      <w:r>
        <w:rPr>
          <w:rFonts w:ascii="Arial" w:cs="Arial" w:eastAsia="Arial" w:hAnsi="Arial"/>
          <w:sz w:val="16"/>
          <w:szCs w:val="16"/>
          <w:color w:val="333333"/>
        </w:rPr>
        <w:t>: We are restoring Vera Bradley’s distinctive, joyful brand positioning by strengthening product, emphasis on social-first marketing, storytelling, and partnering selectively across wholesale and IP to rebuild relevance and demand.</w:t>
      </w:r>
    </w:p>
    <w:p>
      <w:pPr>
        <w:spacing w:after="0" w:line="111" w:lineRule="exact"/>
        <w:rPr>
          <w:rFonts w:ascii="Arial" w:cs="Arial" w:eastAsia="Arial" w:hAnsi="Arial"/>
          <w:sz w:val="16"/>
          <w:szCs w:val="16"/>
          <w:color w:val="333333"/>
        </w:rPr>
      </w:pPr>
    </w:p>
    <w:p>
      <w:pPr>
        <w:jc w:val="both"/>
        <w:ind w:left="207" w:right="20" w:hanging="207"/>
        <w:spacing w:after="0" w:line="256" w:lineRule="auto"/>
        <w:tabs>
          <w:tab w:leader="none" w:pos="207" w:val="left"/>
        </w:tabs>
        <w:numPr>
          <w:ilvl w:val="0"/>
          <w:numId w:val="26"/>
        </w:numPr>
        <w:rPr>
          <w:rFonts w:ascii="Arial" w:cs="Arial" w:eastAsia="Arial" w:hAnsi="Arial"/>
          <w:sz w:val="16"/>
          <w:szCs w:val="16"/>
          <w:color w:val="333333"/>
        </w:rPr>
      </w:pPr>
      <w:r>
        <w:rPr>
          <w:rFonts w:ascii="Arial" w:cs="Arial" w:eastAsia="Arial" w:hAnsi="Arial"/>
          <w:sz w:val="16"/>
          <w:szCs w:val="16"/>
          <w:u w:val="single" w:color="auto"/>
          <w:color w:val="333333"/>
        </w:rPr>
        <w:t>Resetting Our Go-to-Market Model</w:t>
      </w:r>
      <w:r>
        <w:rPr>
          <w:rFonts w:ascii="Arial" w:cs="Arial" w:eastAsia="Arial" w:hAnsi="Arial"/>
          <w:sz w:val="16"/>
          <w:szCs w:val="16"/>
          <w:color w:val="333333"/>
        </w:rPr>
        <w:t>: We are rebuilding our commercial engine with sharper hero product focus, disciplined pricing and promotions, improved inventory planning, and integrated, insight-led execution across channels.</w:t>
      </w:r>
    </w:p>
    <w:p>
      <w:pPr>
        <w:spacing w:after="0" w:line="111" w:lineRule="exact"/>
        <w:rPr>
          <w:rFonts w:ascii="Arial" w:cs="Arial" w:eastAsia="Arial" w:hAnsi="Arial"/>
          <w:sz w:val="16"/>
          <w:szCs w:val="16"/>
          <w:color w:val="333333"/>
        </w:rPr>
      </w:pPr>
    </w:p>
    <w:p>
      <w:pPr>
        <w:jc w:val="both"/>
        <w:ind w:left="207" w:right="20" w:hanging="207"/>
        <w:spacing w:after="0" w:line="256" w:lineRule="auto"/>
        <w:tabs>
          <w:tab w:leader="none" w:pos="207" w:val="left"/>
        </w:tabs>
        <w:numPr>
          <w:ilvl w:val="0"/>
          <w:numId w:val="26"/>
        </w:numPr>
        <w:rPr>
          <w:rFonts w:ascii="Arial" w:cs="Arial" w:eastAsia="Arial" w:hAnsi="Arial"/>
          <w:sz w:val="16"/>
          <w:szCs w:val="16"/>
          <w:color w:val="333333"/>
        </w:rPr>
      </w:pPr>
      <w:r>
        <w:rPr>
          <w:rFonts w:ascii="Arial" w:cs="Arial" w:eastAsia="Arial" w:hAnsi="Arial"/>
          <w:sz w:val="16"/>
          <w:szCs w:val="16"/>
          <w:u w:val="single" w:color="auto"/>
          <w:color w:val="333333"/>
        </w:rPr>
        <w:t>Rewiring the Digital Ecosystem</w:t>
      </w:r>
      <w:r>
        <w:rPr>
          <w:rFonts w:ascii="Arial" w:cs="Arial" w:eastAsia="Arial" w:hAnsi="Arial"/>
          <w:sz w:val="16"/>
          <w:szCs w:val="16"/>
          <w:color w:val="333333"/>
        </w:rPr>
        <w:t>: We are integrating our digital commerce platforms to create a seamless customer journey, supported by enhanced site functionality, data-driven decisions, and improved conversion and profitability.</w:t>
      </w:r>
    </w:p>
    <w:p>
      <w:pPr>
        <w:spacing w:after="0" w:line="111" w:lineRule="exact"/>
        <w:rPr>
          <w:rFonts w:ascii="Arial" w:cs="Arial" w:eastAsia="Arial" w:hAnsi="Arial"/>
          <w:sz w:val="16"/>
          <w:szCs w:val="16"/>
          <w:color w:val="333333"/>
        </w:rPr>
      </w:pPr>
    </w:p>
    <w:p>
      <w:pPr>
        <w:jc w:val="both"/>
        <w:ind w:left="207" w:right="20" w:hanging="207"/>
        <w:spacing w:after="0" w:line="262" w:lineRule="auto"/>
        <w:tabs>
          <w:tab w:leader="none" w:pos="207" w:val="left"/>
        </w:tabs>
        <w:numPr>
          <w:ilvl w:val="0"/>
          <w:numId w:val="26"/>
        </w:numPr>
        <w:rPr>
          <w:rFonts w:ascii="Arial" w:cs="Arial" w:eastAsia="Arial" w:hAnsi="Arial"/>
          <w:sz w:val="16"/>
          <w:szCs w:val="16"/>
          <w:color w:val="333333"/>
        </w:rPr>
      </w:pPr>
      <w:r>
        <w:rPr>
          <w:rFonts w:ascii="Arial" w:cs="Arial" w:eastAsia="Arial" w:hAnsi="Arial"/>
          <w:sz w:val="16"/>
          <w:szCs w:val="16"/>
          <w:u w:val="single" w:color="auto"/>
          <w:color w:val="333333"/>
        </w:rPr>
        <w:t>Outlet 2.0</w:t>
      </w:r>
      <w:r>
        <w:rPr>
          <w:rFonts w:ascii="Arial" w:cs="Arial" w:eastAsia="Arial" w:hAnsi="Arial"/>
          <w:sz w:val="16"/>
          <w:szCs w:val="16"/>
          <w:color w:val="333333"/>
        </w:rPr>
        <w:t>: We are transforming our outlet channel from discount driven to a curated, brand-building smart-value experience that is delivering higher sales, conversion, and profitability.</w:t>
      </w:r>
    </w:p>
    <w:p>
      <w:pPr>
        <w:spacing w:after="0" w:line="106" w:lineRule="exact"/>
        <w:rPr>
          <w:rFonts w:ascii="Arial" w:cs="Arial" w:eastAsia="Arial" w:hAnsi="Arial"/>
          <w:sz w:val="16"/>
          <w:szCs w:val="16"/>
          <w:color w:val="333333"/>
        </w:rPr>
      </w:pPr>
    </w:p>
    <w:p>
      <w:pPr>
        <w:jc w:val="both"/>
        <w:ind w:left="207" w:right="20" w:hanging="207"/>
        <w:spacing w:after="0" w:line="262" w:lineRule="auto"/>
        <w:tabs>
          <w:tab w:leader="none" w:pos="207" w:val="left"/>
        </w:tabs>
        <w:numPr>
          <w:ilvl w:val="0"/>
          <w:numId w:val="26"/>
        </w:numPr>
        <w:rPr>
          <w:rFonts w:ascii="Arial" w:cs="Arial" w:eastAsia="Arial" w:hAnsi="Arial"/>
          <w:sz w:val="16"/>
          <w:szCs w:val="16"/>
          <w:color w:val="333333"/>
        </w:rPr>
      </w:pPr>
      <w:r>
        <w:rPr>
          <w:rFonts w:ascii="Arial" w:cs="Arial" w:eastAsia="Arial" w:hAnsi="Arial"/>
          <w:sz w:val="16"/>
          <w:szCs w:val="16"/>
          <w:u w:val="single" w:color="auto"/>
          <w:color w:val="333333"/>
        </w:rPr>
        <w:t>Reimagining How We Work</w:t>
      </w:r>
      <w:r>
        <w:rPr>
          <w:rFonts w:ascii="Arial" w:cs="Arial" w:eastAsia="Arial" w:hAnsi="Arial"/>
          <w:sz w:val="16"/>
          <w:szCs w:val="16"/>
          <w:color w:val="333333"/>
        </w:rPr>
        <w:t>: We are streamlining the organization while investing in critical talent and capabilities to create a more agile, future-fit company positioned for sustainable long-term growth.</w:t>
      </w:r>
    </w:p>
    <w:p>
      <w:pPr>
        <w:spacing w:after="0" w:line="902" w:lineRule="exact"/>
        <w:rPr>
          <w:sz w:val="20"/>
          <w:szCs w:val="20"/>
          <w:color w:val="auto"/>
        </w:rPr>
      </w:pPr>
    </w:p>
    <w:p>
      <w:pPr>
        <w:sectPr>
          <w:pgSz w:w="11900" w:h="16838" w:orient="portrait"/>
          <w:cols w:equalWidth="0" w:num="2">
            <w:col w:w="5400" w:space="333"/>
            <w:col w:w="5347"/>
          </w:cols>
          <w:pgMar w:left="320" w:top="478" w:right="499" w:bottom="1440" w:gutter="0" w:footer="0" w:header="0"/>
          <w:type w:val="continuous"/>
        </w:sectPr>
      </w:pPr>
    </w:p>
    <w:p>
      <w:pPr>
        <w:spacing w:after="0" w:line="64" w:lineRule="exact"/>
        <w:rPr>
          <w:sz w:val="20"/>
          <w:szCs w:val="20"/>
          <w:color w:val="auto"/>
        </w:rPr>
      </w:pPr>
    </w:p>
    <w:p>
      <w:pPr>
        <w:ind w:left="160"/>
        <w:spacing w:after="0"/>
        <w:tabs>
          <w:tab w:leader="none" w:pos="4920" w:val="left"/>
        </w:tabs>
        <w:rPr>
          <w:sz w:val="20"/>
          <w:szCs w:val="20"/>
          <w:color w:val="auto"/>
        </w:rPr>
      </w:pPr>
      <w:r>
        <w:rPr>
          <w:rFonts w:ascii="Arial" w:cs="Arial" w:eastAsia="Arial" w:hAnsi="Arial"/>
          <w:sz w:val="14"/>
          <w:szCs w:val="14"/>
          <w:color w:val="005C5D"/>
        </w:rPr>
        <w:t xml:space="preserve">10 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1080"/>
          </w:cols>
          <w:pgMar w:left="320" w:top="478" w:right="4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ANNUAL BOARD AND COMMITTEE EVALUATIONS</w:t>
      </w:r>
    </w:p>
    <w:p>
      <w:pPr>
        <w:spacing w:after="0" w:line="127"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333333"/>
        </w:rPr>
        <w:t>Our Board and each of our standing committees annually conduct self-evaluations to identify opportunities to improve Board and committee performance.</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COMMITTEE CHARTERS</w:t>
      </w:r>
    </w:p>
    <w:p>
      <w:pPr>
        <w:spacing w:after="0" w:line="141" w:lineRule="exact"/>
        <w:rPr>
          <w:sz w:val="20"/>
          <w:szCs w:val="20"/>
          <w:color w:val="auto"/>
        </w:rPr>
      </w:pPr>
    </w:p>
    <w:p>
      <w:pPr>
        <w:jc w:val="both"/>
        <w:ind w:left="160"/>
        <w:spacing w:after="0" w:line="249" w:lineRule="auto"/>
        <w:rPr>
          <w:sz w:val="20"/>
          <w:szCs w:val="20"/>
          <w:color w:val="auto"/>
        </w:rPr>
      </w:pPr>
      <w:r>
        <w:rPr>
          <w:rFonts w:ascii="Arial" w:cs="Arial" w:eastAsia="Arial" w:hAnsi="Arial"/>
          <w:sz w:val="16"/>
          <w:szCs w:val="16"/>
          <w:color w:val="333333"/>
        </w:rPr>
        <w:t>The charters of the four standing committees of the Board of Directors describe the governance framework for each Committee. The charters, along with the Corporate Governance Guidelines, are intended to ensure our Board has the necessary authority and practices in place to review and evaluate our business operations and to make decisions that are independent of management. These charters are reviewed by each Committee on an annual basis and any recommended changes are made and approved by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333333"/>
        </w:rPr>
        <w:t>You may view the charters at http://investors.verabradley.com/corporate-governance.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5C5D"/>
        </w:rPr>
        <w:t>COMMUNICATIONS WITH DIRECTORS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333333"/>
        </w:rPr>
        <w:t>Shareholders may communicate with our directors by transmitting correspondence to our investor relations desk via the internet at http://investors.verabradley.com/ corporate-governance/contact-the-board or to our Secretary at: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333333"/>
        </w:rPr>
        <w:t>Corporate Secretary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333333"/>
        </w:rPr>
        <w:t>c/o Vera Bradley, Inc.</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333333"/>
        </w:rPr>
        <w:t>12420 Stonebridge Road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333333"/>
        </w:rPr>
        <w:t>Roanoke, Indiana 46783</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33333"/>
        </w:rPr>
        <w:t>The Secretary will, as appropriate, forward communications to the Board of Directors or to any individual director, directors, or committee to whom the communication is directed.</w:t>
      </w:r>
    </w:p>
    <w:p>
      <w:pPr>
        <w:spacing w:after="0" w:line="200"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58" w:lineRule="exact"/>
        <w:rPr>
          <w:sz w:val="20"/>
          <w:szCs w:val="20"/>
          <w:color w:val="auto"/>
        </w:rPr>
      </w:pPr>
    </w:p>
    <w:p>
      <w:pPr>
        <w:ind w:left="4940"/>
        <w:spacing w:after="0"/>
        <w:tabs>
          <w:tab w:leader="none" w:pos="9100" w:val="left"/>
          <w:tab w:leader="none" w:pos="1092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r>
      <w:r>
        <w:rPr>
          <w:sz w:val="20"/>
          <w:szCs w:val="20"/>
          <w:color w:val="auto"/>
        </w:rPr>
        <w:tab/>
      </w:r>
      <w:r>
        <w:rPr>
          <w:rFonts w:ascii="Arial" w:cs="Arial" w:eastAsia="Arial" w:hAnsi="Arial"/>
          <w:sz w:val="12"/>
          <w:szCs w:val="12"/>
          <w:color w:val="005C5D"/>
        </w:rPr>
        <w:t>11</w:t>
      </w:r>
    </w:p>
    <w:p>
      <w:pPr>
        <w:sectPr>
          <w:pgSz w:w="11900" w:h="16838" w:orient="portrait"/>
          <w:cols w:equalWidth="0" w:num="1">
            <w:col w:w="11080"/>
          </w:cols>
          <w:pgMar w:left="320" w:top="478" w:right="4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160"/>
        <w:spacing w:after="0"/>
        <w:rPr>
          <w:sz w:val="20"/>
          <w:szCs w:val="20"/>
          <w:color w:val="auto"/>
        </w:rPr>
      </w:pPr>
      <w:r>
        <w:rPr>
          <w:rFonts w:ascii="Arial" w:cs="Arial" w:eastAsia="Arial" w:hAnsi="Arial"/>
          <w:sz w:val="27"/>
          <w:szCs w:val="27"/>
          <w:b w:val="1"/>
          <w:bCs w:val="1"/>
          <w:color w:val="005C5D"/>
        </w:rPr>
        <w:t>DIRECTOR COMPENSATION</w:t>
      </w:r>
    </w:p>
    <w:p>
      <w:pPr>
        <w:spacing w:after="0" w:line="213" w:lineRule="exact"/>
        <w:rPr>
          <w:sz w:val="20"/>
          <w:szCs w:val="20"/>
          <w:color w:val="auto"/>
        </w:rPr>
      </w:pPr>
    </w:p>
    <w:p>
      <w:pPr>
        <w:jc w:val="both"/>
        <w:ind w:left="160"/>
        <w:spacing w:after="0" w:line="251" w:lineRule="auto"/>
        <w:rPr>
          <w:sz w:val="20"/>
          <w:szCs w:val="20"/>
          <w:color w:val="auto"/>
        </w:rPr>
      </w:pPr>
      <w:r>
        <w:rPr>
          <w:rFonts w:ascii="Arial" w:cs="Arial" w:eastAsia="Arial" w:hAnsi="Arial"/>
          <w:sz w:val="16"/>
          <w:szCs w:val="16"/>
          <w:color w:val="333333"/>
        </w:rPr>
        <w:t>The Talent and Compensation Committee annually reviews the compensation for our Board of Directors and looks at director compensation relative to the Company’s Peer Group. The tables below reflect the cash and equity compensation provided for service on our Board. All directors other than Mr. Bickley participate in our non-employee director compensation program.</w:t>
      </w:r>
    </w:p>
    <w:p>
      <w:pPr>
        <w:spacing w:after="0" w:line="280" w:lineRule="exact"/>
        <w:rPr>
          <w:sz w:val="20"/>
          <w:szCs w:val="20"/>
          <w:color w:val="auto"/>
        </w:rPr>
      </w:pPr>
    </w:p>
    <w:p>
      <w:pPr>
        <w:ind w:left="160" w:right="920"/>
        <w:spacing w:after="0" w:line="264" w:lineRule="auto"/>
        <w:rPr>
          <w:sz w:val="20"/>
          <w:szCs w:val="20"/>
          <w:color w:val="auto"/>
        </w:rPr>
      </w:pPr>
      <w:r>
        <w:rPr>
          <w:rFonts w:ascii="Arial" w:cs="Arial" w:eastAsia="Arial" w:hAnsi="Arial"/>
          <w:sz w:val="20"/>
          <w:szCs w:val="20"/>
          <w:b w:val="1"/>
          <w:bCs w:val="1"/>
          <w:color w:val="005C5D"/>
        </w:rPr>
        <w:t>CASH COMPENSATION FOR NON-EMPLOYEE DIRECTORS</w:t>
      </w:r>
    </w:p>
    <w:p>
      <w:pPr>
        <w:spacing w:after="0" w:line="38" w:lineRule="exact"/>
        <w:rPr>
          <w:sz w:val="20"/>
          <w:szCs w:val="20"/>
          <w:color w:val="auto"/>
        </w:rPr>
      </w:pPr>
    </w:p>
    <w:p>
      <w:pPr>
        <w:jc w:val="both"/>
        <w:ind w:left="160"/>
        <w:spacing w:after="0" w:line="256" w:lineRule="auto"/>
        <w:rPr>
          <w:sz w:val="20"/>
          <w:szCs w:val="20"/>
          <w:color w:val="auto"/>
        </w:rPr>
      </w:pPr>
      <w:r>
        <w:rPr>
          <w:rFonts w:ascii="Arial" w:cs="Arial" w:eastAsia="Arial" w:hAnsi="Arial"/>
          <w:sz w:val="16"/>
          <w:szCs w:val="16"/>
          <w:color w:val="333333"/>
        </w:rPr>
        <w:t>The fee for our non-employee directors under the cash compensation element of the program during fiscal 2026 was $49,500. We pay the Lead Independent Director an additional retainer of $9,000. In addition, we pay the following annual retainers for committee service:</w:t>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005C5D"/>
        </w:rPr>
        <w:t>FISCAL 2026 ANNUAL BOARD RETAINERS</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455"/>
        </w:trPr>
        <w:tc>
          <w:tcPr>
            <w:tcW w:w="4160" w:type="dxa"/>
            <w:vAlign w:val="bottom"/>
          </w:tcPr>
          <w:p>
            <w:pPr>
              <w:ind w:left="80"/>
              <w:spacing w:after="0"/>
              <w:rPr>
                <w:sz w:val="20"/>
                <w:szCs w:val="20"/>
                <w:color w:val="auto"/>
              </w:rPr>
            </w:pPr>
            <w:r>
              <w:rPr>
                <w:rFonts w:ascii="Arial" w:cs="Arial" w:eastAsia="Arial" w:hAnsi="Arial"/>
                <w:sz w:val="14"/>
                <w:szCs w:val="14"/>
                <w:color w:val="333333"/>
              </w:rPr>
              <w:t>Audit Committee Chair</w:t>
            </w:r>
          </w:p>
        </w:tc>
        <w:tc>
          <w:tcPr>
            <w:tcW w:w="1080" w:type="dxa"/>
            <w:vAlign w:val="bottom"/>
            <w:tcBorders>
              <w:bottom w:val="single" w:sz="8" w:color="FCEFEB"/>
            </w:tcBorders>
            <w:shd w:val="clear" w:color="auto" w:fill="FCEFEB"/>
          </w:tcPr>
          <w:p>
            <w:pPr>
              <w:jc w:val="right"/>
              <w:ind w:right="229"/>
              <w:spacing w:after="0"/>
              <w:rPr>
                <w:sz w:val="20"/>
                <w:szCs w:val="20"/>
                <w:color w:val="auto"/>
              </w:rPr>
            </w:pPr>
            <w:r>
              <w:rPr>
                <w:rFonts w:ascii="Arial" w:cs="Arial" w:eastAsia="Arial" w:hAnsi="Arial"/>
                <w:sz w:val="14"/>
                <w:szCs w:val="14"/>
                <w:color w:val="333333"/>
              </w:rPr>
              <w:t>$13,500</w:t>
            </w:r>
          </w:p>
        </w:tc>
      </w:tr>
      <w:tr>
        <w:trPr>
          <w:trHeight w:val="274"/>
        </w:trPr>
        <w:tc>
          <w:tcPr>
            <w:tcW w:w="416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Audit Committee Members</w:t>
            </w:r>
          </w:p>
        </w:tc>
        <w:tc>
          <w:tcPr>
            <w:tcW w:w="1080" w:type="dxa"/>
            <w:vAlign w:val="bottom"/>
            <w:tcBorders>
              <w:top w:val="single" w:sz="8" w:color="005C5D"/>
              <w:bottom w:val="single" w:sz="8" w:color="FCEFEB"/>
            </w:tcBorders>
            <w:shd w:val="clear" w:color="auto" w:fill="FCEFEB"/>
          </w:tcPr>
          <w:p>
            <w:pPr>
              <w:jc w:val="right"/>
              <w:ind w:right="229"/>
              <w:spacing w:after="0"/>
              <w:rPr>
                <w:sz w:val="20"/>
                <w:szCs w:val="20"/>
                <w:color w:val="auto"/>
              </w:rPr>
            </w:pPr>
            <w:r>
              <w:rPr>
                <w:rFonts w:ascii="Arial" w:cs="Arial" w:eastAsia="Arial" w:hAnsi="Arial"/>
                <w:sz w:val="14"/>
                <w:szCs w:val="14"/>
                <w:color w:val="333333"/>
              </w:rPr>
              <w:t>9,000</w:t>
            </w:r>
          </w:p>
        </w:tc>
      </w:tr>
      <w:tr>
        <w:trPr>
          <w:trHeight w:val="274"/>
        </w:trPr>
        <w:tc>
          <w:tcPr>
            <w:tcW w:w="416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Talent and Compensation Committee Chair</w:t>
            </w:r>
          </w:p>
        </w:tc>
        <w:tc>
          <w:tcPr>
            <w:tcW w:w="1080" w:type="dxa"/>
            <w:vAlign w:val="bottom"/>
            <w:tcBorders>
              <w:top w:val="single" w:sz="8" w:color="005C5D"/>
              <w:bottom w:val="single" w:sz="8" w:color="FCEFEB"/>
            </w:tcBorders>
            <w:shd w:val="clear" w:color="auto" w:fill="FCEFEB"/>
          </w:tcPr>
          <w:p>
            <w:pPr>
              <w:jc w:val="right"/>
              <w:ind w:right="229"/>
              <w:spacing w:after="0"/>
              <w:rPr>
                <w:sz w:val="20"/>
                <w:szCs w:val="20"/>
                <w:color w:val="auto"/>
              </w:rPr>
            </w:pPr>
            <w:r>
              <w:rPr>
                <w:rFonts w:ascii="Arial" w:cs="Arial" w:eastAsia="Arial" w:hAnsi="Arial"/>
                <w:sz w:val="14"/>
                <w:szCs w:val="14"/>
                <w:color w:val="333333"/>
              </w:rPr>
              <w:t>9,000</w:t>
            </w:r>
          </w:p>
        </w:tc>
      </w:tr>
      <w:tr>
        <w:trPr>
          <w:trHeight w:val="274"/>
        </w:trPr>
        <w:tc>
          <w:tcPr>
            <w:tcW w:w="416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Talent and Compensation Committee Members</w:t>
            </w:r>
          </w:p>
        </w:tc>
        <w:tc>
          <w:tcPr>
            <w:tcW w:w="1080" w:type="dxa"/>
            <w:vAlign w:val="bottom"/>
            <w:tcBorders>
              <w:top w:val="single" w:sz="8" w:color="005C5D"/>
              <w:bottom w:val="single" w:sz="8" w:color="FCEFEB"/>
            </w:tcBorders>
            <w:shd w:val="clear" w:color="auto" w:fill="FCEFEB"/>
          </w:tcPr>
          <w:p>
            <w:pPr>
              <w:jc w:val="right"/>
              <w:ind w:right="229"/>
              <w:spacing w:after="0"/>
              <w:rPr>
                <w:sz w:val="20"/>
                <w:szCs w:val="20"/>
                <w:color w:val="auto"/>
              </w:rPr>
            </w:pPr>
            <w:r>
              <w:rPr>
                <w:rFonts w:ascii="Arial" w:cs="Arial" w:eastAsia="Arial" w:hAnsi="Arial"/>
                <w:sz w:val="14"/>
                <w:szCs w:val="14"/>
                <w:color w:val="333333"/>
              </w:rPr>
              <w:t>6,300</w:t>
            </w:r>
          </w:p>
        </w:tc>
      </w:tr>
      <w:tr>
        <w:trPr>
          <w:trHeight w:val="274"/>
        </w:trPr>
        <w:tc>
          <w:tcPr>
            <w:tcW w:w="416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Nominating, Governance and Sustainability Committee Chair</w:t>
            </w:r>
          </w:p>
        </w:tc>
        <w:tc>
          <w:tcPr>
            <w:tcW w:w="1080" w:type="dxa"/>
            <w:vAlign w:val="bottom"/>
            <w:tcBorders>
              <w:top w:val="single" w:sz="8" w:color="005C5D"/>
              <w:bottom w:val="single" w:sz="8" w:color="FCEFEB"/>
            </w:tcBorders>
            <w:shd w:val="clear" w:color="auto" w:fill="FCEFEB"/>
          </w:tcPr>
          <w:p>
            <w:pPr>
              <w:jc w:val="right"/>
              <w:ind w:right="229"/>
              <w:spacing w:after="0"/>
              <w:rPr>
                <w:sz w:val="20"/>
                <w:szCs w:val="20"/>
                <w:color w:val="auto"/>
              </w:rPr>
            </w:pPr>
            <w:r>
              <w:rPr>
                <w:rFonts w:ascii="Arial" w:cs="Arial" w:eastAsia="Arial" w:hAnsi="Arial"/>
                <w:sz w:val="14"/>
                <w:szCs w:val="14"/>
                <w:color w:val="333333"/>
              </w:rPr>
              <w:t>7,875</w:t>
            </w:r>
          </w:p>
        </w:tc>
      </w:tr>
      <w:tr>
        <w:trPr>
          <w:trHeight w:val="198"/>
        </w:trPr>
        <w:tc>
          <w:tcPr>
            <w:tcW w:w="416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Nominating, Governance and Sustainability Committee</w:t>
            </w:r>
          </w:p>
        </w:tc>
        <w:tc>
          <w:tcPr>
            <w:tcW w:w="1080" w:type="dxa"/>
            <w:vAlign w:val="bottom"/>
            <w:tcBorders>
              <w:top w:val="single" w:sz="8" w:color="005C5D"/>
            </w:tcBorders>
            <w:shd w:val="clear" w:color="auto" w:fill="FCEFEB"/>
          </w:tcPr>
          <w:p>
            <w:pPr>
              <w:spacing w:after="0"/>
              <w:rPr>
                <w:sz w:val="17"/>
                <w:szCs w:val="17"/>
                <w:color w:val="auto"/>
              </w:rPr>
            </w:pPr>
          </w:p>
        </w:tc>
      </w:tr>
      <w:tr>
        <w:trPr>
          <w:trHeight w:val="237"/>
        </w:trPr>
        <w:tc>
          <w:tcPr>
            <w:tcW w:w="4160" w:type="dxa"/>
            <w:vAlign w:val="bottom"/>
          </w:tcPr>
          <w:p>
            <w:pPr>
              <w:ind w:left="80"/>
              <w:spacing w:after="0"/>
              <w:rPr>
                <w:sz w:val="20"/>
                <w:szCs w:val="20"/>
                <w:color w:val="auto"/>
              </w:rPr>
            </w:pPr>
            <w:r>
              <w:rPr>
                <w:rFonts w:ascii="Arial" w:cs="Arial" w:eastAsia="Arial" w:hAnsi="Arial"/>
                <w:sz w:val="14"/>
                <w:szCs w:val="14"/>
                <w:color w:val="333333"/>
              </w:rPr>
              <w:t>Members</w:t>
            </w:r>
          </w:p>
        </w:tc>
        <w:tc>
          <w:tcPr>
            <w:tcW w:w="1080" w:type="dxa"/>
            <w:vAlign w:val="bottom"/>
            <w:tcBorders>
              <w:bottom w:val="single" w:sz="8" w:color="FCEFEB"/>
            </w:tcBorders>
            <w:shd w:val="clear" w:color="auto" w:fill="FCEFEB"/>
          </w:tcPr>
          <w:p>
            <w:pPr>
              <w:jc w:val="right"/>
              <w:ind w:right="229"/>
              <w:spacing w:after="0"/>
              <w:rPr>
                <w:sz w:val="20"/>
                <w:szCs w:val="20"/>
                <w:color w:val="auto"/>
              </w:rPr>
            </w:pPr>
            <w:r>
              <w:rPr>
                <w:rFonts w:ascii="Arial" w:cs="Arial" w:eastAsia="Arial" w:hAnsi="Arial"/>
                <w:sz w:val="14"/>
                <w:szCs w:val="14"/>
                <w:color w:val="333333"/>
              </w:rPr>
              <w:t>5,400</w:t>
            </w:r>
          </w:p>
        </w:tc>
      </w:tr>
      <w:tr>
        <w:trPr>
          <w:trHeight w:val="254"/>
        </w:trPr>
        <w:tc>
          <w:tcPr>
            <w:tcW w:w="416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Strategy and Transformation Committee Chair</w:t>
            </w:r>
          </w:p>
        </w:tc>
        <w:tc>
          <w:tcPr>
            <w:tcW w:w="1080" w:type="dxa"/>
            <w:vAlign w:val="bottom"/>
            <w:tcBorders>
              <w:top w:val="single" w:sz="8" w:color="005C5D"/>
              <w:bottom w:val="single" w:sz="8" w:color="FCEFEB"/>
            </w:tcBorders>
            <w:shd w:val="clear" w:color="auto" w:fill="FCEFEB"/>
          </w:tcPr>
          <w:p>
            <w:pPr>
              <w:jc w:val="right"/>
              <w:ind w:right="229"/>
              <w:spacing w:after="0"/>
              <w:rPr>
                <w:sz w:val="20"/>
                <w:szCs w:val="20"/>
                <w:color w:val="auto"/>
              </w:rPr>
            </w:pPr>
            <w:r>
              <w:rPr>
                <w:rFonts w:ascii="Arial" w:cs="Arial" w:eastAsia="Arial" w:hAnsi="Arial"/>
                <w:sz w:val="14"/>
                <w:szCs w:val="14"/>
                <w:color w:val="333333"/>
              </w:rPr>
              <w:t>15,000</w:t>
            </w:r>
          </w:p>
        </w:tc>
      </w:tr>
      <w:tr>
        <w:trPr>
          <w:trHeight w:val="27"/>
        </w:trPr>
        <w:tc>
          <w:tcPr>
            <w:tcW w:w="4160" w:type="dxa"/>
            <w:vAlign w:val="bottom"/>
            <w:shd w:val="clear" w:color="auto" w:fill="005C5D"/>
          </w:tcPr>
          <w:p>
            <w:pPr>
              <w:spacing w:after="0"/>
              <w:rPr>
                <w:sz w:val="2"/>
                <w:szCs w:val="2"/>
                <w:color w:val="auto"/>
              </w:rPr>
            </w:pPr>
          </w:p>
        </w:tc>
        <w:tc>
          <w:tcPr>
            <w:tcW w:w="1080" w:type="dxa"/>
            <w:vAlign w:val="bottom"/>
            <w:shd w:val="clear" w:color="auto" w:fill="005C5D"/>
          </w:tcPr>
          <w:p>
            <w:pPr>
              <w:spacing w:after="0"/>
              <w:rPr>
                <w:sz w:val="2"/>
                <w:szCs w:val="2"/>
                <w:color w:val="auto"/>
              </w:rPr>
            </w:pPr>
          </w:p>
        </w:tc>
      </w:tr>
    </w:tbl>
    <w:p>
      <w:pPr>
        <w:spacing w:after="0" w:line="120"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333333"/>
        </w:rPr>
        <w:t>All of our directors are reimbursed for reasonable travel and other expenses incurred in connection with attending meetings of the Board of Directors and its committees.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 w:right="600"/>
        <w:spacing w:after="0" w:line="264" w:lineRule="auto"/>
        <w:rPr>
          <w:sz w:val="20"/>
          <w:szCs w:val="20"/>
          <w:color w:val="auto"/>
        </w:rPr>
      </w:pPr>
      <w:r>
        <w:rPr>
          <w:rFonts w:ascii="Arial" w:cs="Arial" w:eastAsia="Arial" w:hAnsi="Arial"/>
          <w:sz w:val="20"/>
          <w:szCs w:val="20"/>
          <w:b w:val="1"/>
          <w:bCs w:val="1"/>
          <w:color w:val="005C5D"/>
        </w:rPr>
        <w:t>RESTRICTED STOCK UNITS FOR NON-EMPLOYEE DIRECTORS</w:t>
      </w:r>
    </w:p>
    <w:p>
      <w:pPr>
        <w:spacing w:after="0" w:line="38" w:lineRule="exact"/>
        <w:rPr>
          <w:sz w:val="20"/>
          <w:szCs w:val="20"/>
          <w:color w:val="auto"/>
        </w:rPr>
      </w:pPr>
    </w:p>
    <w:p>
      <w:pPr>
        <w:jc w:val="both"/>
        <w:ind w:left="7"/>
        <w:spacing w:after="0" w:line="250" w:lineRule="auto"/>
        <w:rPr>
          <w:sz w:val="20"/>
          <w:szCs w:val="20"/>
          <w:color w:val="auto"/>
        </w:rPr>
      </w:pPr>
      <w:r>
        <w:rPr>
          <w:rFonts w:ascii="Arial" w:cs="Arial" w:eastAsia="Arial" w:hAnsi="Arial"/>
          <w:sz w:val="16"/>
          <w:szCs w:val="16"/>
          <w:color w:val="333333"/>
        </w:rPr>
        <w:t>We also provide each of our non-employee directors with an annual equity grant with a grant date value of approximately $85,000. These restricted stock units vest and settle in our common shares, on a one-for-one basis, on the first anniversary of the grant date. The applicable award agreement also provides that the units shall vest immediately upon the death or disability of the director and upon the occurrence of a change in control of the Company, as defined in the agreement.</w:t>
      </w:r>
    </w:p>
    <w:p>
      <w:pPr>
        <w:spacing w:after="0" w:line="281"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05C5D"/>
        </w:rPr>
        <w:t>FISCAL 2026 DIRECTOR COMPENSATION</w:t>
      </w:r>
    </w:p>
    <w:p>
      <w:pPr>
        <w:spacing w:after="0" w:line="100" w:lineRule="exact"/>
        <w:rPr>
          <w:sz w:val="20"/>
          <w:szCs w:val="20"/>
          <w:color w:val="auto"/>
        </w:rPr>
      </w:pPr>
    </w:p>
    <w:p>
      <w:pPr>
        <w:jc w:val="both"/>
        <w:ind w:left="7"/>
        <w:spacing w:after="0" w:line="262" w:lineRule="auto"/>
        <w:rPr>
          <w:sz w:val="20"/>
          <w:szCs w:val="20"/>
          <w:color w:val="auto"/>
        </w:rPr>
      </w:pPr>
      <w:r>
        <w:rPr>
          <w:rFonts w:ascii="Arial" w:cs="Arial" w:eastAsia="Arial" w:hAnsi="Arial"/>
          <w:sz w:val="16"/>
          <w:szCs w:val="16"/>
          <w:color w:val="333333"/>
        </w:rPr>
        <w:t>The following table summarizes compensation that our non-employee directors earned during fiscal 2026 for services as members of our Board of Directors.</w:t>
      </w:r>
    </w:p>
    <w:p>
      <w:pPr>
        <w:spacing w:after="0" w:line="173" w:lineRule="exact"/>
        <w:rPr>
          <w:sz w:val="20"/>
          <w:szCs w:val="20"/>
          <w:color w:val="auto"/>
        </w:rPr>
      </w:pPr>
    </w:p>
    <w:p>
      <w:pPr>
        <w:ind w:left="1067"/>
        <w:spacing w:after="0"/>
        <w:rPr>
          <w:sz w:val="20"/>
          <w:szCs w:val="20"/>
          <w:color w:val="auto"/>
        </w:rPr>
      </w:pPr>
      <w:r>
        <w:rPr>
          <w:rFonts w:ascii="Arial" w:cs="Arial" w:eastAsia="Arial" w:hAnsi="Arial"/>
          <w:sz w:val="16"/>
          <w:szCs w:val="16"/>
          <w:b w:val="1"/>
          <w:bCs w:val="1"/>
          <w:color w:val="005C5D"/>
        </w:rPr>
        <w:t>FISCAL 2026 DIRECTOR COMPENSATION</w:t>
      </w:r>
    </w:p>
    <w:p>
      <w:pPr>
        <w:spacing w:after="0" w:line="258" w:lineRule="exact"/>
        <w:rPr>
          <w:sz w:val="20"/>
          <w:szCs w:val="20"/>
          <w:color w:val="auto"/>
        </w:rPr>
      </w:pPr>
    </w:p>
    <w:tbl>
      <w:tblPr>
        <w:tblLayout w:type="fixed"/>
        <w:tblInd w:w="7" w:type="dxa"/>
        <w:tblCellMar>
          <w:top w:w="0" w:type="dxa"/>
          <w:left w:w="0" w:type="dxa"/>
          <w:bottom w:w="0" w:type="dxa"/>
          <w:right w:w="0" w:type="dxa"/>
        </w:tblCellMar>
      </w:tblPr>
      <w:tr>
        <w:trPr>
          <w:trHeight w:val="120"/>
        </w:trPr>
        <w:tc>
          <w:tcPr>
            <w:tcW w:w="2020" w:type="dxa"/>
            <w:vAlign w:val="bottom"/>
          </w:tcPr>
          <w:p>
            <w:pPr>
              <w:spacing w:after="0"/>
              <w:rPr>
                <w:sz w:val="10"/>
                <w:szCs w:val="10"/>
                <w:color w:val="auto"/>
              </w:rPr>
            </w:pPr>
          </w:p>
        </w:tc>
        <w:tc>
          <w:tcPr>
            <w:tcW w:w="800" w:type="dxa"/>
            <w:vAlign w:val="bottom"/>
            <w:shd w:val="clear" w:color="auto" w:fill="FCEFEB"/>
          </w:tcPr>
          <w:p>
            <w:pPr>
              <w:spacing w:after="0"/>
              <w:rPr>
                <w:sz w:val="10"/>
                <w:szCs w:val="10"/>
                <w:color w:val="auto"/>
              </w:rPr>
            </w:pPr>
          </w:p>
        </w:tc>
        <w:tc>
          <w:tcPr>
            <w:tcW w:w="1320" w:type="dxa"/>
            <w:vAlign w:val="bottom"/>
            <w:shd w:val="clear" w:color="auto" w:fill="FCEFEB"/>
          </w:tcPr>
          <w:p>
            <w:pPr>
              <w:spacing w:after="0"/>
              <w:rPr>
                <w:sz w:val="10"/>
                <w:szCs w:val="10"/>
                <w:color w:val="auto"/>
              </w:rPr>
            </w:pPr>
          </w:p>
        </w:tc>
        <w:tc>
          <w:tcPr>
            <w:tcW w:w="1200" w:type="dxa"/>
            <w:vAlign w:val="bottom"/>
            <w:shd w:val="clear" w:color="auto" w:fill="FCEFEB"/>
          </w:tcPr>
          <w:p>
            <w:pPr>
              <w:spacing w:after="0"/>
              <w:rPr>
                <w:sz w:val="10"/>
                <w:szCs w:val="10"/>
                <w:color w:val="auto"/>
              </w:rPr>
            </w:pPr>
          </w:p>
        </w:tc>
      </w:tr>
      <w:tr>
        <w:trPr>
          <w:trHeight w:val="218"/>
        </w:trPr>
        <w:tc>
          <w:tcPr>
            <w:tcW w:w="2020" w:type="dxa"/>
            <w:vAlign w:val="bottom"/>
            <w:shd w:val="clear" w:color="auto" w:fill="005C5D"/>
          </w:tcPr>
          <w:p>
            <w:pPr>
              <w:spacing w:after="0"/>
              <w:rPr>
                <w:sz w:val="18"/>
                <w:szCs w:val="18"/>
                <w:color w:val="auto"/>
              </w:rPr>
            </w:pPr>
          </w:p>
        </w:tc>
        <w:tc>
          <w:tcPr>
            <w:tcW w:w="800" w:type="dxa"/>
            <w:vAlign w:val="bottom"/>
            <w:shd w:val="clear" w:color="auto" w:fill="005C5D"/>
          </w:tcPr>
          <w:p>
            <w:pPr>
              <w:jc w:val="center"/>
              <w:ind w:left="129"/>
              <w:spacing w:after="0"/>
              <w:rPr>
                <w:sz w:val="20"/>
                <w:szCs w:val="20"/>
                <w:color w:val="auto"/>
              </w:rPr>
            </w:pPr>
            <w:r>
              <w:rPr>
                <w:rFonts w:ascii="Arial" w:cs="Arial" w:eastAsia="Arial" w:hAnsi="Arial"/>
                <w:sz w:val="14"/>
                <w:szCs w:val="14"/>
                <w:color w:val="FFFFFF"/>
                <w:w w:val="98"/>
              </w:rPr>
              <w:t>FEES</w:t>
            </w:r>
          </w:p>
        </w:tc>
        <w:tc>
          <w:tcPr>
            <w:tcW w:w="1320" w:type="dxa"/>
            <w:vAlign w:val="bottom"/>
            <w:shd w:val="clear" w:color="auto" w:fill="005C5D"/>
          </w:tcPr>
          <w:p>
            <w:pPr>
              <w:spacing w:after="0"/>
              <w:rPr>
                <w:sz w:val="18"/>
                <w:szCs w:val="18"/>
                <w:color w:val="auto"/>
              </w:rPr>
            </w:pPr>
          </w:p>
        </w:tc>
        <w:tc>
          <w:tcPr>
            <w:tcW w:w="1200" w:type="dxa"/>
            <w:vAlign w:val="bottom"/>
            <w:shd w:val="clear" w:color="auto" w:fill="005C5D"/>
          </w:tcPr>
          <w:p>
            <w:pPr>
              <w:spacing w:after="0"/>
              <w:rPr>
                <w:sz w:val="18"/>
                <w:szCs w:val="18"/>
                <w:color w:val="auto"/>
              </w:rPr>
            </w:pPr>
          </w:p>
        </w:tc>
      </w:tr>
      <w:tr>
        <w:trPr>
          <w:trHeight w:val="160"/>
        </w:trPr>
        <w:tc>
          <w:tcPr>
            <w:tcW w:w="2020" w:type="dxa"/>
            <w:vAlign w:val="bottom"/>
            <w:shd w:val="clear" w:color="auto" w:fill="005C5D"/>
          </w:tcPr>
          <w:p>
            <w:pPr>
              <w:spacing w:after="0"/>
              <w:rPr>
                <w:sz w:val="13"/>
                <w:szCs w:val="13"/>
                <w:color w:val="auto"/>
              </w:rPr>
            </w:pPr>
          </w:p>
        </w:tc>
        <w:tc>
          <w:tcPr>
            <w:tcW w:w="800" w:type="dxa"/>
            <w:vAlign w:val="bottom"/>
            <w:shd w:val="clear" w:color="auto" w:fill="005C5D"/>
          </w:tcPr>
          <w:p>
            <w:pPr>
              <w:jc w:val="center"/>
              <w:ind w:left="129"/>
              <w:spacing w:after="0"/>
              <w:rPr>
                <w:sz w:val="20"/>
                <w:szCs w:val="20"/>
                <w:color w:val="auto"/>
              </w:rPr>
            </w:pPr>
            <w:r>
              <w:rPr>
                <w:rFonts w:ascii="Arial" w:cs="Arial" w:eastAsia="Arial" w:hAnsi="Arial"/>
                <w:sz w:val="14"/>
                <w:szCs w:val="14"/>
                <w:color w:val="FFFFFF"/>
              </w:rPr>
              <w:t>EARNED</w:t>
            </w:r>
          </w:p>
        </w:tc>
        <w:tc>
          <w:tcPr>
            <w:tcW w:w="1320" w:type="dxa"/>
            <w:vAlign w:val="bottom"/>
            <w:shd w:val="clear" w:color="auto" w:fill="005C5D"/>
          </w:tcPr>
          <w:p>
            <w:pPr>
              <w:spacing w:after="0"/>
              <w:rPr>
                <w:sz w:val="13"/>
                <w:szCs w:val="13"/>
                <w:color w:val="auto"/>
              </w:rPr>
            </w:pPr>
          </w:p>
        </w:tc>
        <w:tc>
          <w:tcPr>
            <w:tcW w:w="1200" w:type="dxa"/>
            <w:vAlign w:val="bottom"/>
            <w:shd w:val="clear" w:color="auto" w:fill="005C5D"/>
          </w:tcPr>
          <w:p>
            <w:pPr>
              <w:spacing w:after="0"/>
              <w:rPr>
                <w:sz w:val="13"/>
                <w:szCs w:val="13"/>
                <w:color w:val="auto"/>
              </w:rPr>
            </w:pPr>
          </w:p>
        </w:tc>
      </w:tr>
      <w:tr>
        <w:trPr>
          <w:trHeight w:val="160"/>
        </w:trPr>
        <w:tc>
          <w:tcPr>
            <w:tcW w:w="2020" w:type="dxa"/>
            <w:vAlign w:val="bottom"/>
            <w:shd w:val="clear" w:color="auto" w:fill="005C5D"/>
          </w:tcPr>
          <w:p>
            <w:pPr>
              <w:spacing w:after="0"/>
              <w:rPr>
                <w:sz w:val="13"/>
                <w:szCs w:val="13"/>
                <w:color w:val="auto"/>
              </w:rPr>
            </w:pPr>
          </w:p>
        </w:tc>
        <w:tc>
          <w:tcPr>
            <w:tcW w:w="800" w:type="dxa"/>
            <w:vAlign w:val="bottom"/>
            <w:shd w:val="clear" w:color="auto" w:fill="005C5D"/>
          </w:tcPr>
          <w:p>
            <w:pPr>
              <w:jc w:val="center"/>
              <w:ind w:left="129"/>
              <w:spacing w:after="0"/>
              <w:rPr>
                <w:sz w:val="20"/>
                <w:szCs w:val="20"/>
                <w:color w:val="auto"/>
              </w:rPr>
            </w:pPr>
            <w:r>
              <w:rPr>
                <w:rFonts w:ascii="Arial" w:cs="Arial" w:eastAsia="Arial" w:hAnsi="Arial"/>
                <w:sz w:val="14"/>
                <w:szCs w:val="14"/>
                <w:color w:val="FFFFFF"/>
                <w:w w:val="97"/>
              </w:rPr>
              <w:t>OR PAID</w:t>
            </w:r>
          </w:p>
        </w:tc>
        <w:tc>
          <w:tcPr>
            <w:tcW w:w="1320" w:type="dxa"/>
            <w:vAlign w:val="bottom"/>
            <w:shd w:val="clear" w:color="auto" w:fill="005C5D"/>
          </w:tcPr>
          <w:p>
            <w:pPr>
              <w:jc w:val="right"/>
              <w:ind w:right="269"/>
              <w:spacing w:after="0"/>
              <w:rPr>
                <w:sz w:val="20"/>
                <w:szCs w:val="20"/>
                <w:color w:val="auto"/>
              </w:rPr>
            </w:pPr>
            <w:r>
              <w:rPr>
                <w:rFonts w:ascii="Arial" w:cs="Arial" w:eastAsia="Arial" w:hAnsi="Arial"/>
                <w:sz w:val="14"/>
                <w:szCs w:val="14"/>
                <w:color w:val="FFFFFF"/>
              </w:rPr>
              <w:t>STOCK</w:t>
            </w:r>
          </w:p>
        </w:tc>
        <w:tc>
          <w:tcPr>
            <w:tcW w:w="1200" w:type="dxa"/>
            <w:vAlign w:val="bottom"/>
            <w:shd w:val="clear" w:color="auto" w:fill="005C5D"/>
          </w:tcPr>
          <w:p>
            <w:pPr>
              <w:spacing w:after="0"/>
              <w:rPr>
                <w:sz w:val="13"/>
                <w:szCs w:val="13"/>
                <w:color w:val="auto"/>
              </w:rPr>
            </w:pPr>
          </w:p>
        </w:tc>
      </w:tr>
      <w:tr>
        <w:trPr>
          <w:trHeight w:val="217"/>
        </w:trPr>
        <w:tc>
          <w:tcPr>
            <w:tcW w:w="2020" w:type="dxa"/>
            <w:vAlign w:val="bottom"/>
            <w:tcBorders>
              <w:bottom w:val="single" w:sz="8" w:color="005C5D"/>
            </w:tcBorders>
            <w:shd w:val="clear" w:color="auto" w:fill="005C5D"/>
          </w:tcPr>
          <w:p>
            <w:pPr>
              <w:ind w:left="60"/>
              <w:spacing w:after="0"/>
              <w:rPr>
                <w:sz w:val="20"/>
                <w:szCs w:val="20"/>
                <w:color w:val="auto"/>
              </w:rPr>
            </w:pPr>
            <w:r>
              <w:rPr>
                <w:rFonts w:ascii="Arial" w:cs="Arial" w:eastAsia="Arial" w:hAnsi="Arial"/>
                <w:sz w:val="14"/>
                <w:szCs w:val="14"/>
                <w:color w:val="FFFFFF"/>
              </w:rPr>
              <w:t>NAME</w:t>
            </w:r>
            <w:r>
              <w:rPr>
                <w:rFonts w:ascii="Arial" w:cs="Arial" w:eastAsia="Arial" w:hAnsi="Arial"/>
                <w:sz w:val="14"/>
                <w:szCs w:val="14"/>
                <w:color w:val="FFFFFF"/>
                <w:vertAlign w:val="superscript"/>
              </w:rPr>
              <w:t>(1)</w:t>
            </w:r>
          </w:p>
        </w:tc>
        <w:tc>
          <w:tcPr>
            <w:tcW w:w="800" w:type="dxa"/>
            <w:vAlign w:val="bottom"/>
            <w:tcBorders>
              <w:bottom w:val="single" w:sz="8" w:color="005C5D"/>
            </w:tcBorders>
            <w:shd w:val="clear" w:color="auto" w:fill="005C5D"/>
          </w:tcPr>
          <w:p>
            <w:pPr>
              <w:jc w:val="center"/>
              <w:ind w:left="129"/>
              <w:spacing w:after="0"/>
              <w:rPr>
                <w:sz w:val="20"/>
                <w:szCs w:val="20"/>
                <w:color w:val="auto"/>
              </w:rPr>
            </w:pPr>
            <w:r>
              <w:rPr>
                <w:rFonts w:ascii="Arial" w:cs="Arial" w:eastAsia="Arial" w:hAnsi="Arial"/>
                <w:sz w:val="14"/>
                <w:szCs w:val="14"/>
                <w:color w:val="FFFFFF"/>
                <w:w w:val="98"/>
              </w:rPr>
              <w:t>IN CASH</w:t>
            </w:r>
          </w:p>
        </w:tc>
        <w:tc>
          <w:tcPr>
            <w:tcW w:w="1320" w:type="dxa"/>
            <w:vAlign w:val="bottom"/>
            <w:tcBorders>
              <w:bottom w:val="single" w:sz="8" w:color="005C5D"/>
            </w:tcBorders>
            <w:shd w:val="clear" w:color="auto" w:fill="005C5D"/>
          </w:tcPr>
          <w:p>
            <w:pPr>
              <w:jc w:val="right"/>
              <w:ind w:right="149"/>
              <w:spacing w:after="0"/>
              <w:rPr>
                <w:sz w:val="20"/>
                <w:szCs w:val="20"/>
                <w:color w:val="auto"/>
              </w:rPr>
            </w:pPr>
            <w:r>
              <w:rPr>
                <w:rFonts w:ascii="Arial" w:cs="Arial" w:eastAsia="Arial" w:hAnsi="Arial"/>
                <w:sz w:val="14"/>
                <w:szCs w:val="14"/>
                <w:color w:val="FFFFFF"/>
              </w:rPr>
              <w:t>AWARDS</w:t>
            </w:r>
            <w:r>
              <w:rPr>
                <w:rFonts w:ascii="Arial" w:cs="Arial" w:eastAsia="Arial" w:hAnsi="Arial"/>
                <w:sz w:val="14"/>
                <w:szCs w:val="14"/>
                <w:color w:val="FFFFFF"/>
                <w:vertAlign w:val="superscript"/>
              </w:rPr>
              <w:t>(2)</w:t>
            </w:r>
          </w:p>
        </w:tc>
        <w:tc>
          <w:tcPr>
            <w:tcW w:w="1200" w:type="dxa"/>
            <w:vAlign w:val="bottom"/>
            <w:tcBorders>
              <w:bottom w:val="single" w:sz="8" w:color="005C5D"/>
            </w:tcBorders>
            <w:shd w:val="clear" w:color="auto" w:fill="005C5D"/>
          </w:tcPr>
          <w:p>
            <w:pPr>
              <w:jc w:val="right"/>
              <w:ind w:right="429"/>
              <w:spacing w:after="0"/>
              <w:rPr>
                <w:sz w:val="20"/>
                <w:szCs w:val="20"/>
                <w:color w:val="auto"/>
              </w:rPr>
            </w:pPr>
            <w:r>
              <w:rPr>
                <w:rFonts w:ascii="Arial" w:cs="Arial" w:eastAsia="Arial" w:hAnsi="Arial"/>
                <w:sz w:val="14"/>
                <w:szCs w:val="14"/>
                <w:color w:val="FFFFFF"/>
              </w:rPr>
              <w:t>TOTAL</w:t>
            </w:r>
          </w:p>
        </w:tc>
      </w:tr>
      <w:tr>
        <w:trPr>
          <w:trHeight w:val="294"/>
        </w:trPr>
        <w:tc>
          <w:tcPr>
            <w:tcW w:w="2020" w:type="dxa"/>
            <w:vAlign w:val="bottom"/>
            <w:tcBorders>
              <w:bottom w:val="single" w:sz="8" w:color="005C5D"/>
            </w:tcBorders>
          </w:tcPr>
          <w:p>
            <w:pPr>
              <w:ind w:left="60"/>
              <w:spacing w:after="0"/>
              <w:rPr>
                <w:sz w:val="20"/>
                <w:szCs w:val="20"/>
                <w:color w:val="auto"/>
              </w:rPr>
            </w:pPr>
            <w:r>
              <w:rPr>
                <w:rFonts w:ascii="Arial" w:cs="Arial" w:eastAsia="Arial" w:hAnsi="Arial"/>
                <w:sz w:val="14"/>
                <w:szCs w:val="14"/>
                <w:color w:val="333333"/>
              </w:rPr>
              <w:t>Ian Bickley</w:t>
            </w:r>
            <w:r>
              <w:rPr>
                <w:rFonts w:ascii="Arial" w:cs="Arial" w:eastAsia="Arial" w:hAnsi="Arial"/>
                <w:sz w:val="21"/>
                <w:szCs w:val="21"/>
                <w:color w:val="333333"/>
                <w:vertAlign w:val="superscript"/>
              </w:rPr>
              <w:t>(3)</w:t>
            </w:r>
          </w:p>
        </w:tc>
        <w:tc>
          <w:tcPr>
            <w:tcW w:w="800" w:type="dxa"/>
            <w:vAlign w:val="bottom"/>
            <w:tcBorders>
              <w:bottom w:val="single" w:sz="8" w:color="005C5D"/>
            </w:tcBorders>
            <w:shd w:val="clear" w:color="auto" w:fill="FCEFEB"/>
          </w:tcPr>
          <w:p>
            <w:pPr>
              <w:jc w:val="right"/>
              <w:spacing w:after="0"/>
              <w:rPr>
                <w:sz w:val="20"/>
                <w:szCs w:val="20"/>
                <w:color w:val="auto"/>
              </w:rPr>
            </w:pPr>
            <w:r>
              <w:rPr>
                <w:rFonts w:ascii="Arial" w:cs="Arial" w:eastAsia="Arial" w:hAnsi="Arial"/>
                <w:sz w:val="14"/>
                <w:szCs w:val="14"/>
                <w:color w:val="333333"/>
              </w:rPr>
              <w:t>$27,413</w:t>
            </w:r>
          </w:p>
        </w:tc>
        <w:tc>
          <w:tcPr>
            <w:tcW w:w="1320" w:type="dxa"/>
            <w:vAlign w:val="bottom"/>
            <w:tcBorders>
              <w:bottom w:val="single" w:sz="8" w:color="005C5D"/>
            </w:tcBorders>
            <w:shd w:val="clear" w:color="auto" w:fill="FCEFEB"/>
          </w:tcPr>
          <w:p>
            <w:pPr>
              <w:jc w:val="right"/>
              <w:ind w:right="149"/>
              <w:spacing w:after="0"/>
              <w:rPr>
                <w:sz w:val="20"/>
                <w:szCs w:val="20"/>
                <w:color w:val="auto"/>
              </w:rPr>
            </w:pPr>
            <w:r>
              <w:rPr>
                <w:rFonts w:ascii="Arial" w:cs="Arial" w:eastAsia="Arial" w:hAnsi="Arial"/>
                <w:sz w:val="14"/>
                <w:szCs w:val="14"/>
                <w:color w:val="333333"/>
              </w:rPr>
              <w:t>$85,000</w:t>
            </w:r>
          </w:p>
        </w:tc>
        <w:tc>
          <w:tcPr>
            <w:tcW w:w="1200" w:type="dxa"/>
            <w:vAlign w:val="bottom"/>
            <w:tcBorders>
              <w:bottom w:val="single" w:sz="8" w:color="005C5D"/>
            </w:tcBorders>
            <w:shd w:val="clear" w:color="auto" w:fill="FCEFEB"/>
          </w:tcPr>
          <w:p>
            <w:pPr>
              <w:jc w:val="right"/>
              <w:ind w:right="329"/>
              <w:spacing w:after="0"/>
              <w:rPr>
                <w:sz w:val="20"/>
                <w:szCs w:val="20"/>
                <w:color w:val="auto"/>
              </w:rPr>
            </w:pPr>
            <w:r>
              <w:rPr>
                <w:rFonts w:ascii="Arial" w:cs="Arial" w:eastAsia="Arial" w:hAnsi="Arial"/>
                <w:sz w:val="14"/>
                <w:szCs w:val="14"/>
                <w:color w:val="333333"/>
              </w:rPr>
              <w:t>$ 112,413</w:t>
            </w:r>
          </w:p>
        </w:tc>
      </w:tr>
      <w:tr>
        <w:trPr>
          <w:trHeight w:val="274"/>
        </w:trPr>
        <w:tc>
          <w:tcPr>
            <w:tcW w:w="2020" w:type="dxa"/>
            <w:vAlign w:val="bottom"/>
            <w:tcBorders>
              <w:bottom w:val="single" w:sz="8" w:color="005C5D"/>
            </w:tcBorders>
          </w:tcPr>
          <w:p>
            <w:pPr>
              <w:ind w:left="60"/>
              <w:spacing w:after="0"/>
              <w:rPr>
                <w:sz w:val="20"/>
                <w:szCs w:val="20"/>
                <w:color w:val="auto"/>
              </w:rPr>
            </w:pPr>
            <w:r>
              <w:rPr>
                <w:rFonts w:ascii="Arial" w:cs="Arial" w:eastAsia="Arial" w:hAnsi="Arial"/>
                <w:sz w:val="14"/>
                <w:szCs w:val="14"/>
                <w:color w:val="333333"/>
              </w:rPr>
              <w:t>Ivan Brockman</w:t>
            </w:r>
            <w:r>
              <w:rPr>
                <w:rFonts w:ascii="Arial" w:cs="Arial" w:eastAsia="Arial" w:hAnsi="Arial"/>
                <w:sz w:val="21"/>
                <w:szCs w:val="21"/>
                <w:color w:val="333333"/>
                <w:vertAlign w:val="superscript"/>
              </w:rPr>
              <w:t>(4)</w:t>
            </w:r>
          </w:p>
        </w:tc>
        <w:tc>
          <w:tcPr>
            <w:tcW w:w="800" w:type="dxa"/>
            <w:vAlign w:val="bottom"/>
            <w:tcBorders>
              <w:bottom w:val="single" w:sz="8" w:color="005C5D"/>
            </w:tcBorders>
            <w:shd w:val="clear" w:color="auto" w:fill="FCEFEB"/>
          </w:tcPr>
          <w:p>
            <w:pPr>
              <w:jc w:val="right"/>
              <w:spacing w:after="0"/>
              <w:rPr>
                <w:sz w:val="20"/>
                <w:szCs w:val="20"/>
                <w:color w:val="auto"/>
              </w:rPr>
            </w:pPr>
            <w:r>
              <w:rPr>
                <w:rFonts w:ascii="Arial" w:cs="Arial" w:eastAsia="Arial" w:hAnsi="Arial"/>
                <w:sz w:val="14"/>
                <w:szCs w:val="14"/>
                <w:color w:val="333333"/>
              </w:rPr>
              <w:t>9,750</w:t>
            </w:r>
          </w:p>
        </w:tc>
        <w:tc>
          <w:tcPr>
            <w:tcW w:w="1320" w:type="dxa"/>
            <w:vAlign w:val="bottom"/>
            <w:tcBorders>
              <w:bottom w:val="single" w:sz="8" w:color="005C5D"/>
            </w:tcBorders>
            <w:shd w:val="clear" w:color="auto" w:fill="FCEFEB"/>
          </w:tcPr>
          <w:p>
            <w:pPr>
              <w:jc w:val="right"/>
              <w:ind w:right="189"/>
              <w:spacing w:after="0"/>
              <w:rPr>
                <w:sz w:val="20"/>
                <w:szCs w:val="20"/>
                <w:color w:val="auto"/>
              </w:rPr>
            </w:pPr>
            <w:r>
              <w:rPr>
                <w:rFonts w:ascii="Arial" w:cs="Arial" w:eastAsia="Arial" w:hAnsi="Arial"/>
                <w:sz w:val="14"/>
                <w:szCs w:val="14"/>
                <w:color w:val="333333"/>
              </w:rPr>
              <w:t>— </w:t>
            </w:r>
          </w:p>
        </w:tc>
        <w:tc>
          <w:tcPr>
            <w:tcW w:w="1200" w:type="dxa"/>
            <w:vAlign w:val="bottom"/>
            <w:tcBorders>
              <w:bottom w:val="single" w:sz="8" w:color="005C5D"/>
            </w:tcBorders>
            <w:shd w:val="clear" w:color="auto" w:fill="FCEFEB"/>
          </w:tcPr>
          <w:p>
            <w:pPr>
              <w:jc w:val="right"/>
              <w:ind w:right="329"/>
              <w:spacing w:after="0"/>
              <w:rPr>
                <w:sz w:val="20"/>
                <w:szCs w:val="20"/>
                <w:color w:val="auto"/>
              </w:rPr>
            </w:pPr>
            <w:r>
              <w:rPr>
                <w:rFonts w:ascii="Arial" w:cs="Arial" w:eastAsia="Arial" w:hAnsi="Arial"/>
                <w:sz w:val="14"/>
                <w:szCs w:val="14"/>
                <w:color w:val="333333"/>
              </w:rPr>
              <w:t>9,750</w:t>
            </w:r>
          </w:p>
        </w:tc>
      </w:tr>
      <w:tr>
        <w:trPr>
          <w:trHeight w:val="274"/>
        </w:trPr>
        <w:tc>
          <w:tcPr>
            <w:tcW w:w="2020" w:type="dxa"/>
            <w:vAlign w:val="bottom"/>
          </w:tcPr>
          <w:p>
            <w:pPr>
              <w:ind w:left="60"/>
              <w:spacing w:after="0"/>
              <w:rPr>
                <w:sz w:val="20"/>
                <w:szCs w:val="20"/>
                <w:color w:val="auto"/>
              </w:rPr>
            </w:pPr>
            <w:r>
              <w:rPr>
                <w:rFonts w:ascii="Arial" w:cs="Arial" w:eastAsia="Arial" w:hAnsi="Arial"/>
                <w:sz w:val="14"/>
                <w:szCs w:val="14"/>
                <w:color w:val="333333"/>
              </w:rPr>
              <w:t>Kristina Cashman</w:t>
            </w:r>
          </w:p>
        </w:tc>
        <w:tc>
          <w:tcPr>
            <w:tcW w:w="800" w:type="dxa"/>
            <w:vAlign w:val="bottom"/>
            <w:tcBorders>
              <w:bottom w:val="single" w:sz="8" w:color="FCEFEB"/>
            </w:tcBorders>
            <w:shd w:val="clear" w:color="auto" w:fill="FCEFEB"/>
          </w:tcPr>
          <w:p>
            <w:pPr>
              <w:jc w:val="right"/>
              <w:spacing w:after="0"/>
              <w:rPr>
                <w:sz w:val="20"/>
                <w:szCs w:val="20"/>
                <w:color w:val="auto"/>
              </w:rPr>
            </w:pPr>
            <w:r>
              <w:rPr>
                <w:rFonts w:ascii="Arial" w:cs="Arial" w:eastAsia="Arial" w:hAnsi="Arial"/>
                <w:sz w:val="14"/>
                <w:szCs w:val="14"/>
                <w:color w:val="333333"/>
              </w:rPr>
              <w:t>72,450</w:t>
            </w:r>
          </w:p>
        </w:tc>
        <w:tc>
          <w:tcPr>
            <w:tcW w:w="1320" w:type="dxa"/>
            <w:vAlign w:val="bottom"/>
            <w:tcBorders>
              <w:bottom w:val="single" w:sz="8" w:color="FCEFEB"/>
            </w:tcBorders>
            <w:shd w:val="clear" w:color="auto" w:fill="FCEFEB"/>
          </w:tcPr>
          <w:p>
            <w:pPr>
              <w:jc w:val="right"/>
              <w:ind w:right="149"/>
              <w:spacing w:after="0"/>
              <w:rPr>
                <w:sz w:val="20"/>
                <w:szCs w:val="20"/>
                <w:color w:val="auto"/>
              </w:rPr>
            </w:pPr>
            <w:r>
              <w:rPr>
                <w:rFonts w:ascii="Arial" w:cs="Arial" w:eastAsia="Arial" w:hAnsi="Arial"/>
                <w:sz w:val="14"/>
                <w:szCs w:val="14"/>
                <w:color w:val="333333"/>
              </w:rPr>
              <w:t>85,000</w:t>
            </w:r>
          </w:p>
        </w:tc>
        <w:tc>
          <w:tcPr>
            <w:tcW w:w="1200" w:type="dxa"/>
            <w:vAlign w:val="bottom"/>
            <w:tcBorders>
              <w:bottom w:val="single" w:sz="8" w:color="FCEFEB"/>
            </w:tcBorders>
            <w:shd w:val="clear" w:color="auto" w:fill="FCEFEB"/>
          </w:tcPr>
          <w:p>
            <w:pPr>
              <w:jc w:val="right"/>
              <w:ind w:right="329"/>
              <w:spacing w:after="0"/>
              <w:rPr>
                <w:sz w:val="20"/>
                <w:szCs w:val="20"/>
                <w:color w:val="auto"/>
              </w:rPr>
            </w:pPr>
            <w:r>
              <w:rPr>
                <w:rFonts w:ascii="Arial" w:cs="Arial" w:eastAsia="Arial" w:hAnsi="Arial"/>
                <w:sz w:val="14"/>
                <w:szCs w:val="14"/>
                <w:color w:val="333333"/>
              </w:rPr>
              <w:t>157,450</w:t>
            </w:r>
          </w:p>
        </w:tc>
      </w:tr>
      <w:tr>
        <w:trPr>
          <w:trHeight w:val="274"/>
        </w:trPr>
        <w:tc>
          <w:tcPr>
            <w:tcW w:w="2020" w:type="dxa"/>
            <w:vAlign w:val="bottom"/>
            <w:tcBorders>
              <w:top w:val="single" w:sz="8" w:color="005C5D"/>
            </w:tcBorders>
          </w:tcPr>
          <w:p>
            <w:pPr>
              <w:ind w:left="60"/>
              <w:spacing w:after="0"/>
              <w:rPr>
                <w:sz w:val="20"/>
                <w:szCs w:val="20"/>
                <w:color w:val="auto"/>
              </w:rPr>
            </w:pPr>
            <w:r>
              <w:rPr>
                <w:rFonts w:ascii="Arial" w:cs="Arial" w:eastAsia="Arial" w:hAnsi="Arial"/>
                <w:sz w:val="14"/>
                <w:szCs w:val="14"/>
                <w:color w:val="333333"/>
              </w:rPr>
              <w:t>Robert J. Hall</w:t>
            </w:r>
          </w:p>
        </w:tc>
        <w:tc>
          <w:tcPr>
            <w:tcW w:w="800" w:type="dxa"/>
            <w:vAlign w:val="bottom"/>
            <w:tcBorders>
              <w:top w:val="single" w:sz="8" w:color="005C5D"/>
              <w:bottom w:val="single" w:sz="8" w:color="FCEFEB"/>
            </w:tcBorders>
            <w:shd w:val="clear" w:color="auto" w:fill="FCEFEB"/>
          </w:tcPr>
          <w:p>
            <w:pPr>
              <w:jc w:val="right"/>
              <w:spacing w:after="0"/>
              <w:rPr>
                <w:sz w:val="20"/>
                <w:szCs w:val="20"/>
                <w:color w:val="auto"/>
              </w:rPr>
            </w:pPr>
            <w:r>
              <w:rPr>
                <w:rFonts w:ascii="Arial" w:cs="Arial" w:eastAsia="Arial" w:hAnsi="Arial"/>
                <w:sz w:val="14"/>
                <w:szCs w:val="14"/>
                <w:color w:val="333333"/>
              </w:rPr>
              <w:t>60,750</w:t>
            </w:r>
          </w:p>
        </w:tc>
        <w:tc>
          <w:tcPr>
            <w:tcW w:w="1320" w:type="dxa"/>
            <w:vAlign w:val="bottom"/>
            <w:tcBorders>
              <w:top w:val="single" w:sz="8" w:color="005C5D"/>
              <w:bottom w:val="single" w:sz="8" w:color="FCEFEB"/>
            </w:tcBorders>
            <w:shd w:val="clear" w:color="auto" w:fill="FCEFEB"/>
          </w:tcPr>
          <w:p>
            <w:pPr>
              <w:jc w:val="right"/>
              <w:ind w:right="149"/>
              <w:spacing w:after="0"/>
              <w:rPr>
                <w:sz w:val="20"/>
                <w:szCs w:val="20"/>
                <w:color w:val="auto"/>
              </w:rPr>
            </w:pPr>
            <w:r>
              <w:rPr>
                <w:rFonts w:ascii="Arial" w:cs="Arial" w:eastAsia="Arial" w:hAnsi="Arial"/>
                <w:sz w:val="14"/>
                <w:szCs w:val="14"/>
                <w:color w:val="333333"/>
              </w:rPr>
              <w:t>85,000</w:t>
            </w:r>
          </w:p>
        </w:tc>
        <w:tc>
          <w:tcPr>
            <w:tcW w:w="1200" w:type="dxa"/>
            <w:vAlign w:val="bottom"/>
            <w:tcBorders>
              <w:top w:val="single" w:sz="8" w:color="005C5D"/>
              <w:bottom w:val="single" w:sz="8" w:color="FCEFEB"/>
            </w:tcBorders>
            <w:shd w:val="clear" w:color="auto" w:fill="FCEFEB"/>
          </w:tcPr>
          <w:p>
            <w:pPr>
              <w:jc w:val="right"/>
              <w:ind w:right="329"/>
              <w:spacing w:after="0"/>
              <w:rPr>
                <w:sz w:val="20"/>
                <w:szCs w:val="20"/>
                <w:color w:val="auto"/>
              </w:rPr>
            </w:pPr>
            <w:r>
              <w:rPr>
                <w:rFonts w:ascii="Arial" w:cs="Arial" w:eastAsia="Arial" w:hAnsi="Arial"/>
                <w:sz w:val="14"/>
                <w:szCs w:val="14"/>
                <w:color w:val="333333"/>
              </w:rPr>
              <w:t>145,750</w:t>
            </w:r>
          </w:p>
        </w:tc>
      </w:tr>
      <w:tr>
        <w:trPr>
          <w:trHeight w:val="274"/>
        </w:trPr>
        <w:tc>
          <w:tcPr>
            <w:tcW w:w="2020" w:type="dxa"/>
            <w:vAlign w:val="bottom"/>
            <w:tcBorders>
              <w:top w:val="single" w:sz="8" w:color="005C5D"/>
            </w:tcBorders>
          </w:tcPr>
          <w:p>
            <w:pPr>
              <w:ind w:left="60"/>
              <w:spacing w:after="0"/>
              <w:rPr>
                <w:sz w:val="20"/>
                <w:szCs w:val="20"/>
                <w:color w:val="auto"/>
              </w:rPr>
            </w:pPr>
            <w:r>
              <w:rPr>
                <w:rFonts w:ascii="Arial" w:cs="Arial" w:eastAsia="Arial" w:hAnsi="Arial"/>
                <w:sz w:val="14"/>
                <w:szCs w:val="14"/>
                <w:color w:val="333333"/>
              </w:rPr>
              <w:t>Andrew Meslow</w:t>
            </w:r>
          </w:p>
        </w:tc>
        <w:tc>
          <w:tcPr>
            <w:tcW w:w="800" w:type="dxa"/>
            <w:vAlign w:val="bottom"/>
            <w:tcBorders>
              <w:top w:val="single" w:sz="8" w:color="005C5D"/>
              <w:bottom w:val="single" w:sz="8" w:color="FCEFEB"/>
            </w:tcBorders>
            <w:shd w:val="clear" w:color="auto" w:fill="FCEFEB"/>
          </w:tcPr>
          <w:p>
            <w:pPr>
              <w:jc w:val="right"/>
              <w:spacing w:after="0"/>
              <w:rPr>
                <w:sz w:val="20"/>
                <w:szCs w:val="20"/>
                <w:color w:val="auto"/>
              </w:rPr>
            </w:pPr>
            <w:r>
              <w:rPr>
                <w:rFonts w:ascii="Arial" w:cs="Arial" w:eastAsia="Arial" w:hAnsi="Arial"/>
                <w:sz w:val="14"/>
                <w:szCs w:val="14"/>
                <w:color w:val="333333"/>
              </w:rPr>
              <w:t>84,400</w:t>
            </w:r>
          </w:p>
        </w:tc>
        <w:tc>
          <w:tcPr>
            <w:tcW w:w="1320" w:type="dxa"/>
            <w:vAlign w:val="bottom"/>
            <w:tcBorders>
              <w:top w:val="single" w:sz="8" w:color="005C5D"/>
              <w:bottom w:val="single" w:sz="8" w:color="FCEFEB"/>
            </w:tcBorders>
            <w:shd w:val="clear" w:color="auto" w:fill="FCEFEB"/>
          </w:tcPr>
          <w:p>
            <w:pPr>
              <w:jc w:val="right"/>
              <w:ind w:right="149"/>
              <w:spacing w:after="0"/>
              <w:rPr>
                <w:sz w:val="20"/>
                <w:szCs w:val="20"/>
                <w:color w:val="auto"/>
              </w:rPr>
            </w:pPr>
            <w:r>
              <w:rPr>
                <w:rFonts w:ascii="Arial" w:cs="Arial" w:eastAsia="Arial" w:hAnsi="Arial"/>
                <w:sz w:val="14"/>
                <w:szCs w:val="14"/>
                <w:color w:val="333333"/>
              </w:rPr>
              <w:t>85,000</w:t>
            </w:r>
          </w:p>
        </w:tc>
        <w:tc>
          <w:tcPr>
            <w:tcW w:w="1200" w:type="dxa"/>
            <w:vAlign w:val="bottom"/>
            <w:tcBorders>
              <w:top w:val="single" w:sz="8" w:color="005C5D"/>
              <w:bottom w:val="single" w:sz="8" w:color="FCEFEB"/>
            </w:tcBorders>
            <w:shd w:val="clear" w:color="auto" w:fill="FCEFEB"/>
          </w:tcPr>
          <w:p>
            <w:pPr>
              <w:jc w:val="right"/>
              <w:ind w:right="329"/>
              <w:spacing w:after="0"/>
              <w:rPr>
                <w:sz w:val="20"/>
                <w:szCs w:val="20"/>
                <w:color w:val="auto"/>
              </w:rPr>
            </w:pPr>
            <w:r>
              <w:rPr>
                <w:rFonts w:ascii="Arial" w:cs="Arial" w:eastAsia="Arial" w:hAnsi="Arial"/>
                <w:sz w:val="14"/>
                <w:szCs w:val="14"/>
                <w:color w:val="333333"/>
              </w:rPr>
              <w:t>169,400</w:t>
            </w:r>
          </w:p>
        </w:tc>
      </w:tr>
      <w:tr>
        <w:trPr>
          <w:trHeight w:val="274"/>
        </w:trPr>
        <w:tc>
          <w:tcPr>
            <w:tcW w:w="2020" w:type="dxa"/>
            <w:vAlign w:val="bottom"/>
            <w:tcBorders>
              <w:top w:val="single" w:sz="8" w:color="005C5D"/>
              <w:bottom w:val="single" w:sz="8" w:color="005C5D"/>
            </w:tcBorders>
          </w:tcPr>
          <w:p>
            <w:pPr>
              <w:ind w:left="60"/>
              <w:spacing w:after="0"/>
              <w:rPr>
                <w:sz w:val="20"/>
                <w:szCs w:val="20"/>
                <w:color w:val="auto"/>
              </w:rPr>
            </w:pPr>
            <w:r>
              <w:rPr>
                <w:rFonts w:ascii="Arial" w:cs="Arial" w:eastAsia="Arial" w:hAnsi="Arial"/>
                <w:sz w:val="14"/>
                <w:szCs w:val="14"/>
                <w:color w:val="333333"/>
              </w:rPr>
              <w:t>Frances P. Philip</w:t>
            </w:r>
            <w:r>
              <w:rPr>
                <w:rFonts w:ascii="Arial" w:cs="Arial" w:eastAsia="Arial" w:hAnsi="Arial"/>
                <w:sz w:val="21"/>
                <w:szCs w:val="21"/>
                <w:color w:val="333333"/>
                <w:vertAlign w:val="superscript"/>
              </w:rPr>
              <w:t>(5)</w:t>
            </w:r>
          </w:p>
        </w:tc>
        <w:tc>
          <w:tcPr>
            <w:tcW w:w="800" w:type="dxa"/>
            <w:vAlign w:val="bottom"/>
            <w:tcBorders>
              <w:top w:val="single" w:sz="8" w:color="005C5D"/>
              <w:bottom w:val="single" w:sz="8" w:color="005C5D"/>
            </w:tcBorders>
            <w:shd w:val="clear" w:color="auto" w:fill="FCEFEB"/>
          </w:tcPr>
          <w:p>
            <w:pPr>
              <w:jc w:val="right"/>
              <w:spacing w:after="0"/>
              <w:rPr>
                <w:sz w:val="20"/>
                <w:szCs w:val="20"/>
                <w:color w:val="auto"/>
              </w:rPr>
            </w:pPr>
            <w:r>
              <w:rPr>
                <w:rFonts w:ascii="Arial" w:cs="Arial" w:eastAsia="Arial" w:hAnsi="Arial"/>
                <w:sz w:val="14"/>
                <w:szCs w:val="14"/>
                <w:color w:val="333333"/>
              </w:rPr>
              <w:t>29,869</w:t>
            </w:r>
          </w:p>
        </w:tc>
        <w:tc>
          <w:tcPr>
            <w:tcW w:w="1320" w:type="dxa"/>
            <w:vAlign w:val="bottom"/>
            <w:tcBorders>
              <w:top w:val="single" w:sz="8" w:color="005C5D"/>
              <w:bottom w:val="single" w:sz="8" w:color="005C5D"/>
            </w:tcBorders>
            <w:shd w:val="clear" w:color="auto" w:fill="FCEFEB"/>
          </w:tcPr>
          <w:p>
            <w:pPr>
              <w:jc w:val="right"/>
              <w:ind w:right="149"/>
              <w:spacing w:after="0"/>
              <w:rPr>
                <w:sz w:val="20"/>
                <w:szCs w:val="20"/>
                <w:color w:val="auto"/>
              </w:rPr>
            </w:pPr>
            <w:r>
              <w:rPr>
                <w:rFonts w:ascii="Arial" w:cs="Arial" w:eastAsia="Arial" w:hAnsi="Arial"/>
                <w:sz w:val="14"/>
                <w:szCs w:val="14"/>
                <w:color w:val="333333"/>
              </w:rPr>
              <w:t>85,000</w:t>
            </w:r>
          </w:p>
        </w:tc>
        <w:tc>
          <w:tcPr>
            <w:tcW w:w="1200" w:type="dxa"/>
            <w:vAlign w:val="bottom"/>
            <w:tcBorders>
              <w:top w:val="single" w:sz="8" w:color="005C5D"/>
              <w:bottom w:val="single" w:sz="8" w:color="005C5D"/>
            </w:tcBorders>
            <w:shd w:val="clear" w:color="auto" w:fill="FCEFEB"/>
          </w:tcPr>
          <w:p>
            <w:pPr>
              <w:jc w:val="right"/>
              <w:ind w:right="329"/>
              <w:spacing w:after="0"/>
              <w:rPr>
                <w:sz w:val="20"/>
                <w:szCs w:val="20"/>
                <w:color w:val="auto"/>
              </w:rPr>
            </w:pPr>
            <w:r>
              <w:rPr>
                <w:rFonts w:ascii="Arial" w:cs="Arial" w:eastAsia="Arial" w:hAnsi="Arial"/>
                <w:sz w:val="14"/>
                <w:szCs w:val="14"/>
                <w:color w:val="333333"/>
              </w:rPr>
              <w:t>114,869</w:t>
            </w:r>
          </w:p>
        </w:tc>
      </w:tr>
      <w:tr>
        <w:trPr>
          <w:trHeight w:val="274"/>
        </w:trPr>
        <w:tc>
          <w:tcPr>
            <w:tcW w:w="2020" w:type="dxa"/>
            <w:vAlign w:val="bottom"/>
          </w:tcPr>
          <w:p>
            <w:pPr>
              <w:ind w:left="60"/>
              <w:spacing w:after="0"/>
              <w:rPr>
                <w:sz w:val="20"/>
                <w:szCs w:val="20"/>
                <w:color w:val="auto"/>
              </w:rPr>
            </w:pPr>
            <w:r>
              <w:rPr>
                <w:rFonts w:ascii="Arial" w:cs="Arial" w:eastAsia="Arial" w:hAnsi="Arial"/>
                <w:sz w:val="14"/>
                <w:szCs w:val="14"/>
                <w:color w:val="333333"/>
              </w:rPr>
              <w:t>Jessica Rodriguez</w:t>
            </w:r>
          </w:p>
        </w:tc>
        <w:tc>
          <w:tcPr>
            <w:tcW w:w="800" w:type="dxa"/>
            <w:vAlign w:val="bottom"/>
            <w:tcBorders>
              <w:bottom w:val="single" w:sz="8" w:color="FCEFEB"/>
            </w:tcBorders>
            <w:shd w:val="clear" w:color="auto" w:fill="FCEFEB"/>
          </w:tcPr>
          <w:p>
            <w:pPr>
              <w:jc w:val="right"/>
              <w:spacing w:after="0"/>
              <w:rPr>
                <w:sz w:val="20"/>
                <w:szCs w:val="20"/>
                <w:color w:val="auto"/>
              </w:rPr>
            </w:pPr>
            <w:r>
              <w:rPr>
                <w:rFonts w:ascii="Arial" w:cs="Arial" w:eastAsia="Arial" w:hAnsi="Arial"/>
                <w:sz w:val="14"/>
                <w:szCs w:val="14"/>
                <w:color w:val="333333"/>
              </w:rPr>
              <w:t>65.344</w:t>
            </w:r>
          </w:p>
        </w:tc>
        <w:tc>
          <w:tcPr>
            <w:tcW w:w="1320" w:type="dxa"/>
            <w:vAlign w:val="bottom"/>
            <w:tcBorders>
              <w:bottom w:val="single" w:sz="8" w:color="FCEFEB"/>
            </w:tcBorders>
            <w:shd w:val="clear" w:color="auto" w:fill="FCEFEB"/>
          </w:tcPr>
          <w:p>
            <w:pPr>
              <w:jc w:val="right"/>
              <w:ind w:right="149"/>
              <w:spacing w:after="0"/>
              <w:rPr>
                <w:sz w:val="20"/>
                <w:szCs w:val="20"/>
                <w:color w:val="auto"/>
              </w:rPr>
            </w:pPr>
            <w:r>
              <w:rPr>
                <w:rFonts w:ascii="Arial" w:cs="Arial" w:eastAsia="Arial" w:hAnsi="Arial"/>
                <w:sz w:val="14"/>
                <w:szCs w:val="14"/>
                <w:color w:val="333333"/>
              </w:rPr>
              <w:t>85,000</w:t>
            </w:r>
          </w:p>
        </w:tc>
        <w:tc>
          <w:tcPr>
            <w:tcW w:w="1200" w:type="dxa"/>
            <w:vAlign w:val="bottom"/>
            <w:tcBorders>
              <w:bottom w:val="single" w:sz="8" w:color="FCEFEB"/>
            </w:tcBorders>
            <w:shd w:val="clear" w:color="auto" w:fill="FCEFEB"/>
          </w:tcPr>
          <w:p>
            <w:pPr>
              <w:jc w:val="right"/>
              <w:ind w:right="329"/>
              <w:spacing w:after="0"/>
              <w:rPr>
                <w:sz w:val="20"/>
                <w:szCs w:val="20"/>
                <w:color w:val="auto"/>
              </w:rPr>
            </w:pPr>
            <w:r>
              <w:rPr>
                <w:rFonts w:ascii="Arial" w:cs="Arial" w:eastAsia="Arial" w:hAnsi="Arial"/>
                <w:sz w:val="14"/>
                <w:szCs w:val="14"/>
                <w:color w:val="333333"/>
              </w:rPr>
              <w:t>150,344</w:t>
            </w:r>
          </w:p>
        </w:tc>
      </w:tr>
      <w:tr>
        <w:trPr>
          <w:trHeight w:val="254"/>
        </w:trPr>
        <w:tc>
          <w:tcPr>
            <w:tcW w:w="2020" w:type="dxa"/>
            <w:vAlign w:val="bottom"/>
            <w:tcBorders>
              <w:top w:val="single" w:sz="8" w:color="005C5D"/>
            </w:tcBorders>
          </w:tcPr>
          <w:p>
            <w:pPr>
              <w:ind w:left="60"/>
              <w:spacing w:after="0"/>
              <w:rPr>
                <w:sz w:val="20"/>
                <w:szCs w:val="20"/>
                <w:color w:val="auto"/>
              </w:rPr>
            </w:pPr>
            <w:r>
              <w:rPr>
                <w:rFonts w:ascii="Arial" w:cs="Arial" w:eastAsia="Arial" w:hAnsi="Arial"/>
                <w:sz w:val="14"/>
                <w:szCs w:val="14"/>
                <w:color w:val="333333"/>
              </w:rPr>
              <w:t>Carrie M. Tharp</w:t>
            </w:r>
          </w:p>
        </w:tc>
        <w:tc>
          <w:tcPr>
            <w:tcW w:w="800" w:type="dxa"/>
            <w:vAlign w:val="bottom"/>
            <w:tcBorders>
              <w:top w:val="single" w:sz="8" w:color="005C5D"/>
              <w:bottom w:val="single" w:sz="8" w:color="FCEFEB"/>
            </w:tcBorders>
            <w:shd w:val="clear" w:color="auto" w:fill="FCEFEB"/>
          </w:tcPr>
          <w:p>
            <w:pPr>
              <w:jc w:val="right"/>
              <w:spacing w:after="0"/>
              <w:rPr>
                <w:sz w:val="20"/>
                <w:szCs w:val="20"/>
                <w:color w:val="auto"/>
              </w:rPr>
            </w:pPr>
            <w:r>
              <w:rPr>
                <w:rFonts w:ascii="Arial" w:cs="Arial" w:eastAsia="Arial" w:hAnsi="Arial"/>
                <w:sz w:val="14"/>
                <w:szCs w:val="14"/>
                <w:color w:val="333333"/>
              </w:rPr>
              <w:t>60,675</w:t>
            </w:r>
          </w:p>
        </w:tc>
        <w:tc>
          <w:tcPr>
            <w:tcW w:w="1320" w:type="dxa"/>
            <w:vAlign w:val="bottom"/>
            <w:tcBorders>
              <w:top w:val="single" w:sz="8" w:color="005C5D"/>
              <w:bottom w:val="single" w:sz="8" w:color="FCEFEB"/>
            </w:tcBorders>
            <w:shd w:val="clear" w:color="auto" w:fill="FCEFEB"/>
          </w:tcPr>
          <w:p>
            <w:pPr>
              <w:jc w:val="right"/>
              <w:ind w:right="149"/>
              <w:spacing w:after="0"/>
              <w:rPr>
                <w:sz w:val="20"/>
                <w:szCs w:val="20"/>
                <w:color w:val="auto"/>
              </w:rPr>
            </w:pPr>
            <w:r>
              <w:rPr>
                <w:rFonts w:ascii="Arial" w:cs="Arial" w:eastAsia="Arial" w:hAnsi="Arial"/>
                <w:sz w:val="14"/>
                <w:szCs w:val="14"/>
                <w:color w:val="333333"/>
              </w:rPr>
              <w:t>85,000</w:t>
            </w:r>
          </w:p>
        </w:tc>
        <w:tc>
          <w:tcPr>
            <w:tcW w:w="1200" w:type="dxa"/>
            <w:vAlign w:val="bottom"/>
            <w:tcBorders>
              <w:top w:val="single" w:sz="8" w:color="005C5D"/>
              <w:bottom w:val="single" w:sz="8" w:color="FCEFEB"/>
            </w:tcBorders>
            <w:shd w:val="clear" w:color="auto" w:fill="FCEFEB"/>
          </w:tcPr>
          <w:p>
            <w:pPr>
              <w:jc w:val="right"/>
              <w:ind w:right="329"/>
              <w:spacing w:after="0"/>
              <w:rPr>
                <w:sz w:val="20"/>
                <w:szCs w:val="20"/>
                <w:color w:val="auto"/>
              </w:rPr>
            </w:pPr>
            <w:r>
              <w:rPr>
                <w:rFonts w:ascii="Arial" w:cs="Arial" w:eastAsia="Arial" w:hAnsi="Arial"/>
                <w:sz w:val="14"/>
                <w:szCs w:val="14"/>
                <w:color w:val="333333"/>
              </w:rPr>
              <w:t>145,675</w:t>
            </w:r>
          </w:p>
        </w:tc>
      </w:tr>
      <w:tr>
        <w:trPr>
          <w:trHeight w:val="27"/>
        </w:trPr>
        <w:tc>
          <w:tcPr>
            <w:tcW w:w="2020" w:type="dxa"/>
            <w:vAlign w:val="bottom"/>
            <w:shd w:val="clear" w:color="auto" w:fill="005C5D"/>
          </w:tcPr>
          <w:p>
            <w:pPr>
              <w:spacing w:after="0"/>
              <w:rPr>
                <w:sz w:val="2"/>
                <w:szCs w:val="2"/>
                <w:color w:val="auto"/>
              </w:rPr>
            </w:pPr>
          </w:p>
        </w:tc>
        <w:tc>
          <w:tcPr>
            <w:tcW w:w="800" w:type="dxa"/>
            <w:vAlign w:val="bottom"/>
            <w:shd w:val="clear" w:color="auto" w:fill="005C5D"/>
          </w:tcPr>
          <w:p>
            <w:pPr>
              <w:spacing w:after="0"/>
              <w:rPr>
                <w:sz w:val="2"/>
                <w:szCs w:val="2"/>
                <w:color w:val="auto"/>
              </w:rPr>
            </w:pPr>
          </w:p>
        </w:tc>
        <w:tc>
          <w:tcPr>
            <w:tcW w:w="1320" w:type="dxa"/>
            <w:vAlign w:val="bottom"/>
            <w:shd w:val="clear" w:color="auto" w:fill="005C5D"/>
          </w:tcPr>
          <w:p>
            <w:pPr>
              <w:spacing w:after="0"/>
              <w:rPr>
                <w:sz w:val="2"/>
                <w:szCs w:val="2"/>
                <w:color w:val="auto"/>
              </w:rPr>
            </w:pPr>
          </w:p>
        </w:tc>
        <w:tc>
          <w:tcPr>
            <w:tcW w:w="1200" w:type="dxa"/>
            <w:vAlign w:val="bottom"/>
            <w:shd w:val="clear" w:color="auto" w:fill="005C5D"/>
          </w:tcPr>
          <w:p>
            <w:pPr>
              <w:spacing w:after="0"/>
              <w:rPr>
                <w:sz w:val="2"/>
                <w:szCs w:val="2"/>
                <w:color w:val="auto"/>
              </w:rPr>
            </w:pPr>
          </w:p>
        </w:tc>
      </w:tr>
    </w:tbl>
    <w:p>
      <w:pPr>
        <w:ind w:left="247" w:right="20" w:hanging="247"/>
        <w:spacing w:after="0" w:line="239" w:lineRule="auto"/>
        <w:tabs>
          <w:tab w:leader="none" w:pos="247" w:val="left"/>
        </w:tabs>
        <w:numPr>
          <w:ilvl w:val="0"/>
          <w:numId w:val="27"/>
        </w:numPr>
        <w:rPr>
          <w:rFonts w:ascii="Arial" w:cs="Arial" w:eastAsia="Arial" w:hAnsi="Arial"/>
          <w:sz w:val="12"/>
          <w:szCs w:val="12"/>
          <w:color w:val="333333"/>
        </w:rPr>
      </w:pPr>
      <w:r>
        <w:rPr>
          <w:rFonts w:ascii="Arial" w:cs="Arial" w:eastAsia="Arial" w:hAnsi="Arial"/>
          <w:sz w:val="12"/>
          <w:szCs w:val="12"/>
          <w:color w:val="333333"/>
        </w:rPr>
        <w:t>No director who was an employee of the Company received compensation for service on the Board during fiscal 2026 in which such director was not independent.</w:t>
      </w:r>
    </w:p>
    <w:p>
      <w:pPr>
        <w:jc w:val="both"/>
        <w:ind w:left="247" w:right="20" w:hanging="247"/>
        <w:spacing w:after="0" w:line="232" w:lineRule="auto"/>
        <w:tabs>
          <w:tab w:leader="none" w:pos="247" w:val="left"/>
        </w:tabs>
        <w:numPr>
          <w:ilvl w:val="0"/>
          <w:numId w:val="27"/>
        </w:numPr>
        <w:rPr>
          <w:rFonts w:ascii="Arial" w:cs="Arial" w:eastAsia="Arial" w:hAnsi="Arial"/>
          <w:sz w:val="12"/>
          <w:szCs w:val="12"/>
          <w:color w:val="333333"/>
        </w:rPr>
      </w:pPr>
      <w:r>
        <w:rPr>
          <w:rFonts w:ascii="Arial" w:cs="Arial" w:eastAsia="Arial" w:hAnsi="Arial"/>
          <w:sz w:val="12"/>
          <w:szCs w:val="12"/>
          <w:color w:val="333333"/>
        </w:rPr>
        <w:t>Represents the aggregate grant date fair value of restricted stock awarded during the fiscal year computed in accordance with FASB ASC Topic 718. Additional information regarding the calculation of these values is included in Notes 2 and 8 to our consolidated financial statements.</w:t>
      </w:r>
    </w:p>
    <w:p>
      <w:pPr>
        <w:spacing w:after="0" w:line="1" w:lineRule="exact"/>
        <w:rPr>
          <w:rFonts w:ascii="Arial" w:cs="Arial" w:eastAsia="Arial" w:hAnsi="Arial"/>
          <w:sz w:val="12"/>
          <w:szCs w:val="12"/>
          <w:color w:val="333333"/>
        </w:rPr>
      </w:pPr>
    </w:p>
    <w:p>
      <w:pPr>
        <w:jc w:val="both"/>
        <w:ind w:left="247" w:right="20" w:hanging="247"/>
        <w:spacing w:after="0" w:line="232" w:lineRule="auto"/>
        <w:tabs>
          <w:tab w:leader="none" w:pos="247" w:val="left"/>
        </w:tabs>
        <w:numPr>
          <w:ilvl w:val="0"/>
          <w:numId w:val="27"/>
        </w:numPr>
        <w:rPr>
          <w:rFonts w:ascii="Arial" w:cs="Arial" w:eastAsia="Arial" w:hAnsi="Arial"/>
          <w:sz w:val="12"/>
          <w:szCs w:val="12"/>
          <w:color w:val="333333"/>
        </w:rPr>
      </w:pPr>
      <w:r>
        <w:rPr>
          <w:rFonts w:ascii="Arial" w:cs="Arial" w:eastAsia="Arial" w:hAnsi="Arial"/>
          <w:sz w:val="12"/>
          <w:szCs w:val="12"/>
          <w:color w:val="333333"/>
        </w:rPr>
        <w:t>Mr. Bickley received non-employee director compensation for the portion of fiscal 2026 during which he served as an independent director. Following his appointment as Executive Chairman in July 2025, he did not receive any compensation for his service as a director.</w:t>
      </w:r>
    </w:p>
    <w:p>
      <w:pPr>
        <w:spacing w:after="0" w:line="1" w:lineRule="exact"/>
        <w:rPr>
          <w:rFonts w:ascii="Arial" w:cs="Arial" w:eastAsia="Arial" w:hAnsi="Arial"/>
          <w:sz w:val="12"/>
          <w:szCs w:val="12"/>
          <w:color w:val="333333"/>
        </w:rPr>
      </w:pPr>
    </w:p>
    <w:p>
      <w:pPr>
        <w:ind w:left="247" w:right="20" w:hanging="247"/>
        <w:spacing w:after="0" w:line="232" w:lineRule="auto"/>
        <w:tabs>
          <w:tab w:leader="none" w:pos="247" w:val="left"/>
        </w:tabs>
        <w:numPr>
          <w:ilvl w:val="0"/>
          <w:numId w:val="27"/>
        </w:numPr>
        <w:rPr>
          <w:rFonts w:ascii="Arial" w:cs="Arial" w:eastAsia="Arial" w:hAnsi="Arial"/>
          <w:sz w:val="12"/>
          <w:szCs w:val="12"/>
          <w:color w:val="333333"/>
        </w:rPr>
      </w:pPr>
      <w:r>
        <w:rPr>
          <w:rFonts w:ascii="Arial" w:cs="Arial" w:eastAsia="Arial" w:hAnsi="Arial"/>
          <w:sz w:val="12"/>
          <w:szCs w:val="12"/>
          <w:color w:val="333333"/>
        </w:rPr>
        <w:t>Mr. Brockman joined the board in November 2025 and did not earn any stock award compensation until early fiscal 2027.</w:t>
      </w:r>
    </w:p>
    <w:p>
      <w:pPr>
        <w:ind w:left="247" w:hanging="247"/>
        <w:spacing w:after="0"/>
        <w:tabs>
          <w:tab w:leader="none" w:pos="247" w:val="left"/>
        </w:tabs>
        <w:numPr>
          <w:ilvl w:val="0"/>
          <w:numId w:val="27"/>
        </w:numPr>
        <w:rPr>
          <w:rFonts w:ascii="Arial" w:cs="Arial" w:eastAsia="Arial" w:hAnsi="Arial"/>
          <w:sz w:val="12"/>
          <w:szCs w:val="12"/>
          <w:color w:val="333333"/>
        </w:rPr>
      </w:pPr>
      <w:r>
        <w:rPr>
          <w:rFonts w:ascii="Arial" w:cs="Arial" w:eastAsia="Arial" w:hAnsi="Arial"/>
          <w:sz w:val="12"/>
          <w:szCs w:val="12"/>
          <w:color w:val="333333"/>
        </w:rPr>
        <w:t>Ms. Philip retired from the Board of Directors effective June 4, 2025.</w:t>
      </w:r>
    </w:p>
    <w:p>
      <w:pPr>
        <w:spacing w:after="0" w:line="200" w:lineRule="exact"/>
        <w:rPr>
          <w:sz w:val="20"/>
          <w:szCs w:val="20"/>
          <w:color w:val="auto"/>
        </w:rPr>
      </w:pPr>
    </w:p>
    <w:p>
      <w:pPr>
        <w:sectPr>
          <w:pgSz w:w="11900" w:h="16838" w:orient="portrait"/>
          <w:cols w:equalWidth="0" w:num="2">
            <w:col w:w="5400" w:space="333"/>
            <w:col w:w="5347"/>
          </w:cols>
          <w:pgMar w:left="320" w:top="478" w:right="499" w:bottom="1440" w:gutter="0" w:footer="0" w:header="0"/>
          <w:type w:val="continuous"/>
        </w:sectPr>
      </w:pPr>
    </w:p>
    <w:p>
      <w:pPr>
        <w:spacing w:after="0" w:line="73" w:lineRule="exact"/>
        <w:rPr>
          <w:sz w:val="20"/>
          <w:szCs w:val="20"/>
          <w:color w:val="auto"/>
        </w:rPr>
      </w:pPr>
    </w:p>
    <w:p>
      <w:pPr>
        <w:ind w:left="160"/>
        <w:spacing w:after="0"/>
        <w:tabs>
          <w:tab w:leader="none" w:pos="4920" w:val="left"/>
        </w:tabs>
        <w:rPr>
          <w:sz w:val="20"/>
          <w:szCs w:val="20"/>
          <w:color w:val="auto"/>
        </w:rPr>
      </w:pPr>
      <w:r>
        <w:rPr>
          <w:rFonts w:ascii="Arial" w:cs="Arial" w:eastAsia="Arial" w:hAnsi="Arial"/>
          <w:sz w:val="14"/>
          <w:szCs w:val="14"/>
          <w:color w:val="005C5D"/>
        </w:rPr>
        <w:t xml:space="preserve">12 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1080"/>
          </w:cols>
          <w:pgMar w:left="320" w:top="478" w:right="4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PROPOSAL NO. 2 Ratification of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PROPOSAL NO. 2</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27"/>
          <w:szCs w:val="27"/>
          <w:b w:val="1"/>
          <w:bCs w:val="1"/>
          <w:color w:val="005C5D"/>
        </w:rPr>
        <w:t>RATIFICATION OF INDEPENDENT AUDITOR</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PROPOSAL</w:t>
      </w:r>
    </w:p>
    <w:p>
      <w:pPr>
        <w:spacing w:after="0" w:line="100"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color w:val="333333"/>
        </w:rPr>
        <w:t>The Audit Committee has selected Deloitte &amp; Touche LLP, or Deloitte, as our independent registered public accounting firm to audit the consolidated financial statements of Vera Bradley for the fiscal year ending January 30, 2027 (fiscal 2027). The Audit Committee and the Board of Directors seek to have the shareholders ratify the Audit Committee’s appointment of Deloitte. Representatives of Deloitte will be present at the Annual Meeting and will have the opportunity to make a statement, if they desire to do so, and to respond to appropriate questions. Deloitte also served as our independent registered public accounting firm for fiscal 2026.</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PRINCIPAL ACCOUNTING FEES AND SERVICES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The following table sets forth the aggregate fees billed by Deloitte to Vera Bradley for fiscal years 2026 and 2025:</w:t>
      </w: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05C5D"/>
        </w:rPr>
        <w:t>FEES PAID TO DELOITTE</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60"/>
        </w:trPr>
        <w:tc>
          <w:tcPr>
            <w:tcW w:w="9160" w:type="dxa"/>
            <w:vAlign w:val="bottom"/>
          </w:tcPr>
          <w:p>
            <w:pPr>
              <w:spacing w:after="0"/>
              <w:rPr>
                <w:sz w:val="13"/>
                <w:szCs w:val="13"/>
                <w:color w:val="auto"/>
              </w:rPr>
            </w:pPr>
          </w:p>
        </w:tc>
        <w:tc>
          <w:tcPr>
            <w:tcW w:w="140" w:type="dxa"/>
            <w:vAlign w:val="bottom"/>
            <w:shd w:val="clear" w:color="auto" w:fill="FCEFEB"/>
          </w:tcPr>
          <w:p>
            <w:pPr>
              <w:spacing w:after="0"/>
              <w:rPr>
                <w:sz w:val="13"/>
                <w:szCs w:val="13"/>
                <w:color w:val="auto"/>
              </w:rPr>
            </w:pPr>
          </w:p>
        </w:tc>
        <w:tc>
          <w:tcPr>
            <w:tcW w:w="740" w:type="dxa"/>
            <w:vAlign w:val="bottom"/>
            <w:shd w:val="clear" w:color="auto" w:fill="FCEFEB"/>
          </w:tcPr>
          <w:p>
            <w:pPr>
              <w:spacing w:after="0"/>
              <w:rPr>
                <w:sz w:val="13"/>
                <w:szCs w:val="13"/>
                <w:color w:val="auto"/>
              </w:rPr>
            </w:pPr>
          </w:p>
        </w:tc>
        <w:tc>
          <w:tcPr>
            <w:tcW w:w="880" w:type="dxa"/>
            <w:vAlign w:val="bottom"/>
            <w:shd w:val="clear" w:color="auto" w:fill="FCEFEB"/>
          </w:tcPr>
          <w:p>
            <w:pPr>
              <w:spacing w:after="0"/>
              <w:rPr>
                <w:sz w:val="13"/>
                <w:szCs w:val="13"/>
                <w:color w:val="auto"/>
              </w:rPr>
            </w:pPr>
          </w:p>
        </w:tc>
      </w:tr>
      <w:tr>
        <w:trPr>
          <w:trHeight w:val="218"/>
        </w:trPr>
        <w:tc>
          <w:tcPr>
            <w:tcW w:w="9160" w:type="dxa"/>
            <w:vAlign w:val="bottom"/>
            <w:shd w:val="clear" w:color="auto" w:fill="005C5D"/>
          </w:tcPr>
          <w:p>
            <w:pPr>
              <w:spacing w:after="0"/>
              <w:rPr>
                <w:sz w:val="18"/>
                <w:szCs w:val="18"/>
                <w:color w:val="auto"/>
              </w:rPr>
            </w:pPr>
          </w:p>
        </w:tc>
        <w:tc>
          <w:tcPr>
            <w:tcW w:w="140" w:type="dxa"/>
            <w:vAlign w:val="bottom"/>
            <w:shd w:val="clear" w:color="auto" w:fill="005C5D"/>
          </w:tcPr>
          <w:p>
            <w:pPr>
              <w:spacing w:after="0"/>
              <w:rPr>
                <w:sz w:val="18"/>
                <w:szCs w:val="18"/>
                <w:color w:val="auto"/>
              </w:rPr>
            </w:pPr>
          </w:p>
        </w:tc>
        <w:tc>
          <w:tcPr>
            <w:tcW w:w="740" w:type="dxa"/>
            <w:vAlign w:val="bottom"/>
            <w:shd w:val="clear" w:color="auto" w:fill="005C5D"/>
          </w:tcPr>
          <w:p>
            <w:pPr>
              <w:jc w:val="right"/>
              <w:ind w:right="149"/>
              <w:spacing w:after="0"/>
              <w:rPr>
                <w:sz w:val="20"/>
                <w:szCs w:val="20"/>
                <w:color w:val="auto"/>
              </w:rPr>
            </w:pPr>
            <w:r>
              <w:rPr>
                <w:rFonts w:ascii="Arial" w:cs="Arial" w:eastAsia="Arial" w:hAnsi="Arial"/>
                <w:sz w:val="14"/>
                <w:szCs w:val="14"/>
                <w:color w:val="FFFFFF"/>
              </w:rPr>
              <w:t>FISCAL</w:t>
            </w:r>
          </w:p>
        </w:tc>
        <w:tc>
          <w:tcPr>
            <w:tcW w:w="880" w:type="dxa"/>
            <w:vAlign w:val="bottom"/>
            <w:shd w:val="clear" w:color="auto" w:fill="005C5D"/>
          </w:tcPr>
          <w:p>
            <w:pPr>
              <w:jc w:val="right"/>
              <w:ind w:right="149"/>
              <w:spacing w:after="0"/>
              <w:rPr>
                <w:sz w:val="20"/>
                <w:szCs w:val="20"/>
                <w:color w:val="auto"/>
              </w:rPr>
            </w:pPr>
            <w:r>
              <w:rPr>
                <w:rFonts w:ascii="Arial" w:cs="Arial" w:eastAsia="Arial" w:hAnsi="Arial"/>
                <w:sz w:val="14"/>
                <w:szCs w:val="14"/>
                <w:color w:val="FFFFFF"/>
              </w:rPr>
              <w:t>FISCAL</w:t>
            </w:r>
          </w:p>
        </w:tc>
      </w:tr>
      <w:tr>
        <w:trPr>
          <w:trHeight w:val="189"/>
        </w:trPr>
        <w:tc>
          <w:tcPr>
            <w:tcW w:w="9160" w:type="dxa"/>
            <w:vAlign w:val="bottom"/>
            <w:shd w:val="clear" w:color="auto" w:fill="005C5D"/>
          </w:tcPr>
          <w:p>
            <w:pPr>
              <w:spacing w:after="0"/>
              <w:rPr>
                <w:sz w:val="16"/>
                <w:szCs w:val="16"/>
                <w:color w:val="auto"/>
              </w:rPr>
            </w:pPr>
          </w:p>
        </w:tc>
        <w:tc>
          <w:tcPr>
            <w:tcW w:w="140" w:type="dxa"/>
            <w:vAlign w:val="bottom"/>
            <w:shd w:val="clear" w:color="auto" w:fill="005C5D"/>
          </w:tcPr>
          <w:p>
            <w:pPr>
              <w:spacing w:after="0"/>
              <w:rPr>
                <w:sz w:val="16"/>
                <w:szCs w:val="16"/>
                <w:color w:val="auto"/>
              </w:rPr>
            </w:pPr>
          </w:p>
        </w:tc>
        <w:tc>
          <w:tcPr>
            <w:tcW w:w="740" w:type="dxa"/>
            <w:vAlign w:val="bottom"/>
            <w:shd w:val="clear" w:color="auto" w:fill="005C5D"/>
          </w:tcPr>
          <w:p>
            <w:pPr>
              <w:jc w:val="right"/>
              <w:ind w:right="249"/>
              <w:spacing w:after="0"/>
              <w:rPr>
                <w:sz w:val="20"/>
                <w:szCs w:val="20"/>
                <w:color w:val="auto"/>
              </w:rPr>
            </w:pPr>
            <w:r>
              <w:rPr>
                <w:rFonts w:ascii="Arial" w:cs="Arial" w:eastAsia="Arial" w:hAnsi="Arial"/>
                <w:sz w:val="14"/>
                <w:szCs w:val="14"/>
                <w:color w:val="FFFFFF"/>
              </w:rPr>
              <w:t>2026</w:t>
            </w:r>
          </w:p>
        </w:tc>
        <w:tc>
          <w:tcPr>
            <w:tcW w:w="880" w:type="dxa"/>
            <w:vAlign w:val="bottom"/>
            <w:shd w:val="clear" w:color="auto" w:fill="005C5D"/>
          </w:tcPr>
          <w:p>
            <w:pPr>
              <w:jc w:val="right"/>
              <w:ind w:right="249"/>
              <w:spacing w:after="0"/>
              <w:rPr>
                <w:sz w:val="20"/>
                <w:szCs w:val="20"/>
                <w:color w:val="auto"/>
              </w:rPr>
            </w:pPr>
            <w:r>
              <w:rPr>
                <w:rFonts w:ascii="Arial" w:cs="Arial" w:eastAsia="Arial" w:hAnsi="Arial"/>
                <w:sz w:val="14"/>
                <w:szCs w:val="14"/>
                <w:color w:val="FFFFFF"/>
              </w:rPr>
              <w:t>2025</w:t>
            </w:r>
          </w:p>
        </w:tc>
      </w:tr>
      <w:tr>
        <w:trPr>
          <w:trHeight w:val="61"/>
        </w:trPr>
        <w:tc>
          <w:tcPr>
            <w:tcW w:w="9160" w:type="dxa"/>
            <w:vAlign w:val="bottom"/>
            <w:shd w:val="clear" w:color="auto" w:fill="005C5D"/>
          </w:tcPr>
          <w:p>
            <w:pPr>
              <w:spacing w:after="0"/>
              <w:rPr>
                <w:sz w:val="5"/>
                <w:szCs w:val="5"/>
                <w:color w:val="auto"/>
              </w:rPr>
            </w:pPr>
          </w:p>
        </w:tc>
        <w:tc>
          <w:tcPr>
            <w:tcW w:w="140" w:type="dxa"/>
            <w:vAlign w:val="bottom"/>
            <w:shd w:val="clear" w:color="auto" w:fill="005C5D"/>
          </w:tcPr>
          <w:p>
            <w:pPr>
              <w:spacing w:after="0"/>
              <w:rPr>
                <w:sz w:val="5"/>
                <w:szCs w:val="5"/>
                <w:color w:val="auto"/>
              </w:rPr>
            </w:pPr>
          </w:p>
        </w:tc>
        <w:tc>
          <w:tcPr>
            <w:tcW w:w="740" w:type="dxa"/>
            <w:vAlign w:val="bottom"/>
            <w:shd w:val="clear" w:color="auto" w:fill="005C5D"/>
          </w:tcPr>
          <w:p>
            <w:pPr>
              <w:spacing w:after="0"/>
              <w:rPr>
                <w:sz w:val="5"/>
                <w:szCs w:val="5"/>
                <w:color w:val="auto"/>
              </w:rPr>
            </w:pPr>
          </w:p>
        </w:tc>
        <w:tc>
          <w:tcPr>
            <w:tcW w:w="880" w:type="dxa"/>
            <w:vAlign w:val="bottom"/>
            <w:shd w:val="clear" w:color="auto" w:fill="005C5D"/>
          </w:tcPr>
          <w:p>
            <w:pPr>
              <w:spacing w:after="0"/>
              <w:rPr>
                <w:sz w:val="5"/>
                <w:szCs w:val="5"/>
                <w:color w:val="auto"/>
              </w:rPr>
            </w:pPr>
          </w:p>
        </w:tc>
      </w:tr>
      <w:tr>
        <w:trPr>
          <w:trHeight w:val="294"/>
        </w:trPr>
        <w:tc>
          <w:tcPr>
            <w:tcW w:w="9160" w:type="dxa"/>
            <w:vAlign w:val="bottom"/>
            <w:tcBorders>
              <w:bottom w:val="single" w:sz="8" w:color="005C5D"/>
            </w:tcBorders>
          </w:tcPr>
          <w:p>
            <w:pPr>
              <w:ind w:left="80"/>
              <w:spacing w:after="0"/>
              <w:rPr>
                <w:sz w:val="20"/>
                <w:szCs w:val="20"/>
                <w:color w:val="auto"/>
              </w:rPr>
            </w:pPr>
            <w:r>
              <w:rPr>
                <w:rFonts w:ascii="Arial" w:cs="Arial" w:eastAsia="Arial" w:hAnsi="Arial"/>
                <w:sz w:val="14"/>
                <w:szCs w:val="14"/>
                <w:color w:val="333333"/>
              </w:rPr>
              <w:t>Audit Fees</w:t>
            </w:r>
            <w:r>
              <w:rPr>
                <w:rFonts w:ascii="Arial" w:cs="Arial" w:eastAsia="Arial" w:hAnsi="Arial"/>
                <w:sz w:val="21"/>
                <w:szCs w:val="21"/>
                <w:color w:val="333333"/>
                <w:vertAlign w:val="superscript"/>
              </w:rPr>
              <w:t>(1)</w:t>
            </w:r>
          </w:p>
        </w:tc>
        <w:tc>
          <w:tcPr>
            <w:tcW w:w="140" w:type="dxa"/>
            <w:vAlign w:val="bottom"/>
            <w:tcBorders>
              <w:bottom w:val="single" w:sz="8" w:color="005C5D"/>
            </w:tcBorders>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74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967,114</w:t>
            </w:r>
          </w:p>
        </w:tc>
        <w:tc>
          <w:tcPr>
            <w:tcW w:w="88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$ 1,103,259</w:t>
            </w:r>
          </w:p>
        </w:tc>
      </w:tr>
      <w:tr>
        <w:trPr>
          <w:trHeight w:val="274"/>
        </w:trPr>
        <w:tc>
          <w:tcPr>
            <w:tcW w:w="9160" w:type="dxa"/>
            <w:vAlign w:val="bottom"/>
            <w:tcBorders>
              <w:bottom w:val="single" w:sz="8" w:color="005C5D"/>
            </w:tcBorders>
          </w:tcPr>
          <w:p>
            <w:pPr>
              <w:ind w:left="80"/>
              <w:spacing w:after="0"/>
              <w:rPr>
                <w:sz w:val="20"/>
                <w:szCs w:val="20"/>
                <w:color w:val="auto"/>
              </w:rPr>
            </w:pPr>
            <w:r>
              <w:rPr>
                <w:rFonts w:ascii="Arial" w:cs="Arial" w:eastAsia="Arial" w:hAnsi="Arial"/>
                <w:sz w:val="14"/>
                <w:szCs w:val="14"/>
                <w:color w:val="333333"/>
              </w:rPr>
              <w:t>Tax Fees</w:t>
            </w:r>
            <w:r>
              <w:rPr>
                <w:rFonts w:ascii="Arial" w:cs="Arial" w:eastAsia="Arial" w:hAnsi="Arial"/>
                <w:sz w:val="21"/>
                <w:szCs w:val="21"/>
                <w:color w:val="333333"/>
                <w:vertAlign w:val="superscript"/>
              </w:rPr>
              <w:t>(2)</w:t>
            </w:r>
          </w:p>
        </w:tc>
        <w:tc>
          <w:tcPr>
            <w:tcW w:w="140" w:type="dxa"/>
            <w:vAlign w:val="bottom"/>
            <w:tcBorders>
              <w:bottom w:val="single" w:sz="8" w:color="005C5D"/>
            </w:tcBorders>
            <w:shd w:val="clear" w:color="auto" w:fill="FCEFEB"/>
          </w:tcPr>
          <w:p>
            <w:pPr>
              <w:spacing w:after="0"/>
              <w:rPr>
                <w:sz w:val="23"/>
                <w:szCs w:val="23"/>
                <w:color w:val="auto"/>
              </w:rPr>
            </w:pPr>
          </w:p>
        </w:tc>
        <w:tc>
          <w:tcPr>
            <w:tcW w:w="74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75,612</w:t>
            </w:r>
          </w:p>
        </w:tc>
        <w:tc>
          <w:tcPr>
            <w:tcW w:w="88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62,862</w:t>
            </w:r>
          </w:p>
        </w:tc>
      </w:tr>
      <w:tr>
        <w:trPr>
          <w:trHeight w:val="274"/>
        </w:trPr>
        <w:tc>
          <w:tcPr>
            <w:tcW w:w="9160" w:type="dxa"/>
            <w:vAlign w:val="bottom"/>
            <w:tcBorders>
              <w:bottom w:val="single" w:sz="8" w:color="005C5D"/>
            </w:tcBorders>
          </w:tcPr>
          <w:p>
            <w:pPr>
              <w:ind w:left="80"/>
              <w:spacing w:after="0"/>
              <w:rPr>
                <w:sz w:val="20"/>
                <w:szCs w:val="20"/>
                <w:color w:val="auto"/>
              </w:rPr>
            </w:pPr>
            <w:r>
              <w:rPr>
                <w:rFonts w:ascii="Arial" w:cs="Arial" w:eastAsia="Arial" w:hAnsi="Arial"/>
                <w:sz w:val="14"/>
                <w:szCs w:val="14"/>
                <w:color w:val="333333"/>
              </w:rPr>
              <w:t>All Other Fees</w:t>
            </w:r>
            <w:r>
              <w:rPr>
                <w:rFonts w:ascii="Arial" w:cs="Arial" w:eastAsia="Arial" w:hAnsi="Arial"/>
                <w:sz w:val="21"/>
                <w:szCs w:val="21"/>
                <w:color w:val="333333"/>
                <w:vertAlign w:val="superscript"/>
              </w:rPr>
              <w:t>(3)</w:t>
            </w:r>
          </w:p>
        </w:tc>
        <w:tc>
          <w:tcPr>
            <w:tcW w:w="140" w:type="dxa"/>
            <w:vAlign w:val="bottom"/>
            <w:tcBorders>
              <w:bottom w:val="single" w:sz="8" w:color="005C5D"/>
            </w:tcBorders>
            <w:shd w:val="clear" w:color="auto" w:fill="FCEFEB"/>
          </w:tcPr>
          <w:p>
            <w:pPr>
              <w:spacing w:after="0"/>
              <w:rPr>
                <w:sz w:val="23"/>
                <w:szCs w:val="23"/>
                <w:color w:val="auto"/>
              </w:rPr>
            </w:pPr>
          </w:p>
        </w:tc>
        <w:tc>
          <w:tcPr>
            <w:tcW w:w="74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1,895</w:t>
            </w:r>
          </w:p>
        </w:tc>
        <w:tc>
          <w:tcPr>
            <w:tcW w:w="88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1,895</w:t>
            </w:r>
          </w:p>
        </w:tc>
      </w:tr>
      <w:tr>
        <w:trPr>
          <w:trHeight w:val="254"/>
        </w:trPr>
        <w:tc>
          <w:tcPr>
            <w:tcW w:w="9160" w:type="dxa"/>
            <w:vAlign w:val="bottom"/>
          </w:tcPr>
          <w:p>
            <w:pPr>
              <w:ind w:left="80"/>
              <w:spacing w:after="0"/>
              <w:rPr>
                <w:sz w:val="20"/>
                <w:szCs w:val="20"/>
                <w:color w:val="auto"/>
              </w:rPr>
            </w:pPr>
            <w:r>
              <w:rPr>
                <w:rFonts w:ascii="Arial" w:cs="Arial" w:eastAsia="Arial" w:hAnsi="Arial"/>
                <w:sz w:val="14"/>
                <w:szCs w:val="14"/>
                <w:color w:val="333333"/>
              </w:rPr>
              <w:t>Total</w:t>
            </w:r>
          </w:p>
        </w:tc>
        <w:tc>
          <w:tcPr>
            <w:tcW w:w="140" w:type="dxa"/>
            <w:vAlign w:val="bottom"/>
            <w:tcBorders>
              <w:bottom w:val="single" w:sz="8" w:color="FCEFEB"/>
            </w:tcBorders>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740" w:type="dxa"/>
            <w:vAlign w:val="bottom"/>
            <w:tcBorders>
              <w:bottom w:val="single" w:sz="8" w:color="FCEFEB"/>
            </w:tcBorders>
            <w:shd w:val="clear" w:color="auto" w:fill="FCEFEB"/>
          </w:tcPr>
          <w:p>
            <w:pPr>
              <w:jc w:val="right"/>
              <w:ind w:right="29"/>
              <w:spacing w:after="0"/>
              <w:rPr>
                <w:sz w:val="20"/>
                <w:szCs w:val="20"/>
                <w:color w:val="auto"/>
              </w:rPr>
            </w:pPr>
            <w:r>
              <w:rPr>
                <w:rFonts w:ascii="Arial" w:cs="Arial" w:eastAsia="Arial" w:hAnsi="Arial"/>
                <w:sz w:val="14"/>
                <w:szCs w:val="14"/>
                <w:color w:val="333333"/>
                <w:w w:val="99"/>
              </w:rPr>
              <w:t>1,044,621</w:t>
            </w:r>
          </w:p>
        </w:tc>
        <w:tc>
          <w:tcPr>
            <w:tcW w:w="880" w:type="dxa"/>
            <w:vAlign w:val="bottom"/>
            <w:tcBorders>
              <w:bottom w:val="single" w:sz="8" w:color="FCEFEB"/>
            </w:tcBorders>
            <w:shd w:val="clear" w:color="auto" w:fill="FCEFEB"/>
          </w:tcPr>
          <w:p>
            <w:pPr>
              <w:jc w:val="right"/>
              <w:ind w:right="29"/>
              <w:spacing w:after="0"/>
              <w:rPr>
                <w:sz w:val="20"/>
                <w:szCs w:val="20"/>
                <w:color w:val="auto"/>
              </w:rPr>
            </w:pPr>
            <w:r>
              <w:rPr>
                <w:rFonts w:ascii="Arial" w:cs="Arial" w:eastAsia="Arial" w:hAnsi="Arial"/>
                <w:sz w:val="14"/>
                <w:szCs w:val="14"/>
                <w:color w:val="333333"/>
              </w:rPr>
              <w:t>$ 1,168,016</w:t>
            </w:r>
          </w:p>
        </w:tc>
      </w:tr>
      <w:tr>
        <w:trPr>
          <w:trHeight w:val="27"/>
        </w:trPr>
        <w:tc>
          <w:tcPr>
            <w:tcW w:w="9160" w:type="dxa"/>
            <w:vAlign w:val="bottom"/>
            <w:shd w:val="clear" w:color="auto" w:fill="005C5D"/>
          </w:tcPr>
          <w:p>
            <w:pPr>
              <w:spacing w:after="0"/>
              <w:rPr>
                <w:sz w:val="2"/>
                <w:szCs w:val="2"/>
                <w:color w:val="auto"/>
              </w:rPr>
            </w:pPr>
          </w:p>
        </w:tc>
        <w:tc>
          <w:tcPr>
            <w:tcW w:w="140" w:type="dxa"/>
            <w:vAlign w:val="bottom"/>
            <w:shd w:val="clear" w:color="auto" w:fill="005C5D"/>
          </w:tcPr>
          <w:p>
            <w:pPr>
              <w:spacing w:after="0"/>
              <w:rPr>
                <w:sz w:val="2"/>
                <w:szCs w:val="2"/>
                <w:color w:val="auto"/>
              </w:rPr>
            </w:pPr>
          </w:p>
        </w:tc>
        <w:tc>
          <w:tcPr>
            <w:tcW w:w="740" w:type="dxa"/>
            <w:vAlign w:val="bottom"/>
            <w:shd w:val="clear" w:color="auto" w:fill="005C5D"/>
          </w:tcPr>
          <w:p>
            <w:pPr>
              <w:spacing w:after="0"/>
              <w:rPr>
                <w:sz w:val="2"/>
                <w:szCs w:val="2"/>
                <w:color w:val="auto"/>
              </w:rPr>
            </w:pPr>
          </w:p>
        </w:tc>
        <w:tc>
          <w:tcPr>
            <w:tcW w:w="880" w:type="dxa"/>
            <w:vAlign w:val="bottom"/>
            <w:shd w:val="clear" w:color="auto" w:fill="005C5D"/>
          </w:tcPr>
          <w:p>
            <w:pPr>
              <w:spacing w:after="0"/>
              <w:rPr>
                <w:sz w:val="2"/>
                <w:szCs w:val="2"/>
                <w:color w:val="auto"/>
              </w:rPr>
            </w:pPr>
          </w:p>
        </w:tc>
      </w:tr>
    </w:tbl>
    <w:p>
      <w:pPr>
        <w:ind w:left="480" w:hanging="313"/>
        <w:spacing w:after="0" w:line="239" w:lineRule="auto"/>
        <w:tabs>
          <w:tab w:leader="none" w:pos="480" w:val="left"/>
        </w:tabs>
        <w:numPr>
          <w:ilvl w:val="0"/>
          <w:numId w:val="28"/>
        </w:numPr>
        <w:rPr>
          <w:rFonts w:ascii="Arial" w:cs="Arial" w:eastAsia="Arial" w:hAnsi="Arial"/>
          <w:sz w:val="12"/>
          <w:szCs w:val="12"/>
          <w:color w:val="333333"/>
        </w:rPr>
      </w:pPr>
      <w:r>
        <w:rPr>
          <w:rFonts w:ascii="Arial" w:cs="Arial" w:eastAsia="Arial" w:hAnsi="Arial"/>
          <w:sz w:val="12"/>
          <w:szCs w:val="12"/>
          <w:color w:val="333333"/>
        </w:rPr>
        <w:t>Audit Fees for fiscal years 2026 and 2025 consist of fees for professional services rendered by Deloitte in connection with the integrated audit of the consolidated financial statements and the effectiveness of the Company’s controls over financial reporting and reviews of our interim consolidated financial statements.</w:t>
      </w:r>
    </w:p>
    <w:p>
      <w:pPr>
        <w:ind w:left="480" w:hanging="313"/>
        <w:spacing w:after="0" w:line="232" w:lineRule="auto"/>
        <w:tabs>
          <w:tab w:leader="none" w:pos="480" w:val="left"/>
        </w:tabs>
        <w:numPr>
          <w:ilvl w:val="0"/>
          <w:numId w:val="28"/>
        </w:numPr>
        <w:rPr>
          <w:rFonts w:ascii="Arial" w:cs="Arial" w:eastAsia="Arial" w:hAnsi="Arial"/>
          <w:sz w:val="12"/>
          <w:szCs w:val="12"/>
          <w:color w:val="333333"/>
        </w:rPr>
      </w:pPr>
      <w:r>
        <w:rPr>
          <w:rFonts w:ascii="Arial" w:cs="Arial" w:eastAsia="Arial" w:hAnsi="Arial"/>
          <w:sz w:val="12"/>
          <w:szCs w:val="12"/>
          <w:color w:val="333333"/>
        </w:rPr>
        <w:t>Tax Fees consist primarily of fees associated with tax compliance, advice, and planning services.</w:t>
      </w:r>
    </w:p>
    <w:p>
      <w:pPr>
        <w:ind w:left="480" w:hanging="313"/>
        <w:spacing w:after="0"/>
        <w:tabs>
          <w:tab w:leader="none" w:pos="480" w:val="left"/>
        </w:tabs>
        <w:numPr>
          <w:ilvl w:val="0"/>
          <w:numId w:val="28"/>
        </w:numPr>
        <w:rPr>
          <w:rFonts w:ascii="Arial" w:cs="Arial" w:eastAsia="Arial" w:hAnsi="Arial"/>
          <w:sz w:val="12"/>
          <w:szCs w:val="12"/>
          <w:color w:val="333333"/>
        </w:rPr>
      </w:pPr>
      <w:r>
        <w:rPr>
          <w:rFonts w:ascii="Arial" w:cs="Arial" w:eastAsia="Arial" w:hAnsi="Arial"/>
          <w:sz w:val="12"/>
          <w:szCs w:val="12"/>
          <w:color w:val="333333"/>
        </w:rPr>
        <w:t>All Other Fees consist of fees for products and services other than the above-described services. In fiscal years 2026 and 2025, these fees related to an online research database subscription.</w:t>
      </w:r>
    </w:p>
    <w:p>
      <w:pPr>
        <w:spacing w:after="0" w:line="121"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333333"/>
        </w:rPr>
        <w:t>The Audit Committee’s written charter requires the Audit Committee to pre-approve, prior to engagement, all audit and permissible non-audit services provided by the independent registered public accounting firm on an individual basis. All of the services described in the table above were pre-approved by the Audit Committee. The Audit Committee considered the services listed above to be compatible with maintaining Deloitte’s independence.</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VOTE REQUIRED AND BOARD RECOMMENDATION</w:t>
      </w:r>
    </w:p>
    <w:p>
      <w:pPr>
        <w:spacing w:after="0" w:line="100"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333333"/>
        </w:rPr>
        <w:t>This proposal will be approved if a quorum is present, in person or by proxy, at the Annual Meeting and the votes properly cast favoring the proposal exceed the votes properly cast opposing the proposal. Abstentions and broker non-votes will each be counted as present for purposes of determining the presence of a quorum but will not have any effect on the outcome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212090</wp:posOffset>
            </wp:positionV>
            <wp:extent cx="6938010" cy="5518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38010" cy="551815"/>
                    </a:xfrm>
                    <a:prstGeom prst="rect">
                      <a:avLst/>
                    </a:prstGeom>
                    <a:noFill/>
                  </pic:spPr>
                </pic:pic>
              </a:graphicData>
            </a:graphic>
          </wp:anchor>
        </w:drawing>
      </w:r>
    </w:p>
    <w:p>
      <w:pPr>
        <w:spacing w:after="0" w:line="398" w:lineRule="exact"/>
        <w:rPr>
          <w:sz w:val="20"/>
          <w:szCs w:val="20"/>
          <w:color w:val="auto"/>
        </w:rPr>
      </w:pPr>
    </w:p>
    <w:p>
      <w:pPr>
        <w:jc w:val="center"/>
        <w:ind w:left="600" w:right="60"/>
        <w:spacing w:after="0" w:line="239" w:lineRule="auto"/>
        <w:rPr>
          <w:sz w:val="20"/>
          <w:szCs w:val="20"/>
          <w:color w:val="auto"/>
        </w:rPr>
      </w:pPr>
      <w:r>
        <w:rPr>
          <w:rFonts w:ascii="Arial" w:cs="Arial" w:eastAsia="Arial" w:hAnsi="Arial"/>
          <w:sz w:val="20"/>
          <w:szCs w:val="20"/>
          <w:color w:val="005C5D"/>
        </w:rPr>
        <w:t xml:space="preserve">VERA BRADLEY’S BOARD OF DIRECTORS UNANIMOUSLY RECOMMENDS A VOTE </w:t>
      </w:r>
      <w:r>
        <w:rPr>
          <w:rFonts w:ascii="Arial" w:cs="Arial" w:eastAsia="Arial" w:hAnsi="Arial"/>
          <w:sz w:val="20"/>
          <w:szCs w:val="20"/>
          <w:b w:val="1"/>
          <w:bCs w:val="1"/>
          <w:color w:val="005C5D"/>
        </w:rPr>
        <w:t>“FOR”</w:t>
      </w:r>
      <w:r>
        <w:rPr>
          <w:rFonts w:ascii="Arial" w:cs="Arial" w:eastAsia="Arial" w:hAnsi="Arial"/>
          <w:sz w:val="20"/>
          <w:szCs w:val="20"/>
          <w:color w:val="005C5D"/>
        </w:rPr>
        <w:t xml:space="preserve"> THE RATIFICATION OF THE APPOINTMENT OF DELOITTE AS OUR INDEPENDENT REGISTERED PUBLIC ACCOUNTING FIRM FOR FISCAL 2027</w:t>
      </w:r>
    </w:p>
    <w:p>
      <w:pPr>
        <w:spacing w:after="0" w:line="237" w:lineRule="exact"/>
        <w:rPr>
          <w:sz w:val="20"/>
          <w:szCs w:val="20"/>
          <w:color w:val="auto"/>
        </w:rPr>
      </w:pPr>
    </w:p>
    <w:p>
      <w:pPr>
        <w:jc w:val="right"/>
        <w:spacing w:after="0"/>
        <w:tabs>
          <w:tab w:leader="none" w:pos="1960" w:val="left"/>
          <w:tab w:leader="none" w:pos="14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13</w:t>
      </w:r>
    </w:p>
    <w:p>
      <w:pPr>
        <w:sectPr>
          <w:pgSz w:w="11900" w:h="16838" w:orient="portrait"/>
          <w:cols w:equalWidth="0" w:num="1">
            <w:col w:w="11080"/>
          </w:cols>
          <w:pgMar w:left="320" w:top="478"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27"/>
          <w:szCs w:val="27"/>
          <w:b w:val="1"/>
          <w:bCs w:val="1"/>
          <w:color w:val="005C5D"/>
        </w:rPr>
        <w:t>AUDIT COMMITTEE REPORT</w:t>
      </w:r>
    </w:p>
    <w:p>
      <w:pPr>
        <w:spacing w:after="0" w:line="226"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color w:val="333333"/>
        </w:rPr>
        <w:t>Management is responsible for the preparation, presentation and integrity of Vera Bradley’s consolidated financial statements and the Company’s internal control over financial reporting. The independent registered public accounting firm of Deloitte &amp; Touche LLP, or Deloitte, was responsible in fiscal 2026 for performing an integrated audit of the Company’s consolidated financial statements and the effectiveness of the Company’s controls over financial reporting. The Audit Committee’s responsibility is to monitor and oversee these processes. The Audit Committee is also responsible for selecting and evaluating the independence of the Company’s independent registered public accounting firm and for pre-approving the services rendered by that firm.</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In this context, the Audit Committee reports as follows:</w:t>
      </w:r>
    </w:p>
    <w:p>
      <w:pPr>
        <w:spacing w:after="0" w:line="150" w:lineRule="exact"/>
        <w:rPr>
          <w:sz w:val="20"/>
          <w:szCs w:val="20"/>
          <w:color w:val="auto"/>
        </w:rPr>
      </w:pPr>
    </w:p>
    <w:p>
      <w:pPr>
        <w:ind w:left="600" w:hanging="433"/>
        <w:spacing w:after="0" w:line="279" w:lineRule="auto"/>
        <w:tabs>
          <w:tab w:leader="none" w:pos="600" w:val="left"/>
        </w:tabs>
        <w:numPr>
          <w:ilvl w:val="0"/>
          <w:numId w:val="29"/>
        </w:numPr>
        <w:rPr>
          <w:rFonts w:ascii="Arial" w:cs="Arial" w:eastAsia="Arial" w:hAnsi="Arial"/>
          <w:sz w:val="16"/>
          <w:szCs w:val="16"/>
          <w:color w:val="333333"/>
        </w:rPr>
      </w:pPr>
      <w:r>
        <w:rPr>
          <w:rFonts w:ascii="Arial" w:cs="Arial" w:eastAsia="Arial" w:hAnsi="Arial"/>
          <w:sz w:val="16"/>
          <w:szCs w:val="16"/>
          <w:color w:val="333333"/>
        </w:rPr>
        <w:t>The Audit Committee has reviewed and discussed with management Vera Bradley’s audited consolidated financial statements for the fiscal year ended January 31, 2026;</w:t>
      </w:r>
    </w:p>
    <w:p>
      <w:pPr>
        <w:spacing w:after="0" w:line="93" w:lineRule="exact"/>
        <w:rPr>
          <w:rFonts w:ascii="Arial" w:cs="Arial" w:eastAsia="Arial" w:hAnsi="Arial"/>
          <w:sz w:val="16"/>
          <w:szCs w:val="16"/>
          <w:color w:val="333333"/>
        </w:rPr>
      </w:pPr>
    </w:p>
    <w:p>
      <w:pPr>
        <w:ind w:left="600" w:right="20" w:hanging="433"/>
        <w:spacing w:after="0" w:line="279" w:lineRule="auto"/>
        <w:tabs>
          <w:tab w:leader="none" w:pos="600" w:val="left"/>
        </w:tabs>
        <w:numPr>
          <w:ilvl w:val="0"/>
          <w:numId w:val="29"/>
        </w:numPr>
        <w:rPr>
          <w:rFonts w:ascii="Arial" w:cs="Arial" w:eastAsia="Arial" w:hAnsi="Arial"/>
          <w:sz w:val="16"/>
          <w:szCs w:val="16"/>
          <w:color w:val="333333"/>
        </w:rPr>
      </w:pPr>
      <w:r>
        <w:rPr>
          <w:rFonts w:ascii="Arial" w:cs="Arial" w:eastAsia="Arial" w:hAnsi="Arial"/>
          <w:sz w:val="16"/>
          <w:szCs w:val="16"/>
          <w:color w:val="333333"/>
        </w:rPr>
        <w:t>The Audit Committee has discussed with Deloitte the matters required to be discussed by the applicable requirements of the Public Company Accounting Oversight Board (“PCAOB”) and the Commission;</w:t>
      </w:r>
    </w:p>
    <w:p>
      <w:pPr>
        <w:spacing w:after="0" w:line="93" w:lineRule="exact"/>
        <w:rPr>
          <w:rFonts w:ascii="Arial" w:cs="Arial" w:eastAsia="Arial" w:hAnsi="Arial"/>
          <w:sz w:val="16"/>
          <w:szCs w:val="16"/>
          <w:color w:val="333333"/>
        </w:rPr>
      </w:pPr>
    </w:p>
    <w:p>
      <w:pPr>
        <w:jc w:val="both"/>
        <w:ind w:left="600" w:hanging="433"/>
        <w:spacing w:after="0" w:line="262" w:lineRule="auto"/>
        <w:tabs>
          <w:tab w:leader="none" w:pos="600" w:val="left"/>
        </w:tabs>
        <w:numPr>
          <w:ilvl w:val="0"/>
          <w:numId w:val="29"/>
        </w:numPr>
        <w:rPr>
          <w:rFonts w:ascii="Arial" w:cs="Arial" w:eastAsia="Arial" w:hAnsi="Arial"/>
          <w:sz w:val="16"/>
          <w:szCs w:val="16"/>
          <w:color w:val="333333"/>
        </w:rPr>
      </w:pPr>
      <w:r>
        <w:rPr>
          <w:rFonts w:ascii="Arial" w:cs="Arial" w:eastAsia="Arial" w:hAnsi="Arial"/>
          <w:sz w:val="16"/>
          <w:szCs w:val="16"/>
          <w:color w:val="333333"/>
        </w:rPr>
        <w:t>The Audit Committee has received and reviewed the written disclosures and the letter from Deloitte required by applicable requirements of the PCAOB regarding Deloitte’s communications with the Audit Committee concerning independence and has discussed with Deloitte its independence; and</w:t>
      </w:r>
    </w:p>
    <w:p>
      <w:pPr>
        <w:spacing w:after="0" w:line="106" w:lineRule="exact"/>
        <w:rPr>
          <w:rFonts w:ascii="Arial" w:cs="Arial" w:eastAsia="Arial" w:hAnsi="Arial"/>
          <w:sz w:val="16"/>
          <w:szCs w:val="16"/>
          <w:color w:val="333333"/>
        </w:rPr>
      </w:pPr>
    </w:p>
    <w:p>
      <w:pPr>
        <w:ind w:left="600" w:right="20" w:hanging="433"/>
        <w:spacing w:after="0" w:line="279" w:lineRule="auto"/>
        <w:tabs>
          <w:tab w:leader="none" w:pos="600" w:val="left"/>
        </w:tabs>
        <w:numPr>
          <w:ilvl w:val="0"/>
          <w:numId w:val="29"/>
        </w:numPr>
        <w:rPr>
          <w:rFonts w:ascii="Arial" w:cs="Arial" w:eastAsia="Arial" w:hAnsi="Arial"/>
          <w:sz w:val="16"/>
          <w:szCs w:val="16"/>
          <w:color w:val="333333"/>
        </w:rPr>
      </w:pPr>
      <w:r>
        <w:rPr>
          <w:rFonts w:ascii="Arial" w:cs="Arial" w:eastAsia="Arial" w:hAnsi="Arial"/>
          <w:sz w:val="16"/>
          <w:szCs w:val="16"/>
          <w:color w:val="333333"/>
        </w:rPr>
        <w:t>The Audit Committee has considered whether the provision by Deloitte of non-audit services to Vera Bradley is compatible with maintaining Deloitte’s independence.</w:t>
      </w:r>
    </w:p>
    <w:p>
      <w:pPr>
        <w:spacing w:after="0" w:line="94"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333333"/>
        </w:rPr>
        <w:t>Based on these procedures and discussions, the Audit Committee recommended to the Board of Directors that the Company’s audited consolidated financial statements referred to above be included in Vera Bradley’s Annual Report on Form 10-K for the fiscal year ended January 31, 2026, for filing with the Securities and Exchange Commission.</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SUBMITTED BY THE AUDIT COMMITTEE</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Kristina Cashman, Chair</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Ivan Brockman</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Andrew Meslow</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Jessica Rodriguez</w:t>
      </w:r>
    </w:p>
    <w:p>
      <w:pPr>
        <w:spacing w:after="0" w:line="139" w:lineRule="exact"/>
        <w:rPr>
          <w:sz w:val="20"/>
          <w:szCs w:val="20"/>
          <w:color w:val="auto"/>
        </w:rPr>
      </w:pPr>
    </w:p>
    <w:p>
      <w:pPr>
        <w:ind w:left="160"/>
        <w:spacing w:after="0"/>
        <w:tabs>
          <w:tab w:leader="none" w:pos="4920" w:val="left"/>
        </w:tabs>
        <w:rPr>
          <w:sz w:val="20"/>
          <w:szCs w:val="20"/>
          <w:color w:val="auto"/>
        </w:rPr>
      </w:pPr>
      <w:r>
        <w:rPr>
          <w:rFonts w:ascii="Arial" w:cs="Arial" w:eastAsia="Arial" w:hAnsi="Arial"/>
          <w:sz w:val="14"/>
          <w:szCs w:val="14"/>
          <w:color w:val="005C5D"/>
        </w:rPr>
        <w:t xml:space="preserve">14 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1080"/>
          </w:cols>
          <w:pgMar w:left="320" w:top="478"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38010" cy="1715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38010" cy="171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05C5D"/>
        </w:rPr>
        <w:t>PROPOSAL NO. 3</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27"/>
          <w:szCs w:val="27"/>
          <w:b w:val="1"/>
          <w:bCs w:val="1"/>
          <w:color w:val="005C5D"/>
        </w:rPr>
        <w:t>ADVISORY VOTE ON EXECUTIVE COMPENSATION</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05C5D"/>
        </w:rPr>
        <w:t>PROPOSAL</w:t>
      </w:r>
    </w:p>
    <w:p>
      <w:pPr>
        <w:spacing w:after="0" w:line="100" w:lineRule="exact"/>
        <w:rPr>
          <w:sz w:val="20"/>
          <w:szCs w:val="20"/>
          <w:color w:val="auto"/>
        </w:rPr>
      </w:pPr>
    </w:p>
    <w:p>
      <w:pPr>
        <w:jc w:val="both"/>
        <w:ind w:left="340" w:right="160"/>
        <w:spacing w:after="0" w:line="256" w:lineRule="auto"/>
        <w:rPr>
          <w:sz w:val="20"/>
          <w:szCs w:val="20"/>
          <w:color w:val="auto"/>
        </w:rPr>
      </w:pPr>
      <w:r>
        <w:rPr>
          <w:rFonts w:ascii="Arial" w:cs="Arial" w:eastAsia="Arial" w:hAnsi="Arial"/>
          <w:sz w:val="16"/>
          <w:szCs w:val="16"/>
          <w:color w:val="333333"/>
        </w:rPr>
        <w:t>The guiding principles of our compensation policies and decisions include aligning each executive’s compensation with our business strategy and the interests of our shareholders and providing incentives needed to attract, motivate, and retain key executives who are important to our long-term success. Consistent with this philosophy, a significant portion of the total incentive compensation for each of our executives is directly related to our earnings and to other performance factors that measure our progress against the goals of our strategic and operating plans.</w:t>
      </w:r>
    </w:p>
    <w:p>
      <w:pPr>
        <w:spacing w:after="0" w:line="111" w:lineRule="exact"/>
        <w:rPr>
          <w:sz w:val="20"/>
          <w:szCs w:val="20"/>
          <w:color w:val="auto"/>
        </w:rPr>
      </w:pPr>
    </w:p>
    <w:p>
      <w:pPr>
        <w:jc w:val="both"/>
        <w:ind w:left="340" w:right="160"/>
        <w:spacing w:after="0" w:line="262" w:lineRule="auto"/>
        <w:rPr>
          <w:sz w:val="20"/>
          <w:szCs w:val="20"/>
          <w:color w:val="auto"/>
        </w:rPr>
      </w:pPr>
      <w:r>
        <w:rPr>
          <w:rFonts w:ascii="Arial" w:cs="Arial" w:eastAsia="Arial" w:hAnsi="Arial"/>
          <w:sz w:val="16"/>
          <w:szCs w:val="16"/>
          <w:color w:val="333333"/>
        </w:rPr>
        <w:t>Shareholders are urged to read the “Executive Compensation Discussion and Analysis” section of this proxy statement, which discusses how our compensation design and practices reflect our compensation philosophy. The Talent and Compensation Committee and the Board of Directors believe that our compensation design and practices are effective in implementing our guiding principles.</w:t>
      </w:r>
    </w:p>
    <w:p>
      <w:pPr>
        <w:spacing w:after="0" w:line="106" w:lineRule="exact"/>
        <w:rPr>
          <w:sz w:val="20"/>
          <w:szCs w:val="20"/>
          <w:color w:val="auto"/>
        </w:rPr>
      </w:pPr>
    </w:p>
    <w:p>
      <w:pPr>
        <w:jc w:val="both"/>
        <w:ind w:left="340" w:right="160"/>
        <w:spacing w:after="0" w:line="253" w:lineRule="auto"/>
        <w:rPr>
          <w:sz w:val="20"/>
          <w:szCs w:val="20"/>
          <w:color w:val="auto"/>
        </w:rPr>
      </w:pPr>
      <w:r>
        <w:rPr>
          <w:rFonts w:ascii="Arial" w:cs="Arial" w:eastAsia="Arial" w:hAnsi="Arial"/>
          <w:sz w:val="16"/>
          <w:szCs w:val="16"/>
          <w:color w:val="333333"/>
        </w:rPr>
        <w:t>We are required to submit a proposal to shareholders for a (non-binding) advisory vote to approve the compensation of our named executive officers (“NEOs”) pursuant to Section 14A of the Securities Exchange Act of 1934, as amended, or the Exchange Act. This proposal, commonly known as a “say-on-pay” proposal, gives our shareholders the opportunity to express their views on the compensation of our NEOs. This vote is not intended to address any specific item of compensation, but rather the overall compensation of our NEOs and the principles, policies, and practices described in this proxy statement. Accordingly, the following resolution is submitted for shareholder vote at the Annual Meeting:</w:t>
      </w:r>
    </w:p>
    <w:p>
      <w:pPr>
        <w:spacing w:after="0" w:line="100" w:lineRule="exact"/>
        <w:rPr>
          <w:sz w:val="20"/>
          <w:szCs w:val="20"/>
          <w:color w:val="auto"/>
        </w:rPr>
      </w:pPr>
    </w:p>
    <w:p>
      <w:pPr>
        <w:jc w:val="both"/>
        <w:ind w:left="340" w:right="160"/>
        <w:spacing w:after="0" w:line="262" w:lineRule="auto"/>
        <w:rPr>
          <w:sz w:val="20"/>
          <w:szCs w:val="20"/>
          <w:color w:val="auto"/>
        </w:rPr>
      </w:pPr>
      <w:r>
        <w:rPr>
          <w:rFonts w:ascii="Arial" w:cs="Arial" w:eastAsia="Arial" w:hAnsi="Arial"/>
          <w:sz w:val="16"/>
          <w:szCs w:val="16"/>
          <w:color w:val="333333"/>
        </w:rPr>
        <w:t>“RESOLVED, that the shareholders of Vera Bradley, Inc. approve, on an advisory basis, the compensation of its NEOs as disclosed in the proxy statement for the Annual Meeting, including the Summary Compensation Table, the Executive Compensation Discussion and Analysis, and other related tables and disclosures set forth in such proxy statement.”</w:t>
      </w:r>
    </w:p>
    <w:p>
      <w:pPr>
        <w:spacing w:after="0" w:line="106" w:lineRule="exact"/>
        <w:rPr>
          <w:sz w:val="20"/>
          <w:szCs w:val="20"/>
          <w:color w:val="auto"/>
        </w:rPr>
      </w:pPr>
    </w:p>
    <w:p>
      <w:pPr>
        <w:jc w:val="both"/>
        <w:ind w:left="340" w:right="160"/>
        <w:spacing w:after="0" w:line="253" w:lineRule="auto"/>
        <w:rPr>
          <w:sz w:val="20"/>
          <w:szCs w:val="20"/>
          <w:color w:val="auto"/>
        </w:rPr>
      </w:pPr>
      <w:r>
        <w:rPr>
          <w:rFonts w:ascii="Arial" w:cs="Arial" w:eastAsia="Arial" w:hAnsi="Arial"/>
          <w:sz w:val="16"/>
          <w:szCs w:val="16"/>
          <w:color w:val="333333"/>
        </w:rPr>
        <w:t>Because this vote is advisory, the result will not be binding on us, our Board of Directors, or our Talent and Compensation Committee, although our Talent and Compensation Committee will consider the outcome of the vote when evaluating our compensation principles, design, and practices. Proxies submitted without direction pursuant to this solicitation will be voted “FOR” the approval of the compensation of our NEOs, as disclosed in this proxy statement, except with respect to shares held in street name, for which you must direct your broker to vote such shares. A say-on-pay vote will take place every year as determined by the Board of Directors and based on the advice provided by the shareholders.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05C5D"/>
        </w:rPr>
        <w:t>VOTE REQUIRED AND BOARD RECOMMENDATION</w:t>
      </w:r>
    </w:p>
    <w:p>
      <w:pPr>
        <w:spacing w:after="0" w:line="141" w:lineRule="exact"/>
        <w:rPr>
          <w:sz w:val="20"/>
          <w:szCs w:val="20"/>
          <w:color w:val="auto"/>
        </w:rPr>
      </w:pPr>
    </w:p>
    <w:p>
      <w:pPr>
        <w:jc w:val="both"/>
        <w:ind w:left="340" w:right="160"/>
        <w:spacing w:after="0" w:line="262" w:lineRule="auto"/>
        <w:rPr>
          <w:sz w:val="20"/>
          <w:szCs w:val="20"/>
          <w:color w:val="auto"/>
        </w:rPr>
      </w:pPr>
      <w:r>
        <w:rPr>
          <w:rFonts w:ascii="Arial" w:cs="Arial" w:eastAsia="Arial" w:hAnsi="Arial"/>
          <w:sz w:val="16"/>
          <w:szCs w:val="16"/>
          <w:color w:val="333333"/>
        </w:rPr>
        <w:t>This proposal will be approved if a quorum is present, in person or by proxy, at the Annual Meeting and the votes properly cast favoring the proposal exceed the votes cast opposing the proposal. Abstentions and broker non-votes will each be counted as present for purposes of determining the presence of a quorum but will not have any effect on the outcome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135890</wp:posOffset>
            </wp:positionV>
            <wp:extent cx="6725920" cy="5518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25920" cy="551815"/>
                    </a:xfrm>
                    <a:prstGeom prst="rect">
                      <a:avLst/>
                    </a:prstGeom>
                    <a:noFill/>
                  </pic:spPr>
                </pic:pic>
              </a:graphicData>
            </a:graphic>
          </wp:anchor>
        </w:drawing>
      </w:r>
    </w:p>
    <w:p>
      <w:pPr>
        <w:spacing w:after="0" w:line="277" w:lineRule="exact"/>
        <w:rPr>
          <w:sz w:val="20"/>
          <w:szCs w:val="20"/>
          <w:color w:val="auto"/>
        </w:rPr>
      </w:pPr>
    </w:p>
    <w:p>
      <w:pPr>
        <w:jc w:val="center"/>
        <w:ind w:left="600" w:right="280"/>
        <w:spacing w:after="0" w:line="239" w:lineRule="auto"/>
        <w:rPr>
          <w:sz w:val="20"/>
          <w:szCs w:val="20"/>
          <w:color w:val="auto"/>
        </w:rPr>
      </w:pPr>
      <w:r>
        <w:rPr>
          <w:rFonts w:ascii="Arial" w:cs="Arial" w:eastAsia="Arial" w:hAnsi="Arial"/>
          <w:sz w:val="20"/>
          <w:szCs w:val="20"/>
          <w:color w:val="005C5D"/>
        </w:rPr>
        <w:t xml:space="preserve">VERA BRADLEY’S BOARD OF DIRECTORS UNANIMOUSLY RECOMMENDS A VOTE </w:t>
      </w:r>
      <w:r>
        <w:rPr>
          <w:rFonts w:ascii="Arial" w:cs="Arial" w:eastAsia="Arial" w:hAnsi="Arial"/>
          <w:sz w:val="20"/>
          <w:szCs w:val="20"/>
          <w:b w:val="1"/>
          <w:bCs w:val="1"/>
          <w:color w:val="005C5D"/>
        </w:rPr>
        <w:t>“FOR”</w:t>
      </w:r>
      <w:r>
        <w:rPr>
          <w:rFonts w:ascii="Arial" w:cs="Arial" w:eastAsia="Arial" w:hAnsi="Arial"/>
          <w:sz w:val="20"/>
          <w:szCs w:val="20"/>
          <w:color w:val="005C5D"/>
        </w:rPr>
        <w:t xml:space="preserve"> APPROVAL OF THE COMPENSATION OF THE NAMED EXECUTIVE OFFICERS AS DISCLOSED IN THIS PROXY STATEMENT INCLUDING RELATED TABLES AND DISCLOSURES.</w:t>
      </w:r>
    </w:p>
    <w:p>
      <w:pPr>
        <w:spacing w:after="0" w:line="200" w:lineRule="exact"/>
        <w:rPr>
          <w:sz w:val="20"/>
          <w:szCs w:val="20"/>
          <w:color w:val="auto"/>
        </w:rPr>
      </w:pPr>
    </w:p>
    <w:p>
      <w:pPr>
        <w:spacing w:after="0" w:line="344" w:lineRule="exact"/>
        <w:rPr>
          <w:sz w:val="20"/>
          <w:szCs w:val="20"/>
          <w:color w:val="auto"/>
        </w:rPr>
      </w:pPr>
    </w:p>
    <w:p>
      <w:pPr>
        <w:jc w:val="right"/>
        <w:spacing w:after="0"/>
        <w:tabs>
          <w:tab w:leader="none" w:pos="1960" w:val="left"/>
          <w:tab w:leader="none" w:pos="14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15</w:t>
      </w:r>
    </w:p>
    <w:p>
      <w:pPr>
        <w:sectPr>
          <w:pgSz w:w="11900" w:h="16838" w:orient="portrait"/>
          <w:cols w:equalWidth="0" w:num="1">
            <w:col w:w="11080"/>
          </w:cols>
          <w:pgMar w:left="320" w:top="478"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PROPOSAL NO. 4 2020 EQUITY AND INCENTIVE PLAN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PROPOSAL NO. 4</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26"/>
          <w:szCs w:val="26"/>
          <w:b w:val="1"/>
          <w:bCs w:val="1"/>
          <w:color w:val="005C5D"/>
        </w:rPr>
        <w:t>2020 EQUITY AND INCENTIVE PLAN AMENDMENT</w:t>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PROPOSAL</w:t>
      </w:r>
    </w:p>
    <w:p>
      <w:pPr>
        <w:spacing w:after="0" w:line="100"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color w:val="333333"/>
        </w:rPr>
        <w:t>At the 2020 Annual Shareholder Meeting, the shareholders approved and the Company adopted a new Vera Bradley, Inc. 2020 Equity and Incentive Plan (the “2020 Plan”) to take effect upon expiration of the 2010 Plan on October 21, 2020. The plan was amended at the 2023 Annual Shareholder Meeting with shareholder approval to make available an additional 3,000,000 shares of Common Stock to be made available for future issuances.</w:t>
      </w:r>
    </w:p>
    <w:p>
      <w:pPr>
        <w:spacing w:after="0" w:line="103"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color w:val="333333"/>
        </w:rPr>
        <w:t>As further described below, the 2020 Plan provides for grants of equity awards to our directors, advisors, and employees in order to align their interests with long-term shareholder interests, motivate and reward them for achieving long-term results, and help us retain key executives and employees in a competitive market for talent. The availability of an adequate number of shares available for issuance under the 2020 Plan is a critical factor in fulfilling these purposes.</w:t>
      </w:r>
    </w:p>
    <w:p>
      <w:pPr>
        <w:spacing w:after="0" w:line="116" w:lineRule="exact"/>
        <w:rPr>
          <w:sz w:val="20"/>
          <w:szCs w:val="20"/>
          <w:color w:val="auto"/>
        </w:rPr>
      </w:pPr>
    </w:p>
    <w:p>
      <w:pPr>
        <w:jc w:val="both"/>
        <w:ind w:left="160"/>
        <w:spacing w:after="0" w:line="246" w:lineRule="auto"/>
        <w:rPr>
          <w:sz w:val="20"/>
          <w:szCs w:val="20"/>
          <w:color w:val="auto"/>
        </w:rPr>
      </w:pPr>
      <w:r>
        <w:rPr>
          <w:rFonts w:ascii="Arial" w:cs="Arial" w:eastAsia="Arial" w:hAnsi="Arial"/>
          <w:sz w:val="16"/>
          <w:szCs w:val="16"/>
          <w:color w:val="333333"/>
        </w:rPr>
        <w:t>In fiscal 2026, the Company saw significant change in its executive leadership with the departure of former Chief Executive Officer, Jacqueline Ardrey, former Chief Financial Officer, Michael Schwindle, and former Chief Marketing Officer, Alison Hiatt. As part of the executive restructuring, Martin Layding was appointed as Chief Financial Officer, Melinda Paraie as Chief Brand Officer. In March 2026, Ian Bickley was named as Chief Executive Officer and Executive Chairman and Mr. Laying’s role was expanded to Chief Operating and Financial Officer. As part of each executive’s hiring, the Company provided an initial hire grant of shares that will vest over a three-year period depending on Company performance and their continued service with the Company. As such, the Company issued significantly more shares in fiscal 2026 and thus far in fiscal 2027 than has typically been issued and that the Company plans on issuing on an annual basis in the future.</w:t>
      </w:r>
    </w:p>
    <w:p>
      <w:pPr>
        <w:spacing w:after="0" w:line="115"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color w:val="333333"/>
        </w:rPr>
        <w:t>Under the terms of the 2020 Plan, as described below, 3,000,000 shares of Common Stock were made available for future issuances. An additional 3,000,000 shares were made available for future issuance in June 2023. Through April 24, 2026, the Company had utilized approximately 5,319,931 shares under the 2020 Plan. In order to ensure that sufficient shares are available for grant under the Plan, the Board has approved, and is requesting shareholder approval for, an amendment to the 2020 Plan to add an additional 3,000,000 shares of common stock to be available for future issuances (the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left="7"/>
        <w:spacing w:after="0" w:line="253" w:lineRule="auto"/>
        <w:rPr>
          <w:sz w:val="20"/>
          <w:szCs w:val="20"/>
          <w:color w:val="auto"/>
        </w:rPr>
      </w:pPr>
      <w:r>
        <w:rPr>
          <w:rFonts w:ascii="Arial" w:cs="Arial" w:eastAsia="Arial" w:hAnsi="Arial"/>
          <w:sz w:val="16"/>
          <w:szCs w:val="16"/>
          <w:color w:val="333333"/>
        </w:rPr>
        <w:t>“Plan Amendment”). The Board believes that this number of Shares represents a reasonable amount of potential equity dilution to current shareholders and allows the Company to continue awarding equity incentives, which are an important component of our overall compensation program.</w:t>
      </w:r>
    </w:p>
    <w:p>
      <w:pPr>
        <w:spacing w:after="0" w:line="100" w:lineRule="exact"/>
        <w:rPr>
          <w:sz w:val="20"/>
          <w:szCs w:val="20"/>
          <w:color w:val="auto"/>
        </w:rPr>
      </w:pPr>
    </w:p>
    <w:p>
      <w:pPr>
        <w:jc w:val="both"/>
        <w:ind w:left="7"/>
        <w:spacing w:after="0" w:line="246" w:lineRule="auto"/>
        <w:rPr>
          <w:sz w:val="20"/>
          <w:szCs w:val="20"/>
          <w:color w:val="auto"/>
        </w:rPr>
      </w:pPr>
      <w:r>
        <w:rPr>
          <w:rFonts w:ascii="Arial" w:cs="Arial" w:eastAsia="Arial" w:hAnsi="Arial"/>
          <w:sz w:val="16"/>
          <w:szCs w:val="16"/>
          <w:color w:val="333333"/>
        </w:rPr>
        <w:t>The Board of Directors believes Vera Bradley’s future success depends on our ability to attract and retain talented team members, and the ability to grant awards under the 2020 Plan is a critical recruiting and retention tool to obtain the quality employees we need to move our business forward. We ask our shareholders to approve the 2020 Plan Amendment to increase the shares authorized thereunder so that Vera Bradley can continue to attract and retain outstanding and highly skilled employees, including key executive officers, and independent directors that add value to our Board of Directors. The Board of Directors considers the impact of dilution on the shareholders in making this recommendation, which has typically been less than 3% per year, other than during times of extraordinary leadership change. The Board believes it is in the best interest of Shareholders to approve the 2020 Plan Amendment to add additional shares in order to continue to attract and retain high caliber employees, officers, and members of the Board of Directors. If shareholders do not approve the 2020 Plan Amendment, we may not be able to continue our equity incentive program in the future. This could preclude us from successfully attracting and retaining highly skilled employees, advisors, executive officers, and independent directors for our Board of Directors.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05C5D"/>
        </w:rPr>
        <w:t>Plan Highlights</w:t>
      </w:r>
    </w:p>
    <w:p>
      <w:pPr>
        <w:spacing w:after="0" w:line="110" w:lineRule="exact"/>
        <w:rPr>
          <w:sz w:val="20"/>
          <w:szCs w:val="20"/>
          <w:color w:val="auto"/>
        </w:rPr>
      </w:pPr>
    </w:p>
    <w:p>
      <w:pPr>
        <w:jc w:val="both"/>
        <w:ind w:left="7"/>
        <w:spacing w:after="0" w:line="256" w:lineRule="auto"/>
        <w:rPr>
          <w:sz w:val="20"/>
          <w:szCs w:val="20"/>
          <w:color w:val="auto"/>
        </w:rPr>
      </w:pPr>
      <w:r>
        <w:rPr>
          <w:rFonts w:ascii="Arial" w:cs="Arial" w:eastAsia="Arial" w:hAnsi="Arial"/>
          <w:sz w:val="16"/>
          <w:szCs w:val="16"/>
          <w:color w:val="333333"/>
        </w:rPr>
        <w:t>The 2020 Plan includes a number of specific terms and limitations that the Compensation Committee believes reflect our pay for performance philosophy and are consistent with the long-term interests of our shareholders. These features include:</w:t>
      </w:r>
    </w:p>
    <w:p>
      <w:pPr>
        <w:spacing w:after="0" w:line="44" w:lineRule="exact"/>
        <w:rPr>
          <w:sz w:val="20"/>
          <w:szCs w:val="20"/>
          <w:color w:val="auto"/>
        </w:rPr>
      </w:pPr>
    </w:p>
    <w:p>
      <w:pPr>
        <w:jc w:val="both"/>
        <w:ind w:left="327" w:right="20" w:hanging="327"/>
        <w:spacing w:after="0" w:line="262" w:lineRule="auto"/>
        <w:tabs>
          <w:tab w:leader="none" w:pos="327" w:val="left"/>
        </w:tabs>
        <w:numPr>
          <w:ilvl w:val="0"/>
          <w:numId w:val="30"/>
        </w:numPr>
        <w:rPr>
          <w:rFonts w:ascii="Arial" w:cs="Arial" w:eastAsia="Arial" w:hAnsi="Arial"/>
          <w:sz w:val="16"/>
          <w:szCs w:val="16"/>
          <w:color w:val="333333"/>
        </w:rPr>
      </w:pPr>
      <w:r>
        <w:rPr>
          <w:rFonts w:ascii="Arial" w:cs="Arial" w:eastAsia="Arial" w:hAnsi="Arial"/>
          <w:sz w:val="16"/>
          <w:szCs w:val="16"/>
          <w:b w:val="1"/>
          <w:bCs w:val="1"/>
          <w:color w:val="337C7D"/>
        </w:rPr>
        <w:t xml:space="preserve">Minimum Vesting Period. </w:t>
      </w:r>
      <w:r>
        <w:rPr>
          <w:rFonts w:ascii="Arial" w:cs="Arial" w:eastAsia="Arial" w:hAnsi="Arial"/>
          <w:sz w:val="16"/>
          <w:szCs w:val="16"/>
          <w:color w:val="333333"/>
        </w:rPr>
        <w:t>The 2020 Plan includes at least a one-year</w:t>
      </w:r>
      <w:r>
        <w:rPr>
          <w:rFonts w:ascii="Arial" w:cs="Arial" w:eastAsia="Arial" w:hAnsi="Arial"/>
          <w:sz w:val="16"/>
          <w:szCs w:val="16"/>
          <w:b w:val="1"/>
          <w:bCs w:val="1"/>
          <w:color w:val="337C7D"/>
        </w:rPr>
        <w:t xml:space="preserve"> </w:t>
      </w:r>
      <w:r>
        <w:rPr>
          <w:rFonts w:ascii="Arial" w:cs="Arial" w:eastAsia="Arial" w:hAnsi="Arial"/>
          <w:sz w:val="16"/>
          <w:szCs w:val="16"/>
          <w:color w:val="333333"/>
        </w:rPr>
        <w:t>vesting period for all awards under the plan, other than those clearly identified.</w:t>
      </w:r>
    </w:p>
    <w:p>
      <w:pPr>
        <w:spacing w:after="0" w:line="39" w:lineRule="exact"/>
        <w:rPr>
          <w:rFonts w:ascii="Arial" w:cs="Arial" w:eastAsia="Arial" w:hAnsi="Arial"/>
          <w:sz w:val="16"/>
          <w:szCs w:val="16"/>
          <w:color w:val="333333"/>
        </w:rPr>
      </w:pPr>
    </w:p>
    <w:p>
      <w:pPr>
        <w:jc w:val="both"/>
        <w:ind w:left="327" w:right="20" w:hanging="327"/>
        <w:spacing w:after="0" w:line="256" w:lineRule="auto"/>
        <w:tabs>
          <w:tab w:leader="none" w:pos="327" w:val="left"/>
        </w:tabs>
        <w:numPr>
          <w:ilvl w:val="0"/>
          <w:numId w:val="30"/>
        </w:numPr>
        <w:rPr>
          <w:rFonts w:ascii="Arial" w:cs="Arial" w:eastAsia="Arial" w:hAnsi="Arial"/>
          <w:sz w:val="16"/>
          <w:szCs w:val="16"/>
          <w:color w:val="333333"/>
        </w:rPr>
      </w:pPr>
      <w:r>
        <w:rPr>
          <w:rFonts w:ascii="Arial" w:cs="Arial" w:eastAsia="Arial" w:hAnsi="Arial"/>
          <w:sz w:val="16"/>
          <w:szCs w:val="16"/>
          <w:b w:val="1"/>
          <w:bCs w:val="1"/>
          <w:color w:val="337C7D"/>
        </w:rPr>
        <w:t xml:space="preserve">Recoupment Policy. </w:t>
      </w:r>
      <w:r>
        <w:rPr>
          <w:rFonts w:ascii="Arial" w:cs="Arial" w:eastAsia="Arial" w:hAnsi="Arial"/>
          <w:sz w:val="16"/>
          <w:szCs w:val="16"/>
          <w:color w:val="333333"/>
        </w:rPr>
        <w:t>All grants made under the 2020 Plan shall be</w:t>
      </w:r>
      <w:r>
        <w:rPr>
          <w:rFonts w:ascii="Arial" w:cs="Arial" w:eastAsia="Arial" w:hAnsi="Arial"/>
          <w:sz w:val="16"/>
          <w:szCs w:val="16"/>
          <w:b w:val="1"/>
          <w:bCs w:val="1"/>
          <w:color w:val="337C7D"/>
        </w:rPr>
        <w:t xml:space="preserve"> </w:t>
      </w:r>
      <w:r>
        <w:rPr>
          <w:rFonts w:ascii="Arial" w:cs="Arial" w:eastAsia="Arial" w:hAnsi="Arial"/>
          <w:sz w:val="16"/>
          <w:szCs w:val="16"/>
          <w:color w:val="333333"/>
        </w:rPr>
        <w:t>subject to the Company’s Compensation Recoupment Policy that provides for repayment of compensation in the event of certain misconduct.</w:t>
      </w:r>
    </w:p>
    <w:p>
      <w:pPr>
        <w:spacing w:after="0" w:line="497" w:lineRule="exact"/>
        <w:rPr>
          <w:sz w:val="20"/>
          <w:szCs w:val="20"/>
          <w:color w:val="auto"/>
        </w:rPr>
      </w:pPr>
    </w:p>
    <w:p>
      <w:pPr>
        <w:sectPr>
          <w:pgSz w:w="11900" w:h="16838" w:orient="portrait"/>
          <w:cols w:equalWidth="0" w:num="2">
            <w:col w:w="5400" w:space="333"/>
            <w:col w:w="5347"/>
          </w:cols>
          <w:pgMar w:left="320" w:top="478" w:right="499" w:bottom="1440" w:gutter="0" w:footer="0" w:header="0"/>
          <w:type w:val="continuous"/>
        </w:sectPr>
      </w:pPr>
    </w:p>
    <w:p>
      <w:pPr>
        <w:spacing w:after="0" w:line="73" w:lineRule="exact"/>
        <w:rPr>
          <w:sz w:val="20"/>
          <w:szCs w:val="20"/>
          <w:color w:val="auto"/>
        </w:rPr>
      </w:pPr>
    </w:p>
    <w:p>
      <w:pPr>
        <w:ind w:left="160"/>
        <w:spacing w:after="0"/>
        <w:tabs>
          <w:tab w:leader="none" w:pos="4920" w:val="left"/>
        </w:tabs>
        <w:rPr>
          <w:sz w:val="20"/>
          <w:szCs w:val="20"/>
          <w:color w:val="auto"/>
        </w:rPr>
      </w:pPr>
      <w:r>
        <w:rPr>
          <w:rFonts w:ascii="Arial" w:cs="Arial" w:eastAsia="Arial" w:hAnsi="Arial"/>
          <w:sz w:val="14"/>
          <w:szCs w:val="14"/>
          <w:color w:val="005C5D"/>
        </w:rPr>
        <w:t xml:space="preserve">16 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1080"/>
          </w:cols>
          <w:pgMar w:left="320" w:top="478" w:right="4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PROPOSAL NO. 4 2020 EQUITY AND INCENTIVE PLAN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82" w:lineRule="exact"/>
        <w:rPr>
          <w:sz w:val="20"/>
          <w:szCs w:val="20"/>
          <w:color w:val="auto"/>
        </w:rPr>
      </w:pPr>
    </w:p>
    <w:p>
      <w:pPr>
        <w:jc w:val="both"/>
        <w:ind w:left="480" w:right="20" w:hanging="313"/>
        <w:spacing w:after="0" w:line="262" w:lineRule="auto"/>
        <w:tabs>
          <w:tab w:leader="none" w:pos="480" w:val="left"/>
        </w:tabs>
        <w:numPr>
          <w:ilvl w:val="0"/>
          <w:numId w:val="31"/>
        </w:numPr>
        <w:rPr>
          <w:rFonts w:ascii="Arial" w:cs="Arial" w:eastAsia="Arial" w:hAnsi="Arial"/>
          <w:sz w:val="16"/>
          <w:szCs w:val="16"/>
          <w:color w:val="333333"/>
        </w:rPr>
      </w:pPr>
      <w:r>
        <w:rPr>
          <w:rFonts w:ascii="Arial" w:cs="Arial" w:eastAsia="Arial" w:hAnsi="Arial"/>
          <w:sz w:val="16"/>
          <w:szCs w:val="16"/>
          <w:b w:val="1"/>
          <w:bCs w:val="1"/>
          <w:color w:val="337C7D"/>
        </w:rPr>
        <w:t xml:space="preserve">No stock option repricing. </w:t>
      </w:r>
      <w:r>
        <w:rPr>
          <w:rFonts w:ascii="Arial" w:cs="Arial" w:eastAsia="Arial" w:hAnsi="Arial"/>
          <w:sz w:val="16"/>
          <w:szCs w:val="16"/>
          <w:color w:val="333333"/>
        </w:rPr>
        <w:t>The 2020 Plan includes an express</w:t>
      </w:r>
      <w:r>
        <w:rPr>
          <w:rFonts w:ascii="Arial" w:cs="Arial" w:eastAsia="Arial" w:hAnsi="Arial"/>
          <w:sz w:val="16"/>
          <w:szCs w:val="16"/>
          <w:b w:val="1"/>
          <w:bCs w:val="1"/>
          <w:color w:val="337C7D"/>
        </w:rPr>
        <w:t xml:space="preserve"> </w:t>
      </w:r>
      <w:r>
        <w:rPr>
          <w:rFonts w:ascii="Arial" w:cs="Arial" w:eastAsia="Arial" w:hAnsi="Arial"/>
          <w:sz w:val="16"/>
          <w:szCs w:val="16"/>
          <w:color w:val="333333"/>
        </w:rPr>
        <w:t>prohibition on repricing of stock options, including stock appreciation rights (SARs).</w:t>
      </w:r>
    </w:p>
    <w:p>
      <w:pPr>
        <w:spacing w:after="0" w:line="39" w:lineRule="exact"/>
        <w:rPr>
          <w:rFonts w:ascii="Arial" w:cs="Arial" w:eastAsia="Arial" w:hAnsi="Arial"/>
          <w:sz w:val="16"/>
          <w:szCs w:val="16"/>
          <w:color w:val="333333"/>
        </w:rPr>
      </w:pPr>
    </w:p>
    <w:p>
      <w:pPr>
        <w:jc w:val="both"/>
        <w:ind w:left="480" w:hanging="313"/>
        <w:spacing w:after="0" w:line="262" w:lineRule="auto"/>
        <w:tabs>
          <w:tab w:leader="none" w:pos="480" w:val="left"/>
        </w:tabs>
        <w:numPr>
          <w:ilvl w:val="0"/>
          <w:numId w:val="31"/>
        </w:numPr>
        <w:rPr>
          <w:rFonts w:ascii="Arial" w:cs="Arial" w:eastAsia="Arial" w:hAnsi="Arial"/>
          <w:sz w:val="16"/>
          <w:szCs w:val="16"/>
          <w:color w:val="333333"/>
        </w:rPr>
      </w:pPr>
      <w:r>
        <w:rPr>
          <w:rFonts w:ascii="Arial" w:cs="Arial" w:eastAsia="Arial" w:hAnsi="Arial"/>
          <w:sz w:val="16"/>
          <w:szCs w:val="16"/>
          <w:b w:val="1"/>
          <w:bCs w:val="1"/>
          <w:color w:val="337C7D"/>
        </w:rPr>
        <w:t xml:space="preserve">No discounted awards. </w:t>
      </w:r>
      <w:r>
        <w:rPr>
          <w:rFonts w:ascii="Arial" w:cs="Arial" w:eastAsia="Arial" w:hAnsi="Arial"/>
          <w:sz w:val="16"/>
          <w:szCs w:val="16"/>
          <w:color w:val="333333"/>
        </w:rPr>
        <w:t>The 2020 Plan requires the exercise price</w:t>
      </w:r>
      <w:r>
        <w:rPr>
          <w:rFonts w:ascii="Arial" w:cs="Arial" w:eastAsia="Arial" w:hAnsi="Arial"/>
          <w:sz w:val="16"/>
          <w:szCs w:val="16"/>
          <w:b w:val="1"/>
          <w:bCs w:val="1"/>
          <w:color w:val="337C7D"/>
        </w:rPr>
        <w:t xml:space="preserve"> </w:t>
      </w:r>
      <w:r>
        <w:rPr>
          <w:rFonts w:ascii="Arial" w:cs="Arial" w:eastAsia="Arial" w:hAnsi="Arial"/>
          <w:sz w:val="16"/>
          <w:szCs w:val="16"/>
          <w:color w:val="333333"/>
        </w:rPr>
        <w:t>of incentive stock options and SARs to be not less than the fair market value of our Common Stock on the date of grant.</w:t>
      </w:r>
    </w:p>
    <w:p>
      <w:pPr>
        <w:spacing w:after="0" w:line="39" w:lineRule="exact"/>
        <w:rPr>
          <w:rFonts w:ascii="Arial" w:cs="Arial" w:eastAsia="Arial" w:hAnsi="Arial"/>
          <w:sz w:val="16"/>
          <w:szCs w:val="16"/>
          <w:color w:val="333333"/>
        </w:rPr>
      </w:pPr>
    </w:p>
    <w:p>
      <w:pPr>
        <w:jc w:val="both"/>
        <w:ind w:left="480" w:hanging="313"/>
        <w:spacing w:after="0" w:line="262" w:lineRule="auto"/>
        <w:tabs>
          <w:tab w:leader="none" w:pos="480" w:val="left"/>
        </w:tabs>
        <w:numPr>
          <w:ilvl w:val="0"/>
          <w:numId w:val="31"/>
        </w:numPr>
        <w:rPr>
          <w:rFonts w:ascii="Arial" w:cs="Arial" w:eastAsia="Arial" w:hAnsi="Arial"/>
          <w:sz w:val="16"/>
          <w:szCs w:val="16"/>
          <w:color w:val="333333"/>
        </w:rPr>
      </w:pPr>
      <w:r>
        <w:rPr>
          <w:rFonts w:ascii="Arial" w:cs="Arial" w:eastAsia="Arial" w:hAnsi="Arial"/>
          <w:sz w:val="16"/>
          <w:szCs w:val="16"/>
          <w:b w:val="1"/>
          <w:bCs w:val="1"/>
          <w:color w:val="337C7D"/>
        </w:rPr>
        <w:t xml:space="preserve">No “evergreen” provision. </w:t>
      </w:r>
      <w:r>
        <w:rPr>
          <w:rFonts w:ascii="Arial" w:cs="Arial" w:eastAsia="Arial" w:hAnsi="Arial"/>
          <w:sz w:val="16"/>
          <w:szCs w:val="16"/>
          <w:color w:val="333333"/>
        </w:rPr>
        <w:t>The 2020 Plan provides for a limited</w:t>
      </w:r>
      <w:r>
        <w:rPr>
          <w:rFonts w:ascii="Arial" w:cs="Arial" w:eastAsia="Arial" w:hAnsi="Arial"/>
          <w:sz w:val="16"/>
          <w:szCs w:val="16"/>
          <w:b w:val="1"/>
          <w:bCs w:val="1"/>
          <w:color w:val="337C7D"/>
        </w:rPr>
        <w:t xml:space="preserve"> </w:t>
      </w:r>
      <w:r>
        <w:rPr>
          <w:rFonts w:ascii="Arial" w:cs="Arial" w:eastAsia="Arial" w:hAnsi="Arial"/>
          <w:sz w:val="16"/>
          <w:szCs w:val="16"/>
          <w:color w:val="333333"/>
        </w:rPr>
        <w:t>number of shares for grant and does not provide for any automatic annual increase of available shares for future issuance.</w:t>
      </w:r>
    </w:p>
    <w:p>
      <w:pPr>
        <w:spacing w:after="0" w:line="39" w:lineRule="exact"/>
        <w:rPr>
          <w:rFonts w:ascii="Arial" w:cs="Arial" w:eastAsia="Arial" w:hAnsi="Arial"/>
          <w:sz w:val="16"/>
          <w:szCs w:val="16"/>
          <w:color w:val="333333"/>
        </w:rPr>
      </w:pPr>
    </w:p>
    <w:p>
      <w:pPr>
        <w:jc w:val="both"/>
        <w:ind w:left="480" w:hanging="313"/>
        <w:spacing w:after="0" w:line="262" w:lineRule="auto"/>
        <w:tabs>
          <w:tab w:leader="none" w:pos="480" w:val="left"/>
        </w:tabs>
        <w:numPr>
          <w:ilvl w:val="0"/>
          <w:numId w:val="31"/>
        </w:numPr>
        <w:rPr>
          <w:rFonts w:ascii="Arial" w:cs="Arial" w:eastAsia="Arial" w:hAnsi="Arial"/>
          <w:sz w:val="16"/>
          <w:szCs w:val="16"/>
          <w:color w:val="333333"/>
        </w:rPr>
      </w:pPr>
      <w:r>
        <w:rPr>
          <w:rFonts w:ascii="Arial" w:cs="Arial" w:eastAsia="Arial" w:hAnsi="Arial"/>
          <w:sz w:val="16"/>
          <w:szCs w:val="16"/>
          <w:b w:val="1"/>
          <w:bCs w:val="1"/>
          <w:color w:val="337C7D"/>
        </w:rPr>
        <w:t xml:space="preserve">Nontransferable Awards. </w:t>
      </w:r>
      <w:r>
        <w:rPr>
          <w:rFonts w:ascii="Arial" w:cs="Arial" w:eastAsia="Arial" w:hAnsi="Arial"/>
          <w:sz w:val="16"/>
          <w:szCs w:val="16"/>
          <w:color w:val="333333"/>
        </w:rPr>
        <w:t>The 2020 Plan explicitly prohibits the</w:t>
      </w:r>
      <w:r>
        <w:rPr>
          <w:rFonts w:ascii="Arial" w:cs="Arial" w:eastAsia="Arial" w:hAnsi="Arial"/>
          <w:sz w:val="16"/>
          <w:szCs w:val="16"/>
          <w:b w:val="1"/>
          <w:bCs w:val="1"/>
          <w:color w:val="337C7D"/>
        </w:rPr>
        <w:t xml:space="preserve"> </w:t>
      </w:r>
      <w:r>
        <w:rPr>
          <w:rFonts w:ascii="Arial" w:cs="Arial" w:eastAsia="Arial" w:hAnsi="Arial"/>
          <w:sz w:val="16"/>
          <w:szCs w:val="16"/>
          <w:color w:val="333333"/>
        </w:rPr>
        <w:t>transfer of equity awards other than to an employee’s immediate family for no consideration.</w:t>
      </w:r>
    </w:p>
    <w:p>
      <w:pPr>
        <w:spacing w:after="0" w:line="39" w:lineRule="exact"/>
        <w:rPr>
          <w:rFonts w:ascii="Arial" w:cs="Arial" w:eastAsia="Arial" w:hAnsi="Arial"/>
          <w:sz w:val="16"/>
          <w:szCs w:val="16"/>
          <w:color w:val="333333"/>
        </w:rPr>
      </w:pPr>
    </w:p>
    <w:p>
      <w:pPr>
        <w:jc w:val="both"/>
        <w:ind w:left="480" w:hanging="313"/>
        <w:spacing w:after="0" w:line="262" w:lineRule="auto"/>
        <w:tabs>
          <w:tab w:leader="none" w:pos="480" w:val="left"/>
        </w:tabs>
        <w:numPr>
          <w:ilvl w:val="0"/>
          <w:numId w:val="31"/>
        </w:numPr>
        <w:rPr>
          <w:rFonts w:ascii="Arial" w:cs="Arial" w:eastAsia="Arial" w:hAnsi="Arial"/>
          <w:sz w:val="16"/>
          <w:szCs w:val="16"/>
          <w:color w:val="333333"/>
        </w:rPr>
      </w:pPr>
      <w:r>
        <w:rPr>
          <w:rFonts w:ascii="Arial" w:cs="Arial" w:eastAsia="Arial" w:hAnsi="Arial"/>
          <w:sz w:val="16"/>
          <w:szCs w:val="16"/>
          <w:b w:val="1"/>
          <w:bCs w:val="1"/>
          <w:color w:val="337C7D"/>
        </w:rPr>
        <w:t xml:space="preserve">Ten-Year Plan Term. </w:t>
      </w:r>
      <w:r>
        <w:rPr>
          <w:rFonts w:ascii="Arial" w:cs="Arial" w:eastAsia="Arial" w:hAnsi="Arial"/>
          <w:sz w:val="16"/>
          <w:szCs w:val="16"/>
          <w:color w:val="333333"/>
        </w:rPr>
        <w:t>The 2020 Plan prohibits the making of awards</w:t>
      </w:r>
      <w:r>
        <w:rPr>
          <w:rFonts w:ascii="Arial" w:cs="Arial" w:eastAsia="Arial" w:hAnsi="Arial"/>
          <w:sz w:val="16"/>
          <w:szCs w:val="16"/>
          <w:b w:val="1"/>
          <w:bCs w:val="1"/>
          <w:color w:val="337C7D"/>
        </w:rPr>
        <w:t xml:space="preserve"> </w:t>
      </w:r>
      <w:r>
        <w:rPr>
          <w:rFonts w:ascii="Arial" w:cs="Arial" w:eastAsia="Arial" w:hAnsi="Arial"/>
          <w:sz w:val="16"/>
          <w:szCs w:val="16"/>
          <w:color w:val="333333"/>
        </w:rPr>
        <w:t>after October 21, 2030, and limits the exercise term of stock options and stock appreciation rights to ten years from the grant date.</w:t>
      </w:r>
    </w:p>
    <w:p>
      <w:pPr>
        <w:spacing w:after="0" w:line="39" w:lineRule="exact"/>
        <w:rPr>
          <w:rFonts w:ascii="Arial" w:cs="Arial" w:eastAsia="Arial" w:hAnsi="Arial"/>
          <w:sz w:val="16"/>
          <w:szCs w:val="16"/>
          <w:color w:val="333333"/>
        </w:rPr>
      </w:pPr>
    </w:p>
    <w:p>
      <w:pPr>
        <w:jc w:val="both"/>
        <w:ind w:left="480" w:hanging="313"/>
        <w:spacing w:after="0" w:line="262" w:lineRule="auto"/>
        <w:tabs>
          <w:tab w:leader="none" w:pos="480" w:val="left"/>
        </w:tabs>
        <w:numPr>
          <w:ilvl w:val="0"/>
          <w:numId w:val="31"/>
        </w:numPr>
        <w:rPr>
          <w:rFonts w:ascii="Arial" w:cs="Arial" w:eastAsia="Arial" w:hAnsi="Arial"/>
          <w:sz w:val="16"/>
          <w:szCs w:val="16"/>
          <w:color w:val="333333"/>
        </w:rPr>
      </w:pPr>
      <w:r>
        <w:rPr>
          <w:rFonts w:ascii="Arial" w:cs="Arial" w:eastAsia="Arial" w:hAnsi="Arial"/>
          <w:sz w:val="16"/>
          <w:szCs w:val="16"/>
          <w:b w:val="1"/>
          <w:bCs w:val="1"/>
          <w:color w:val="337C7D"/>
        </w:rPr>
        <w:t xml:space="preserve">Independent Committee Administration. </w:t>
      </w:r>
      <w:r>
        <w:rPr>
          <w:rFonts w:ascii="Arial" w:cs="Arial" w:eastAsia="Arial" w:hAnsi="Arial"/>
          <w:sz w:val="16"/>
          <w:szCs w:val="16"/>
          <w:color w:val="333333"/>
        </w:rPr>
        <w:t>The 2020 Plan is</w:t>
      </w:r>
      <w:r>
        <w:rPr>
          <w:rFonts w:ascii="Arial" w:cs="Arial" w:eastAsia="Arial" w:hAnsi="Arial"/>
          <w:sz w:val="16"/>
          <w:szCs w:val="16"/>
          <w:b w:val="1"/>
          <w:bCs w:val="1"/>
          <w:color w:val="337C7D"/>
        </w:rPr>
        <w:t xml:space="preserve"> </w:t>
      </w:r>
      <w:r>
        <w:rPr>
          <w:rFonts w:ascii="Arial" w:cs="Arial" w:eastAsia="Arial" w:hAnsi="Arial"/>
          <w:sz w:val="16"/>
          <w:szCs w:val="16"/>
          <w:color w:val="333333"/>
        </w:rPr>
        <w:t>administered by our Talent and Compensation Committee, which is comprised solely of independent, outside, non-employee Directors.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5D"/>
        </w:rPr>
        <w:t>Dilution and Burn Rate</w:t>
      </w:r>
    </w:p>
    <w:p>
      <w:pPr>
        <w:spacing w:after="0" w:line="110"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color w:val="333333"/>
        </w:rPr>
        <w:t>The following information summarizes, as of April 24, 2026, the equity awards outstanding under the 2020 Plan were as follows:</w:t>
      </w:r>
    </w:p>
    <w:p>
      <w:pPr>
        <w:spacing w:after="0" w:line="27" w:lineRule="exact"/>
        <w:rPr>
          <w:sz w:val="20"/>
          <w:szCs w:val="20"/>
          <w:color w:val="auto"/>
        </w:rPr>
      </w:pPr>
    </w:p>
    <w:p>
      <w:pPr>
        <w:ind w:left="360" w:hanging="193"/>
        <w:spacing w:after="0"/>
        <w:tabs>
          <w:tab w:leader="none" w:pos="360" w:val="left"/>
        </w:tabs>
        <w:numPr>
          <w:ilvl w:val="0"/>
          <w:numId w:val="32"/>
        </w:numPr>
        <w:rPr>
          <w:rFonts w:ascii="Arial" w:cs="Arial" w:eastAsia="Arial" w:hAnsi="Arial"/>
          <w:sz w:val="16"/>
          <w:szCs w:val="16"/>
          <w:color w:val="333333"/>
        </w:rPr>
      </w:pPr>
      <w:r>
        <w:rPr>
          <w:rFonts w:ascii="Arial" w:cs="Arial" w:eastAsia="Arial" w:hAnsi="Arial"/>
          <w:sz w:val="16"/>
          <w:szCs w:val="16"/>
          <w:color w:val="333333"/>
        </w:rPr>
        <w:t>Number of restricted share units unvested: 2,762,195</w:t>
      </w:r>
    </w:p>
    <w:p>
      <w:pPr>
        <w:spacing w:after="0" w:line="83" w:lineRule="exact"/>
        <w:rPr>
          <w:rFonts w:ascii="Arial" w:cs="Arial" w:eastAsia="Arial" w:hAnsi="Arial"/>
          <w:sz w:val="16"/>
          <w:szCs w:val="16"/>
          <w:color w:val="333333"/>
        </w:rPr>
      </w:pPr>
    </w:p>
    <w:p>
      <w:pPr>
        <w:ind w:left="360" w:hanging="193"/>
        <w:spacing w:after="0"/>
        <w:tabs>
          <w:tab w:leader="none" w:pos="360" w:val="left"/>
        </w:tabs>
        <w:numPr>
          <w:ilvl w:val="0"/>
          <w:numId w:val="32"/>
        </w:numPr>
        <w:rPr>
          <w:rFonts w:ascii="Arial" w:cs="Arial" w:eastAsia="Arial" w:hAnsi="Arial"/>
          <w:sz w:val="16"/>
          <w:szCs w:val="16"/>
          <w:color w:val="333333"/>
        </w:rPr>
      </w:pPr>
      <w:r>
        <w:rPr>
          <w:rFonts w:ascii="Arial" w:cs="Arial" w:eastAsia="Arial" w:hAnsi="Arial"/>
          <w:sz w:val="16"/>
          <w:szCs w:val="16"/>
          <w:color w:val="333333"/>
        </w:rPr>
        <w:t>Number of performance share units unvested: 604,332</w:t>
      </w:r>
    </w:p>
    <w:p>
      <w:pPr>
        <w:spacing w:after="0" w:line="83" w:lineRule="exact"/>
        <w:rPr>
          <w:rFonts w:ascii="Arial" w:cs="Arial" w:eastAsia="Arial" w:hAnsi="Arial"/>
          <w:sz w:val="16"/>
          <w:szCs w:val="16"/>
          <w:color w:val="333333"/>
        </w:rPr>
      </w:pPr>
    </w:p>
    <w:p>
      <w:pPr>
        <w:ind w:left="360" w:hanging="193"/>
        <w:spacing w:after="0"/>
        <w:tabs>
          <w:tab w:leader="none" w:pos="360" w:val="left"/>
        </w:tabs>
        <w:numPr>
          <w:ilvl w:val="0"/>
          <w:numId w:val="32"/>
        </w:numPr>
        <w:rPr>
          <w:rFonts w:ascii="Arial" w:cs="Arial" w:eastAsia="Arial" w:hAnsi="Arial"/>
          <w:sz w:val="16"/>
          <w:szCs w:val="16"/>
          <w:color w:val="333333"/>
        </w:rPr>
      </w:pPr>
      <w:r>
        <w:rPr>
          <w:rFonts w:ascii="Arial" w:cs="Arial" w:eastAsia="Arial" w:hAnsi="Arial"/>
          <w:sz w:val="16"/>
          <w:szCs w:val="16"/>
          <w:color w:val="333333"/>
        </w:rPr>
        <w:t>Shares available for grant under the 2020 Plan: 680,069</w:t>
      </w:r>
    </w:p>
    <w:p>
      <w:pPr>
        <w:spacing w:after="0" w:line="137"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color w:val="333333"/>
        </w:rPr>
        <w:t>Under the proposal, the 2020 Plan Amendment will increase the number of shares of our Common Stock available for issuance under the 2020 Plan by 3,000,000 shares. The number of shares available for grant under the 2020 Plan may increase in connection with the cancellation or forfeiture of awards outstanding under the 2020 Plan, but not by shares tendered to pay the exercise price of awards or tax withholding obligations.</w:t>
      </w:r>
    </w:p>
    <w:p>
      <w:pPr>
        <w:spacing w:after="0" w:line="116"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color w:val="333333"/>
        </w:rPr>
        <w:t>Under the 2020 Plan the potential shareholder dilution is approximately 20% if the 2020 Plan Amendment is approved and all shares available for grant are granted under the plan. This would be roughly 4% per year over the remaining term of the 2020 Plan (assuming awards are made ratably over the remaining years of the 2020 Plan). However, it should be noted that all shares will not necessarily be granted under the 2020 Plan and future amendments to the 2020 Plan could add additional shares.</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333333"/>
        </w:rPr>
        <w:t>In addition to assessing dilution to shareholders, the Compensation Committee reviews our “burn rate” to measure how much equity we are granting to employees as compared to the total number of shares outstanding. The burn rate is measured as the (i) total number of equity-related awards granted in any given fiscal year divided by (ii) the number of common shares outstanding at the end of that fiscal year. Our FY27 burn rate is 4.7%. The FY26 burn rate was 12.6%. The FY25 burn rate was 2.7%. Equity grants are typically made in April of each fiscal year, which means most of the grants for FY27 should have already been made. Fiscal 2026 contains an initial grant for several new executive officers.</w:t>
      </w:r>
    </w:p>
    <w:p>
      <w:pPr>
        <w:spacing w:after="0" w:line="10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Based on the number of equity awards underlying shares granted in each of the last three fiscal years, we estimate that the requested increase in shares would be sufficient for approximately three to five years of grants based on historical granting practice, although there is no guarantee as to the number of equity awards that will be granted each year.</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005C5D"/>
        </w:rPr>
        <w:t>Summary of 2020 Plan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005C5D"/>
        </w:rPr>
        <w:t>Is the following summary of the 2020 Plan complete?</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333333"/>
        </w:rPr>
        <w:t>No. The following pages summarize the principal features of the 2020 Plan, but this summary is not intended to be exhaustive and is qualified in its entirety by reference to the 2020 Plan itself, a copy of which is attached to this proxy statement as Appendix A.</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005C5D"/>
        </w:rPr>
        <w:t>What is the term of the 2020 Plan?</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Unless the 2020 Plan is earlier terminated in accordance with its provisions, no awards will be made thereunder after October 21, 2030, but awards granted on or prior to such date will continue to be governed by the terms and conditions of the 2020 Plan and the applicable award agreement.</w:t>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i w:val="1"/>
          <w:iCs w:val="1"/>
          <w:color w:val="005C5D"/>
        </w:rPr>
        <w:t>Who administers the 2020 Plan, and who is eligible for awards under the 2020 Plan?</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33333"/>
        </w:rPr>
        <w:t>The 2020 Plan is administered by the Talent and Compensation Committee. Employees, Advisors, and Directors of the Company and its subsidiaries are eligible to participate (“Participants”) in the 2020 Plan.</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The Talent and Compensation Committee has the exclusive discretion to select the Participants and to determine the type, size, and terms of each award, to modify the terms of awards, to determine when awards will be granted and paid, and to make all other determinations which it deems necessary or desirable in</w:t>
      </w:r>
    </w:p>
    <w:p>
      <w:pPr>
        <w:spacing w:after="0" w:line="277"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55" w:lineRule="exact"/>
        <w:rPr>
          <w:sz w:val="20"/>
          <w:szCs w:val="20"/>
          <w:color w:val="auto"/>
        </w:rPr>
      </w:pPr>
    </w:p>
    <w:p>
      <w:pPr>
        <w:ind w:left="4940"/>
        <w:spacing w:after="0"/>
        <w:tabs>
          <w:tab w:leader="none" w:pos="9080" w:val="left"/>
          <w:tab w:leader="none" w:pos="1090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17</w:t>
      </w:r>
    </w:p>
    <w:p>
      <w:pPr>
        <w:sectPr>
          <w:pgSz w:w="11900" w:h="16838" w:orient="portrait"/>
          <w:cols w:equalWidth="0" w:num="1">
            <w:col w:w="11080"/>
          </w:cols>
          <w:pgMar w:left="320" w:top="478" w:right="4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PROPOSAL NO. 4 2020 EQUITY AND INCENTIVE PLAN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82"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color w:val="333333"/>
        </w:rPr>
        <w:t>the interpretation and administration of the 2020 Plan. The 2020 Plan remains in effect until all awards under the 2020 Plan either have been satisfied by the issuance of shares of the Company’s Common Stock or the payment of cash or have expired or otherwise terminated; provided, however, that no awards may be granted after October 21, 2030. Generally, a Participant’s rights and interest under the 2020 Plan will not be transferable except by will or by the laws of descent and distribution.</w:t>
      </w:r>
    </w:p>
    <w:p>
      <w:pPr>
        <w:spacing w:after="0" w:line="185" w:lineRule="exact"/>
        <w:rPr>
          <w:sz w:val="20"/>
          <w:szCs w:val="20"/>
          <w:color w:val="auto"/>
        </w:rPr>
      </w:pPr>
    </w:p>
    <w:p>
      <w:pPr>
        <w:ind w:left="160" w:right="280"/>
        <w:spacing w:after="0" w:line="277" w:lineRule="auto"/>
        <w:rPr>
          <w:sz w:val="20"/>
          <w:szCs w:val="20"/>
          <w:color w:val="auto"/>
        </w:rPr>
      </w:pPr>
      <w:r>
        <w:rPr>
          <w:rFonts w:ascii="Arial" w:cs="Arial" w:eastAsia="Arial" w:hAnsi="Arial"/>
          <w:sz w:val="16"/>
          <w:szCs w:val="16"/>
          <w:i w:val="1"/>
          <w:iCs w:val="1"/>
          <w:color w:val="005C5D"/>
        </w:rPr>
        <w:t>What are the details of the types of awards authorized under the 2020 Plan?</w:t>
      </w:r>
    </w:p>
    <w:p>
      <w:pPr>
        <w:spacing w:after="0" w:line="55" w:lineRule="exact"/>
        <w:rPr>
          <w:sz w:val="20"/>
          <w:szCs w:val="20"/>
          <w:color w:val="auto"/>
        </w:rPr>
      </w:pPr>
    </w:p>
    <w:p>
      <w:pPr>
        <w:jc w:val="both"/>
        <w:ind w:left="160"/>
        <w:spacing w:after="0" w:line="256" w:lineRule="auto"/>
        <w:rPr>
          <w:sz w:val="20"/>
          <w:szCs w:val="20"/>
          <w:color w:val="auto"/>
        </w:rPr>
      </w:pPr>
      <w:r>
        <w:rPr>
          <w:rFonts w:ascii="Arial" w:cs="Arial" w:eastAsia="Arial" w:hAnsi="Arial"/>
          <w:sz w:val="16"/>
          <w:szCs w:val="16"/>
          <w:color w:val="333333"/>
        </w:rPr>
        <w:t>The 2020 Plan provides for the grant of the following types of incentive awards: stock options, stock appreciation rights, restricted stock, restricted stock units, performance shares, performance units and performance awards.</w:t>
      </w:r>
    </w:p>
    <w:p>
      <w:pPr>
        <w:spacing w:after="0" w:line="98"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b w:val="1"/>
          <w:bCs w:val="1"/>
          <w:color w:val="337C7D"/>
        </w:rPr>
        <w:t>Stock Options</w:t>
      </w:r>
      <w:r>
        <w:rPr>
          <w:rFonts w:ascii="Arial" w:cs="Arial" w:eastAsia="Arial" w:hAnsi="Arial"/>
          <w:sz w:val="16"/>
          <w:szCs w:val="16"/>
          <w:color w:val="333333"/>
        </w:rPr>
        <w:t>. Options, which include non-qualified stock options and</w:t>
      </w:r>
      <w:r>
        <w:rPr>
          <w:rFonts w:ascii="Arial" w:cs="Arial" w:eastAsia="Arial" w:hAnsi="Arial"/>
          <w:sz w:val="16"/>
          <w:szCs w:val="16"/>
          <w:b w:val="1"/>
          <w:bCs w:val="1"/>
          <w:color w:val="337C7D"/>
        </w:rPr>
        <w:t xml:space="preserve"> </w:t>
      </w:r>
      <w:r>
        <w:rPr>
          <w:rFonts w:ascii="Arial" w:cs="Arial" w:eastAsia="Arial" w:hAnsi="Arial"/>
          <w:sz w:val="16"/>
          <w:szCs w:val="16"/>
          <w:color w:val="333333"/>
        </w:rPr>
        <w:t>incentive stock options, are rights to purchase a specified number of shares of the Company’s Common Stock at a price fixed by the Compensation Committee. The exercise price for stock options issued under the 2020 Plan that qualify as incentive stock options within the meaning of Section 422(b) of the Code shall not be less than 100% of the fair market value as of the date of grant. The Compensation Committee has broad discretion as to the terms and conditions upon which options granted shall be exercised. Options have a maximum term of ten years from the date of grant.</w:t>
      </w:r>
    </w:p>
    <w:p>
      <w:pPr>
        <w:spacing w:after="0" w:line="118" w:lineRule="exact"/>
        <w:rPr>
          <w:sz w:val="20"/>
          <w:szCs w:val="20"/>
          <w:color w:val="auto"/>
        </w:rPr>
      </w:pPr>
    </w:p>
    <w:p>
      <w:pPr>
        <w:jc w:val="both"/>
        <w:ind w:left="160"/>
        <w:spacing w:after="0" w:line="251" w:lineRule="auto"/>
        <w:rPr>
          <w:sz w:val="20"/>
          <w:szCs w:val="20"/>
          <w:color w:val="auto"/>
        </w:rPr>
      </w:pPr>
      <w:r>
        <w:rPr>
          <w:rFonts w:ascii="Arial" w:cs="Arial" w:eastAsia="Arial" w:hAnsi="Arial"/>
          <w:sz w:val="16"/>
          <w:szCs w:val="16"/>
          <w:b w:val="1"/>
          <w:bCs w:val="1"/>
          <w:color w:val="337C7D"/>
        </w:rPr>
        <w:t>Stock Appreciation Rights</w:t>
      </w:r>
      <w:r>
        <w:rPr>
          <w:rFonts w:ascii="Arial" w:cs="Arial" w:eastAsia="Arial" w:hAnsi="Arial"/>
          <w:sz w:val="16"/>
          <w:szCs w:val="16"/>
          <w:color w:val="333333"/>
        </w:rPr>
        <w:t>. Stock Appreciation Rights (“SAR”) are rights</w:t>
      </w:r>
      <w:r>
        <w:rPr>
          <w:rFonts w:ascii="Arial" w:cs="Arial" w:eastAsia="Arial" w:hAnsi="Arial"/>
          <w:sz w:val="16"/>
          <w:szCs w:val="16"/>
          <w:b w:val="1"/>
          <w:bCs w:val="1"/>
          <w:color w:val="337C7D"/>
        </w:rPr>
        <w:t xml:space="preserve"> </w:t>
      </w:r>
      <w:r>
        <w:rPr>
          <w:rFonts w:ascii="Arial" w:cs="Arial" w:eastAsia="Arial" w:hAnsi="Arial"/>
          <w:sz w:val="16"/>
          <w:szCs w:val="16"/>
          <w:color w:val="333333"/>
        </w:rPr>
        <w:t>to receive cash or shares, or a combination thereof, as the Compensation Committee may determine, in an amount equal to the excess of (i) the fair market value of the shares with respect to which the SAR is exercised over (ii) a specified price which must not be less than 100% of the fair market value of the shares at the time the SAR is granted.</w:t>
      </w:r>
    </w:p>
    <w:p>
      <w:pPr>
        <w:spacing w:after="0" w:line="103"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b w:val="1"/>
          <w:bCs w:val="1"/>
          <w:color w:val="337C7D"/>
        </w:rPr>
        <w:t>Restricted Shares and Restricted Share Units</w:t>
      </w:r>
      <w:r>
        <w:rPr>
          <w:rFonts w:ascii="Arial" w:cs="Arial" w:eastAsia="Arial" w:hAnsi="Arial"/>
          <w:sz w:val="16"/>
          <w:szCs w:val="16"/>
          <w:color w:val="333333"/>
        </w:rPr>
        <w:t>. Awards of restricted</w:t>
      </w:r>
      <w:r>
        <w:rPr>
          <w:rFonts w:ascii="Arial" w:cs="Arial" w:eastAsia="Arial" w:hAnsi="Arial"/>
          <w:sz w:val="16"/>
          <w:szCs w:val="16"/>
          <w:b w:val="1"/>
          <w:bCs w:val="1"/>
          <w:color w:val="337C7D"/>
        </w:rPr>
        <w:t xml:space="preserve"> </w:t>
      </w:r>
      <w:r>
        <w:rPr>
          <w:rFonts w:ascii="Arial" w:cs="Arial" w:eastAsia="Arial" w:hAnsi="Arial"/>
          <w:sz w:val="16"/>
          <w:szCs w:val="16"/>
          <w:color w:val="333333"/>
        </w:rPr>
        <w:t>shares or restricted share units under the 2020 Plan may be made at the discretion of the Compensation Committee and consist of shares of stock granted to a participant and subject to a stock restriction agreement or a right to receive shares of stock once certain conditions are satisfied or certain restrictions are lifted. At the time of an award, the Committee in its discretion may prescribe in award agreements that a Participant may have the benefits of ownership in respect of such shares, including the right to vote such shares and receive dividends thereon and other distributions subject to the restrictions set forth in the</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333333"/>
        </w:rPr>
        <w:t>2020 Plan and in the stock restriction agreement. Any shares of the Company’s common stock issued shall be held by the Company until all conditions and/or restricts have been satisfied. The Compensation Committee has broad discretion as to the specific terms and conditions of each award, including applicable rights upon certain terminations of employment.</w:t>
      </w:r>
    </w:p>
    <w:p>
      <w:pPr>
        <w:spacing w:after="0" w:line="10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b w:val="1"/>
          <w:bCs w:val="1"/>
          <w:color w:val="337C7D"/>
        </w:rPr>
        <w:t>Performance Shares, Performance Units and Performance Awards</w:t>
      </w:r>
      <w:r>
        <w:rPr>
          <w:rFonts w:ascii="Arial" w:cs="Arial" w:eastAsia="Arial" w:hAnsi="Arial"/>
          <w:sz w:val="16"/>
          <w:szCs w:val="16"/>
          <w:color w:val="333333"/>
        </w:rPr>
        <w:t>.</w:t>
      </w:r>
      <w:r>
        <w:rPr>
          <w:rFonts w:ascii="Arial" w:cs="Arial" w:eastAsia="Arial" w:hAnsi="Arial"/>
          <w:sz w:val="16"/>
          <w:szCs w:val="16"/>
          <w:b w:val="1"/>
          <w:bCs w:val="1"/>
          <w:color w:val="337C7D"/>
        </w:rPr>
        <w:t xml:space="preserve"> </w:t>
      </w:r>
      <w:r>
        <w:rPr>
          <w:rFonts w:ascii="Arial" w:cs="Arial" w:eastAsia="Arial" w:hAnsi="Arial"/>
          <w:sz w:val="16"/>
          <w:szCs w:val="16"/>
          <w:color w:val="333333"/>
        </w:rPr>
        <w:t>Performance shares, performance units, and performance awards shall be earned in whole or in part based upon the achievement of pre-established performance criteria. The Compensation Committee shall set the performance criteria of any grant no later than the 90</w:t>
      </w:r>
      <w:r>
        <w:rPr>
          <w:rFonts w:ascii="Arial" w:cs="Arial" w:eastAsia="Arial" w:hAnsi="Arial"/>
          <w:sz w:val="24"/>
          <w:szCs w:val="24"/>
          <w:color w:val="333333"/>
          <w:vertAlign w:val="superscript"/>
        </w:rPr>
        <w:t>th</w:t>
      </w:r>
      <w:r>
        <w:rPr>
          <w:rFonts w:ascii="Arial" w:cs="Arial" w:eastAsia="Arial" w:hAnsi="Arial"/>
          <w:sz w:val="16"/>
          <w:szCs w:val="16"/>
          <w:color w:val="333333"/>
        </w:rPr>
        <w:t xml:space="preserve"> day after the performance period begins. The Compensation Committee has discretion to determine the Participants to whom performance unit awards are to be made, the times in which such awards are to be made, the size of such awards, and all other conditions of such awards, including any restriction, deferral periods, or performance criteria.</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005C5D"/>
        </w:rPr>
        <w:t>How are withholding taxes on awards handled?</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333333"/>
        </w:rPr>
        <w:t>The Company has the power and the right to deduct or withhold, or require a Participant to remit to the Company, an amount (either in cash or Shares, at the Company’s discretion) sufficient to satisfy any federal, state, local and/or other taxes, domestic or foreign, required by law or regulation.</w:t>
      </w:r>
    </w:p>
    <w:p>
      <w:pPr>
        <w:spacing w:after="0" w:line="180" w:lineRule="exact"/>
        <w:rPr>
          <w:sz w:val="20"/>
          <w:szCs w:val="20"/>
          <w:color w:val="auto"/>
        </w:rPr>
      </w:pPr>
    </w:p>
    <w:p>
      <w:pPr>
        <w:spacing w:after="0" w:line="260" w:lineRule="auto"/>
        <w:rPr>
          <w:sz w:val="20"/>
          <w:szCs w:val="20"/>
          <w:color w:val="auto"/>
        </w:rPr>
      </w:pPr>
      <w:r>
        <w:rPr>
          <w:rFonts w:ascii="Arial" w:cs="Arial" w:eastAsia="Arial" w:hAnsi="Arial"/>
          <w:sz w:val="16"/>
          <w:szCs w:val="16"/>
          <w:i w:val="1"/>
          <w:iCs w:val="1"/>
          <w:color w:val="005C5D"/>
        </w:rPr>
        <w:t>What is the effect of a change in control or occurrence of certain unusual or nonrecurring events that happen to change the nature of the Company’s Common Stock?</w:t>
      </w:r>
    </w:p>
    <w:p>
      <w:pPr>
        <w:spacing w:after="0" w:line="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333333"/>
        </w:rPr>
        <w:t>If there occurs a “Change in Control” of the Company, as defined in the 2020 Plan, the Committee may provide in the applicable Award Agreement that an Award will vest on an accelerated basis upon a Participant’s termination of service in connection with a Change in Control or upon the occurrence of any other event the Compensation Committee may set forth in the Award Agreement.</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333333"/>
        </w:rPr>
        <w:t>If the Company’s Common Stock Shares are changed into or exchanged for a different number or kind of shares of stock or other securities of the Company or of another corporation (whether because of merger, consolidation, recapitalization, reclassification, split, reverse split, combination of shares, or otherwise, but not including a public offering or other capital infusion from any source) or if the number of Shares is increased through the payment of a stock dividend, provision shall be made so that the Participants shall be entitled to receive, upon vesting of such Shares, the number of Shares to which a</w:t>
      </w:r>
    </w:p>
    <w:p>
      <w:pPr>
        <w:spacing w:after="0" w:line="200"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60" w:lineRule="exact"/>
        <w:rPr>
          <w:sz w:val="20"/>
          <w:szCs w:val="20"/>
          <w:color w:val="auto"/>
        </w:rPr>
      </w:pPr>
    </w:p>
    <w:p>
      <w:pPr>
        <w:ind w:left="160"/>
        <w:spacing w:after="0"/>
        <w:tabs>
          <w:tab w:leader="none" w:pos="4920" w:val="left"/>
        </w:tabs>
        <w:rPr>
          <w:sz w:val="20"/>
          <w:szCs w:val="20"/>
          <w:color w:val="auto"/>
        </w:rPr>
      </w:pPr>
      <w:r>
        <w:rPr>
          <w:rFonts w:ascii="Arial" w:cs="Arial" w:eastAsia="Arial" w:hAnsi="Arial"/>
          <w:sz w:val="14"/>
          <w:szCs w:val="14"/>
          <w:color w:val="005C5D"/>
        </w:rPr>
        <w:t xml:space="preserve">18 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1080"/>
          </w:cols>
          <w:pgMar w:left="320" w:top="478" w:right="4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PROPOSAL NO. 4 2020 EQUITY AND INCENTIVE PLAN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82"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333333"/>
        </w:rPr>
        <w:t>Participant would have been entitled on such merger, consolidation, recapitalization, reclassification, split, reverse split, combination of shares, or payment of stock dividend.</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05C5D"/>
        </w:rPr>
        <w:t>Can the 2020 Plan be amended or terminated?</w:t>
      </w:r>
    </w:p>
    <w:p>
      <w:pPr>
        <w:spacing w:after="0" w:line="108"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color w:val="333333"/>
        </w:rPr>
        <w:t>The Board of Directors or Compensation Committee may alter, amend, modify, or terminate the 2020 Plan in whole or in part at any time, except that neither the Board of Directors nor the Compensation Committee may, without the approval of the Company’s shareholders, increase the number of shares that may be issued or transferred to Participants under the 2020 Plan. No modification of an Award will, without the prior consent of the Participant, materially impair any rights or obligations under any Award already granted. The Compensation Committee will not modify or replace any outstanding Option or SAR so as to lower the exercise price without approval of the Company’s shareholders.</w:t>
      </w:r>
    </w:p>
    <w:p>
      <w:pPr>
        <w:spacing w:after="0" w:line="105" w:lineRule="exact"/>
        <w:rPr>
          <w:sz w:val="20"/>
          <w:szCs w:val="20"/>
          <w:color w:val="auto"/>
        </w:rPr>
      </w:pPr>
    </w:p>
    <w:p>
      <w:pPr>
        <w:jc w:val="both"/>
        <w:ind w:left="160"/>
        <w:spacing w:after="0" w:line="279" w:lineRule="auto"/>
        <w:rPr>
          <w:sz w:val="20"/>
          <w:szCs w:val="20"/>
          <w:color w:val="auto"/>
        </w:rPr>
      </w:pPr>
      <w:r>
        <w:rPr>
          <w:rFonts w:ascii="Arial" w:cs="Arial" w:eastAsia="Arial" w:hAnsi="Arial"/>
          <w:sz w:val="16"/>
          <w:szCs w:val="16"/>
          <w:color w:val="333333"/>
        </w:rPr>
        <w:t>A copy of the Second Amended and Restated 2020 Plan is attached to this Proxy Statement as Appendix A.</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5D"/>
        </w:rPr>
        <w:t>Federal Income Tax Consequences</w:t>
      </w:r>
    </w:p>
    <w:p>
      <w:pPr>
        <w:spacing w:after="0" w:line="110"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color w:val="333333"/>
        </w:rPr>
        <w:t>The following discussion is limited to a summary of the U.S. federal income tax consequences of the grant, exercise, and vesting of awards under the 2020 Plan. The tax consequences of the grant, exercise, or vesting of awards may vary depending upon the particular circumstances, and it should be noted that income tax laws, regulations, and interpretations change frequently. Participants should rely upon their own tax advisors for advice concerning the specific tax consequences applicable to them, including the applicability and effect of state, local, and foreign tax laws.</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333333"/>
        </w:rPr>
        <w:t>Non-Qualified Stock Options</w:t>
      </w:r>
      <w:r>
        <w:rPr>
          <w:rFonts w:ascii="Arial" w:cs="Arial" w:eastAsia="Arial" w:hAnsi="Arial"/>
          <w:sz w:val="16"/>
          <w:szCs w:val="16"/>
          <w:color w:val="333333"/>
        </w:rPr>
        <w:t>. In general, the Company anticipates that</w:t>
      </w:r>
    </w:p>
    <w:p>
      <w:pPr>
        <w:spacing w:after="0" w:line="19" w:lineRule="exact"/>
        <w:rPr>
          <w:sz w:val="20"/>
          <w:szCs w:val="20"/>
          <w:color w:val="auto"/>
        </w:rPr>
      </w:pPr>
    </w:p>
    <w:p>
      <w:pPr>
        <w:jc w:val="both"/>
        <w:ind w:left="160" w:firstLine="7"/>
        <w:spacing w:after="0" w:line="246" w:lineRule="auto"/>
        <w:tabs>
          <w:tab w:leader="none" w:pos="386" w:val="left"/>
        </w:tabs>
        <w:numPr>
          <w:ilvl w:val="0"/>
          <w:numId w:val="33"/>
        </w:numPr>
        <w:rPr>
          <w:rFonts w:ascii="Arial" w:cs="Arial" w:eastAsia="Arial" w:hAnsi="Arial"/>
          <w:sz w:val="16"/>
          <w:szCs w:val="16"/>
          <w:color w:val="333333"/>
        </w:rPr>
      </w:pPr>
      <w:r>
        <w:rPr>
          <w:rFonts w:ascii="Arial" w:cs="Arial" w:eastAsia="Arial" w:hAnsi="Arial"/>
          <w:sz w:val="16"/>
          <w:szCs w:val="16"/>
          <w:color w:val="333333"/>
        </w:rPr>
        <w:t>a Participant will not recognize income at the time a non-qualified option is granted, (ii) a Participant will recognize ordinary income at the time of exercise in an amount equal to the excess of the fair market value of the shares on the date of exercise over the option exercise price paid for the shares and (iii) at the time of sale of shares acquired pursuant to the exercise of the non-qualified option, appreciation (or depreciation) in value of the shares after the date of exercise will be treated as either short-term or long-term capital gain (or loss) depending on how long the shares have been held.</w:t>
      </w:r>
    </w:p>
    <w:p>
      <w:pPr>
        <w:spacing w:after="0" w:line="106" w:lineRule="exact"/>
        <w:rPr>
          <w:sz w:val="20"/>
          <w:szCs w:val="20"/>
          <w:color w:val="auto"/>
        </w:rPr>
      </w:pPr>
    </w:p>
    <w:p>
      <w:pPr>
        <w:jc w:val="both"/>
        <w:ind w:left="160"/>
        <w:spacing w:after="0" w:line="256" w:lineRule="auto"/>
        <w:rPr>
          <w:sz w:val="20"/>
          <w:szCs w:val="20"/>
          <w:color w:val="auto"/>
        </w:rPr>
      </w:pPr>
      <w:r>
        <w:rPr>
          <w:rFonts w:ascii="Arial" w:cs="Arial" w:eastAsia="Arial" w:hAnsi="Arial"/>
          <w:sz w:val="16"/>
          <w:szCs w:val="16"/>
          <w:u w:val="single" w:color="auto"/>
          <w:color w:val="333333"/>
        </w:rPr>
        <w:t>Incentive Stock Options</w:t>
      </w:r>
      <w:r>
        <w:rPr>
          <w:rFonts w:ascii="Arial" w:cs="Arial" w:eastAsia="Arial" w:hAnsi="Arial"/>
          <w:sz w:val="16"/>
          <w:szCs w:val="16"/>
          <w:color w:val="333333"/>
        </w:rPr>
        <w:t>. The Company anticipates that a Participant will not recognize income at the time an incentive option is granted or exercised. However, the excess of the fair market value of the shares on the date</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333333"/>
        </w:rPr>
        <w:t>of exercise over the option exercise price paid may constitute a preference item for the alternative minimum tax. If shares are issued to the optionee pursuant to the exercise of an incentive option, and if no disqualifying disposition of such shares is made by such optionee within two years after the date of the grant or within one year after the issuance of such shares to the optionee, then upon the sale of such shares, any amount realized in excess of the option price will be taxed to the optionee as a long-term capital gain and any loss sustained will be a long-term capital loss. If shares acquired upon the exercise of an incentive option are disposed of prior to the expiration of either holding period described above, the optionee generally will recognize ordinary income in the year of disposition in an amount equal to the excess (if any) of the fair market value of such shares as of the time of exercise (or, if less, the amount realized on the disposition of such shares if a sale or exchange) over the option price paid for such shares. Any further gain (or loss) realized by the participant generally will be taxed as short-term or long-term capital gain (or loss) depending on the holding period.</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333333"/>
        </w:rPr>
        <w:t>Stock Appreciation Rights</w:t>
      </w:r>
      <w:r>
        <w:rPr>
          <w:rFonts w:ascii="Arial" w:cs="Arial" w:eastAsia="Arial" w:hAnsi="Arial"/>
          <w:sz w:val="16"/>
          <w:szCs w:val="16"/>
          <w:color w:val="333333"/>
        </w:rPr>
        <w:t>. In general, the Company anticipates that a Participant will not recognize income upon the grant of stock appreciation rights. The Participant generally will recognize ordinary income when the stock appreciation rights are exercised in an amount equal to the cash and the fair market value of any unrestricted shares received on the exercise.</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u w:val="single" w:color="auto"/>
          <w:color w:val="333333"/>
        </w:rPr>
        <w:t>Restricted Stock</w:t>
      </w:r>
      <w:r>
        <w:rPr>
          <w:rFonts w:ascii="Arial" w:cs="Arial" w:eastAsia="Arial" w:hAnsi="Arial"/>
          <w:sz w:val="16"/>
          <w:szCs w:val="16"/>
          <w:color w:val="333333"/>
        </w:rPr>
        <w:t>. In general, the Company anticipates that a Participant will not be subject to tax until the shares of restricted stock are no longer subject to forfeiture or restrictions on transfer for purposes of Section 83 of the Code. At that time, the participant will be subject to tax at ordinary income rates on the fair market value of the restricted shares (reduced by any amount paid by the Participant for such restricted shares). However, a Participant who so elects under Section 83(b) of the Code within 30 days of the date of award of the shares will have taxable ordinary income on the date of award of the restricted shares equal to the excess of the fair market value of such shares (determined without regard to the restrictions) over the purchase price, if any, of such restricted shares. Any appreciation (or depreciation) realized upon a later disposition of such shares will be treated as long-term or short-term capital gain depending upon how long the shares have been held. If a Section 83(b) election has not been made, any dividends received with respect to restricted shares that are subject to forfeiture and transfer restrictions generally will be treated as compensation that is taxable as ordinary income to the Participant.</w:t>
      </w:r>
    </w:p>
    <w:p>
      <w:pPr>
        <w:spacing w:after="0" w:line="1176"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63" w:lineRule="exact"/>
        <w:rPr>
          <w:sz w:val="20"/>
          <w:szCs w:val="20"/>
          <w:color w:val="auto"/>
        </w:rPr>
      </w:pPr>
    </w:p>
    <w:p>
      <w:pPr>
        <w:ind w:left="4940"/>
        <w:spacing w:after="0"/>
        <w:tabs>
          <w:tab w:leader="none" w:pos="9080" w:val="left"/>
          <w:tab w:leader="none" w:pos="1090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19</w:t>
      </w:r>
    </w:p>
    <w:p>
      <w:pPr>
        <w:sectPr>
          <w:pgSz w:w="11900" w:h="16838" w:orient="portrait"/>
          <w:cols w:equalWidth="0" w:num="1">
            <w:col w:w="11080"/>
          </w:cols>
          <w:pgMar w:left="320" w:top="478" w:right="4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PROPOSAL NO. 4 2020 EQUITY AND INCENTIVE PLAN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82" w:lineRule="exact"/>
        <w:rPr>
          <w:sz w:val="20"/>
          <w:szCs w:val="20"/>
          <w:color w:val="auto"/>
        </w:rPr>
      </w:pPr>
    </w:p>
    <w:p>
      <w:pPr>
        <w:jc w:val="both"/>
        <w:ind w:left="160"/>
        <w:spacing w:after="0" w:line="251" w:lineRule="auto"/>
        <w:rPr>
          <w:sz w:val="20"/>
          <w:szCs w:val="20"/>
          <w:color w:val="auto"/>
        </w:rPr>
      </w:pPr>
      <w:r>
        <w:rPr>
          <w:rFonts w:ascii="Arial" w:cs="Arial" w:eastAsia="Arial" w:hAnsi="Arial"/>
          <w:sz w:val="16"/>
          <w:szCs w:val="16"/>
          <w:u w:val="single" w:color="auto"/>
          <w:color w:val="333333"/>
        </w:rPr>
        <w:t>Restricted Stock Units and Performance Shares or Units</w:t>
      </w:r>
      <w:r>
        <w:rPr>
          <w:rFonts w:ascii="Arial" w:cs="Arial" w:eastAsia="Arial" w:hAnsi="Arial"/>
          <w:sz w:val="16"/>
          <w:szCs w:val="16"/>
          <w:color w:val="333333"/>
        </w:rPr>
        <w:t>. In general, the Company anticipates a Participant will not recognize income upon the grant of a restricted stock unit award or a performance share or unit award. Upon settlement of the awards, the Participant generally will recognize ordinary income in an amount equal to the cash and the fair market value of any unrestricted shares received.</w:t>
      </w:r>
    </w:p>
    <w:p>
      <w:pPr>
        <w:spacing w:after="0" w:line="103"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u w:val="single" w:color="auto"/>
          <w:color w:val="333333"/>
        </w:rPr>
        <w:t>Dividends or Dividend Equivalents</w:t>
      </w:r>
      <w:r>
        <w:rPr>
          <w:rFonts w:ascii="Arial" w:cs="Arial" w:eastAsia="Arial" w:hAnsi="Arial"/>
          <w:sz w:val="16"/>
          <w:szCs w:val="16"/>
          <w:color w:val="333333"/>
        </w:rPr>
        <w:t>. Any dividend or dividend equivalents awarded with respect to awards granted under the 2020 Plan and paid in cash or unrestricted shares will be taxed to the Participant at ordinary income rates when such cash or unrestricted shares are received by the Participant.</w:t>
      </w:r>
    </w:p>
    <w:p>
      <w:pPr>
        <w:spacing w:after="0" w:line="114" w:lineRule="exact"/>
        <w:rPr>
          <w:sz w:val="20"/>
          <w:szCs w:val="20"/>
          <w:color w:val="auto"/>
        </w:rPr>
      </w:pPr>
    </w:p>
    <w:p>
      <w:pPr>
        <w:jc w:val="both"/>
        <w:ind w:left="160"/>
        <w:spacing w:after="0" w:line="249" w:lineRule="auto"/>
        <w:rPr>
          <w:sz w:val="20"/>
          <w:szCs w:val="20"/>
          <w:color w:val="auto"/>
        </w:rPr>
      </w:pPr>
      <w:r>
        <w:rPr>
          <w:rFonts w:ascii="Arial" w:cs="Arial" w:eastAsia="Arial" w:hAnsi="Arial"/>
          <w:sz w:val="16"/>
          <w:szCs w:val="16"/>
          <w:u w:val="single" w:color="auto"/>
          <w:color w:val="333333"/>
        </w:rPr>
        <w:t>Section 409A</w:t>
      </w:r>
      <w:r>
        <w:rPr>
          <w:rFonts w:ascii="Arial" w:cs="Arial" w:eastAsia="Arial" w:hAnsi="Arial"/>
          <w:sz w:val="16"/>
          <w:szCs w:val="16"/>
          <w:color w:val="333333"/>
        </w:rPr>
        <w:t>. The 2020 Plan permits the grant of various types of awards that may or may not be exempt from Section 409A of the Internal Revenue Code. In general, if an award is subject to Section 409A, and if the requirements of Section 409A are not met, the award could be subject to tax at an earlier time than described above and could be subject to additional taxes and penalties. All awards granted under the 2020 Plan will be designed either to be exempt from, or to comply with the requirements of, Section 409A.</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u w:val="single" w:color="auto"/>
          <w:color w:val="333333"/>
        </w:rPr>
        <w:t>Tax Consequences to the Company</w:t>
      </w:r>
      <w:r>
        <w:rPr>
          <w:rFonts w:ascii="Arial" w:cs="Arial" w:eastAsia="Arial" w:hAnsi="Arial"/>
          <w:sz w:val="16"/>
          <w:szCs w:val="16"/>
          <w:color w:val="333333"/>
        </w:rPr>
        <w:t>. To the extent that a Participant recognizes ordinary income in the circumstances described above, the Company will be entitled to a corresponding deduction provided that, among other things, the income meets the test of reasonableness, is an ordinary and necessary business expense, and is not an “excess parachute payment” within the meaning of Section 280G of the Internal Revenue Code.</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005C5D"/>
        </w:rPr>
        <w:t>SEC Registration</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33333"/>
        </w:rPr>
        <w:t>We intend to file with the SEC a registration statement on Form S-8 covering the additional common stock reserved for issuance under the 2020 Plan if the Plan Amendment is approved.</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005C5D"/>
        </w:rPr>
        <w:t>VOTE REQUIRED AND BOARD RECOMMENDATION</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333333"/>
        </w:rPr>
        <w:t>This proposal will be approved if a quorum is present, in person or by proxy, at the Annual Meeting and the votes properly cast favoring the proposal exceed the votes cast opposing the proposal. Abstentions and broker non-votes will each be counted as present for purposes of determining the presence of a quorum but will not have any effect on the outcome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303530</wp:posOffset>
            </wp:positionV>
            <wp:extent cx="6938010" cy="5518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38010" cy="5518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361" w:lineRule="exact"/>
        <w:rPr>
          <w:sz w:val="20"/>
          <w:szCs w:val="20"/>
          <w:color w:val="auto"/>
        </w:rPr>
      </w:pPr>
    </w:p>
    <w:p>
      <w:pPr>
        <w:jc w:val="center"/>
        <w:ind w:left="720"/>
        <w:spacing w:after="0" w:line="239" w:lineRule="auto"/>
        <w:rPr>
          <w:sz w:val="20"/>
          <w:szCs w:val="20"/>
          <w:color w:val="auto"/>
        </w:rPr>
      </w:pPr>
      <w:r>
        <w:rPr>
          <w:rFonts w:ascii="Arial" w:cs="Arial" w:eastAsia="Arial" w:hAnsi="Arial"/>
          <w:sz w:val="20"/>
          <w:szCs w:val="20"/>
          <w:color w:val="005C5D"/>
        </w:rPr>
        <w:t>VERA BRADLEY’S BOARD OF DIRECTORS UNANIMOUSLY RECOMMENDS A VOTE “</w:t>
      </w:r>
      <w:r>
        <w:rPr>
          <w:rFonts w:ascii="Arial" w:cs="Arial" w:eastAsia="Arial" w:hAnsi="Arial"/>
          <w:sz w:val="20"/>
          <w:szCs w:val="20"/>
          <w:b w:val="1"/>
          <w:bCs w:val="1"/>
          <w:color w:val="005C5D"/>
        </w:rPr>
        <w:t>FOR</w:t>
      </w:r>
      <w:r>
        <w:rPr>
          <w:rFonts w:ascii="Arial" w:cs="Arial" w:eastAsia="Arial" w:hAnsi="Arial"/>
          <w:sz w:val="20"/>
          <w:szCs w:val="20"/>
          <w:color w:val="005C5D"/>
        </w:rPr>
        <w:t>” APPROVAL OF THE VERA BRADLEY, INC. 2020 EQUITY &amp; INCENTIVE PLAN AMENDMENT TO ADD AN ADDITIONAL 3,000,000 SHARES OF COMMON STOCK TO THE PLAN.</w:t>
      </w:r>
    </w:p>
    <w:p>
      <w:pPr>
        <w:spacing w:after="0" w:line="237" w:lineRule="exact"/>
        <w:rPr>
          <w:sz w:val="20"/>
          <w:szCs w:val="20"/>
          <w:color w:val="auto"/>
        </w:rPr>
      </w:pPr>
    </w:p>
    <w:p>
      <w:pPr>
        <w:ind w:left="160"/>
        <w:spacing w:after="0"/>
        <w:tabs>
          <w:tab w:leader="none" w:pos="4920" w:val="left"/>
        </w:tabs>
        <w:rPr>
          <w:sz w:val="20"/>
          <w:szCs w:val="20"/>
          <w:color w:val="auto"/>
        </w:rPr>
      </w:pPr>
      <w:r>
        <w:rPr>
          <w:rFonts w:ascii="Arial" w:cs="Arial" w:eastAsia="Arial" w:hAnsi="Arial"/>
          <w:sz w:val="14"/>
          <w:szCs w:val="14"/>
          <w:color w:val="005C5D"/>
        </w:rPr>
        <w:t xml:space="preserve">20 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1080"/>
          </w:cols>
          <w:pgMar w:left="320" w:top="478" w:right="4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EXECUTIVE COMPENSATION</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27"/>
          <w:szCs w:val="27"/>
          <w:b w:val="1"/>
          <w:bCs w:val="1"/>
          <w:color w:val="005C5D"/>
        </w:rPr>
        <w:t>TALENT AND COMPENSATION COMMITTEE REPORT</w:t>
      </w:r>
    </w:p>
    <w:p>
      <w:pPr>
        <w:spacing w:after="0" w:line="91" w:lineRule="exact"/>
        <w:rPr>
          <w:sz w:val="20"/>
          <w:szCs w:val="20"/>
          <w:color w:val="auto"/>
        </w:rPr>
      </w:pPr>
    </w:p>
    <w:p>
      <w:pPr>
        <w:jc w:val="both"/>
        <w:ind w:left="160"/>
        <w:spacing w:after="0" w:line="256" w:lineRule="auto"/>
        <w:rPr>
          <w:sz w:val="20"/>
          <w:szCs w:val="20"/>
          <w:color w:val="auto"/>
        </w:rPr>
      </w:pPr>
      <w:r>
        <w:rPr>
          <w:rFonts w:ascii="Arial" w:cs="Arial" w:eastAsia="Arial" w:hAnsi="Arial"/>
          <w:sz w:val="16"/>
          <w:szCs w:val="16"/>
          <w:color w:val="333333"/>
        </w:rPr>
        <w:t>The Talent and Compensation Committee of the Board of Directors has reviewed and discussed the following Executive Compensation Discussion and Analysis with management and, based on such review and discussion, has recommended to the Board of Directors that the Executive Compensation Discussion and Analysis be included in this Proxy Statement and in the Company’s Annual Report on Form 10-K for the fiscal year ended January 31, 2026.</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SUBMITTED BY THE TALENT AND COMPENSATION COMMITTEE</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Andrew Meslow, Chair</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Kristina Cashman</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Carrie M. Tharp</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EXECUTIVE COMPENSATION DISCUSSION AND ANALYSIS (“CD&amp;A”)</w:t>
      </w:r>
    </w:p>
    <w:p>
      <w:pPr>
        <w:spacing w:after="0" w:line="100" w:lineRule="exact"/>
        <w:rPr>
          <w:sz w:val="20"/>
          <w:szCs w:val="20"/>
          <w:color w:val="auto"/>
        </w:rPr>
      </w:pPr>
    </w:p>
    <w:p>
      <w:pPr>
        <w:jc w:val="both"/>
        <w:ind w:left="160"/>
        <w:spacing w:after="0" w:line="279" w:lineRule="auto"/>
        <w:rPr>
          <w:sz w:val="20"/>
          <w:szCs w:val="20"/>
          <w:color w:val="auto"/>
        </w:rPr>
      </w:pPr>
      <w:r>
        <w:rPr>
          <w:rFonts w:ascii="Arial" w:cs="Arial" w:eastAsia="Arial" w:hAnsi="Arial"/>
          <w:sz w:val="16"/>
          <w:szCs w:val="16"/>
          <w:color w:val="333333"/>
        </w:rPr>
        <w:t>This CD&amp;A provides a summary of the material elements of our compensation philosophy and practices, with a particular focus on our named executive officers or “NEOs.” As used in this CD&amp;A, the “Committee” refers to the Talent and Compensation Committee of the Board of Directors.</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The following is a list of our NEOs who served during fiscal 2026:</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160"/>
        </w:trPr>
        <w:tc>
          <w:tcPr>
            <w:tcW w:w="30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300" w:type="dxa"/>
            <w:vAlign w:val="bottom"/>
            <w:shd w:val="clear" w:color="auto" w:fill="FCEFEB"/>
          </w:tcPr>
          <w:p>
            <w:pPr>
              <w:spacing w:after="0"/>
              <w:rPr>
                <w:sz w:val="13"/>
                <w:szCs w:val="13"/>
                <w:color w:val="auto"/>
              </w:rPr>
            </w:pPr>
          </w:p>
        </w:tc>
        <w:tc>
          <w:tcPr>
            <w:tcW w:w="2040" w:type="dxa"/>
            <w:vAlign w:val="bottom"/>
            <w:shd w:val="clear" w:color="auto" w:fill="FCEFEB"/>
          </w:tcPr>
          <w:p>
            <w:pPr>
              <w:spacing w:after="0"/>
              <w:rPr>
                <w:sz w:val="13"/>
                <w:szCs w:val="13"/>
                <w:color w:val="auto"/>
              </w:rPr>
            </w:pPr>
          </w:p>
        </w:tc>
      </w:tr>
      <w:tr>
        <w:trPr>
          <w:trHeight w:val="274"/>
        </w:trPr>
        <w:tc>
          <w:tcPr>
            <w:tcW w:w="3020" w:type="dxa"/>
            <w:vAlign w:val="bottom"/>
            <w:tcBorders>
              <w:bottom w:val="single" w:sz="8" w:color="005C5D"/>
            </w:tcBorders>
            <w:shd w:val="clear" w:color="auto" w:fill="005C5D"/>
          </w:tcPr>
          <w:p>
            <w:pPr>
              <w:ind w:left="80"/>
              <w:spacing w:after="0"/>
              <w:rPr>
                <w:sz w:val="20"/>
                <w:szCs w:val="20"/>
                <w:color w:val="auto"/>
              </w:rPr>
            </w:pPr>
            <w:r>
              <w:rPr>
                <w:rFonts w:ascii="Arial" w:cs="Arial" w:eastAsia="Arial" w:hAnsi="Arial"/>
                <w:sz w:val="14"/>
                <w:szCs w:val="14"/>
                <w:color w:val="FFFFFF"/>
              </w:rPr>
              <w:t>NAME</w:t>
            </w:r>
          </w:p>
        </w:tc>
        <w:tc>
          <w:tcPr>
            <w:tcW w:w="2560" w:type="dxa"/>
            <w:vAlign w:val="bottom"/>
            <w:tcBorders>
              <w:bottom w:val="single" w:sz="8" w:color="005C5D"/>
            </w:tcBorders>
            <w:shd w:val="clear" w:color="auto" w:fill="005C5D"/>
          </w:tcPr>
          <w:p>
            <w:pPr>
              <w:spacing w:after="0"/>
              <w:rPr>
                <w:sz w:val="23"/>
                <w:szCs w:val="23"/>
                <w:color w:val="auto"/>
              </w:rPr>
            </w:pPr>
          </w:p>
        </w:tc>
        <w:tc>
          <w:tcPr>
            <w:tcW w:w="3300" w:type="dxa"/>
            <w:vAlign w:val="bottom"/>
            <w:tcBorders>
              <w:bottom w:val="single" w:sz="8" w:color="005C5D"/>
            </w:tcBorders>
            <w:shd w:val="clear" w:color="auto" w:fill="005C5D"/>
          </w:tcPr>
          <w:p>
            <w:pPr>
              <w:ind w:left="2540"/>
              <w:spacing w:after="0"/>
              <w:rPr>
                <w:sz w:val="20"/>
                <w:szCs w:val="20"/>
                <w:color w:val="auto"/>
              </w:rPr>
            </w:pPr>
            <w:r>
              <w:rPr>
                <w:rFonts w:ascii="Arial" w:cs="Arial" w:eastAsia="Arial" w:hAnsi="Arial"/>
                <w:sz w:val="14"/>
                <w:szCs w:val="14"/>
                <w:color w:val="FFFFFF"/>
              </w:rPr>
              <w:t>TITLE</w:t>
            </w:r>
          </w:p>
        </w:tc>
        <w:tc>
          <w:tcPr>
            <w:tcW w:w="2040" w:type="dxa"/>
            <w:vAlign w:val="bottom"/>
            <w:tcBorders>
              <w:bottom w:val="single" w:sz="8" w:color="005C5D"/>
            </w:tcBorders>
            <w:shd w:val="clear" w:color="auto" w:fill="005C5D"/>
          </w:tcPr>
          <w:p>
            <w:pPr>
              <w:spacing w:after="0"/>
              <w:rPr>
                <w:sz w:val="23"/>
                <w:szCs w:val="23"/>
                <w:color w:val="auto"/>
              </w:rPr>
            </w:pPr>
          </w:p>
        </w:tc>
      </w:tr>
      <w:tr>
        <w:trPr>
          <w:trHeight w:val="247"/>
        </w:trPr>
        <w:tc>
          <w:tcPr>
            <w:tcW w:w="3020" w:type="dxa"/>
            <w:vAlign w:val="bottom"/>
          </w:tcPr>
          <w:p>
            <w:pPr>
              <w:ind w:left="80"/>
              <w:spacing w:after="0"/>
              <w:rPr>
                <w:sz w:val="20"/>
                <w:szCs w:val="20"/>
                <w:color w:val="auto"/>
              </w:rPr>
            </w:pPr>
            <w:r>
              <w:rPr>
                <w:rFonts w:ascii="Arial" w:cs="Arial" w:eastAsia="Arial" w:hAnsi="Arial"/>
                <w:sz w:val="14"/>
                <w:szCs w:val="14"/>
                <w:color w:val="333333"/>
              </w:rPr>
              <w:t>Ian Bickley</w:t>
            </w:r>
          </w:p>
        </w:tc>
        <w:tc>
          <w:tcPr>
            <w:tcW w:w="2560" w:type="dxa"/>
            <w:vAlign w:val="bottom"/>
          </w:tcPr>
          <w:p>
            <w:pPr>
              <w:spacing w:after="0"/>
              <w:rPr>
                <w:sz w:val="21"/>
                <w:szCs w:val="21"/>
                <w:color w:val="auto"/>
              </w:rPr>
            </w:pPr>
          </w:p>
        </w:tc>
        <w:tc>
          <w:tcPr>
            <w:tcW w:w="3300" w:type="dxa"/>
            <w:vAlign w:val="bottom"/>
            <w:shd w:val="clear" w:color="auto" w:fill="FCEFEB"/>
          </w:tcPr>
          <w:p>
            <w:pPr>
              <w:ind w:left="120"/>
              <w:spacing w:after="0"/>
              <w:rPr>
                <w:sz w:val="20"/>
                <w:szCs w:val="20"/>
                <w:color w:val="auto"/>
              </w:rPr>
            </w:pPr>
            <w:r>
              <w:rPr>
                <w:rFonts w:ascii="Arial" w:cs="Arial" w:eastAsia="Arial" w:hAnsi="Arial"/>
                <w:sz w:val="14"/>
                <w:szCs w:val="14"/>
                <w:color w:val="333333"/>
              </w:rPr>
              <w:t>Executive Chairman, Vera Bradley, Inc.</w:t>
            </w:r>
          </w:p>
        </w:tc>
        <w:tc>
          <w:tcPr>
            <w:tcW w:w="2040" w:type="dxa"/>
            <w:vAlign w:val="bottom"/>
            <w:shd w:val="clear" w:color="auto" w:fill="FCEFEB"/>
          </w:tcPr>
          <w:p>
            <w:pPr>
              <w:spacing w:after="0"/>
              <w:rPr>
                <w:sz w:val="21"/>
                <w:szCs w:val="21"/>
                <w:color w:val="auto"/>
              </w:rPr>
            </w:pPr>
          </w:p>
        </w:tc>
      </w:tr>
      <w:tr>
        <w:trPr>
          <w:trHeight w:val="294"/>
        </w:trPr>
        <w:tc>
          <w:tcPr>
            <w:tcW w:w="3020" w:type="dxa"/>
            <w:vAlign w:val="bottom"/>
          </w:tcPr>
          <w:p>
            <w:pPr>
              <w:ind w:left="80"/>
              <w:spacing w:after="0"/>
              <w:rPr>
                <w:sz w:val="20"/>
                <w:szCs w:val="20"/>
                <w:color w:val="auto"/>
              </w:rPr>
            </w:pPr>
            <w:r>
              <w:rPr>
                <w:rFonts w:ascii="Arial" w:cs="Arial" w:eastAsia="Arial" w:hAnsi="Arial"/>
                <w:sz w:val="14"/>
                <w:szCs w:val="14"/>
                <w:color w:val="333333"/>
              </w:rPr>
              <w:t>Jacqueline Ardrey</w:t>
            </w:r>
          </w:p>
        </w:tc>
        <w:tc>
          <w:tcPr>
            <w:tcW w:w="2560" w:type="dxa"/>
            <w:vAlign w:val="bottom"/>
          </w:tcPr>
          <w:p>
            <w:pPr>
              <w:spacing w:after="0"/>
              <w:rPr>
                <w:sz w:val="24"/>
                <w:szCs w:val="24"/>
                <w:color w:val="auto"/>
              </w:rPr>
            </w:pPr>
          </w:p>
        </w:tc>
        <w:tc>
          <w:tcPr>
            <w:tcW w:w="3300" w:type="dxa"/>
            <w:vAlign w:val="bottom"/>
            <w:shd w:val="clear" w:color="auto" w:fill="FCEFEB"/>
          </w:tcPr>
          <w:p>
            <w:pPr>
              <w:ind w:left="120"/>
              <w:spacing w:after="0"/>
              <w:rPr>
                <w:sz w:val="20"/>
                <w:szCs w:val="20"/>
                <w:color w:val="auto"/>
              </w:rPr>
            </w:pPr>
            <w:r>
              <w:rPr>
                <w:rFonts w:ascii="Arial" w:cs="Arial" w:eastAsia="Arial" w:hAnsi="Arial"/>
                <w:sz w:val="14"/>
                <w:szCs w:val="14"/>
                <w:color w:val="333333"/>
              </w:rPr>
              <w:t>Former President and CEO, Vera Bradley, Inc.</w:t>
            </w:r>
          </w:p>
        </w:tc>
        <w:tc>
          <w:tcPr>
            <w:tcW w:w="2040" w:type="dxa"/>
            <w:vAlign w:val="bottom"/>
            <w:shd w:val="clear" w:color="auto" w:fill="FCEFEB"/>
          </w:tcPr>
          <w:p>
            <w:pPr>
              <w:spacing w:after="0"/>
              <w:rPr>
                <w:sz w:val="24"/>
                <w:szCs w:val="24"/>
                <w:color w:val="auto"/>
              </w:rPr>
            </w:pPr>
          </w:p>
        </w:tc>
      </w:tr>
      <w:tr>
        <w:trPr>
          <w:trHeight w:val="294"/>
        </w:trPr>
        <w:tc>
          <w:tcPr>
            <w:tcW w:w="3020" w:type="dxa"/>
            <w:vAlign w:val="bottom"/>
          </w:tcPr>
          <w:p>
            <w:pPr>
              <w:ind w:left="80"/>
              <w:spacing w:after="0"/>
              <w:rPr>
                <w:sz w:val="20"/>
                <w:szCs w:val="20"/>
                <w:color w:val="auto"/>
              </w:rPr>
            </w:pPr>
            <w:r>
              <w:rPr>
                <w:rFonts w:ascii="Arial" w:cs="Arial" w:eastAsia="Arial" w:hAnsi="Arial"/>
                <w:sz w:val="14"/>
                <w:szCs w:val="14"/>
                <w:color w:val="333333"/>
              </w:rPr>
              <w:t>Martin Layding</w:t>
            </w:r>
          </w:p>
        </w:tc>
        <w:tc>
          <w:tcPr>
            <w:tcW w:w="2560" w:type="dxa"/>
            <w:vAlign w:val="bottom"/>
          </w:tcPr>
          <w:p>
            <w:pPr>
              <w:spacing w:after="0"/>
              <w:rPr>
                <w:sz w:val="24"/>
                <w:szCs w:val="24"/>
                <w:color w:val="auto"/>
              </w:rPr>
            </w:pPr>
          </w:p>
        </w:tc>
        <w:tc>
          <w:tcPr>
            <w:tcW w:w="3300" w:type="dxa"/>
            <w:vAlign w:val="bottom"/>
            <w:shd w:val="clear" w:color="auto" w:fill="FCEFEB"/>
          </w:tcPr>
          <w:p>
            <w:pPr>
              <w:ind w:left="120"/>
              <w:spacing w:after="0"/>
              <w:rPr>
                <w:sz w:val="20"/>
                <w:szCs w:val="20"/>
                <w:color w:val="auto"/>
              </w:rPr>
            </w:pPr>
            <w:r>
              <w:rPr>
                <w:rFonts w:ascii="Arial" w:cs="Arial" w:eastAsia="Arial" w:hAnsi="Arial"/>
                <w:sz w:val="14"/>
                <w:szCs w:val="14"/>
                <w:color w:val="333333"/>
              </w:rPr>
              <w:t>Chief Financial Officer, Vera Bradley, Inc.</w:t>
            </w:r>
          </w:p>
        </w:tc>
        <w:tc>
          <w:tcPr>
            <w:tcW w:w="2040" w:type="dxa"/>
            <w:vAlign w:val="bottom"/>
            <w:shd w:val="clear" w:color="auto" w:fill="FCEFEB"/>
          </w:tcPr>
          <w:p>
            <w:pPr>
              <w:spacing w:after="0"/>
              <w:rPr>
                <w:sz w:val="24"/>
                <w:szCs w:val="24"/>
                <w:color w:val="auto"/>
              </w:rPr>
            </w:pPr>
          </w:p>
        </w:tc>
      </w:tr>
      <w:tr>
        <w:trPr>
          <w:trHeight w:val="294"/>
        </w:trPr>
        <w:tc>
          <w:tcPr>
            <w:tcW w:w="3020" w:type="dxa"/>
            <w:vAlign w:val="bottom"/>
          </w:tcPr>
          <w:p>
            <w:pPr>
              <w:ind w:left="80"/>
              <w:spacing w:after="0"/>
              <w:rPr>
                <w:sz w:val="20"/>
                <w:szCs w:val="20"/>
                <w:color w:val="auto"/>
              </w:rPr>
            </w:pPr>
            <w:r>
              <w:rPr>
                <w:rFonts w:ascii="Arial" w:cs="Arial" w:eastAsia="Arial" w:hAnsi="Arial"/>
                <w:sz w:val="14"/>
                <w:szCs w:val="14"/>
                <w:color w:val="333333"/>
              </w:rPr>
              <w:t>Michael Schwindle</w:t>
            </w:r>
          </w:p>
        </w:tc>
        <w:tc>
          <w:tcPr>
            <w:tcW w:w="2560" w:type="dxa"/>
            <w:vAlign w:val="bottom"/>
          </w:tcPr>
          <w:p>
            <w:pPr>
              <w:spacing w:after="0"/>
              <w:rPr>
                <w:sz w:val="24"/>
                <w:szCs w:val="24"/>
                <w:color w:val="auto"/>
              </w:rPr>
            </w:pPr>
          </w:p>
        </w:tc>
        <w:tc>
          <w:tcPr>
            <w:tcW w:w="3300" w:type="dxa"/>
            <w:vAlign w:val="bottom"/>
            <w:shd w:val="clear" w:color="auto" w:fill="FCEFEB"/>
          </w:tcPr>
          <w:p>
            <w:pPr>
              <w:ind w:left="120"/>
              <w:spacing w:after="0"/>
              <w:rPr>
                <w:sz w:val="20"/>
                <w:szCs w:val="20"/>
                <w:color w:val="auto"/>
              </w:rPr>
            </w:pPr>
            <w:r>
              <w:rPr>
                <w:rFonts w:ascii="Arial" w:cs="Arial" w:eastAsia="Arial" w:hAnsi="Arial"/>
                <w:sz w:val="14"/>
                <w:szCs w:val="14"/>
                <w:color w:val="333333"/>
              </w:rPr>
              <w:t>Former Chief Financial Officer, Vera Bradley, Inc.</w:t>
            </w:r>
          </w:p>
        </w:tc>
        <w:tc>
          <w:tcPr>
            <w:tcW w:w="2040" w:type="dxa"/>
            <w:vAlign w:val="bottom"/>
            <w:shd w:val="clear" w:color="auto" w:fill="FCEFEB"/>
          </w:tcPr>
          <w:p>
            <w:pPr>
              <w:spacing w:after="0"/>
              <w:rPr>
                <w:sz w:val="24"/>
                <w:szCs w:val="24"/>
                <w:color w:val="auto"/>
              </w:rPr>
            </w:pPr>
          </w:p>
        </w:tc>
      </w:tr>
      <w:tr>
        <w:trPr>
          <w:trHeight w:val="294"/>
        </w:trPr>
        <w:tc>
          <w:tcPr>
            <w:tcW w:w="3020" w:type="dxa"/>
            <w:vAlign w:val="bottom"/>
          </w:tcPr>
          <w:p>
            <w:pPr>
              <w:ind w:left="80"/>
              <w:spacing w:after="0"/>
              <w:rPr>
                <w:sz w:val="20"/>
                <w:szCs w:val="20"/>
                <w:color w:val="auto"/>
              </w:rPr>
            </w:pPr>
            <w:r>
              <w:rPr>
                <w:rFonts w:ascii="Arial" w:cs="Arial" w:eastAsia="Arial" w:hAnsi="Arial"/>
                <w:sz w:val="14"/>
                <w:szCs w:val="14"/>
                <w:color w:val="333333"/>
              </w:rPr>
              <w:t>Mark C. Dely</w:t>
            </w:r>
          </w:p>
        </w:tc>
        <w:tc>
          <w:tcPr>
            <w:tcW w:w="2560" w:type="dxa"/>
            <w:vAlign w:val="bottom"/>
          </w:tcPr>
          <w:p>
            <w:pPr>
              <w:spacing w:after="0"/>
              <w:rPr>
                <w:sz w:val="24"/>
                <w:szCs w:val="24"/>
                <w:color w:val="auto"/>
              </w:rPr>
            </w:pPr>
          </w:p>
        </w:tc>
        <w:tc>
          <w:tcPr>
            <w:tcW w:w="5340" w:type="dxa"/>
            <w:vAlign w:val="bottom"/>
            <w:gridSpan w:val="2"/>
            <w:shd w:val="clear" w:color="auto" w:fill="FCEFEB"/>
          </w:tcPr>
          <w:p>
            <w:pPr>
              <w:ind w:left="120"/>
              <w:spacing w:after="0"/>
              <w:rPr>
                <w:sz w:val="20"/>
                <w:szCs w:val="20"/>
                <w:color w:val="auto"/>
              </w:rPr>
            </w:pPr>
            <w:r>
              <w:rPr>
                <w:rFonts w:ascii="Arial" w:cs="Arial" w:eastAsia="Arial" w:hAnsi="Arial"/>
                <w:sz w:val="14"/>
                <w:szCs w:val="14"/>
                <w:color w:val="333333"/>
              </w:rPr>
              <w:t>Chief Administrative &amp; Legal Officer and Corporate Secretary, Vera Bradley, Inc.</w:t>
            </w:r>
          </w:p>
        </w:tc>
      </w:tr>
      <w:tr>
        <w:trPr>
          <w:trHeight w:val="294"/>
        </w:trPr>
        <w:tc>
          <w:tcPr>
            <w:tcW w:w="3020" w:type="dxa"/>
            <w:vAlign w:val="bottom"/>
          </w:tcPr>
          <w:p>
            <w:pPr>
              <w:ind w:left="80"/>
              <w:spacing w:after="0"/>
              <w:rPr>
                <w:sz w:val="20"/>
                <w:szCs w:val="20"/>
                <w:color w:val="auto"/>
              </w:rPr>
            </w:pPr>
            <w:r>
              <w:rPr>
                <w:rFonts w:ascii="Arial" w:cs="Arial" w:eastAsia="Arial" w:hAnsi="Arial"/>
                <w:sz w:val="14"/>
                <w:szCs w:val="14"/>
                <w:color w:val="333333"/>
              </w:rPr>
              <w:t>Alison Hiatt</w:t>
            </w:r>
          </w:p>
        </w:tc>
        <w:tc>
          <w:tcPr>
            <w:tcW w:w="2560" w:type="dxa"/>
            <w:vAlign w:val="bottom"/>
          </w:tcPr>
          <w:p>
            <w:pPr>
              <w:spacing w:after="0"/>
              <w:rPr>
                <w:sz w:val="24"/>
                <w:szCs w:val="24"/>
                <w:color w:val="auto"/>
              </w:rPr>
            </w:pPr>
          </w:p>
        </w:tc>
        <w:tc>
          <w:tcPr>
            <w:tcW w:w="3300" w:type="dxa"/>
            <w:vAlign w:val="bottom"/>
            <w:shd w:val="clear" w:color="auto" w:fill="FCEFEB"/>
          </w:tcPr>
          <w:p>
            <w:pPr>
              <w:ind w:left="120"/>
              <w:spacing w:after="0"/>
              <w:rPr>
                <w:sz w:val="20"/>
                <w:szCs w:val="20"/>
                <w:color w:val="auto"/>
              </w:rPr>
            </w:pPr>
            <w:r>
              <w:rPr>
                <w:rFonts w:ascii="Arial" w:cs="Arial" w:eastAsia="Arial" w:hAnsi="Arial"/>
                <w:sz w:val="14"/>
                <w:szCs w:val="14"/>
                <w:color w:val="333333"/>
              </w:rPr>
              <w:t>Former Chief Marketing Officer, Vera Bradley, Inc.</w:t>
            </w:r>
          </w:p>
        </w:tc>
        <w:tc>
          <w:tcPr>
            <w:tcW w:w="2040" w:type="dxa"/>
            <w:vAlign w:val="bottom"/>
            <w:shd w:val="clear" w:color="auto" w:fill="FCEFEB"/>
          </w:tcPr>
          <w:p>
            <w:pPr>
              <w:spacing w:after="0"/>
              <w:rPr>
                <w:sz w:val="24"/>
                <w:szCs w:val="24"/>
                <w:color w:val="auto"/>
              </w:rPr>
            </w:pPr>
          </w:p>
        </w:tc>
      </w:tr>
      <w:tr>
        <w:trPr>
          <w:trHeight w:val="349"/>
        </w:trPr>
        <w:tc>
          <w:tcPr>
            <w:tcW w:w="3020" w:type="dxa"/>
            <w:vAlign w:val="bottom"/>
          </w:tcPr>
          <w:p>
            <w:pPr>
              <w:ind w:left="80"/>
              <w:spacing w:after="0"/>
              <w:rPr>
                <w:sz w:val="20"/>
                <w:szCs w:val="20"/>
                <w:color w:val="auto"/>
              </w:rPr>
            </w:pPr>
            <w:r>
              <w:rPr>
                <w:rFonts w:ascii="Arial" w:cs="Arial" w:eastAsia="Arial" w:hAnsi="Arial"/>
                <w:sz w:val="14"/>
                <w:szCs w:val="14"/>
                <w:color w:val="333333"/>
              </w:rPr>
              <w:t>Melinda Paraie</w:t>
            </w:r>
          </w:p>
        </w:tc>
        <w:tc>
          <w:tcPr>
            <w:tcW w:w="2560" w:type="dxa"/>
            <w:vAlign w:val="bottom"/>
          </w:tcPr>
          <w:p>
            <w:pPr>
              <w:spacing w:after="0"/>
              <w:rPr>
                <w:sz w:val="24"/>
                <w:szCs w:val="24"/>
                <w:color w:val="auto"/>
              </w:rPr>
            </w:pPr>
          </w:p>
        </w:tc>
        <w:tc>
          <w:tcPr>
            <w:tcW w:w="3300" w:type="dxa"/>
            <w:vAlign w:val="bottom"/>
            <w:tcBorders>
              <w:bottom w:val="single" w:sz="8" w:color="FCEFEB"/>
            </w:tcBorders>
            <w:shd w:val="clear" w:color="auto" w:fill="FCEFEB"/>
          </w:tcPr>
          <w:p>
            <w:pPr>
              <w:ind w:left="120"/>
              <w:spacing w:after="0"/>
              <w:rPr>
                <w:sz w:val="20"/>
                <w:szCs w:val="20"/>
                <w:color w:val="auto"/>
              </w:rPr>
            </w:pPr>
            <w:r>
              <w:rPr>
                <w:rFonts w:ascii="Arial" w:cs="Arial" w:eastAsia="Arial" w:hAnsi="Arial"/>
                <w:sz w:val="14"/>
                <w:szCs w:val="14"/>
                <w:color w:val="333333"/>
              </w:rPr>
              <w:t>Chief Brand Officer, Vera Bradley, Inc.</w:t>
            </w:r>
          </w:p>
        </w:tc>
        <w:tc>
          <w:tcPr>
            <w:tcW w:w="2040" w:type="dxa"/>
            <w:vAlign w:val="bottom"/>
            <w:tcBorders>
              <w:bottom w:val="single" w:sz="8" w:color="FCEFEB"/>
            </w:tcBorders>
            <w:shd w:val="clear" w:color="auto" w:fill="FCEFEB"/>
          </w:tcPr>
          <w:p>
            <w:pPr>
              <w:spacing w:after="0"/>
              <w:rPr>
                <w:sz w:val="24"/>
                <w:szCs w:val="24"/>
                <w:color w:val="auto"/>
              </w:rPr>
            </w:pPr>
          </w:p>
        </w:tc>
      </w:tr>
      <w:tr>
        <w:trPr>
          <w:trHeight w:val="333"/>
        </w:trPr>
        <w:tc>
          <w:tcPr>
            <w:tcW w:w="3020" w:type="dxa"/>
            <w:vAlign w:val="bottom"/>
            <w:tcBorders>
              <w:top w:val="single" w:sz="8" w:color="005C5D"/>
            </w:tcBorders>
          </w:tcPr>
          <w:p>
            <w:pPr>
              <w:spacing w:after="0"/>
              <w:rPr>
                <w:sz w:val="24"/>
                <w:szCs w:val="24"/>
                <w:color w:val="auto"/>
              </w:rPr>
            </w:pPr>
          </w:p>
        </w:tc>
        <w:tc>
          <w:tcPr>
            <w:tcW w:w="5860" w:type="dxa"/>
            <w:vAlign w:val="bottom"/>
            <w:tcBorders>
              <w:top w:val="single" w:sz="8" w:color="005C5D"/>
            </w:tcBorders>
            <w:gridSpan w:val="2"/>
          </w:tcPr>
          <w:p>
            <w:pPr>
              <w:ind w:left="1760"/>
              <w:spacing w:after="0"/>
              <w:rPr>
                <w:sz w:val="20"/>
                <w:szCs w:val="20"/>
                <w:color w:val="auto"/>
              </w:rPr>
            </w:pPr>
            <w:r>
              <w:rPr>
                <w:rFonts w:ascii="Arial" w:cs="Arial" w:eastAsia="Arial" w:hAnsi="Arial"/>
                <w:sz w:val="14"/>
                <w:szCs w:val="14"/>
                <w:b w:val="1"/>
                <w:bCs w:val="1"/>
                <w:color w:val="005C5D"/>
              </w:rPr>
              <w:t>VERA BRADLEY, INC.</w:t>
            </w:r>
          </w:p>
        </w:tc>
        <w:tc>
          <w:tcPr>
            <w:tcW w:w="2040" w:type="dxa"/>
            <w:vAlign w:val="bottom"/>
            <w:tcBorders>
              <w:top w:val="single" w:sz="8" w:color="005C5D"/>
            </w:tcBorders>
          </w:tcPr>
          <w:p>
            <w:pPr>
              <w:ind w:left="60"/>
              <w:spacing w:after="0"/>
              <w:rPr>
                <w:sz w:val="20"/>
                <w:szCs w:val="20"/>
                <w:color w:val="auto"/>
              </w:rPr>
            </w:pPr>
            <w:r>
              <w:rPr>
                <w:rFonts w:ascii="Arial" w:cs="Arial" w:eastAsia="Arial" w:hAnsi="Arial"/>
                <w:sz w:val="14"/>
                <w:szCs w:val="14"/>
                <w:color w:val="005C5D"/>
                <w:w w:val="99"/>
              </w:rPr>
              <w:t xml:space="preserve">2026 Proxy Statement   </w:t>
            </w:r>
            <w:r>
              <w:rPr>
                <w:rFonts w:ascii="Times New Roman" w:cs="Times New Roman" w:eastAsia="Times New Roman" w:hAnsi="Times New Roman"/>
                <w:sz w:val="14"/>
                <w:szCs w:val="14"/>
                <w:color w:val="F5CABF"/>
                <w:w w:val="99"/>
              </w:rPr>
              <w:t>●</w:t>
            </w:r>
            <w:r>
              <w:rPr>
                <w:rFonts w:ascii="Arial" w:cs="Arial" w:eastAsia="Arial" w:hAnsi="Arial"/>
                <w:sz w:val="14"/>
                <w:szCs w:val="14"/>
                <w:color w:val="005C5D"/>
                <w:w w:val="99"/>
              </w:rPr>
              <w:t xml:space="preserve">   21</w:t>
            </w:r>
          </w:p>
        </w:tc>
      </w:tr>
    </w:tbl>
    <w:p>
      <w:pPr>
        <w:sectPr>
          <w:pgSz w:w="11900" w:h="16838" w:orient="portrait"/>
          <w:cols w:equalWidth="0" w:num="1">
            <w:col w:w="11080"/>
          </w:cols>
          <w:pgMar w:left="320" w:top="478"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color w:val="333333"/>
        </w:rPr>
        <w:t>To assist in understanding our NEO compensation program, we have included a discussion of our compensation policies and decisions for periods before and after fiscal 2026, where relevant. Our compensation program is designed to provide some common standards throughout the Company. Therefore, much of what is disclosed below applies to executives in general and is not limited to our NEOs. The Committee constantly evaluates industry and corporate governance best practices in its compensation programs. Below is a summary of what the Company does and does not do with respect to its compensation programs:</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CORPORATE GOVERNANCE BEST PRACTICES</w:t>
      </w:r>
    </w:p>
    <w:p>
      <w:pPr>
        <w:spacing w:after="0" w:line="302" w:lineRule="exact"/>
        <w:rPr>
          <w:sz w:val="20"/>
          <w:szCs w:val="20"/>
          <w:color w:val="auto"/>
        </w:rPr>
      </w:pPr>
    </w:p>
    <w:tbl>
      <w:tblPr>
        <w:tblLayout w:type="fixed"/>
        <w:tblInd w:w="160" w:type="dxa"/>
        <w:tblCellMar>
          <w:top w:w="0" w:type="dxa"/>
          <w:left w:w="0" w:type="dxa"/>
          <w:bottom w:w="0" w:type="dxa"/>
          <w:right w:w="0" w:type="dxa"/>
        </w:tblCellMar>
      </w:tblPr>
      <w:tr>
        <w:trPr>
          <w:trHeight w:val="294"/>
        </w:trPr>
        <w:tc>
          <w:tcPr>
            <w:tcW w:w="5240" w:type="dxa"/>
            <w:vAlign w:val="bottom"/>
            <w:shd w:val="clear" w:color="auto" w:fill="005C5D"/>
          </w:tcPr>
          <w:p>
            <w:pPr>
              <w:ind w:left="2040"/>
              <w:spacing w:after="0"/>
              <w:rPr>
                <w:sz w:val="20"/>
                <w:szCs w:val="20"/>
                <w:color w:val="auto"/>
              </w:rPr>
            </w:pPr>
            <w:r>
              <w:rPr>
                <w:rFonts w:ascii="Arial" w:cs="Arial" w:eastAsia="Arial" w:hAnsi="Arial"/>
                <w:sz w:val="18"/>
                <w:szCs w:val="18"/>
                <w:b w:val="1"/>
                <w:bCs w:val="1"/>
                <w:color w:val="FFFFFF"/>
              </w:rPr>
              <w:t>WHAT WE DO</w:t>
            </w:r>
          </w:p>
        </w:tc>
        <w:tc>
          <w:tcPr>
            <w:tcW w:w="340" w:type="dxa"/>
            <w:vAlign w:val="bottom"/>
          </w:tcPr>
          <w:p>
            <w:pPr>
              <w:spacing w:after="0"/>
              <w:rPr>
                <w:sz w:val="24"/>
                <w:szCs w:val="24"/>
                <w:color w:val="auto"/>
              </w:rPr>
            </w:pPr>
          </w:p>
        </w:tc>
        <w:tc>
          <w:tcPr>
            <w:tcW w:w="5340" w:type="dxa"/>
            <w:vAlign w:val="bottom"/>
            <w:shd w:val="clear" w:color="auto" w:fill="005C5D"/>
          </w:tcPr>
          <w:p>
            <w:pPr>
              <w:ind w:left="1780"/>
              <w:spacing w:after="0"/>
              <w:rPr>
                <w:sz w:val="20"/>
                <w:szCs w:val="20"/>
                <w:color w:val="auto"/>
              </w:rPr>
            </w:pPr>
            <w:r>
              <w:rPr>
                <w:rFonts w:ascii="Arial" w:cs="Arial" w:eastAsia="Arial" w:hAnsi="Arial"/>
                <w:sz w:val="18"/>
                <w:szCs w:val="18"/>
                <w:b w:val="1"/>
                <w:bCs w:val="1"/>
                <w:color w:val="FFFFFF"/>
              </w:rPr>
              <w:t>WHAT WE DON’T DO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42545</wp:posOffset>
            </wp:positionV>
            <wp:extent cx="212090" cy="2038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2090" cy="203835"/>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42545</wp:posOffset>
            </wp:positionV>
            <wp:extent cx="203835" cy="2038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3835" cy="2038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133" w:lineRule="exact"/>
        <w:rPr>
          <w:sz w:val="20"/>
          <w:szCs w:val="20"/>
          <w:color w:val="auto"/>
        </w:rPr>
      </w:pPr>
    </w:p>
    <w:p>
      <w:pPr>
        <w:jc w:val="both"/>
        <w:ind w:left="660"/>
        <w:spacing w:after="0" w:line="262" w:lineRule="auto"/>
        <w:rPr>
          <w:sz w:val="20"/>
          <w:szCs w:val="20"/>
          <w:color w:val="auto"/>
        </w:rPr>
      </w:pPr>
      <w:r>
        <w:rPr>
          <w:rFonts w:ascii="Arial" w:cs="Arial" w:eastAsia="Arial" w:hAnsi="Arial"/>
          <w:sz w:val="16"/>
          <w:szCs w:val="16"/>
          <w:b w:val="1"/>
          <w:bCs w:val="1"/>
          <w:color w:val="337C7D"/>
        </w:rPr>
        <w:t xml:space="preserve">Pay for Performance: </w:t>
      </w:r>
      <w:r>
        <w:rPr>
          <w:rFonts w:ascii="Arial" w:cs="Arial" w:eastAsia="Arial" w:hAnsi="Arial"/>
          <w:sz w:val="16"/>
          <w:szCs w:val="16"/>
          <w:color w:val="333333"/>
        </w:rPr>
        <w:t>In fiscal 2026, 50% of CEO compensation</w:t>
      </w:r>
      <w:r>
        <w:rPr>
          <w:rFonts w:ascii="Arial" w:cs="Arial" w:eastAsia="Arial" w:hAnsi="Arial"/>
          <w:sz w:val="16"/>
          <w:szCs w:val="16"/>
          <w:b w:val="1"/>
          <w:bCs w:val="1"/>
          <w:color w:val="337C7D"/>
        </w:rPr>
        <w:t xml:space="preserve"> </w:t>
      </w:r>
      <w:r>
        <w:rPr>
          <w:rFonts w:ascii="Arial" w:cs="Arial" w:eastAsia="Arial" w:hAnsi="Arial"/>
          <w:sz w:val="16"/>
          <w:szCs w:val="16"/>
          <w:color w:val="333333"/>
        </w:rPr>
        <w:t>and an average of 31% of other NEO compensation was tied to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76200</wp:posOffset>
            </wp:positionV>
            <wp:extent cx="212090" cy="2038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2090" cy="203835"/>
                    </a:xfrm>
                    <a:prstGeom prst="rect">
                      <a:avLst/>
                    </a:prstGeom>
                    <a:noFill/>
                  </pic:spPr>
                </pic:pic>
              </a:graphicData>
            </a:graphic>
          </wp:anchor>
        </w:drawing>
      </w:r>
    </w:p>
    <w:p>
      <w:pPr>
        <w:spacing w:after="0" w:line="167" w:lineRule="exact"/>
        <w:rPr>
          <w:sz w:val="20"/>
          <w:szCs w:val="20"/>
          <w:color w:val="auto"/>
        </w:rPr>
      </w:pPr>
    </w:p>
    <w:p>
      <w:pPr>
        <w:jc w:val="both"/>
        <w:ind w:left="660"/>
        <w:spacing w:after="0" w:line="256" w:lineRule="auto"/>
        <w:rPr>
          <w:sz w:val="20"/>
          <w:szCs w:val="20"/>
          <w:color w:val="auto"/>
        </w:rPr>
      </w:pPr>
      <w:r>
        <w:rPr>
          <w:rFonts w:ascii="Arial" w:cs="Arial" w:eastAsia="Arial" w:hAnsi="Arial"/>
          <w:sz w:val="16"/>
          <w:szCs w:val="16"/>
          <w:b w:val="1"/>
          <w:bCs w:val="1"/>
          <w:color w:val="337C7D"/>
        </w:rPr>
        <w:t xml:space="preserve">Double-Trigger Change of Control: </w:t>
      </w:r>
      <w:r>
        <w:rPr>
          <w:rFonts w:ascii="Arial" w:cs="Arial" w:eastAsia="Arial" w:hAnsi="Arial"/>
          <w:sz w:val="16"/>
          <w:szCs w:val="16"/>
          <w:color w:val="333333"/>
        </w:rPr>
        <w:t>Following a change in</w:t>
      </w:r>
      <w:r>
        <w:rPr>
          <w:rFonts w:ascii="Arial" w:cs="Arial" w:eastAsia="Arial" w:hAnsi="Arial"/>
          <w:sz w:val="16"/>
          <w:szCs w:val="16"/>
          <w:b w:val="1"/>
          <w:bCs w:val="1"/>
          <w:color w:val="337C7D"/>
        </w:rPr>
        <w:t xml:space="preserve"> </w:t>
      </w:r>
      <w:r>
        <w:rPr>
          <w:rFonts w:ascii="Arial" w:cs="Arial" w:eastAsia="Arial" w:hAnsi="Arial"/>
          <w:sz w:val="16"/>
          <w:szCs w:val="16"/>
          <w:color w:val="333333"/>
        </w:rPr>
        <w:t>control, severance payments will only be triggered upon an involuntary termination of employment or where employee terminates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212090" cy="2038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2090" cy="203835"/>
                    </a:xfrm>
                    <a:prstGeom prst="rect">
                      <a:avLst/>
                    </a:prstGeom>
                    <a:noFill/>
                  </pic:spPr>
                </pic:pic>
              </a:graphicData>
            </a:graphic>
          </wp:anchor>
        </w:drawing>
      </w:r>
    </w:p>
    <w:p>
      <w:pPr>
        <w:spacing w:after="0" w:line="171" w:lineRule="exact"/>
        <w:rPr>
          <w:sz w:val="20"/>
          <w:szCs w:val="20"/>
          <w:color w:val="auto"/>
        </w:rPr>
      </w:pPr>
    </w:p>
    <w:p>
      <w:pPr>
        <w:jc w:val="both"/>
        <w:ind w:left="660"/>
        <w:spacing w:after="0" w:line="262" w:lineRule="auto"/>
        <w:rPr>
          <w:sz w:val="20"/>
          <w:szCs w:val="20"/>
          <w:color w:val="auto"/>
        </w:rPr>
      </w:pPr>
      <w:r>
        <w:rPr>
          <w:rFonts w:ascii="Arial" w:cs="Arial" w:eastAsia="Arial" w:hAnsi="Arial"/>
          <w:sz w:val="16"/>
          <w:szCs w:val="16"/>
          <w:b w:val="1"/>
          <w:bCs w:val="1"/>
          <w:color w:val="337C7D"/>
        </w:rPr>
        <w:t xml:space="preserve">Use of Third-Party Consultants: </w:t>
      </w:r>
      <w:r>
        <w:rPr>
          <w:rFonts w:ascii="Arial" w:cs="Arial" w:eastAsia="Arial" w:hAnsi="Arial"/>
          <w:sz w:val="16"/>
          <w:szCs w:val="16"/>
          <w:color w:val="333333"/>
        </w:rPr>
        <w:t>We utilize compensation</w:t>
      </w:r>
      <w:r>
        <w:rPr>
          <w:rFonts w:ascii="Arial" w:cs="Arial" w:eastAsia="Arial" w:hAnsi="Arial"/>
          <w:sz w:val="16"/>
          <w:szCs w:val="16"/>
          <w:b w:val="1"/>
          <w:bCs w:val="1"/>
          <w:color w:val="337C7D"/>
        </w:rPr>
        <w:t xml:space="preserve"> </w:t>
      </w:r>
      <w:r>
        <w:rPr>
          <w:rFonts w:ascii="Arial" w:cs="Arial" w:eastAsia="Arial" w:hAnsi="Arial"/>
          <w:sz w:val="16"/>
          <w:szCs w:val="16"/>
          <w:color w:val="333333"/>
        </w:rPr>
        <w:t>consultants and third-party benchmarking to evaluate and compare our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76200</wp:posOffset>
            </wp:positionV>
            <wp:extent cx="212090" cy="2038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2090" cy="203835"/>
                    </a:xfrm>
                    <a:prstGeom prst="rect">
                      <a:avLst/>
                    </a:prstGeom>
                    <a:noFill/>
                  </pic:spPr>
                </pic:pic>
              </a:graphicData>
            </a:graphic>
          </wp:anchor>
        </w:drawing>
      </w:r>
    </w:p>
    <w:p>
      <w:pPr>
        <w:spacing w:after="0" w:line="167" w:lineRule="exact"/>
        <w:rPr>
          <w:sz w:val="20"/>
          <w:szCs w:val="20"/>
          <w:color w:val="auto"/>
        </w:rPr>
      </w:pPr>
    </w:p>
    <w:p>
      <w:pPr>
        <w:jc w:val="both"/>
        <w:ind w:left="660"/>
        <w:spacing w:after="0" w:line="256" w:lineRule="auto"/>
        <w:rPr>
          <w:sz w:val="20"/>
          <w:szCs w:val="20"/>
          <w:color w:val="auto"/>
        </w:rPr>
      </w:pPr>
      <w:r>
        <w:rPr>
          <w:rFonts w:ascii="Arial" w:cs="Arial" w:eastAsia="Arial" w:hAnsi="Arial"/>
          <w:sz w:val="16"/>
          <w:szCs w:val="16"/>
          <w:b w:val="1"/>
          <w:bCs w:val="1"/>
          <w:color w:val="337C7D"/>
        </w:rPr>
        <w:t xml:space="preserve">Share Ownership Guidelines: </w:t>
      </w:r>
      <w:r>
        <w:rPr>
          <w:rFonts w:ascii="Arial" w:cs="Arial" w:eastAsia="Arial" w:hAnsi="Arial"/>
          <w:sz w:val="16"/>
          <w:szCs w:val="16"/>
          <w:color w:val="333333"/>
        </w:rPr>
        <w:t>Executive officers are expected to</w:t>
      </w:r>
      <w:r>
        <w:rPr>
          <w:rFonts w:ascii="Arial" w:cs="Arial" w:eastAsia="Arial" w:hAnsi="Arial"/>
          <w:sz w:val="16"/>
          <w:szCs w:val="16"/>
          <w:b w:val="1"/>
          <w:bCs w:val="1"/>
          <w:color w:val="337C7D"/>
        </w:rPr>
        <w:t xml:space="preserve"> </w:t>
      </w:r>
      <w:r>
        <w:rPr>
          <w:rFonts w:ascii="Arial" w:cs="Arial" w:eastAsia="Arial" w:hAnsi="Arial"/>
          <w:sz w:val="16"/>
          <w:szCs w:val="16"/>
          <w:color w:val="333333"/>
        </w:rPr>
        <w:t>hold Company common stock between 2 and 4 times their annual base salary, and non-employee directors are expected to hold common stock of 4 times their annual cash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212090" cy="2038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2090" cy="203835"/>
                    </a:xfrm>
                    <a:prstGeom prst="rect">
                      <a:avLst/>
                    </a:prstGeom>
                    <a:noFill/>
                  </pic:spPr>
                </pic:pic>
              </a:graphicData>
            </a:graphic>
          </wp:anchor>
        </w:drawing>
      </w:r>
    </w:p>
    <w:p>
      <w:pPr>
        <w:spacing w:after="0" w:line="171" w:lineRule="exact"/>
        <w:rPr>
          <w:sz w:val="20"/>
          <w:szCs w:val="20"/>
          <w:color w:val="auto"/>
        </w:rPr>
      </w:pPr>
    </w:p>
    <w:p>
      <w:pPr>
        <w:jc w:val="both"/>
        <w:ind w:left="660"/>
        <w:spacing w:after="0" w:line="262" w:lineRule="auto"/>
        <w:rPr>
          <w:sz w:val="20"/>
          <w:szCs w:val="20"/>
          <w:color w:val="auto"/>
        </w:rPr>
      </w:pPr>
      <w:r>
        <w:rPr>
          <w:rFonts w:ascii="Arial" w:cs="Arial" w:eastAsia="Arial" w:hAnsi="Arial"/>
          <w:sz w:val="16"/>
          <w:szCs w:val="16"/>
          <w:b w:val="1"/>
          <w:bCs w:val="1"/>
          <w:color w:val="337C7D"/>
        </w:rPr>
        <w:t xml:space="preserve">Compensation Recoupment Policy: </w:t>
      </w:r>
      <w:r>
        <w:rPr>
          <w:rFonts w:ascii="Arial" w:cs="Arial" w:eastAsia="Arial" w:hAnsi="Arial"/>
          <w:sz w:val="16"/>
          <w:szCs w:val="16"/>
          <w:color w:val="333333"/>
        </w:rPr>
        <w:t>All cash incentive awards or</w:t>
      </w:r>
      <w:r>
        <w:rPr>
          <w:rFonts w:ascii="Arial" w:cs="Arial" w:eastAsia="Arial" w:hAnsi="Arial"/>
          <w:sz w:val="16"/>
          <w:szCs w:val="16"/>
          <w:b w:val="1"/>
          <w:bCs w:val="1"/>
          <w:color w:val="337C7D"/>
        </w:rPr>
        <w:t xml:space="preserve"> </w:t>
      </w:r>
      <w:r>
        <w:rPr>
          <w:rFonts w:ascii="Arial" w:cs="Arial" w:eastAsia="Arial" w:hAnsi="Arial"/>
          <w:sz w:val="16"/>
          <w:szCs w:val="16"/>
          <w:color w:val="333333"/>
        </w:rPr>
        <w:t>performance-based equity awards are subject to recoupment in the event of earnings restatements.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76200</wp:posOffset>
            </wp:positionV>
            <wp:extent cx="212090" cy="2038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2090" cy="203835"/>
                    </a:xfrm>
                    <a:prstGeom prst="rect">
                      <a:avLst/>
                    </a:prstGeom>
                    <a:noFill/>
                  </pic:spPr>
                </pic:pic>
              </a:graphicData>
            </a:graphic>
          </wp:anchor>
        </w:drawing>
      </w:r>
    </w:p>
    <w:p>
      <w:pPr>
        <w:spacing w:after="0" w:line="167" w:lineRule="exact"/>
        <w:rPr>
          <w:sz w:val="20"/>
          <w:szCs w:val="20"/>
          <w:color w:val="auto"/>
        </w:rPr>
      </w:pPr>
    </w:p>
    <w:p>
      <w:pPr>
        <w:jc w:val="both"/>
        <w:ind w:left="660"/>
        <w:spacing w:after="0" w:line="279" w:lineRule="auto"/>
        <w:rPr>
          <w:sz w:val="20"/>
          <w:szCs w:val="20"/>
          <w:color w:val="auto"/>
        </w:rPr>
      </w:pPr>
      <w:r>
        <w:rPr>
          <w:rFonts w:ascii="Arial" w:cs="Arial" w:eastAsia="Arial" w:hAnsi="Arial"/>
          <w:sz w:val="16"/>
          <w:szCs w:val="16"/>
          <w:b w:val="1"/>
          <w:bCs w:val="1"/>
          <w:color w:val="337C7D"/>
        </w:rPr>
        <w:t xml:space="preserve">Limited use of Employment Agreements: </w:t>
      </w:r>
      <w:r>
        <w:rPr>
          <w:rFonts w:ascii="Arial" w:cs="Arial" w:eastAsia="Arial" w:hAnsi="Arial"/>
          <w:sz w:val="16"/>
          <w:szCs w:val="16"/>
          <w:color w:val="333333"/>
        </w:rPr>
        <w:t>Only our CEO has an</w:t>
      </w:r>
      <w:r>
        <w:rPr>
          <w:rFonts w:ascii="Arial" w:cs="Arial" w:eastAsia="Arial" w:hAnsi="Arial"/>
          <w:sz w:val="16"/>
          <w:szCs w:val="16"/>
          <w:b w:val="1"/>
          <w:bCs w:val="1"/>
          <w:color w:val="337C7D"/>
        </w:rPr>
        <w:t xml:space="preserve"> </w:t>
      </w:r>
      <w:r>
        <w:rPr>
          <w:rFonts w:ascii="Arial" w:cs="Arial" w:eastAsia="Arial" w:hAnsi="Arial"/>
          <w:sz w:val="16"/>
          <w:szCs w:val="16"/>
          <w:color w:val="333333"/>
        </w:rPr>
        <w:t>employment agreement.</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005C5D"/>
        </w:rPr>
        <w:t>OUR COMPENSATION PHILOSOPHY AND OBJECTIVES</w:t>
      </w:r>
    </w:p>
    <w:p>
      <w:pPr>
        <w:spacing w:after="0" w:line="112"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color w:val="333333"/>
        </w:rPr>
        <w:t>We believe that the Company’s compensation philosophy should act as the “blueprint” for the total compensation design and targeted value to be delivered to the executive officers. Our compensation philosophy is intended to ensure that the framework for the Company’s compensation program supports the strategic needs of</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both"/>
        <w:ind w:left="480"/>
        <w:spacing w:after="0" w:line="262" w:lineRule="auto"/>
        <w:rPr>
          <w:sz w:val="20"/>
          <w:szCs w:val="20"/>
          <w:color w:val="auto"/>
        </w:rPr>
      </w:pPr>
      <w:r>
        <w:rPr>
          <w:rFonts w:ascii="Arial" w:cs="Arial" w:eastAsia="Arial" w:hAnsi="Arial"/>
          <w:sz w:val="16"/>
          <w:szCs w:val="16"/>
          <w:b w:val="1"/>
          <w:bCs w:val="1"/>
          <w:color w:val="337C7D"/>
        </w:rPr>
        <w:t xml:space="preserve">No Hedging or Pledging: </w:t>
      </w:r>
      <w:r>
        <w:rPr>
          <w:rFonts w:ascii="Arial" w:cs="Arial" w:eastAsia="Arial" w:hAnsi="Arial"/>
          <w:sz w:val="16"/>
          <w:szCs w:val="16"/>
          <w:color w:val="333333"/>
        </w:rPr>
        <w:t>Under the Company’s Insider Trading</w:t>
      </w:r>
      <w:r>
        <w:rPr>
          <w:rFonts w:ascii="Arial" w:cs="Arial" w:eastAsia="Arial" w:hAnsi="Arial"/>
          <w:sz w:val="16"/>
          <w:szCs w:val="16"/>
          <w:b w:val="1"/>
          <w:bCs w:val="1"/>
          <w:color w:val="337C7D"/>
        </w:rPr>
        <w:t xml:space="preserve"> </w:t>
      </w:r>
      <w:r>
        <w:rPr>
          <w:rFonts w:ascii="Arial" w:cs="Arial" w:eastAsia="Arial" w:hAnsi="Arial"/>
          <w:sz w:val="16"/>
          <w:szCs w:val="16"/>
          <w:color w:val="333333"/>
        </w:rPr>
        <w:t>Policy, executives are not allowed to enter into hedging/pledging or other monetization transactions with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203835" cy="2038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3835" cy="203835"/>
                    </a:xfrm>
                    <a:prstGeom prst="rect">
                      <a:avLst/>
                    </a:prstGeom>
                    <a:noFill/>
                  </pic:spPr>
                </pic:pic>
              </a:graphicData>
            </a:graphic>
          </wp:anchor>
        </w:drawing>
      </w:r>
    </w:p>
    <w:p>
      <w:pPr>
        <w:spacing w:after="0" w:line="167" w:lineRule="exact"/>
        <w:rPr>
          <w:sz w:val="20"/>
          <w:szCs w:val="20"/>
          <w:color w:val="auto"/>
        </w:rPr>
      </w:pPr>
    </w:p>
    <w:p>
      <w:pPr>
        <w:jc w:val="both"/>
        <w:ind w:left="480" w:right="20"/>
        <w:spacing w:after="0" w:line="256" w:lineRule="auto"/>
        <w:rPr>
          <w:sz w:val="20"/>
          <w:szCs w:val="20"/>
          <w:color w:val="auto"/>
        </w:rPr>
      </w:pPr>
      <w:r>
        <w:rPr>
          <w:rFonts w:ascii="Arial" w:cs="Arial" w:eastAsia="Arial" w:hAnsi="Arial"/>
          <w:sz w:val="16"/>
          <w:szCs w:val="16"/>
          <w:b w:val="1"/>
          <w:bCs w:val="1"/>
          <w:color w:val="337C7D"/>
        </w:rPr>
        <w:t xml:space="preserve">No Grants of Stock and Options Below Fair Market Value: </w:t>
      </w:r>
      <w:r>
        <w:rPr>
          <w:rFonts w:ascii="Arial" w:cs="Arial" w:eastAsia="Arial" w:hAnsi="Arial"/>
          <w:sz w:val="16"/>
          <w:szCs w:val="16"/>
          <w:color w:val="333333"/>
        </w:rPr>
        <w:t>All</w:t>
      </w:r>
      <w:r>
        <w:rPr>
          <w:rFonts w:ascii="Arial" w:cs="Arial" w:eastAsia="Arial" w:hAnsi="Arial"/>
          <w:sz w:val="16"/>
          <w:szCs w:val="16"/>
          <w:b w:val="1"/>
          <w:bCs w:val="1"/>
          <w:color w:val="337C7D"/>
        </w:rPr>
        <w:t xml:space="preserve"> </w:t>
      </w:r>
      <w:r>
        <w:rPr>
          <w:rFonts w:ascii="Arial" w:cs="Arial" w:eastAsia="Arial" w:hAnsi="Arial"/>
          <w:sz w:val="16"/>
          <w:szCs w:val="16"/>
          <w:color w:val="333333"/>
        </w:rPr>
        <w:t>restricted stock units and options are priced and granted at the fair market value at the time of grant. Stock or options are not granted below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203835" cy="2038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3835" cy="203835"/>
                    </a:xfrm>
                    <a:prstGeom prst="rect">
                      <a:avLst/>
                    </a:prstGeom>
                    <a:noFill/>
                  </pic:spPr>
                </pic:pic>
              </a:graphicData>
            </a:graphic>
          </wp:anchor>
        </w:drawing>
      </w:r>
    </w:p>
    <w:p>
      <w:pPr>
        <w:spacing w:after="0" w:line="171" w:lineRule="exact"/>
        <w:rPr>
          <w:sz w:val="20"/>
          <w:szCs w:val="20"/>
          <w:color w:val="auto"/>
        </w:rPr>
      </w:pPr>
    </w:p>
    <w:p>
      <w:pPr>
        <w:jc w:val="both"/>
        <w:ind w:left="480"/>
        <w:spacing w:after="0" w:line="262" w:lineRule="auto"/>
        <w:rPr>
          <w:sz w:val="20"/>
          <w:szCs w:val="20"/>
          <w:color w:val="auto"/>
        </w:rPr>
      </w:pPr>
      <w:r>
        <w:rPr>
          <w:rFonts w:ascii="Arial" w:cs="Arial" w:eastAsia="Arial" w:hAnsi="Arial"/>
          <w:sz w:val="16"/>
          <w:szCs w:val="16"/>
          <w:b w:val="1"/>
          <w:bCs w:val="1"/>
          <w:color w:val="337C7D"/>
        </w:rPr>
        <w:t xml:space="preserve">No Repricing of Underwater Options/RSUs: </w:t>
      </w:r>
      <w:r>
        <w:rPr>
          <w:rFonts w:ascii="Arial" w:cs="Arial" w:eastAsia="Arial" w:hAnsi="Arial"/>
          <w:sz w:val="16"/>
          <w:szCs w:val="16"/>
          <w:color w:val="333333"/>
        </w:rPr>
        <w:t>The Committee has</w:t>
      </w:r>
      <w:r>
        <w:rPr>
          <w:rFonts w:ascii="Arial" w:cs="Arial" w:eastAsia="Arial" w:hAnsi="Arial"/>
          <w:sz w:val="16"/>
          <w:szCs w:val="16"/>
          <w:b w:val="1"/>
          <w:bCs w:val="1"/>
          <w:color w:val="337C7D"/>
        </w:rPr>
        <w:t xml:space="preserve"> </w:t>
      </w:r>
      <w:r>
        <w:rPr>
          <w:rFonts w:ascii="Arial" w:cs="Arial" w:eastAsia="Arial" w:hAnsi="Arial"/>
          <w:sz w:val="16"/>
          <w:szCs w:val="16"/>
          <w:color w:val="333333"/>
        </w:rPr>
        <w:t>not repriced any underwater options or otherwise changed the value of RSUs granted despite change in the value of the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203835" cy="2038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3835" cy="203835"/>
                    </a:xfrm>
                    <a:prstGeom prst="rect">
                      <a:avLst/>
                    </a:prstGeom>
                    <a:noFill/>
                  </pic:spPr>
                </pic:pic>
              </a:graphicData>
            </a:graphic>
          </wp:anchor>
        </w:drawing>
      </w:r>
    </w:p>
    <w:p>
      <w:pPr>
        <w:spacing w:after="0" w:line="167" w:lineRule="exact"/>
        <w:rPr>
          <w:sz w:val="20"/>
          <w:szCs w:val="20"/>
          <w:color w:val="auto"/>
        </w:rPr>
      </w:pPr>
    </w:p>
    <w:p>
      <w:pPr>
        <w:jc w:val="both"/>
        <w:ind w:left="480"/>
        <w:spacing w:after="0" w:line="262" w:lineRule="auto"/>
        <w:rPr>
          <w:sz w:val="20"/>
          <w:szCs w:val="20"/>
          <w:color w:val="auto"/>
        </w:rPr>
      </w:pPr>
      <w:r>
        <w:rPr>
          <w:rFonts w:ascii="Arial" w:cs="Arial" w:eastAsia="Arial" w:hAnsi="Arial"/>
          <w:sz w:val="16"/>
          <w:szCs w:val="16"/>
          <w:b w:val="1"/>
          <w:bCs w:val="1"/>
          <w:color w:val="337C7D"/>
        </w:rPr>
        <w:t xml:space="preserve">No Short-Term Vesting of Equity Awards: </w:t>
      </w:r>
      <w:r>
        <w:rPr>
          <w:rFonts w:ascii="Arial" w:cs="Arial" w:eastAsia="Arial" w:hAnsi="Arial"/>
          <w:sz w:val="16"/>
          <w:szCs w:val="16"/>
          <w:color w:val="333333"/>
        </w:rPr>
        <w:t>The Company utilizes a</w:t>
      </w:r>
      <w:r>
        <w:rPr>
          <w:rFonts w:ascii="Arial" w:cs="Arial" w:eastAsia="Arial" w:hAnsi="Arial"/>
          <w:sz w:val="16"/>
          <w:szCs w:val="16"/>
          <w:b w:val="1"/>
          <w:bCs w:val="1"/>
          <w:color w:val="337C7D"/>
        </w:rPr>
        <w:t xml:space="preserve"> </w:t>
      </w:r>
      <w:r>
        <w:rPr>
          <w:rFonts w:ascii="Arial" w:cs="Arial" w:eastAsia="Arial" w:hAnsi="Arial"/>
          <w:sz w:val="16"/>
          <w:szCs w:val="16"/>
          <w:color w:val="333333"/>
        </w:rPr>
        <w:t>three-year time horizon to vest equity granted as part of its Long-Term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203835" cy="2038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3835" cy="203835"/>
                    </a:xfrm>
                    <a:prstGeom prst="rect">
                      <a:avLst/>
                    </a:prstGeom>
                    <a:noFill/>
                  </pic:spPr>
                </pic:pic>
              </a:graphicData>
            </a:graphic>
          </wp:anchor>
        </w:drawing>
      </w:r>
    </w:p>
    <w:p>
      <w:pPr>
        <w:spacing w:after="0" w:line="167" w:lineRule="exact"/>
        <w:rPr>
          <w:sz w:val="20"/>
          <w:szCs w:val="20"/>
          <w:color w:val="auto"/>
        </w:rPr>
      </w:pPr>
    </w:p>
    <w:p>
      <w:pPr>
        <w:jc w:val="both"/>
        <w:ind w:left="480" w:right="20"/>
        <w:spacing w:after="0" w:line="279" w:lineRule="auto"/>
        <w:rPr>
          <w:sz w:val="20"/>
          <w:szCs w:val="20"/>
          <w:color w:val="auto"/>
        </w:rPr>
      </w:pPr>
      <w:r>
        <w:rPr>
          <w:rFonts w:ascii="Arial" w:cs="Arial" w:eastAsia="Arial" w:hAnsi="Arial"/>
          <w:sz w:val="16"/>
          <w:szCs w:val="16"/>
          <w:b w:val="1"/>
          <w:bCs w:val="1"/>
          <w:color w:val="337C7D"/>
        </w:rPr>
        <w:t xml:space="preserve">No Tax Gross-Ups: </w:t>
      </w:r>
      <w:r>
        <w:rPr>
          <w:rFonts w:ascii="Arial" w:cs="Arial" w:eastAsia="Arial" w:hAnsi="Arial"/>
          <w:sz w:val="16"/>
          <w:szCs w:val="16"/>
          <w:color w:val="333333"/>
        </w:rPr>
        <w:t>The Company does not utilize tax gross-ups for</w:t>
      </w:r>
      <w:r>
        <w:rPr>
          <w:rFonts w:ascii="Arial" w:cs="Arial" w:eastAsia="Arial" w:hAnsi="Arial"/>
          <w:sz w:val="16"/>
          <w:szCs w:val="16"/>
          <w:b w:val="1"/>
          <w:bCs w:val="1"/>
          <w:color w:val="337C7D"/>
        </w:rPr>
        <w:t xml:space="preserve"> </w:t>
      </w:r>
      <w:r>
        <w:rPr>
          <w:rFonts w:ascii="Arial" w:cs="Arial" w:eastAsia="Arial" w:hAnsi="Arial"/>
          <w:sz w:val="16"/>
          <w:szCs w:val="16"/>
          <w:color w:val="333333"/>
        </w:rPr>
        <w:t>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333333"/>
        </w:rPr>
        <w:t>the business, that the components of the pay system work in concert to influence executive behavior in support of organization imperatives, and that the mechanics of the executive reward structure reinforce the corporate culture and management style of the organization.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333333"/>
        </w:rPr>
        <w:t>Our  compensation  philosophy  includes  two  identifiable  components: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333333"/>
        </w:rPr>
        <w:t>compensation objectives and pay goals.</w:t>
      </w:r>
    </w:p>
    <w:p>
      <w:pPr>
        <w:spacing w:after="0" w:line="207"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65" w:lineRule="exact"/>
        <w:rPr>
          <w:sz w:val="20"/>
          <w:szCs w:val="20"/>
          <w:color w:val="auto"/>
        </w:rPr>
      </w:pPr>
    </w:p>
    <w:p>
      <w:pPr>
        <w:ind w:left="160"/>
        <w:spacing w:after="0"/>
        <w:tabs>
          <w:tab w:leader="none" w:pos="4920" w:val="left"/>
        </w:tabs>
        <w:rPr>
          <w:sz w:val="20"/>
          <w:szCs w:val="20"/>
          <w:color w:val="auto"/>
        </w:rPr>
      </w:pPr>
      <w:r>
        <w:rPr>
          <w:rFonts w:ascii="Arial" w:cs="Arial" w:eastAsia="Arial" w:hAnsi="Arial"/>
          <w:sz w:val="14"/>
          <w:szCs w:val="14"/>
          <w:color w:val="005C5D"/>
        </w:rPr>
        <w:t xml:space="preserve">22 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1080"/>
          </w:cols>
          <w:pgMar w:left="320" w:top="478" w:right="4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b w:val="1"/>
          <w:bCs w:val="1"/>
          <w:color w:val="337C7D"/>
        </w:rPr>
        <w:t>Compensation Objectives</w:t>
      </w:r>
      <w:r>
        <w:rPr>
          <w:rFonts w:ascii="Arial" w:cs="Arial" w:eastAsia="Arial" w:hAnsi="Arial"/>
          <w:sz w:val="16"/>
          <w:szCs w:val="16"/>
          <w:color w:val="333333"/>
        </w:rPr>
        <w:t>. These objectives serve as a set of “guiding</w:t>
      </w:r>
      <w:r>
        <w:rPr>
          <w:rFonts w:ascii="Arial" w:cs="Arial" w:eastAsia="Arial" w:hAnsi="Arial"/>
          <w:sz w:val="16"/>
          <w:szCs w:val="16"/>
          <w:b w:val="1"/>
          <w:bCs w:val="1"/>
          <w:color w:val="337C7D"/>
        </w:rPr>
        <w:t xml:space="preserve"> </w:t>
      </w:r>
      <w:r>
        <w:rPr>
          <w:rFonts w:ascii="Arial" w:cs="Arial" w:eastAsia="Arial" w:hAnsi="Arial"/>
          <w:sz w:val="16"/>
          <w:szCs w:val="16"/>
          <w:color w:val="333333"/>
        </w:rPr>
        <w:t>principles” that provide an overview of the intended purpose of our compensation program. Our compensation objectives are:</w:t>
      </w:r>
    </w:p>
    <w:p>
      <w:pPr>
        <w:spacing w:after="0" w:line="39" w:lineRule="exact"/>
        <w:rPr>
          <w:sz w:val="20"/>
          <w:szCs w:val="20"/>
          <w:color w:val="auto"/>
        </w:rPr>
      </w:pPr>
    </w:p>
    <w:p>
      <w:pPr>
        <w:ind w:left="360" w:hanging="193"/>
        <w:spacing w:after="0"/>
        <w:tabs>
          <w:tab w:leader="none" w:pos="360" w:val="left"/>
        </w:tabs>
        <w:numPr>
          <w:ilvl w:val="0"/>
          <w:numId w:val="34"/>
        </w:numPr>
        <w:rPr>
          <w:rFonts w:ascii="Arial" w:cs="Arial" w:eastAsia="Arial" w:hAnsi="Arial"/>
          <w:sz w:val="16"/>
          <w:szCs w:val="16"/>
          <w:color w:val="333333"/>
        </w:rPr>
      </w:pPr>
      <w:r>
        <w:rPr>
          <w:rFonts w:ascii="Arial" w:cs="Arial" w:eastAsia="Arial" w:hAnsi="Arial"/>
          <w:sz w:val="16"/>
          <w:szCs w:val="16"/>
          <w:color w:val="333333"/>
        </w:rPr>
        <w:t>To attract and retain key personnel and drive effective results.</w:t>
      </w:r>
    </w:p>
    <w:p>
      <w:pPr>
        <w:spacing w:after="0" w:line="83" w:lineRule="exact"/>
        <w:rPr>
          <w:rFonts w:ascii="Arial" w:cs="Arial" w:eastAsia="Arial" w:hAnsi="Arial"/>
          <w:sz w:val="16"/>
          <w:szCs w:val="16"/>
          <w:color w:val="333333"/>
        </w:rPr>
      </w:pPr>
    </w:p>
    <w:p>
      <w:pPr>
        <w:ind w:left="360" w:hanging="193"/>
        <w:spacing w:after="0"/>
        <w:tabs>
          <w:tab w:leader="none" w:pos="360" w:val="left"/>
        </w:tabs>
        <w:numPr>
          <w:ilvl w:val="0"/>
          <w:numId w:val="34"/>
        </w:numPr>
        <w:rPr>
          <w:rFonts w:ascii="Arial" w:cs="Arial" w:eastAsia="Arial" w:hAnsi="Arial"/>
          <w:sz w:val="16"/>
          <w:szCs w:val="16"/>
          <w:color w:val="333333"/>
        </w:rPr>
      </w:pPr>
      <w:r>
        <w:rPr>
          <w:rFonts w:ascii="Arial" w:cs="Arial" w:eastAsia="Arial" w:hAnsi="Arial"/>
          <w:sz w:val="16"/>
          <w:szCs w:val="16"/>
          <w:color w:val="333333"/>
        </w:rPr>
        <w:t>To encourage our NEOs to focus on:</w:t>
      </w:r>
    </w:p>
    <w:p>
      <w:pPr>
        <w:spacing w:after="0" w:line="83" w:lineRule="exact"/>
        <w:rPr>
          <w:rFonts w:ascii="Arial" w:cs="Arial" w:eastAsia="Arial" w:hAnsi="Arial"/>
          <w:sz w:val="16"/>
          <w:szCs w:val="16"/>
          <w:color w:val="333333"/>
        </w:rPr>
      </w:pPr>
    </w:p>
    <w:p>
      <w:pPr>
        <w:ind w:left="520" w:hanging="192"/>
        <w:spacing w:after="0"/>
        <w:tabs>
          <w:tab w:leader="none" w:pos="520" w:val="left"/>
        </w:tabs>
        <w:numPr>
          <w:ilvl w:val="1"/>
          <w:numId w:val="34"/>
        </w:numPr>
        <w:rPr>
          <w:rFonts w:ascii="Arial" w:cs="Arial" w:eastAsia="Arial" w:hAnsi="Arial"/>
          <w:sz w:val="16"/>
          <w:szCs w:val="16"/>
          <w:color w:val="333333"/>
        </w:rPr>
      </w:pPr>
      <w:r>
        <w:rPr>
          <w:rFonts w:ascii="Arial" w:cs="Arial" w:eastAsia="Arial" w:hAnsi="Arial"/>
          <w:sz w:val="16"/>
          <w:szCs w:val="16"/>
          <w:color w:val="333333"/>
        </w:rPr>
        <w:t>Building shareholder value.</w:t>
      </w:r>
    </w:p>
    <w:p>
      <w:pPr>
        <w:spacing w:after="0" w:line="83" w:lineRule="exact"/>
        <w:rPr>
          <w:rFonts w:ascii="Arial" w:cs="Arial" w:eastAsia="Arial" w:hAnsi="Arial"/>
          <w:sz w:val="16"/>
          <w:szCs w:val="16"/>
          <w:color w:val="333333"/>
        </w:rPr>
      </w:pPr>
    </w:p>
    <w:p>
      <w:pPr>
        <w:ind w:left="520" w:hanging="192"/>
        <w:spacing w:after="0"/>
        <w:tabs>
          <w:tab w:leader="none" w:pos="520" w:val="left"/>
        </w:tabs>
        <w:numPr>
          <w:ilvl w:val="1"/>
          <w:numId w:val="34"/>
        </w:numPr>
        <w:rPr>
          <w:rFonts w:ascii="Arial" w:cs="Arial" w:eastAsia="Arial" w:hAnsi="Arial"/>
          <w:sz w:val="16"/>
          <w:szCs w:val="16"/>
          <w:color w:val="333333"/>
        </w:rPr>
      </w:pPr>
      <w:r>
        <w:rPr>
          <w:rFonts w:ascii="Arial" w:cs="Arial" w:eastAsia="Arial" w:hAnsi="Arial"/>
          <w:sz w:val="16"/>
          <w:szCs w:val="16"/>
          <w:color w:val="333333"/>
        </w:rPr>
        <w:t>Maximizing growth and profitability.</w:t>
      </w:r>
    </w:p>
    <w:p>
      <w:pPr>
        <w:spacing w:after="0" w:line="83" w:lineRule="exact"/>
        <w:rPr>
          <w:rFonts w:ascii="Arial" w:cs="Arial" w:eastAsia="Arial" w:hAnsi="Arial"/>
          <w:sz w:val="16"/>
          <w:szCs w:val="16"/>
          <w:color w:val="333333"/>
        </w:rPr>
      </w:pPr>
    </w:p>
    <w:p>
      <w:pPr>
        <w:ind w:left="520" w:hanging="192"/>
        <w:spacing w:after="0"/>
        <w:tabs>
          <w:tab w:leader="none" w:pos="520" w:val="left"/>
        </w:tabs>
        <w:numPr>
          <w:ilvl w:val="1"/>
          <w:numId w:val="34"/>
        </w:numPr>
        <w:rPr>
          <w:rFonts w:ascii="Arial" w:cs="Arial" w:eastAsia="Arial" w:hAnsi="Arial"/>
          <w:sz w:val="16"/>
          <w:szCs w:val="16"/>
          <w:color w:val="333333"/>
        </w:rPr>
      </w:pPr>
      <w:r>
        <w:rPr>
          <w:rFonts w:ascii="Arial" w:cs="Arial" w:eastAsia="Arial" w:hAnsi="Arial"/>
          <w:sz w:val="16"/>
          <w:szCs w:val="16"/>
          <w:color w:val="333333"/>
        </w:rPr>
        <w:t>Leadership to drive change while exemplifying Company values.</w:t>
      </w:r>
    </w:p>
    <w:p>
      <w:pPr>
        <w:spacing w:after="0" w:line="83" w:lineRule="exact"/>
        <w:rPr>
          <w:rFonts w:ascii="Arial" w:cs="Arial" w:eastAsia="Arial" w:hAnsi="Arial"/>
          <w:sz w:val="16"/>
          <w:szCs w:val="16"/>
          <w:color w:val="333333"/>
        </w:rPr>
      </w:pPr>
    </w:p>
    <w:p>
      <w:pPr>
        <w:ind w:left="520" w:right="20" w:hanging="192"/>
        <w:spacing w:after="0" w:line="279" w:lineRule="auto"/>
        <w:tabs>
          <w:tab w:leader="none" w:pos="520" w:val="left"/>
        </w:tabs>
        <w:numPr>
          <w:ilvl w:val="1"/>
          <w:numId w:val="34"/>
        </w:numPr>
        <w:rPr>
          <w:rFonts w:ascii="Arial" w:cs="Arial" w:eastAsia="Arial" w:hAnsi="Arial"/>
          <w:sz w:val="16"/>
          <w:szCs w:val="16"/>
          <w:color w:val="333333"/>
        </w:rPr>
      </w:pPr>
      <w:r>
        <w:rPr>
          <w:rFonts w:ascii="Arial" w:cs="Arial" w:eastAsia="Arial" w:hAnsi="Arial"/>
          <w:sz w:val="16"/>
          <w:szCs w:val="16"/>
          <w:color w:val="333333"/>
        </w:rPr>
        <w:t>Building a strong brand and focusing on long-term strategic objectives.</w:t>
      </w:r>
    </w:p>
    <w:p>
      <w:pPr>
        <w:spacing w:after="0" w:line="26" w:lineRule="exact"/>
        <w:rPr>
          <w:rFonts w:ascii="Arial" w:cs="Arial" w:eastAsia="Arial" w:hAnsi="Arial"/>
          <w:sz w:val="16"/>
          <w:szCs w:val="16"/>
          <w:color w:val="333333"/>
        </w:rPr>
      </w:pPr>
    </w:p>
    <w:p>
      <w:pPr>
        <w:ind w:left="360" w:right="20" w:hanging="193"/>
        <w:spacing w:after="0" w:line="279" w:lineRule="auto"/>
        <w:tabs>
          <w:tab w:leader="none" w:pos="360" w:val="left"/>
        </w:tabs>
        <w:numPr>
          <w:ilvl w:val="0"/>
          <w:numId w:val="34"/>
        </w:numPr>
        <w:rPr>
          <w:rFonts w:ascii="Arial" w:cs="Arial" w:eastAsia="Arial" w:hAnsi="Arial"/>
          <w:sz w:val="16"/>
          <w:szCs w:val="16"/>
          <w:color w:val="333333"/>
        </w:rPr>
      </w:pPr>
      <w:r>
        <w:rPr>
          <w:rFonts w:ascii="Arial" w:cs="Arial" w:eastAsia="Arial" w:hAnsi="Arial"/>
          <w:sz w:val="16"/>
          <w:szCs w:val="16"/>
          <w:color w:val="333333"/>
        </w:rPr>
        <w:t>To provide our NEOs with a compensation package that is competitive within our industry.</w:t>
      </w:r>
    </w:p>
    <w:p>
      <w:pPr>
        <w:spacing w:after="0" w:line="80"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b w:val="1"/>
          <w:bCs w:val="1"/>
          <w:color w:val="337C7D"/>
        </w:rPr>
        <w:t>Pay Goals</w:t>
      </w:r>
      <w:r>
        <w:rPr>
          <w:rFonts w:ascii="Arial" w:cs="Arial" w:eastAsia="Arial" w:hAnsi="Arial"/>
          <w:sz w:val="16"/>
          <w:szCs w:val="16"/>
          <w:color w:val="333333"/>
        </w:rPr>
        <w:t>. The Committee has determined that it is beneficial to</w:t>
      </w:r>
      <w:r>
        <w:rPr>
          <w:rFonts w:ascii="Arial" w:cs="Arial" w:eastAsia="Arial" w:hAnsi="Arial"/>
          <w:sz w:val="16"/>
          <w:szCs w:val="16"/>
          <w:b w:val="1"/>
          <w:bCs w:val="1"/>
          <w:color w:val="337C7D"/>
        </w:rPr>
        <w:t xml:space="preserve"> </w:t>
      </w:r>
      <w:r>
        <w:rPr>
          <w:rFonts w:ascii="Arial" w:cs="Arial" w:eastAsia="Arial" w:hAnsi="Arial"/>
          <w:sz w:val="16"/>
          <w:szCs w:val="16"/>
          <w:color w:val="333333"/>
        </w:rPr>
        <w:t>establish ranges of compensation, both in total and with respect to each of the Company’s main compensation components, around the 50th percentile of peer group compensation. A primary focus of the Committee in setting executive compensation is to target total compensation within the established ranges noted below, although competitiveness of the other pay components is also strongly considered. For the CEO and the other NEOs, the Talent and Compensation Committee considers the following ranges when assessing the competitiveness of each pay component:</w:t>
      </w:r>
    </w:p>
    <w:p>
      <w:pPr>
        <w:spacing w:after="0" w:line="132" w:lineRule="exact"/>
        <w:rPr>
          <w:sz w:val="20"/>
          <w:szCs w:val="20"/>
          <w:color w:val="auto"/>
        </w:rPr>
      </w:pPr>
    </w:p>
    <w:tbl>
      <w:tblPr>
        <w:tblLayout w:type="fixed"/>
        <w:tblInd w:w="160" w:type="dxa"/>
        <w:tblCellMar>
          <w:top w:w="0" w:type="dxa"/>
          <w:left w:w="0" w:type="dxa"/>
          <w:bottom w:w="0" w:type="dxa"/>
          <w:right w:w="0" w:type="dxa"/>
        </w:tblCellMar>
      </w:tblPr>
      <w:tr>
        <w:trPr>
          <w:trHeight w:val="160"/>
        </w:trPr>
        <w:tc>
          <w:tcPr>
            <w:tcW w:w="2680" w:type="dxa"/>
            <w:vAlign w:val="bottom"/>
          </w:tcPr>
          <w:p>
            <w:pPr>
              <w:spacing w:after="0"/>
              <w:rPr>
                <w:sz w:val="13"/>
                <w:szCs w:val="13"/>
                <w:color w:val="auto"/>
              </w:rPr>
            </w:pPr>
          </w:p>
        </w:tc>
        <w:tc>
          <w:tcPr>
            <w:tcW w:w="2560" w:type="dxa"/>
            <w:vAlign w:val="bottom"/>
            <w:shd w:val="clear" w:color="auto" w:fill="FCEFEB"/>
          </w:tcPr>
          <w:p>
            <w:pPr>
              <w:spacing w:after="0"/>
              <w:rPr>
                <w:sz w:val="13"/>
                <w:szCs w:val="13"/>
                <w:color w:val="auto"/>
              </w:rPr>
            </w:pPr>
          </w:p>
        </w:tc>
      </w:tr>
      <w:tr>
        <w:trPr>
          <w:trHeight w:val="218"/>
        </w:trPr>
        <w:tc>
          <w:tcPr>
            <w:tcW w:w="2680" w:type="dxa"/>
            <w:vAlign w:val="bottom"/>
            <w:shd w:val="clear" w:color="auto" w:fill="005C5D"/>
          </w:tcPr>
          <w:p>
            <w:pPr>
              <w:spacing w:after="0"/>
              <w:rPr>
                <w:sz w:val="18"/>
                <w:szCs w:val="18"/>
                <w:color w:val="auto"/>
              </w:rPr>
            </w:pPr>
          </w:p>
        </w:tc>
        <w:tc>
          <w:tcPr>
            <w:tcW w:w="2560" w:type="dxa"/>
            <w:vAlign w:val="bottom"/>
            <w:shd w:val="clear" w:color="auto" w:fill="005C5D"/>
          </w:tcPr>
          <w:p>
            <w:pPr>
              <w:ind w:left="240"/>
              <w:spacing w:after="0"/>
              <w:rPr>
                <w:sz w:val="20"/>
                <w:szCs w:val="20"/>
                <w:color w:val="auto"/>
              </w:rPr>
            </w:pPr>
            <w:r>
              <w:rPr>
                <w:rFonts w:ascii="Arial" w:cs="Arial" w:eastAsia="Arial" w:hAnsi="Arial"/>
                <w:sz w:val="14"/>
                <w:szCs w:val="14"/>
                <w:color w:val="FFFFFF"/>
              </w:rPr>
              <w:t xml:space="preserve">PAY GOAL RELATIVE TO PEER   </w:t>
            </w:r>
          </w:p>
        </w:tc>
      </w:tr>
      <w:tr>
        <w:trPr>
          <w:trHeight w:val="230"/>
        </w:trPr>
        <w:tc>
          <w:tcPr>
            <w:tcW w:w="2680" w:type="dxa"/>
            <w:vAlign w:val="bottom"/>
            <w:tcBorders>
              <w:bottom w:val="single" w:sz="8" w:color="005C5D"/>
            </w:tcBorders>
            <w:shd w:val="clear" w:color="auto" w:fill="005C5D"/>
          </w:tcPr>
          <w:p>
            <w:pPr>
              <w:ind w:left="120"/>
              <w:spacing w:after="0"/>
              <w:rPr>
                <w:sz w:val="20"/>
                <w:szCs w:val="20"/>
                <w:color w:val="auto"/>
              </w:rPr>
            </w:pPr>
            <w:r>
              <w:rPr>
                <w:rFonts w:ascii="Arial" w:cs="Arial" w:eastAsia="Arial" w:hAnsi="Arial"/>
                <w:sz w:val="14"/>
                <w:szCs w:val="14"/>
                <w:color w:val="FFFFFF"/>
              </w:rPr>
              <w:t>COMPENSATION ELEMENT</w:t>
            </w:r>
          </w:p>
        </w:tc>
        <w:tc>
          <w:tcPr>
            <w:tcW w:w="2560" w:type="dxa"/>
            <w:vAlign w:val="bottom"/>
            <w:tcBorders>
              <w:bottom w:val="single" w:sz="8" w:color="005C5D"/>
            </w:tcBorders>
            <w:shd w:val="clear" w:color="auto" w:fill="005C5D"/>
          </w:tcPr>
          <w:p>
            <w:pPr>
              <w:ind w:left="1080"/>
              <w:spacing w:after="0"/>
              <w:rPr>
                <w:sz w:val="20"/>
                <w:szCs w:val="20"/>
                <w:color w:val="auto"/>
              </w:rPr>
            </w:pPr>
            <w:r>
              <w:rPr>
                <w:rFonts w:ascii="Arial" w:cs="Arial" w:eastAsia="Arial" w:hAnsi="Arial"/>
                <w:sz w:val="14"/>
                <w:szCs w:val="14"/>
                <w:color w:val="FFFFFF"/>
              </w:rPr>
              <w:t>GROUP</w:t>
            </w:r>
          </w:p>
        </w:tc>
      </w:tr>
      <w:tr>
        <w:trPr>
          <w:trHeight w:val="294"/>
        </w:trPr>
        <w:tc>
          <w:tcPr>
            <w:tcW w:w="2680" w:type="dxa"/>
            <w:vAlign w:val="bottom"/>
          </w:tcPr>
          <w:p>
            <w:pPr>
              <w:ind w:left="120"/>
              <w:spacing w:after="0"/>
              <w:rPr>
                <w:sz w:val="20"/>
                <w:szCs w:val="20"/>
                <w:color w:val="auto"/>
              </w:rPr>
            </w:pPr>
            <w:r>
              <w:rPr>
                <w:rFonts w:ascii="Arial" w:cs="Arial" w:eastAsia="Arial" w:hAnsi="Arial"/>
                <w:sz w:val="14"/>
                <w:szCs w:val="14"/>
                <w:color w:val="333333"/>
              </w:rPr>
              <w:t>Annual base salary rate:</w:t>
            </w:r>
          </w:p>
        </w:tc>
        <w:tc>
          <w:tcPr>
            <w:tcW w:w="2560" w:type="dxa"/>
            <w:vAlign w:val="bottom"/>
            <w:tcBorders>
              <w:bottom w:val="single" w:sz="8" w:color="FCEFEB"/>
            </w:tcBorders>
            <w:shd w:val="clear" w:color="auto" w:fill="FCEFEB"/>
          </w:tcPr>
          <w:p>
            <w:pPr>
              <w:ind w:left="940"/>
              <w:spacing w:after="0"/>
              <w:rPr>
                <w:sz w:val="20"/>
                <w:szCs w:val="20"/>
                <w:color w:val="auto"/>
              </w:rPr>
            </w:pPr>
            <w:r>
              <w:rPr>
                <w:rFonts w:ascii="Arial" w:cs="Arial" w:eastAsia="Arial" w:hAnsi="Arial"/>
                <w:sz w:val="14"/>
                <w:szCs w:val="14"/>
                <w:color w:val="333333"/>
              </w:rPr>
              <w:t>50th percentile, +/- 10%</w:t>
            </w:r>
          </w:p>
        </w:tc>
      </w:tr>
      <w:tr>
        <w:trPr>
          <w:trHeight w:val="274"/>
        </w:trPr>
        <w:tc>
          <w:tcPr>
            <w:tcW w:w="2680" w:type="dxa"/>
            <w:vAlign w:val="bottom"/>
            <w:tcBorders>
              <w:top w:val="single" w:sz="8" w:color="005C5D"/>
            </w:tcBorders>
          </w:tcPr>
          <w:p>
            <w:pPr>
              <w:ind w:left="120"/>
              <w:spacing w:after="0"/>
              <w:rPr>
                <w:sz w:val="20"/>
                <w:szCs w:val="20"/>
                <w:color w:val="auto"/>
              </w:rPr>
            </w:pPr>
            <w:r>
              <w:rPr>
                <w:rFonts w:ascii="Arial" w:cs="Arial" w:eastAsia="Arial" w:hAnsi="Arial"/>
                <w:sz w:val="14"/>
                <w:szCs w:val="14"/>
                <w:color w:val="333333"/>
              </w:rPr>
              <w:t>Target annual incentive:</w:t>
            </w:r>
          </w:p>
        </w:tc>
        <w:tc>
          <w:tcPr>
            <w:tcW w:w="2560" w:type="dxa"/>
            <w:vAlign w:val="bottom"/>
            <w:tcBorders>
              <w:top w:val="single" w:sz="8" w:color="005C5D"/>
              <w:bottom w:val="single" w:sz="8" w:color="FCEFEB"/>
            </w:tcBorders>
            <w:shd w:val="clear" w:color="auto" w:fill="FCEFEB"/>
          </w:tcPr>
          <w:p>
            <w:pPr>
              <w:ind w:left="940"/>
              <w:spacing w:after="0"/>
              <w:rPr>
                <w:sz w:val="20"/>
                <w:szCs w:val="20"/>
                <w:color w:val="auto"/>
              </w:rPr>
            </w:pPr>
            <w:r>
              <w:rPr>
                <w:rFonts w:ascii="Arial" w:cs="Arial" w:eastAsia="Arial" w:hAnsi="Arial"/>
                <w:sz w:val="14"/>
                <w:szCs w:val="14"/>
                <w:color w:val="333333"/>
              </w:rPr>
              <w:t>50th percentile, +/- 10%</w:t>
            </w:r>
          </w:p>
        </w:tc>
      </w:tr>
      <w:tr>
        <w:trPr>
          <w:trHeight w:val="274"/>
        </w:trPr>
        <w:tc>
          <w:tcPr>
            <w:tcW w:w="2680" w:type="dxa"/>
            <w:vAlign w:val="bottom"/>
            <w:tcBorders>
              <w:top w:val="single" w:sz="8" w:color="005C5D"/>
            </w:tcBorders>
          </w:tcPr>
          <w:p>
            <w:pPr>
              <w:ind w:left="120"/>
              <w:spacing w:after="0"/>
              <w:rPr>
                <w:sz w:val="20"/>
                <w:szCs w:val="20"/>
                <w:color w:val="auto"/>
              </w:rPr>
            </w:pPr>
            <w:r>
              <w:rPr>
                <w:rFonts w:ascii="Arial" w:cs="Arial" w:eastAsia="Arial" w:hAnsi="Arial"/>
                <w:sz w:val="14"/>
                <w:szCs w:val="14"/>
                <w:color w:val="333333"/>
              </w:rPr>
              <w:t>Target long-term incentive:</w:t>
            </w:r>
          </w:p>
        </w:tc>
        <w:tc>
          <w:tcPr>
            <w:tcW w:w="2560" w:type="dxa"/>
            <w:vAlign w:val="bottom"/>
            <w:tcBorders>
              <w:top w:val="single" w:sz="8" w:color="005C5D"/>
              <w:bottom w:val="single" w:sz="8" w:color="FCEFEB"/>
            </w:tcBorders>
            <w:shd w:val="clear" w:color="auto" w:fill="FCEFEB"/>
          </w:tcPr>
          <w:p>
            <w:pPr>
              <w:ind w:left="940"/>
              <w:spacing w:after="0"/>
              <w:rPr>
                <w:sz w:val="20"/>
                <w:szCs w:val="20"/>
                <w:color w:val="auto"/>
              </w:rPr>
            </w:pPr>
            <w:r>
              <w:rPr>
                <w:rFonts w:ascii="Arial" w:cs="Arial" w:eastAsia="Arial" w:hAnsi="Arial"/>
                <w:sz w:val="14"/>
                <w:szCs w:val="14"/>
                <w:color w:val="333333"/>
              </w:rPr>
              <w:t>50th percentile, +/- 15%</w:t>
            </w:r>
          </w:p>
        </w:tc>
      </w:tr>
      <w:tr>
        <w:trPr>
          <w:trHeight w:val="254"/>
        </w:trPr>
        <w:tc>
          <w:tcPr>
            <w:tcW w:w="2680" w:type="dxa"/>
            <w:vAlign w:val="bottom"/>
            <w:tcBorders>
              <w:top w:val="single" w:sz="8" w:color="005C5D"/>
            </w:tcBorders>
          </w:tcPr>
          <w:p>
            <w:pPr>
              <w:ind w:left="120"/>
              <w:spacing w:after="0"/>
              <w:rPr>
                <w:sz w:val="20"/>
                <w:szCs w:val="20"/>
                <w:color w:val="auto"/>
              </w:rPr>
            </w:pPr>
            <w:r>
              <w:rPr>
                <w:rFonts w:ascii="Arial" w:cs="Arial" w:eastAsia="Arial" w:hAnsi="Arial"/>
                <w:sz w:val="14"/>
                <w:szCs w:val="14"/>
                <w:color w:val="333333"/>
              </w:rPr>
              <w:t>Target total compensation:</w:t>
            </w:r>
          </w:p>
        </w:tc>
        <w:tc>
          <w:tcPr>
            <w:tcW w:w="2560" w:type="dxa"/>
            <w:vAlign w:val="bottom"/>
            <w:tcBorders>
              <w:top w:val="single" w:sz="8" w:color="005C5D"/>
              <w:bottom w:val="single" w:sz="8" w:color="FCEFEB"/>
            </w:tcBorders>
            <w:shd w:val="clear" w:color="auto" w:fill="FCEFEB"/>
          </w:tcPr>
          <w:p>
            <w:pPr>
              <w:ind w:left="940"/>
              <w:spacing w:after="0"/>
              <w:rPr>
                <w:sz w:val="20"/>
                <w:szCs w:val="20"/>
                <w:color w:val="auto"/>
              </w:rPr>
            </w:pPr>
            <w:r>
              <w:rPr>
                <w:rFonts w:ascii="Arial" w:cs="Arial" w:eastAsia="Arial" w:hAnsi="Arial"/>
                <w:sz w:val="14"/>
                <w:szCs w:val="14"/>
                <w:color w:val="333333"/>
              </w:rPr>
              <w:t>50th percentile, +/- 15%</w:t>
            </w:r>
          </w:p>
        </w:tc>
      </w:tr>
      <w:tr>
        <w:trPr>
          <w:trHeight w:val="20"/>
        </w:trPr>
        <w:tc>
          <w:tcPr>
            <w:tcW w:w="2680" w:type="dxa"/>
            <w:vAlign w:val="bottom"/>
            <w:shd w:val="clear" w:color="auto" w:fill="005C5D"/>
          </w:tcPr>
          <w:p>
            <w:pPr>
              <w:spacing w:after="0" w:line="20" w:lineRule="exact"/>
              <w:rPr>
                <w:sz w:val="1"/>
                <w:szCs w:val="1"/>
                <w:color w:val="auto"/>
              </w:rPr>
            </w:pPr>
          </w:p>
        </w:tc>
        <w:tc>
          <w:tcPr>
            <w:tcW w:w="2560" w:type="dxa"/>
            <w:vAlign w:val="bottom"/>
            <w:shd w:val="clear" w:color="auto" w:fill="005C5D"/>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005C5D"/>
        </w:rPr>
        <w:t>COMPENSATION MIX AND PAY FOR PERFORMANCE</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333333"/>
        </w:rPr>
        <w:t>Annually, the Committee considers the total compensation opportunities for each NEO and determines how total potential compensation should be allocated across the different elements of compensation. The Committee does not follow a definitive policy when determining the mix of and structure for total compensation. Instead, it considers factors such as achievement of corporate and individual goals, level of experience, responsibilities, demonstrated performance, time with the corporation, risk associated with any payout, and retention considerations.</w:t>
      </w:r>
    </w:p>
    <w:p>
      <w:pPr>
        <w:spacing w:after="0" w:line="10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333333"/>
        </w:rPr>
        <w:t>Generally, the Committee considers market practices as reflected in the peer group data for the peer group identified below and more generally for the Company’s industry to obtain a baseline of total potential compensation for each NEO. Using this analysis as a starting point, the Committee engages in discussions with the objective of ensuring that a material portion of each NEO’s total compensation is at-risk and dependent on performance. Care is taken to balance incentives to drive performance in the short-term and the long-term. In this way, we encourage NEOs to vigorously pursue financial and other performance while discouraging incentives to take excessive risks that may be beneficial in the short term, but harmful in the long run. We believe that these practices align the interests of the NEOs with those of the shareholders year-over-year, as well as over the long term.</w:t>
      </w:r>
    </w:p>
    <w:p>
      <w:pPr>
        <w:spacing w:after="0" w:line="2580"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85" w:lineRule="exact"/>
        <w:rPr>
          <w:sz w:val="20"/>
          <w:szCs w:val="20"/>
          <w:color w:val="auto"/>
        </w:rPr>
      </w:pPr>
    </w:p>
    <w:p>
      <w:pPr>
        <w:ind w:left="4940"/>
        <w:spacing w:after="0"/>
        <w:tabs>
          <w:tab w:leader="none" w:pos="9080" w:val="left"/>
          <w:tab w:leader="none" w:pos="1090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23</w:t>
      </w:r>
    </w:p>
    <w:p>
      <w:pPr>
        <w:sectPr>
          <w:pgSz w:w="11900" w:h="16838" w:orient="portrait"/>
          <w:cols w:equalWidth="0" w:num="1">
            <w:col w:w="11080"/>
          </w:cols>
          <w:pgMar w:left="320" w:top="478" w:right="4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60" w:right="20"/>
        <w:spacing w:after="0" w:line="279" w:lineRule="auto"/>
        <w:rPr>
          <w:sz w:val="20"/>
          <w:szCs w:val="20"/>
          <w:color w:val="auto"/>
        </w:rPr>
      </w:pPr>
      <w:r>
        <w:rPr>
          <w:rFonts w:ascii="Arial" w:cs="Arial" w:eastAsia="Arial" w:hAnsi="Arial"/>
          <w:sz w:val="16"/>
          <w:szCs w:val="16"/>
          <w:color w:val="333333"/>
        </w:rPr>
        <w:t>The Committee seeks to ensure that a substantial portion of the total compensation awarded to the NEOs is performance-based and is comprised of both annual and long-term incentives. The fiscal 2026 mix of target compensation for the CEO and other NEOs is set forth below:</w:t>
      </w:r>
    </w:p>
    <w:p>
      <w:pPr>
        <w:spacing w:after="0" w:line="187" w:lineRule="exact"/>
        <w:rPr>
          <w:sz w:val="20"/>
          <w:szCs w:val="20"/>
          <w:color w:val="auto"/>
        </w:rPr>
      </w:pPr>
    </w:p>
    <w:p>
      <w:pPr>
        <w:ind w:left="180"/>
        <w:spacing w:after="0"/>
        <w:tabs>
          <w:tab w:leader="none" w:pos="5920" w:val="left"/>
        </w:tabs>
        <w:rPr>
          <w:sz w:val="20"/>
          <w:szCs w:val="20"/>
          <w:color w:val="auto"/>
        </w:rPr>
      </w:pPr>
      <w:r>
        <w:rPr>
          <w:rFonts w:ascii="Arial" w:cs="Arial" w:eastAsia="Arial" w:hAnsi="Arial"/>
          <w:sz w:val="16"/>
          <w:szCs w:val="16"/>
          <w:b w:val="1"/>
          <w:bCs w:val="1"/>
          <w:color w:val="337C7D"/>
        </w:rPr>
        <w:t>FISCAL 2026 TARGET COMPENSATION FOR CEO AS PERCENTAGE OF</w:t>
      </w:r>
      <w:r>
        <w:rPr>
          <w:sz w:val="20"/>
          <w:szCs w:val="20"/>
          <w:color w:val="auto"/>
        </w:rPr>
        <w:tab/>
      </w:r>
      <w:r>
        <w:rPr>
          <w:rFonts w:ascii="Arial" w:cs="Arial" w:eastAsia="Arial" w:hAnsi="Arial"/>
          <w:sz w:val="15"/>
          <w:szCs w:val="15"/>
          <w:b w:val="1"/>
          <w:bCs w:val="1"/>
          <w:color w:val="005C5D"/>
        </w:rPr>
        <w:t>FISCAL 2026 AVERAGE TARGET COMPENSATION FOR NEOs AS</w:t>
      </w:r>
    </w:p>
    <w:p>
      <w:pPr>
        <w:spacing w:after="0" w:line="15" w:lineRule="exact"/>
        <w:rPr>
          <w:sz w:val="20"/>
          <w:szCs w:val="20"/>
          <w:color w:val="auto"/>
        </w:rPr>
      </w:pPr>
    </w:p>
    <w:p>
      <w:pPr>
        <w:ind w:left="1900"/>
        <w:spacing w:after="0"/>
        <w:tabs>
          <w:tab w:leader="none" w:pos="6740" w:val="left"/>
        </w:tabs>
        <w:rPr>
          <w:sz w:val="20"/>
          <w:szCs w:val="20"/>
          <w:color w:val="auto"/>
        </w:rPr>
      </w:pPr>
      <w:r>
        <w:rPr>
          <w:rFonts w:ascii="Arial" w:cs="Arial" w:eastAsia="Arial" w:hAnsi="Arial"/>
          <w:sz w:val="16"/>
          <w:szCs w:val="16"/>
          <w:b w:val="1"/>
          <w:bCs w:val="1"/>
          <w:color w:val="337C7D"/>
        </w:rPr>
        <w:t>TOTAL COMPENSATION:</w:t>
      </w:r>
      <w:r>
        <w:rPr>
          <w:rFonts w:ascii="Arial" w:cs="Arial" w:eastAsia="Arial" w:hAnsi="Arial"/>
          <w:sz w:val="24"/>
          <w:szCs w:val="24"/>
          <w:b w:val="1"/>
          <w:bCs w:val="1"/>
          <w:color w:val="337C7D"/>
          <w:vertAlign w:val="superscript"/>
        </w:rPr>
        <w:t>(1)</w:t>
      </w:r>
      <w:r>
        <w:rPr>
          <w:sz w:val="20"/>
          <w:szCs w:val="20"/>
          <w:color w:val="auto"/>
        </w:rPr>
        <w:tab/>
      </w:r>
      <w:r>
        <w:rPr>
          <w:rFonts w:ascii="Arial" w:cs="Arial" w:eastAsia="Arial" w:hAnsi="Arial"/>
          <w:sz w:val="15"/>
          <w:szCs w:val="15"/>
          <w:b w:val="1"/>
          <w:bCs w:val="1"/>
          <w:color w:val="005C5D"/>
        </w:rPr>
        <w:t>PERCENTAGE OF 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12700</wp:posOffset>
            </wp:positionV>
            <wp:extent cx="5570855" cy="2072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70855" cy="207200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80" w:hanging="313"/>
        <w:spacing w:after="0"/>
        <w:tabs>
          <w:tab w:leader="none" w:pos="480" w:val="left"/>
        </w:tabs>
        <w:numPr>
          <w:ilvl w:val="0"/>
          <w:numId w:val="35"/>
        </w:numPr>
        <w:rPr>
          <w:rFonts w:ascii="Arial" w:cs="Arial" w:eastAsia="Arial" w:hAnsi="Arial"/>
          <w:sz w:val="12"/>
          <w:szCs w:val="12"/>
          <w:color w:val="333333"/>
        </w:rPr>
      </w:pPr>
      <w:r>
        <w:rPr>
          <w:rFonts w:ascii="Arial" w:cs="Arial" w:eastAsia="Arial" w:hAnsi="Arial"/>
          <w:sz w:val="12"/>
          <w:szCs w:val="12"/>
          <w:color w:val="333333"/>
        </w:rPr>
        <w:t>Represents the Company’s former CEO, Ms. Ardrey’s, target compensation</w:t>
      </w:r>
    </w:p>
    <w:p>
      <w:pPr>
        <w:spacing w:after="0" w:line="284" w:lineRule="exact"/>
        <w:rPr>
          <w:sz w:val="20"/>
          <w:szCs w:val="20"/>
          <w:color w:val="auto"/>
        </w:rPr>
      </w:pPr>
    </w:p>
    <w:p>
      <w:pPr>
        <w:ind w:left="160" w:right="940"/>
        <w:spacing w:after="0" w:line="264" w:lineRule="auto"/>
        <w:rPr>
          <w:sz w:val="20"/>
          <w:szCs w:val="20"/>
          <w:color w:val="auto"/>
        </w:rPr>
      </w:pPr>
      <w:r>
        <w:rPr>
          <w:rFonts w:ascii="Arial" w:cs="Arial" w:eastAsia="Arial" w:hAnsi="Arial"/>
          <w:sz w:val="20"/>
          <w:szCs w:val="20"/>
          <w:b w:val="1"/>
          <w:bCs w:val="1"/>
          <w:color w:val="005C5D"/>
        </w:rPr>
        <w:t>HOW WE MAKE EXECUTIVE COMPENSATION DECISIONS</w:t>
      </w:r>
    </w:p>
    <w:p>
      <w:pPr>
        <w:spacing w:after="0" w:line="38"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b w:val="1"/>
          <w:bCs w:val="1"/>
          <w:color w:val="337C7D"/>
        </w:rPr>
        <w:t>Role of the Talent and Compensation Committee</w:t>
      </w:r>
      <w:r>
        <w:rPr>
          <w:rFonts w:ascii="Arial" w:cs="Arial" w:eastAsia="Arial" w:hAnsi="Arial"/>
          <w:sz w:val="16"/>
          <w:szCs w:val="16"/>
          <w:color w:val="333333"/>
        </w:rPr>
        <w:t>. The Committee is</w:t>
      </w:r>
      <w:r>
        <w:rPr>
          <w:rFonts w:ascii="Arial" w:cs="Arial" w:eastAsia="Arial" w:hAnsi="Arial"/>
          <w:sz w:val="16"/>
          <w:szCs w:val="16"/>
          <w:b w:val="1"/>
          <w:bCs w:val="1"/>
          <w:color w:val="337C7D"/>
        </w:rPr>
        <w:t xml:space="preserve"> </w:t>
      </w:r>
      <w:r>
        <w:rPr>
          <w:rFonts w:ascii="Arial" w:cs="Arial" w:eastAsia="Arial" w:hAnsi="Arial"/>
          <w:sz w:val="16"/>
          <w:szCs w:val="16"/>
          <w:color w:val="333333"/>
        </w:rPr>
        <w:t>responsible to the Board for overseeing the development and administration of our compensation programs. The Committee is comprised of three independent directors and is responsible for the review and approval of all aspects of executive compensation, including the approval of compensation packages of newly hired executive officers. The Committee is supported in its work by the CEO, the Chief Administrative &amp; Legal Officer, the Vice President of Human Resources, their staff, and independent executive compensation consultants, as needed.</w:t>
      </w:r>
    </w:p>
    <w:p>
      <w:pPr>
        <w:spacing w:after="0" w:line="105"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b w:val="1"/>
          <w:bCs w:val="1"/>
          <w:color w:val="337C7D"/>
        </w:rPr>
        <w:t xml:space="preserve">Role of Management </w:t>
      </w:r>
      <w:r>
        <w:rPr>
          <w:rFonts w:ascii="Arial" w:cs="Arial" w:eastAsia="Arial" w:hAnsi="Arial"/>
          <w:sz w:val="16"/>
          <w:szCs w:val="16"/>
          <w:color w:val="333333"/>
        </w:rPr>
        <w:t>. The Committee generally seeks input from our</w:t>
      </w:r>
      <w:r>
        <w:rPr>
          <w:rFonts w:ascii="Arial" w:cs="Arial" w:eastAsia="Arial" w:hAnsi="Arial"/>
          <w:sz w:val="16"/>
          <w:szCs w:val="16"/>
          <w:b w:val="1"/>
          <w:bCs w:val="1"/>
          <w:color w:val="337C7D"/>
        </w:rPr>
        <w:t xml:space="preserve"> </w:t>
      </w:r>
      <w:r>
        <w:rPr>
          <w:rFonts w:ascii="Arial" w:cs="Arial" w:eastAsia="Arial" w:hAnsi="Arial"/>
          <w:sz w:val="16"/>
          <w:szCs w:val="16"/>
          <w:color w:val="333333"/>
        </w:rPr>
        <w:t>CEO when discussing the performance and compensation levels of the other NEOs. The Committee also works with our CEO, our Chief Financial Officer, our Chief Administrative &amp; Legal Officer and Corporate Secretary, and our Vice President of Human Resources in evaluating the financial, accounting, tax, and retention implications of our various compensation programs. Neither Mr. Bickley, Ms. Ardrey, nor any of our other executives participates in deliberations relating directly to her or his own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337C7D"/>
        </w:rPr>
        <w:t xml:space="preserve">Role of Compensation Consultants. </w:t>
      </w:r>
      <w:r>
        <w:rPr>
          <w:rFonts w:ascii="Arial" w:cs="Arial" w:eastAsia="Arial" w:hAnsi="Arial"/>
          <w:sz w:val="16"/>
          <w:szCs w:val="16"/>
          <w:color w:val="333333"/>
        </w:rPr>
        <w:t>The Committee has utilized</w:t>
      </w:r>
      <w:r>
        <w:rPr>
          <w:rFonts w:ascii="Arial" w:cs="Arial" w:eastAsia="Arial" w:hAnsi="Arial"/>
          <w:sz w:val="16"/>
          <w:szCs w:val="16"/>
          <w:b w:val="1"/>
          <w:bCs w:val="1"/>
          <w:color w:val="337C7D"/>
        </w:rPr>
        <w:t xml:space="preserve"> </w:t>
      </w:r>
      <w:r>
        <w:rPr>
          <w:rFonts w:ascii="Arial" w:cs="Arial" w:eastAsia="Arial" w:hAnsi="Arial"/>
          <w:sz w:val="16"/>
          <w:szCs w:val="16"/>
          <w:color w:val="333333"/>
        </w:rPr>
        <w:t>compensation consultants in assisting with benchmarking, regulatory changes and updates, and analysis and design of the Company’s compensation program. The Committee also used consultants to help review the Company’s compensation peer group. The Committee has utilized Pearl Meyer &amp; Partners, LLC (“Pearl Meyer”) and Equilar, Inc. (“Equilar”) as executive compensation consultants. Both Pearl Meyer and Equilar were retained by the Committee, and the Committee may replace them or hire additional consultants at any time. Our Committee makes all final decisions regarding the compensation of our NEOs.</w:t>
      </w:r>
    </w:p>
    <w:p>
      <w:pPr>
        <w:spacing w:after="0" w:line="1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337C7D"/>
        </w:rPr>
        <w:t>Role of Shareholders: Response to Advisory Vote on Executive Compensation</w:t>
      </w:r>
      <w:r>
        <w:rPr>
          <w:rFonts w:ascii="Arial" w:cs="Arial" w:eastAsia="Arial" w:hAnsi="Arial"/>
          <w:sz w:val="16"/>
          <w:szCs w:val="16"/>
          <w:color w:val="333333"/>
        </w:rPr>
        <w:t>. At the 2025 Annual Meeting of Shareholders,</w:t>
      </w:r>
      <w:r>
        <w:rPr>
          <w:rFonts w:ascii="Arial" w:cs="Arial" w:eastAsia="Arial" w:hAnsi="Arial"/>
          <w:sz w:val="16"/>
          <w:szCs w:val="16"/>
          <w:b w:val="1"/>
          <w:bCs w:val="1"/>
          <w:color w:val="337C7D"/>
        </w:rPr>
        <w:t xml:space="preserve"> </w:t>
      </w:r>
      <w:r>
        <w:rPr>
          <w:rFonts w:ascii="Arial" w:cs="Arial" w:eastAsia="Arial" w:hAnsi="Arial"/>
          <w:sz w:val="16"/>
          <w:szCs w:val="16"/>
          <w:color w:val="333333"/>
        </w:rPr>
        <w:t>approximately 80% of the votes cast on the advisory vote on our executive compensation program were in support of the compensation paid to the NEOs. The Committee took these results into account in formulating its executive compensation plans moving forward for fiscal 2026. In light of the support from shareholders, in setting fiscal 2026 compensation the Committee materially maintained the compensation program currently in place.</w:t>
      </w:r>
    </w:p>
    <w:p>
      <w:pPr>
        <w:spacing w:after="0" w:line="734"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220" w:lineRule="exact"/>
        <w:rPr>
          <w:sz w:val="20"/>
          <w:szCs w:val="20"/>
          <w:color w:val="auto"/>
        </w:rPr>
      </w:pPr>
    </w:p>
    <w:p>
      <w:pPr>
        <w:ind w:left="160"/>
        <w:spacing w:after="0"/>
        <w:tabs>
          <w:tab w:leader="none" w:pos="4920" w:val="left"/>
        </w:tabs>
        <w:rPr>
          <w:sz w:val="20"/>
          <w:szCs w:val="20"/>
          <w:color w:val="auto"/>
        </w:rPr>
      </w:pPr>
      <w:r>
        <w:rPr>
          <w:rFonts w:ascii="Arial" w:cs="Arial" w:eastAsia="Arial" w:hAnsi="Arial"/>
          <w:sz w:val="14"/>
          <w:szCs w:val="14"/>
          <w:color w:val="005C5D"/>
        </w:rPr>
        <w:t xml:space="preserve">24 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1080"/>
          </w:cols>
          <w:pgMar w:left="320" w:top="478" w:right="4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both"/>
        <w:ind w:left="160"/>
        <w:spacing w:after="0" w:line="251" w:lineRule="auto"/>
        <w:rPr>
          <w:sz w:val="20"/>
          <w:szCs w:val="20"/>
          <w:color w:val="auto"/>
        </w:rPr>
      </w:pPr>
      <w:r>
        <w:rPr>
          <w:rFonts w:ascii="Arial" w:cs="Arial" w:eastAsia="Arial" w:hAnsi="Arial"/>
          <w:sz w:val="16"/>
          <w:szCs w:val="16"/>
          <w:b w:val="1"/>
          <w:bCs w:val="1"/>
          <w:color w:val="337C7D"/>
        </w:rPr>
        <w:t>Peer Group and Benchmarking</w:t>
      </w:r>
      <w:r>
        <w:rPr>
          <w:rFonts w:ascii="Arial" w:cs="Arial" w:eastAsia="Arial" w:hAnsi="Arial"/>
          <w:sz w:val="16"/>
          <w:szCs w:val="16"/>
          <w:color w:val="333333"/>
        </w:rPr>
        <w:t>. At least annually, the Committee</w:t>
      </w:r>
      <w:r>
        <w:rPr>
          <w:rFonts w:ascii="Arial" w:cs="Arial" w:eastAsia="Arial" w:hAnsi="Arial"/>
          <w:sz w:val="16"/>
          <w:szCs w:val="16"/>
          <w:b w:val="1"/>
          <w:bCs w:val="1"/>
          <w:color w:val="337C7D"/>
        </w:rPr>
        <w:t xml:space="preserve"> </w:t>
      </w:r>
      <w:r>
        <w:rPr>
          <w:rFonts w:ascii="Arial" w:cs="Arial" w:eastAsia="Arial" w:hAnsi="Arial"/>
          <w:sz w:val="16"/>
          <w:szCs w:val="16"/>
          <w:color w:val="333333"/>
        </w:rPr>
        <w:t>utilizes peer group and industry third-party benchmarking data to ensure that the NEOs and other officers are appropriately compensated. As part of analyzing peer group data, the Committee conducts a review of its identified peer group used for executive compensation comparisons to ensure all peer companies remain an appropriate basis for comparison.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In selecting peer companies, the Committee aims to identify companies with similar characteristics to our Company. Specifically, we look for peer group companies that are in the retail industry or another related industry, have a strong consumer brand, are profitable, and are of a comparable size (based principally on revenue and market capitalization).</w:t>
      </w:r>
    </w:p>
    <w:p>
      <w:pPr>
        <w:spacing w:after="0" w:line="384"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05C5D"/>
        </w:rPr>
        <w:t>FISCAL 2026 COMPENSATION PEER GROUP</w:t>
      </w:r>
    </w:p>
    <w:p>
      <w:pPr>
        <w:spacing w:after="0" w:line="115"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3060" w:type="dxa"/>
            <w:vAlign w:val="bottom"/>
          </w:tcPr>
          <w:p>
            <w:pPr>
              <w:spacing w:after="0"/>
              <w:rPr>
                <w:sz w:val="20"/>
                <w:szCs w:val="20"/>
                <w:color w:val="auto"/>
              </w:rPr>
            </w:pPr>
            <w:r>
              <w:rPr>
                <w:rFonts w:ascii="Arial" w:cs="Arial" w:eastAsia="Arial" w:hAnsi="Arial"/>
                <w:sz w:val="14"/>
                <w:szCs w:val="14"/>
                <w:color w:val="333333"/>
              </w:rPr>
              <w:t>The Buckle, Inc.</w:t>
            </w:r>
          </w:p>
        </w:tc>
        <w:tc>
          <w:tcPr>
            <w:tcW w:w="3720" w:type="dxa"/>
            <w:vAlign w:val="bottom"/>
          </w:tcPr>
          <w:p>
            <w:pPr>
              <w:ind w:left="1020"/>
              <w:spacing w:after="0"/>
              <w:rPr>
                <w:sz w:val="20"/>
                <w:szCs w:val="20"/>
                <w:color w:val="auto"/>
              </w:rPr>
            </w:pPr>
            <w:r>
              <w:rPr>
                <w:rFonts w:ascii="Arial" w:cs="Arial" w:eastAsia="Arial" w:hAnsi="Arial"/>
                <w:sz w:val="14"/>
                <w:szCs w:val="14"/>
                <w:color w:val="333333"/>
              </w:rPr>
              <w:t>Boot Barn, Inc.</w:t>
            </w:r>
          </w:p>
        </w:tc>
        <w:tc>
          <w:tcPr>
            <w:tcW w:w="4140" w:type="dxa"/>
            <w:vAlign w:val="bottom"/>
          </w:tcPr>
          <w:p>
            <w:pPr>
              <w:ind w:left="940"/>
              <w:spacing w:after="0"/>
              <w:rPr>
                <w:sz w:val="20"/>
                <w:szCs w:val="20"/>
                <w:color w:val="auto"/>
              </w:rPr>
            </w:pPr>
            <w:r>
              <w:rPr>
                <w:rFonts w:ascii="Arial" w:cs="Arial" w:eastAsia="Arial" w:hAnsi="Arial"/>
                <w:sz w:val="14"/>
                <w:szCs w:val="14"/>
                <w:color w:val="333333"/>
              </w:rPr>
              <w:t>J. Jill. Inc.</w:t>
            </w:r>
          </w:p>
        </w:tc>
      </w:tr>
      <w:tr>
        <w:trPr>
          <w:trHeight w:val="267"/>
        </w:trPr>
        <w:tc>
          <w:tcPr>
            <w:tcW w:w="3060" w:type="dxa"/>
            <w:vAlign w:val="bottom"/>
          </w:tcPr>
          <w:p>
            <w:pPr>
              <w:spacing w:after="0"/>
              <w:rPr>
                <w:sz w:val="20"/>
                <w:szCs w:val="20"/>
                <w:color w:val="auto"/>
              </w:rPr>
            </w:pPr>
            <w:r>
              <w:rPr>
                <w:rFonts w:ascii="Arial" w:cs="Arial" w:eastAsia="Arial" w:hAnsi="Arial"/>
                <w:sz w:val="14"/>
                <w:szCs w:val="14"/>
                <w:color w:val="333333"/>
              </w:rPr>
              <w:t>Duluth Holdings</w:t>
            </w:r>
          </w:p>
        </w:tc>
        <w:tc>
          <w:tcPr>
            <w:tcW w:w="3720" w:type="dxa"/>
            <w:vAlign w:val="bottom"/>
          </w:tcPr>
          <w:p>
            <w:pPr>
              <w:ind w:left="1020"/>
              <w:spacing w:after="0"/>
              <w:rPr>
                <w:sz w:val="20"/>
                <w:szCs w:val="20"/>
                <w:color w:val="auto"/>
              </w:rPr>
            </w:pPr>
            <w:r>
              <w:rPr>
                <w:rFonts w:ascii="Arial" w:cs="Arial" w:eastAsia="Arial" w:hAnsi="Arial"/>
                <w:sz w:val="14"/>
                <w:szCs w:val="14"/>
                <w:color w:val="333333"/>
              </w:rPr>
              <w:t>Land’s End, Inc.</w:t>
            </w:r>
          </w:p>
        </w:tc>
        <w:tc>
          <w:tcPr>
            <w:tcW w:w="4140" w:type="dxa"/>
            <w:vAlign w:val="bottom"/>
          </w:tcPr>
          <w:p>
            <w:pPr>
              <w:ind w:left="940"/>
              <w:spacing w:after="0"/>
              <w:rPr>
                <w:sz w:val="20"/>
                <w:szCs w:val="20"/>
                <w:color w:val="auto"/>
              </w:rPr>
            </w:pPr>
            <w:r>
              <w:rPr>
                <w:rFonts w:ascii="Arial" w:cs="Arial" w:eastAsia="Arial" w:hAnsi="Arial"/>
                <w:sz w:val="14"/>
                <w:szCs w:val="14"/>
                <w:color w:val="333333"/>
              </w:rPr>
              <w:t>Lulu’s Fashion Lounge Holdings, Inc</w:t>
            </w:r>
          </w:p>
        </w:tc>
      </w:tr>
      <w:tr>
        <w:trPr>
          <w:trHeight w:val="267"/>
        </w:trPr>
        <w:tc>
          <w:tcPr>
            <w:tcW w:w="3060" w:type="dxa"/>
            <w:vAlign w:val="bottom"/>
          </w:tcPr>
          <w:p>
            <w:pPr>
              <w:spacing w:after="0"/>
              <w:rPr>
                <w:sz w:val="20"/>
                <w:szCs w:val="20"/>
                <w:color w:val="auto"/>
              </w:rPr>
            </w:pPr>
            <w:r>
              <w:rPr>
                <w:rFonts w:ascii="Arial" w:cs="Arial" w:eastAsia="Arial" w:hAnsi="Arial"/>
                <w:sz w:val="14"/>
                <w:szCs w:val="14"/>
                <w:color w:val="333333"/>
              </w:rPr>
              <w:t>Vince Holding Corp.</w:t>
            </w:r>
          </w:p>
        </w:tc>
        <w:tc>
          <w:tcPr>
            <w:tcW w:w="3720" w:type="dxa"/>
            <w:vAlign w:val="bottom"/>
          </w:tcPr>
          <w:p>
            <w:pPr>
              <w:ind w:left="1020"/>
              <w:spacing w:after="0"/>
              <w:rPr>
                <w:sz w:val="20"/>
                <w:szCs w:val="20"/>
                <w:color w:val="auto"/>
              </w:rPr>
            </w:pPr>
            <w:r>
              <w:rPr>
                <w:rFonts w:ascii="Arial" w:cs="Arial" w:eastAsia="Arial" w:hAnsi="Arial"/>
                <w:sz w:val="14"/>
                <w:szCs w:val="14"/>
                <w:color w:val="333333"/>
              </w:rPr>
              <w:t>Build-a-Bear Workshop, Inc.</w:t>
            </w:r>
          </w:p>
        </w:tc>
        <w:tc>
          <w:tcPr>
            <w:tcW w:w="4140" w:type="dxa"/>
            <w:vAlign w:val="bottom"/>
          </w:tcPr>
          <w:p>
            <w:pPr>
              <w:ind w:left="940"/>
              <w:spacing w:after="0"/>
              <w:rPr>
                <w:sz w:val="20"/>
                <w:szCs w:val="20"/>
                <w:color w:val="auto"/>
              </w:rPr>
            </w:pPr>
            <w:r>
              <w:rPr>
                <w:rFonts w:ascii="Arial" w:cs="Arial" w:eastAsia="Arial" w:hAnsi="Arial"/>
                <w:sz w:val="14"/>
                <w:szCs w:val="14"/>
                <w:color w:val="333333"/>
              </w:rPr>
              <w:t>Zumiez Inc.</w:t>
            </w:r>
          </w:p>
        </w:tc>
      </w:tr>
      <w:tr>
        <w:trPr>
          <w:trHeight w:val="267"/>
        </w:trPr>
        <w:tc>
          <w:tcPr>
            <w:tcW w:w="3060" w:type="dxa"/>
            <w:vAlign w:val="bottom"/>
          </w:tcPr>
          <w:p>
            <w:pPr>
              <w:spacing w:after="0"/>
              <w:rPr>
                <w:sz w:val="20"/>
                <w:szCs w:val="20"/>
                <w:color w:val="auto"/>
              </w:rPr>
            </w:pPr>
            <w:r>
              <w:rPr>
                <w:rFonts w:ascii="Arial" w:cs="Arial" w:eastAsia="Arial" w:hAnsi="Arial"/>
                <w:sz w:val="14"/>
                <w:szCs w:val="14"/>
                <w:color w:val="333333"/>
              </w:rPr>
              <w:t>Movado Group, Inc.</w:t>
            </w:r>
          </w:p>
        </w:tc>
        <w:tc>
          <w:tcPr>
            <w:tcW w:w="3720" w:type="dxa"/>
            <w:vAlign w:val="bottom"/>
          </w:tcPr>
          <w:p>
            <w:pPr>
              <w:ind w:left="1020"/>
              <w:spacing w:after="0"/>
              <w:rPr>
                <w:sz w:val="20"/>
                <w:szCs w:val="20"/>
                <w:color w:val="auto"/>
              </w:rPr>
            </w:pPr>
            <w:r>
              <w:rPr>
                <w:rFonts w:ascii="Arial" w:cs="Arial" w:eastAsia="Arial" w:hAnsi="Arial"/>
                <w:sz w:val="14"/>
                <w:szCs w:val="14"/>
                <w:color w:val="333333"/>
              </w:rPr>
              <w:t>Oxford Industries, Inc.</w:t>
            </w:r>
          </w:p>
        </w:tc>
        <w:tc>
          <w:tcPr>
            <w:tcW w:w="4140" w:type="dxa"/>
            <w:vAlign w:val="bottom"/>
          </w:tcPr>
          <w:p>
            <w:pPr>
              <w:ind w:left="940"/>
              <w:spacing w:after="0"/>
              <w:rPr>
                <w:sz w:val="20"/>
                <w:szCs w:val="20"/>
                <w:color w:val="auto"/>
              </w:rPr>
            </w:pPr>
            <w:r>
              <w:rPr>
                <w:rFonts w:ascii="Arial" w:cs="Arial" w:eastAsia="Arial" w:hAnsi="Arial"/>
                <w:sz w:val="14"/>
                <w:szCs w:val="14"/>
                <w:color w:val="333333"/>
              </w:rPr>
              <w:t>YETI, Holdings, Inc.</w:t>
            </w:r>
          </w:p>
        </w:tc>
      </w:tr>
      <w:tr>
        <w:trPr>
          <w:trHeight w:val="267"/>
        </w:trPr>
        <w:tc>
          <w:tcPr>
            <w:tcW w:w="3060" w:type="dxa"/>
            <w:vAlign w:val="bottom"/>
          </w:tcPr>
          <w:p>
            <w:pPr>
              <w:spacing w:after="0"/>
              <w:rPr>
                <w:sz w:val="20"/>
                <w:szCs w:val="20"/>
                <w:color w:val="auto"/>
              </w:rPr>
            </w:pPr>
            <w:r>
              <w:rPr>
                <w:rFonts w:ascii="Arial" w:cs="Arial" w:eastAsia="Arial" w:hAnsi="Arial"/>
                <w:sz w:val="14"/>
                <w:szCs w:val="14"/>
                <w:color w:val="333333"/>
              </w:rPr>
              <w:t>Destination XL Group, Inc.</w:t>
            </w:r>
          </w:p>
        </w:tc>
        <w:tc>
          <w:tcPr>
            <w:tcW w:w="3720" w:type="dxa"/>
            <w:vAlign w:val="bottom"/>
          </w:tcPr>
          <w:p>
            <w:pPr>
              <w:ind w:left="1020"/>
              <w:spacing w:after="0"/>
              <w:rPr>
                <w:sz w:val="20"/>
                <w:szCs w:val="20"/>
                <w:color w:val="auto"/>
              </w:rPr>
            </w:pPr>
            <w:r>
              <w:rPr>
                <w:rFonts w:ascii="Arial" w:cs="Arial" w:eastAsia="Arial" w:hAnsi="Arial"/>
                <w:sz w:val="14"/>
                <w:szCs w:val="14"/>
                <w:color w:val="333333"/>
              </w:rPr>
              <w:t>Tilly’s Inc.</w:t>
            </w:r>
          </w:p>
        </w:tc>
        <w:tc>
          <w:tcPr>
            <w:tcW w:w="4140" w:type="dxa"/>
            <w:vAlign w:val="bottom"/>
          </w:tcPr>
          <w:p>
            <w:pPr>
              <w:ind w:left="940"/>
              <w:spacing w:after="0"/>
              <w:rPr>
                <w:sz w:val="20"/>
                <w:szCs w:val="20"/>
                <w:color w:val="auto"/>
              </w:rPr>
            </w:pPr>
            <w:r>
              <w:rPr>
                <w:rFonts w:ascii="Arial" w:cs="Arial" w:eastAsia="Arial" w:hAnsi="Arial"/>
                <w:sz w:val="14"/>
                <w:szCs w:val="14"/>
                <w:color w:val="333333"/>
              </w:rPr>
              <w:t>Rocky Brands, Inc.</w:t>
            </w:r>
          </w:p>
        </w:tc>
      </w:tr>
      <w:tr>
        <w:trPr>
          <w:trHeight w:val="267"/>
        </w:trPr>
        <w:tc>
          <w:tcPr>
            <w:tcW w:w="3060" w:type="dxa"/>
            <w:vAlign w:val="bottom"/>
          </w:tcPr>
          <w:p>
            <w:pPr>
              <w:spacing w:after="0"/>
              <w:rPr>
                <w:sz w:val="20"/>
                <w:szCs w:val="20"/>
                <w:color w:val="auto"/>
              </w:rPr>
            </w:pPr>
            <w:r>
              <w:rPr>
                <w:rFonts w:ascii="Arial" w:cs="Arial" w:eastAsia="Arial" w:hAnsi="Arial"/>
                <w:sz w:val="14"/>
                <w:szCs w:val="14"/>
                <w:color w:val="333333"/>
              </w:rPr>
              <w:t>Bassett Furniture Industries, Inc.</w:t>
            </w:r>
          </w:p>
        </w:tc>
        <w:tc>
          <w:tcPr>
            <w:tcW w:w="3720" w:type="dxa"/>
            <w:vAlign w:val="bottom"/>
          </w:tcPr>
          <w:p>
            <w:pPr>
              <w:spacing w:after="0"/>
              <w:rPr>
                <w:sz w:val="23"/>
                <w:szCs w:val="23"/>
                <w:color w:val="auto"/>
              </w:rPr>
            </w:pPr>
          </w:p>
        </w:tc>
        <w:tc>
          <w:tcPr>
            <w:tcW w:w="4140" w:type="dxa"/>
            <w:vAlign w:val="bottom"/>
          </w:tcPr>
          <w:p>
            <w:pPr>
              <w:spacing w:after="0"/>
              <w:rPr>
                <w:sz w:val="23"/>
                <w:szCs w:val="23"/>
                <w:color w:val="auto"/>
              </w:rPr>
            </w:pPr>
          </w:p>
        </w:tc>
      </w:tr>
      <w:tr>
        <w:trPr>
          <w:trHeight w:val="108"/>
        </w:trPr>
        <w:tc>
          <w:tcPr>
            <w:tcW w:w="3060" w:type="dxa"/>
            <w:vAlign w:val="bottom"/>
            <w:tcBorders>
              <w:bottom w:val="single" w:sz="8" w:color="005C5D"/>
            </w:tcBorders>
          </w:tcPr>
          <w:p>
            <w:pPr>
              <w:spacing w:after="0"/>
              <w:rPr>
                <w:sz w:val="9"/>
                <w:szCs w:val="9"/>
                <w:color w:val="auto"/>
              </w:rPr>
            </w:pPr>
          </w:p>
        </w:tc>
        <w:tc>
          <w:tcPr>
            <w:tcW w:w="3720" w:type="dxa"/>
            <w:vAlign w:val="bottom"/>
            <w:tcBorders>
              <w:bottom w:val="single" w:sz="8" w:color="005C5D"/>
            </w:tcBorders>
          </w:tcPr>
          <w:p>
            <w:pPr>
              <w:spacing w:after="0"/>
              <w:rPr>
                <w:sz w:val="9"/>
                <w:szCs w:val="9"/>
                <w:color w:val="auto"/>
              </w:rPr>
            </w:pPr>
          </w:p>
        </w:tc>
        <w:tc>
          <w:tcPr>
            <w:tcW w:w="4140" w:type="dxa"/>
            <w:vAlign w:val="bottom"/>
            <w:tcBorders>
              <w:bottom w:val="single" w:sz="8" w:color="005C5D"/>
            </w:tcBorders>
          </w:tcPr>
          <w:p>
            <w:pPr>
              <w:spacing w:after="0"/>
              <w:rPr>
                <w:sz w:val="9"/>
                <w:szCs w:val="9"/>
                <w:color w:val="auto"/>
              </w:rPr>
            </w:pPr>
          </w:p>
        </w:tc>
      </w:tr>
    </w:tbl>
    <w:p>
      <w:pPr>
        <w:spacing w:after="0" w:line="200" w:lineRule="exact"/>
        <w:rPr>
          <w:sz w:val="20"/>
          <w:szCs w:val="20"/>
          <w:color w:val="auto"/>
        </w:rPr>
      </w:pPr>
    </w:p>
    <w:p>
      <w:pPr>
        <w:spacing w:after="0" w:line="20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ELEMENTS OF OUR EXECUTIVE COMPENSATION PROGRAM IN FISCAL 2026</w:t>
      </w:r>
    </w:p>
    <w:p>
      <w:pPr>
        <w:sectPr>
          <w:pgSz w:w="11900" w:h="16838" w:orient="portrait"/>
          <w:cols w:equalWidth="0" w:num="1">
            <w:col w:w="11080"/>
          </w:cols>
          <w:pgMar w:left="320" w:top="478" w:right="499" w:bottom="1440" w:gutter="0" w:footer="0" w:header="0"/>
          <w:type w:val="continuous"/>
        </w:sectPr>
      </w:pPr>
    </w:p>
    <w:p>
      <w:pPr>
        <w:spacing w:after="0" w:line="16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5D"/>
        </w:rPr>
        <w:t>HIGHLIGHTS</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Recent highlights of our executive compensation program include:</w:t>
      </w:r>
    </w:p>
    <w:p>
      <w:pPr>
        <w:spacing w:after="0" w:line="83" w:lineRule="exact"/>
        <w:rPr>
          <w:sz w:val="20"/>
          <w:szCs w:val="20"/>
          <w:color w:val="auto"/>
        </w:rPr>
      </w:pPr>
    </w:p>
    <w:p>
      <w:pPr>
        <w:ind w:left="360" w:right="20" w:hanging="193"/>
        <w:spacing w:after="0" w:line="279" w:lineRule="auto"/>
        <w:tabs>
          <w:tab w:leader="none" w:pos="360" w:val="left"/>
        </w:tabs>
        <w:numPr>
          <w:ilvl w:val="0"/>
          <w:numId w:val="36"/>
        </w:numPr>
        <w:rPr>
          <w:rFonts w:ascii="Arial" w:cs="Arial" w:eastAsia="Arial" w:hAnsi="Arial"/>
          <w:sz w:val="16"/>
          <w:szCs w:val="16"/>
          <w:color w:val="333333"/>
        </w:rPr>
      </w:pPr>
      <w:r>
        <w:rPr>
          <w:rFonts w:ascii="Arial" w:cs="Arial" w:eastAsia="Arial" w:hAnsi="Arial"/>
          <w:sz w:val="16"/>
          <w:szCs w:val="16"/>
          <w:color w:val="333333"/>
        </w:rPr>
        <w:t>All incentive compensation is tied to company financial performance or obtaining key strategic objectives.</w:t>
      </w:r>
    </w:p>
    <w:p>
      <w:pPr>
        <w:spacing w:after="0" w:line="26" w:lineRule="exact"/>
        <w:rPr>
          <w:rFonts w:ascii="Arial" w:cs="Arial" w:eastAsia="Arial" w:hAnsi="Arial"/>
          <w:sz w:val="16"/>
          <w:szCs w:val="16"/>
          <w:color w:val="333333"/>
        </w:rPr>
      </w:pPr>
    </w:p>
    <w:p>
      <w:pPr>
        <w:jc w:val="both"/>
        <w:ind w:left="360" w:hanging="193"/>
        <w:spacing w:after="0" w:line="256" w:lineRule="auto"/>
        <w:tabs>
          <w:tab w:leader="none" w:pos="360" w:val="left"/>
        </w:tabs>
        <w:numPr>
          <w:ilvl w:val="0"/>
          <w:numId w:val="36"/>
        </w:numPr>
        <w:rPr>
          <w:rFonts w:ascii="Arial" w:cs="Arial" w:eastAsia="Arial" w:hAnsi="Arial"/>
          <w:sz w:val="16"/>
          <w:szCs w:val="16"/>
          <w:color w:val="333333"/>
        </w:rPr>
      </w:pPr>
      <w:r>
        <w:rPr>
          <w:rFonts w:ascii="Arial" w:cs="Arial" w:eastAsia="Arial" w:hAnsi="Arial"/>
          <w:sz w:val="16"/>
          <w:szCs w:val="16"/>
          <w:color w:val="333333"/>
        </w:rPr>
        <w:t>In addition to financial goals, the annual incentive for fiscal 2026 included a key strategic objective, tied to our long-term strategic plan and intended to focus the team on making progress towards the Company’s long-term strategic plan.</w:t>
      </w:r>
    </w:p>
    <w:p>
      <w:pPr>
        <w:spacing w:after="0" w:line="44" w:lineRule="exact"/>
        <w:rPr>
          <w:rFonts w:ascii="Arial" w:cs="Arial" w:eastAsia="Arial" w:hAnsi="Arial"/>
          <w:sz w:val="16"/>
          <w:szCs w:val="16"/>
          <w:color w:val="333333"/>
        </w:rPr>
      </w:pPr>
    </w:p>
    <w:p>
      <w:pPr>
        <w:jc w:val="both"/>
        <w:ind w:left="360" w:hanging="193"/>
        <w:spacing w:after="0" w:line="253" w:lineRule="auto"/>
        <w:tabs>
          <w:tab w:leader="none" w:pos="360" w:val="left"/>
        </w:tabs>
        <w:numPr>
          <w:ilvl w:val="0"/>
          <w:numId w:val="36"/>
        </w:numPr>
        <w:rPr>
          <w:rFonts w:ascii="Arial" w:cs="Arial" w:eastAsia="Arial" w:hAnsi="Arial"/>
          <w:sz w:val="16"/>
          <w:szCs w:val="16"/>
          <w:color w:val="333333"/>
        </w:rPr>
      </w:pPr>
      <w:r>
        <w:rPr>
          <w:rFonts w:ascii="Arial" w:cs="Arial" w:eastAsia="Arial" w:hAnsi="Arial"/>
          <w:sz w:val="16"/>
          <w:szCs w:val="16"/>
          <w:color w:val="333333"/>
        </w:rPr>
        <w:t>The Company achieved above threshold level for the net revenue metric. The Company’s net operating loss was below threshold level. Therefore, there was a payout for net revenue and no payout for operating loss as it related to these elements of the Company’s short-term incentive plan.</w:t>
      </w:r>
    </w:p>
    <w:p>
      <w:pPr>
        <w:spacing w:after="0" w:line="46" w:lineRule="exact"/>
        <w:rPr>
          <w:rFonts w:ascii="Arial" w:cs="Arial" w:eastAsia="Arial" w:hAnsi="Arial"/>
          <w:sz w:val="16"/>
          <w:szCs w:val="16"/>
          <w:color w:val="333333"/>
        </w:rPr>
      </w:pPr>
    </w:p>
    <w:p>
      <w:pPr>
        <w:jc w:val="both"/>
        <w:ind w:left="360" w:hanging="193"/>
        <w:spacing w:after="0" w:line="262" w:lineRule="auto"/>
        <w:tabs>
          <w:tab w:leader="none" w:pos="360" w:val="left"/>
        </w:tabs>
        <w:numPr>
          <w:ilvl w:val="0"/>
          <w:numId w:val="36"/>
        </w:numPr>
        <w:rPr>
          <w:rFonts w:ascii="Arial" w:cs="Arial" w:eastAsia="Arial" w:hAnsi="Arial"/>
          <w:sz w:val="16"/>
          <w:szCs w:val="16"/>
          <w:color w:val="333333"/>
        </w:rPr>
      </w:pPr>
      <w:r>
        <w:rPr>
          <w:rFonts w:ascii="Arial" w:cs="Arial" w:eastAsia="Arial" w:hAnsi="Arial"/>
          <w:sz w:val="16"/>
          <w:szCs w:val="16"/>
          <w:color w:val="333333"/>
        </w:rPr>
        <w:t>The Company achieved below threshold adjusted EBITDA, therefore there was no payout for the performance-based units associated with the fiscal 2026 grant.</w:t>
      </w:r>
    </w:p>
    <w:p>
      <w:pPr>
        <w:spacing w:after="0" w:line="39" w:lineRule="exact"/>
        <w:rPr>
          <w:rFonts w:ascii="Arial" w:cs="Arial" w:eastAsia="Arial" w:hAnsi="Arial"/>
          <w:sz w:val="16"/>
          <w:szCs w:val="16"/>
          <w:color w:val="333333"/>
        </w:rPr>
      </w:pPr>
    </w:p>
    <w:p>
      <w:pPr>
        <w:jc w:val="both"/>
        <w:ind w:left="360" w:hanging="193"/>
        <w:spacing w:after="0" w:line="251" w:lineRule="auto"/>
        <w:tabs>
          <w:tab w:leader="none" w:pos="360" w:val="left"/>
        </w:tabs>
        <w:numPr>
          <w:ilvl w:val="0"/>
          <w:numId w:val="36"/>
        </w:numPr>
        <w:rPr>
          <w:rFonts w:ascii="Arial" w:cs="Arial" w:eastAsia="Arial" w:hAnsi="Arial"/>
          <w:sz w:val="16"/>
          <w:szCs w:val="16"/>
          <w:color w:val="333333"/>
        </w:rPr>
      </w:pPr>
      <w:r>
        <w:rPr>
          <w:rFonts w:ascii="Arial" w:cs="Arial" w:eastAsia="Arial" w:hAnsi="Arial"/>
          <w:sz w:val="16"/>
          <w:szCs w:val="16"/>
          <w:color w:val="333333"/>
        </w:rPr>
        <w:t>The actual achievement associated with the fiscal 2026 performance year for the performance-based units of the Company’s Long-Term Incentive Plan for Adjusted EPS was above threshold and paid out at 89% for individual tranches (third tranche of fiscal 2024 and second tranche of fiscal 2025) who’s performance was based on adjusted EPS.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both"/>
        <w:ind w:left="207" w:right="20" w:hanging="207"/>
        <w:spacing w:after="0" w:line="262" w:lineRule="auto"/>
        <w:tabs>
          <w:tab w:leader="none" w:pos="207" w:val="left"/>
        </w:tabs>
        <w:numPr>
          <w:ilvl w:val="0"/>
          <w:numId w:val="37"/>
        </w:numPr>
        <w:rPr>
          <w:rFonts w:ascii="Arial" w:cs="Arial" w:eastAsia="Arial" w:hAnsi="Arial"/>
          <w:sz w:val="16"/>
          <w:szCs w:val="16"/>
          <w:color w:val="333333"/>
        </w:rPr>
      </w:pPr>
      <w:r>
        <w:rPr>
          <w:rFonts w:ascii="Arial" w:cs="Arial" w:eastAsia="Arial" w:hAnsi="Arial"/>
          <w:sz w:val="16"/>
          <w:szCs w:val="16"/>
          <w:color w:val="333333"/>
        </w:rPr>
        <w:t>All stock equity grants under our long-term incentive program vest over a three-year period in order to incentivize retention and long-range performance.</w:t>
      </w:r>
    </w:p>
    <w:p>
      <w:pPr>
        <w:spacing w:after="0" w:line="280"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05C5D"/>
        </w:rPr>
        <w:t>BASE SALARY</w:t>
      </w:r>
    </w:p>
    <w:p>
      <w:pPr>
        <w:spacing w:after="0" w:line="110" w:lineRule="exact"/>
        <w:rPr>
          <w:sz w:val="20"/>
          <w:szCs w:val="20"/>
          <w:color w:val="auto"/>
        </w:rPr>
      </w:pPr>
    </w:p>
    <w:p>
      <w:pPr>
        <w:jc w:val="both"/>
        <w:ind w:left="7"/>
        <w:spacing w:after="0" w:line="247" w:lineRule="auto"/>
        <w:rPr>
          <w:sz w:val="20"/>
          <w:szCs w:val="20"/>
          <w:color w:val="auto"/>
        </w:rPr>
      </w:pPr>
      <w:r>
        <w:rPr>
          <w:rFonts w:ascii="Arial" w:cs="Arial" w:eastAsia="Arial" w:hAnsi="Arial"/>
          <w:sz w:val="16"/>
          <w:szCs w:val="16"/>
          <w:b w:val="1"/>
          <w:bCs w:val="1"/>
          <w:color w:val="337C7D"/>
        </w:rPr>
        <w:t>Purposes of Base Salary</w:t>
      </w:r>
      <w:r>
        <w:rPr>
          <w:rFonts w:ascii="Arial" w:cs="Arial" w:eastAsia="Arial" w:hAnsi="Arial"/>
          <w:sz w:val="16"/>
          <w:szCs w:val="16"/>
          <w:color w:val="333333"/>
        </w:rPr>
        <w:t>. We utilize base salary as the primary means of</w:t>
      </w:r>
      <w:r>
        <w:rPr>
          <w:rFonts w:ascii="Arial" w:cs="Arial" w:eastAsia="Arial" w:hAnsi="Arial"/>
          <w:sz w:val="16"/>
          <w:szCs w:val="16"/>
          <w:b w:val="1"/>
          <w:bCs w:val="1"/>
          <w:color w:val="337C7D"/>
        </w:rPr>
        <w:t xml:space="preserve"> </w:t>
      </w:r>
      <w:r>
        <w:rPr>
          <w:rFonts w:ascii="Arial" w:cs="Arial" w:eastAsia="Arial" w:hAnsi="Arial"/>
          <w:sz w:val="16"/>
          <w:szCs w:val="16"/>
          <w:color w:val="333333"/>
        </w:rPr>
        <w:t>providing compensation for performing the essential elements of an executive’s job. Base salaries are intended to provide a certain level of fixed compensation commensurate with an executive’s position, responsibilities, tenure, historical compensation, retention risk, and current and expected future contributions to the Company. In particular, we set base salaries keeping in mind that we are often recruiting from a fashion and retail marketplace that is not typically found in the Company’s hometown of Fort Wayne, Indiana. With these principles in mind, base salaries are reviewed at least annually by our Committee and may be adjusted from time to time based on the results of this review.</w:t>
      </w:r>
    </w:p>
    <w:p>
      <w:pPr>
        <w:spacing w:after="0" w:line="124" w:lineRule="exact"/>
        <w:rPr>
          <w:sz w:val="20"/>
          <w:szCs w:val="20"/>
          <w:color w:val="auto"/>
        </w:rPr>
      </w:pPr>
    </w:p>
    <w:p>
      <w:pPr>
        <w:jc w:val="both"/>
        <w:ind w:left="7"/>
        <w:spacing w:after="0" w:line="279" w:lineRule="auto"/>
        <w:rPr>
          <w:sz w:val="20"/>
          <w:szCs w:val="20"/>
          <w:color w:val="auto"/>
        </w:rPr>
      </w:pPr>
      <w:r>
        <w:rPr>
          <w:rFonts w:ascii="Arial" w:cs="Arial" w:eastAsia="Arial" w:hAnsi="Arial"/>
          <w:sz w:val="16"/>
          <w:szCs w:val="16"/>
          <w:b w:val="1"/>
          <w:bCs w:val="1"/>
          <w:color w:val="337C7D"/>
        </w:rPr>
        <w:t>Setting Fiscal 2026 Base Salary</w:t>
      </w:r>
      <w:r>
        <w:rPr>
          <w:rFonts w:ascii="Arial" w:cs="Arial" w:eastAsia="Arial" w:hAnsi="Arial"/>
          <w:sz w:val="16"/>
          <w:szCs w:val="16"/>
          <w:color w:val="333333"/>
        </w:rPr>
        <w:t>. In fiscal 2026, the Committee</w:t>
      </w:r>
      <w:r>
        <w:rPr>
          <w:rFonts w:ascii="Arial" w:cs="Arial" w:eastAsia="Arial" w:hAnsi="Arial"/>
          <w:sz w:val="16"/>
          <w:szCs w:val="16"/>
          <w:b w:val="1"/>
          <w:bCs w:val="1"/>
          <w:color w:val="337C7D"/>
        </w:rPr>
        <w:t xml:space="preserve"> </w:t>
      </w:r>
      <w:r>
        <w:rPr>
          <w:rFonts w:ascii="Arial" w:cs="Arial" w:eastAsia="Arial" w:hAnsi="Arial"/>
          <w:sz w:val="16"/>
          <w:szCs w:val="16"/>
          <w:color w:val="333333"/>
        </w:rPr>
        <w:t>determined there would be no base salary increases for the NEOs.</w:t>
      </w:r>
    </w:p>
    <w:p>
      <w:pPr>
        <w:spacing w:after="0" w:line="80" w:lineRule="exact"/>
        <w:rPr>
          <w:sz w:val="20"/>
          <w:szCs w:val="20"/>
          <w:color w:val="auto"/>
        </w:rPr>
      </w:pPr>
    </w:p>
    <w:p>
      <w:pPr>
        <w:jc w:val="both"/>
        <w:ind w:left="7"/>
        <w:spacing w:after="0" w:line="256" w:lineRule="auto"/>
        <w:rPr>
          <w:sz w:val="20"/>
          <w:szCs w:val="20"/>
          <w:color w:val="auto"/>
        </w:rPr>
      </w:pPr>
      <w:r>
        <w:rPr>
          <w:rFonts w:ascii="Arial" w:cs="Arial" w:eastAsia="Arial" w:hAnsi="Arial"/>
          <w:sz w:val="16"/>
          <w:szCs w:val="16"/>
          <w:color w:val="333333"/>
        </w:rPr>
        <w:t>The Committee approved no base salary increases based on analysis of the median peer group and industry benchmarking base salary information, performance and/or changes in NEO responsibilities, and to align with the market and the Company’s compensation philosophy.</w:t>
      </w:r>
    </w:p>
    <w:p>
      <w:pPr>
        <w:spacing w:after="0" w:line="200" w:lineRule="exact"/>
        <w:rPr>
          <w:sz w:val="20"/>
          <w:szCs w:val="20"/>
          <w:color w:val="auto"/>
        </w:rPr>
      </w:pPr>
    </w:p>
    <w:p>
      <w:pPr>
        <w:sectPr>
          <w:pgSz w:w="11900" w:h="16838" w:orient="portrait"/>
          <w:cols w:equalWidth="0" w:num="2">
            <w:col w:w="5400" w:space="333"/>
            <w:col w:w="5347"/>
          </w:cols>
          <w:pgMar w:left="320" w:top="478" w:right="499" w:bottom="1440" w:gutter="0" w:footer="0" w:header="0"/>
          <w:type w:val="continuous"/>
        </w:sectPr>
      </w:pPr>
    </w:p>
    <w:p>
      <w:pPr>
        <w:spacing w:after="0" w:line="63" w:lineRule="exact"/>
        <w:rPr>
          <w:sz w:val="20"/>
          <w:szCs w:val="20"/>
          <w:color w:val="auto"/>
        </w:rPr>
      </w:pPr>
    </w:p>
    <w:p>
      <w:pPr>
        <w:ind w:left="4940"/>
        <w:spacing w:after="0"/>
        <w:tabs>
          <w:tab w:leader="none" w:pos="9080" w:val="left"/>
          <w:tab w:leader="none" w:pos="1090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25</w:t>
      </w:r>
    </w:p>
    <w:p>
      <w:pPr>
        <w:sectPr>
          <w:pgSz w:w="11900" w:h="16838" w:orient="portrait"/>
          <w:cols w:equalWidth="0" w:num="1">
            <w:col w:w="11080"/>
          </w:cols>
          <w:pgMar w:left="320" w:top="478" w:right="4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both"/>
        <w:ind w:left="160"/>
        <w:spacing w:after="0" w:line="256" w:lineRule="auto"/>
        <w:rPr>
          <w:sz w:val="20"/>
          <w:szCs w:val="20"/>
          <w:color w:val="auto"/>
        </w:rPr>
      </w:pPr>
      <w:r>
        <w:rPr>
          <w:rFonts w:ascii="Arial" w:cs="Arial" w:eastAsia="Arial" w:hAnsi="Arial"/>
          <w:sz w:val="16"/>
          <w:szCs w:val="16"/>
          <w:color w:val="333333"/>
        </w:rPr>
        <w:t>The following table shows annual base salary rates for each of our NEOs at the end of fiscal 2026 and fiscal 2025. Amounts represent a base rate of pay; actual earnings during a fiscal year may vary based upon a variety of factors, including the number of weeks in the fiscal year.</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005C5D"/>
        </w:rPr>
        <w:t>FISCAL 2026 BASE SALARY CHANGES</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120"/>
        </w:trPr>
        <w:tc>
          <w:tcPr>
            <w:tcW w:w="2120" w:type="dxa"/>
            <w:vAlign w:val="bottom"/>
          </w:tcPr>
          <w:p>
            <w:pPr>
              <w:spacing w:after="0"/>
              <w:rPr>
                <w:sz w:val="10"/>
                <w:szCs w:val="10"/>
                <w:color w:val="auto"/>
              </w:rPr>
            </w:pPr>
          </w:p>
        </w:tc>
        <w:tc>
          <w:tcPr>
            <w:tcW w:w="280" w:type="dxa"/>
            <w:vAlign w:val="bottom"/>
            <w:shd w:val="clear" w:color="auto" w:fill="FCEFEB"/>
          </w:tcPr>
          <w:p>
            <w:pPr>
              <w:spacing w:after="0"/>
              <w:rPr>
                <w:sz w:val="10"/>
                <w:szCs w:val="10"/>
                <w:color w:val="auto"/>
              </w:rPr>
            </w:pPr>
          </w:p>
        </w:tc>
        <w:tc>
          <w:tcPr>
            <w:tcW w:w="1240" w:type="dxa"/>
            <w:vAlign w:val="bottom"/>
            <w:shd w:val="clear" w:color="auto" w:fill="FCEFEB"/>
          </w:tcPr>
          <w:p>
            <w:pPr>
              <w:spacing w:after="0"/>
              <w:rPr>
                <w:sz w:val="10"/>
                <w:szCs w:val="10"/>
                <w:color w:val="auto"/>
              </w:rPr>
            </w:pPr>
          </w:p>
        </w:tc>
        <w:tc>
          <w:tcPr>
            <w:tcW w:w="300" w:type="dxa"/>
            <w:vAlign w:val="bottom"/>
            <w:shd w:val="clear" w:color="auto" w:fill="FCEFEB"/>
          </w:tcPr>
          <w:p>
            <w:pPr>
              <w:spacing w:after="0"/>
              <w:rPr>
                <w:sz w:val="10"/>
                <w:szCs w:val="10"/>
                <w:color w:val="auto"/>
              </w:rPr>
            </w:pPr>
          </w:p>
        </w:tc>
        <w:tc>
          <w:tcPr>
            <w:tcW w:w="1300" w:type="dxa"/>
            <w:vAlign w:val="bottom"/>
            <w:shd w:val="clear" w:color="auto" w:fill="FCEFEB"/>
          </w:tcPr>
          <w:p>
            <w:pPr>
              <w:spacing w:after="0"/>
              <w:rPr>
                <w:sz w:val="10"/>
                <w:szCs w:val="10"/>
                <w:color w:val="auto"/>
              </w:rPr>
            </w:pPr>
          </w:p>
        </w:tc>
      </w:tr>
      <w:tr>
        <w:trPr>
          <w:trHeight w:val="187"/>
        </w:trPr>
        <w:tc>
          <w:tcPr>
            <w:tcW w:w="2120" w:type="dxa"/>
            <w:vAlign w:val="bottom"/>
            <w:shd w:val="clear" w:color="auto" w:fill="005C5D"/>
          </w:tcPr>
          <w:p>
            <w:pPr>
              <w:spacing w:after="0"/>
              <w:rPr>
                <w:sz w:val="16"/>
                <w:szCs w:val="16"/>
                <w:color w:val="auto"/>
              </w:rPr>
            </w:pPr>
          </w:p>
        </w:tc>
        <w:tc>
          <w:tcPr>
            <w:tcW w:w="1520" w:type="dxa"/>
            <w:vAlign w:val="bottom"/>
            <w:gridSpan w:val="2"/>
            <w:shd w:val="clear" w:color="auto" w:fill="005C5D"/>
          </w:tcPr>
          <w:p>
            <w:pPr>
              <w:jc w:val="right"/>
              <w:ind w:right="150"/>
              <w:spacing w:after="0"/>
              <w:rPr>
                <w:sz w:val="20"/>
                <w:szCs w:val="20"/>
                <w:color w:val="auto"/>
              </w:rPr>
            </w:pPr>
            <w:r>
              <w:rPr>
                <w:rFonts w:ascii="Arial" w:cs="Arial" w:eastAsia="Arial" w:hAnsi="Arial"/>
                <w:sz w:val="12"/>
                <w:szCs w:val="12"/>
                <w:color w:val="FFFFFF"/>
              </w:rPr>
              <w:t>FISCAL 2026 BASE</w:t>
            </w:r>
          </w:p>
        </w:tc>
        <w:tc>
          <w:tcPr>
            <w:tcW w:w="1600" w:type="dxa"/>
            <w:vAlign w:val="bottom"/>
            <w:gridSpan w:val="2"/>
            <w:shd w:val="clear" w:color="auto" w:fill="005C5D"/>
          </w:tcPr>
          <w:p>
            <w:pPr>
              <w:ind w:left="180"/>
              <w:spacing w:after="0"/>
              <w:rPr>
                <w:sz w:val="20"/>
                <w:szCs w:val="20"/>
                <w:color w:val="auto"/>
              </w:rPr>
            </w:pPr>
            <w:r>
              <w:rPr>
                <w:rFonts w:ascii="Arial" w:cs="Arial" w:eastAsia="Arial" w:hAnsi="Arial"/>
                <w:sz w:val="12"/>
                <w:szCs w:val="12"/>
                <w:color w:val="FFFFFF"/>
              </w:rPr>
              <w:t xml:space="preserve">FISCAL 2025 BASE   </w:t>
            </w:r>
          </w:p>
        </w:tc>
      </w:tr>
      <w:tr>
        <w:trPr>
          <w:trHeight w:val="207"/>
        </w:trPr>
        <w:tc>
          <w:tcPr>
            <w:tcW w:w="2120" w:type="dxa"/>
            <w:vAlign w:val="bottom"/>
            <w:tcBorders>
              <w:bottom w:val="single" w:sz="8" w:color="005C5D"/>
            </w:tcBorders>
            <w:shd w:val="clear" w:color="auto" w:fill="005C5D"/>
          </w:tcPr>
          <w:p>
            <w:pPr>
              <w:spacing w:after="0"/>
              <w:rPr>
                <w:sz w:val="18"/>
                <w:szCs w:val="18"/>
                <w:color w:val="auto"/>
              </w:rPr>
            </w:pPr>
          </w:p>
        </w:tc>
        <w:tc>
          <w:tcPr>
            <w:tcW w:w="280" w:type="dxa"/>
            <w:vAlign w:val="bottom"/>
            <w:tcBorders>
              <w:bottom w:val="single" w:sz="8" w:color="005C5D"/>
            </w:tcBorders>
            <w:shd w:val="clear" w:color="auto" w:fill="005C5D"/>
          </w:tcPr>
          <w:p>
            <w:pPr>
              <w:spacing w:after="0"/>
              <w:rPr>
                <w:sz w:val="18"/>
                <w:szCs w:val="18"/>
                <w:color w:val="auto"/>
              </w:rPr>
            </w:pPr>
          </w:p>
        </w:tc>
        <w:tc>
          <w:tcPr>
            <w:tcW w:w="1240" w:type="dxa"/>
            <w:vAlign w:val="bottom"/>
            <w:tcBorders>
              <w:bottom w:val="single" w:sz="8" w:color="005C5D"/>
            </w:tcBorders>
            <w:shd w:val="clear" w:color="auto" w:fill="005C5D"/>
          </w:tcPr>
          <w:p>
            <w:pPr>
              <w:jc w:val="right"/>
              <w:ind w:right="290"/>
              <w:spacing w:after="0"/>
              <w:rPr>
                <w:sz w:val="20"/>
                <w:szCs w:val="20"/>
                <w:color w:val="auto"/>
              </w:rPr>
            </w:pPr>
            <w:r>
              <w:rPr>
                <w:rFonts w:ascii="Arial" w:cs="Arial" w:eastAsia="Arial" w:hAnsi="Arial"/>
                <w:sz w:val="12"/>
                <w:szCs w:val="12"/>
                <w:color w:val="FFFFFF"/>
              </w:rPr>
              <w:t>SALARY RATE</w:t>
            </w:r>
          </w:p>
        </w:tc>
        <w:tc>
          <w:tcPr>
            <w:tcW w:w="300" w:type="dxa"/>
            <w:vAlign w:val="bottom"/>
            <w:tcBorders>
              <w:bottom w:val="single" w:sz="8" w:color="005C5D"/>
            </w:tcBorders>
            <w:shd w:val="clear" w:color="auto" w:fill="005C5D"/>
          </w:tcPr>
          <w:p>
            <w:pPr>
              <w:spacing w:after="0"/>
              <w:rPr>
                <w:sz w:val="18"/>
                <w:szCs w:val="18"/>
                <w:color w:val="auto"/>
              </w:rPr>
            </w:pPr>
          </w:p>
        </w:tc>
        <w:tc>
          <w:tcPr>
            <w:tcW w:w="1300" w:type="dxa"/>
            <w:vAlign w:val="bottom"/>
            <w:tcBorders>
              <w:bottom w:val="single" w:sz="8" w:color="005C5D"/>
            </w:tcBorders>
            <w:shd w:val="clear" w:color="auto" w:fill="005C5D"/>
          </w:tcPr>
          <w:p>
            <w:pPr>
              <w:jc w:val="right"/>
              <w:ind w:right="330"/>
              <w:spacing w:after="0"/>
              <w:rPr>
                <w:sz w:val="20"/>
                <w:szCs w:val="20"/>
                <w:color w:val="auto"/>
              </w:rPr>
            </w:pPr>
            <w:r>
              <w:rPr>
                <w:rFonts w:ascii="Arial" w:cs="Arial" w:eastAsia="Arial" w:hAnsi="Arial"/>
                <w:sz w:val="12"/>
                <w:szCs w:val="12"/>
                <w:color w:val="FFFFFF"/>
              </w:rPr>
              <w:t>SALARY RATE</w:t>
            </w:r>
          </w:p>
        </w:tc>
      </w:tr>
      <w:tr>
        <w:trPr>
          <w:trHeight w:val="294"/>
        </w:trPr>
        <w:tc>
          <w:tcPr>
            <w:tcW w:w="2120" w:type="dxa"/>
            <w:vAlign w:val="bottom"/>
          </w:tcPr>
          <w:p>
            <w:pPr>
              <w:ind w:left="80"/>
              <w:spacing w:after="0"/>
              <w:rPr>
                <w:sz w:val="20"/>
                <w:szCs w:val="20"/>
                <w:color w:val="auto"/>
              </w:rPr>
            </w:pPr>
            <w:r>
              <w:rPr>
                <w:rFonts w:ascii="Arial" w:cs="Arial" w:eastAsia="Arial" w:hAnsi="Arial"/>
                <w:sz w:val="14"/>
                <w:szCs w:val="14"/>
                <w:color w:val="333333"/>
              </w:rPr>
              <w:t>Ian Bickley</w:t>
            </w:r>
          </w:p>
        </w:tc>
        <w:tc>
          <w:tcPr>
            <w:tcW w:w="280" w:type="dxa"/>
            <w:vAlign w:val="bottom"/>
            <w:tcBorders>
              <w:bottom w:val="single" w:sz="8" w:color="FCEFEB"/>
            </w:tcBorders>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1240" w:type="dxa"/>
            <w:vAlign w:val="bottom"/>
            <w:tcBorders>
              <w:bottom w:val="single" w:sz="8" w:color="FCEFEB"/>
            </w:tcBorders>
            <w:shd w:val="clear" w:color="auto" w:fill="FCEFEB"/>
          </w:tcPr>
          <w:p>
            <w:pPr>
              <w:jc w:val="right"/>
              <w:ind w:right="150"/>
              <w:spacing w:after="0"/>
              <w:rPr>
                <w:sz w:val="20"/>
                <w:szCs w:val="20"/>
                <w:color w:val="auto"/>
              </w:rPr>
            </w:pPr>
            <w:r>
              <w:rPr>
                <w:rFonts w:ascii="Arial" w:cs="Arial" w:eastAsia="Arial" w:hAnsi="Arial"/>
                <w:sz w:val="14"/>
                <w:szCs w:val="14"/>
                <w:color w:val="333333"/>
              </w:rPr>
              <w:t>720,000</w:t>
            </w:r>
          </w:p>
        </w:tc>
        <w:tc>
          <w:tcPr>
            <w:tcW w:w="300" w:type="dxa"/>
            <w:vAlign w:val="bottom"/>
            <w:tcBorders>
              <w:bottom w:val="single" w:sz="8" w:color="FCEFEB"/>
            </w:tcBorders>
            <w:shd w:val="clear" w:color="auto" w:fill="FCEFEB"/>
          </w:tcPr>
          <w:p>
            <w:pPr>
              <w:spacing w:after="0"/>
              <w:rPr>
                <w:sz w:val="24"/>
                <w:szCs w:val="24"/>
                <w:color w:val="auto"/>
              </w:rPr>
            </w:pPr>
          </w:p>
        </w:tc>
        <w:tc>
          <w:tcPr>
            <w:tcW w:w="1300" w:type="dxa"/>
            <w:vAlign w:val="bottom"/>
            <w:tcBorders>
              <w:bottom w:val="single" w:sz="8" w:color="FCEFEB"/>
            </w:tcBorders>
            <w:shd w:val="clear" w:color="auto" w:fill="FCEFEB"/>
          </w:tcPr>
          <w:p>
            <w:pPr>
              <w:jc w:val="right"/>
              <w:ind w:right="150"/>
              <w:spacing w:after="0"/>
              <w:rPr>
                <w:sz w:val="20"/>
                <w:szCs w:val="20"/>
                <w:color w:val="auto"/>
              </w:rPr>
            </w:pPr>
            <w:r>
              <w:rPr>
                <w:rFonts w:ascii="Arial" w:cs="Arial" w:eastAsia="Arial" w:hAnsi="Arial"/>
                <w:sz w:val="14"/>
                <w:szCs w:val="14"/>
                <w:color w:val="333333"/>
              </w:rPr>
              <w:t>N/A</w:t>
            </w:r>
          </w:p>
        </w:tc>
      </w:tr>
      <w:tr>
        <w:trPr>
          <w:trHeight w:val="274"/>
        </w:trPr>
        <w:tc>
          <w:tcPr>
            <w:tcW w:w="212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Jacqueline Ardrey</w:t>
            </w:r>
          </w:p>
        </w:tc>
        <w:tc>
          <w:tcPr>
            <w:tcW w:w="280" w:type="dxa"/>
            <w:vAlign w:val="bottom"/>
            <w:tcBorders>
              <w:top w:val="single" w:sz="8" w:color="005C5D"/>
              <w:bottom w:val="single" w:sz="8" w:color="FCEFEB"/>
            </w:tcBorders>
            <w:shd w:val="clear" w:color="auto" w:fill="FCEFEB"/>
          </w:tcPr>
          <w:p>
            <w:pPr>
              <w:spacing w:after="0"/>
              <w:rPr>
                <w:sz w:val="23"/>
                <w:szCs w:val="23"/>
                <w:color w:val="auto"/>
              </w:rPr>
            </w:pPr>
          </w:p>
        </w:tc>
        <w:tc>
          <w:tcPr>
            <w:tcW w:w="1240" w:type="dxa"/>
            <w:vAlign w:val="bottom"/>
            <w:tcBorders>
              <w:top w:val="single" w:sz="8" w:color="005C5D"/>
              <w:bottom w:val="single" w:sz="8" w:color="FCEFEB"/>
            </w:tcBorders>
            <w:shd w:val="clear" w:color="auto" w:fill="FCEFEB"/>
          </w:tcPr>
          <w:p>
            <w:pPr>
              <w:jc w:val="right"/>
              <w:ind w:right="150"/>
              <w:spacing w:after="0"/>
              <w:rPr>
                <w:sz w:val="20"/>
                <w:szCs w:val="20"/>
                <w:color w:val="auto"/>
              </w:rPr>
            </w:pPr>
            <w:r>
              <w:rPr>
                <w:rFonts w:ascii="Arial" w:cs="Arial" w:eastAsia="Arial" w:hAnsi="Arial"/>
                <w:sz w:val="14"/>
                <w:szCs w:val="14"/>
                <w:color w:val="333333"/>
              </w:rPr>
              <w:t>875,500</w:t>
            </w:r>
          </w:p>
        </w:tc>
        <w:tc>
          <w:tcPr>
            <w:tcW w:w="300" w:type="dxa"/>
            <w:vAlign w:val="bottom"/>
            <w:tcBorders>
              <w:top w:val="single" w:sz="8" w:color="005C5D"/>
              <w:bottom w:val="single" w:sz="8" w:color="FCEFEB"/>
            </w:tcBorders>
            <w:shd w:val="clear" w:color="auto" w:fill="FCEFEB"/>
          </w:tcPr>
          <w:p>
            <w:pPr>
              <w:ind w:left="180"/>
              <w:spacing w:after="0"/>
              <w:rPr>
                <w:sz w:val="20"/>
                <w:szCs w:val="20"/>
                <w:color w:val="auto"/>
              </w:rPr>
            </w:pPr>
            <w:r>
              <w:rPr>
                <w:rFonts w:ascii="Arial" w:cs="Arial" w:eastAsia="Arial" w:hAnsi="Arial"/>
                <w:sz w:val="14"/>
                <w:szCs w:val="14"/>
                <w:color w:val="333333"/>
              </w:rPr>
              <w:t>$</w:t>
            </w:r>
          </w:p>
        </w:tc>
        <w:tc>
          <w:tcPr>
            <w:tcW w:w="1300" w:type="dxa"/>
            <w:vAlign w:val="bottom"/>
            <w:tcBorders>
              <w:top w:val="single" w:sz="8" w:color="005C5D"/>
              <w:bottom w:val="single" w:sz="8" w:color="FCEFEB"/>
            </w:tcBorders>
            <w:shd w:val="clear" w:color="auto" w:fill="FCEFEB"/>
          </w:tcPr>
          <w:p>
            <w:pPr>
              <w:jc w:val="right"/>
              <w:ind w:right="150"/>
              <w:spacing w:after="0"/>
              <w:rPr>
                <w:sz w:val="20"/>
                <w:szCs w:val="20"/>
                <w:color w:val="auto"/>
              </w:rPr>
            </w:pPr>
            <w:r>
              <w:rPr>
                <w:rFonts w:ascii="Arial" w:cs="Arial" w:eastAsia="Arial" w:hAnsi="Arial"/>
                <w:sz w:val="14"/>
                <w:szCs w:val="14"/>
                <w:color w:val="333333"/>
              </w:rPr>
              <w:t>875,500</w:t>
            </w:r>
          </w:p>
        </w:tc>
      </w:tr>
      <w:tr>
        <w:trPr>
          <w:trHeight w:val="274"/>
        </w:trPr>
        <w:tc>
          <w:tcPr>
            <w:tcW w:w="212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Martin Layding</w:t>
            </w:r>
          </w:p>
        </w:tc>
        <w:tc>
          <w:tcPr>
            <w:tcW w:w="280" w:type="dxa"/>
            <w:vAlign w:val="bottom"/>
            <w:tcBorders>
              <w:top w:val="single" w:sz="8" w:color="005C5D"/>
              <w:bottom w:val="single" w:sz="8" w:color="FCEFEB"/>
            </w:tcBorders>
            <w:shd w:val="clear" w:color="auto" w:fill="FCEFEB"/>
          </w:tcPr>
          <w:p>
            <w:pPr>
              <w:spacing w:after="0"/>
              <w:rPr>
                <w:sz w:val="23"/>
                <w:szCs w:val="23"/>
                <w:color w:val="auto"/>
              </w:rPr>
            </w:pPr>
          </w:p>
        </w:tc>
        <w:tc>
          <w:tcPr>
            <w:tcW w:w="1240" w:type="dxa"/>
            <w:vAlign w:val="bottom"/>
            <w:tcBorders>
              <w:top w:val="single" w:sz="8" w:color="005C5D"/>
              <w:bottom w:val="single" w:sz="8" w:color="FCEFEB"/>
            </w:tcBorders>
            <w:shd w:val="clear" w:color="auto" w:fill="FCEFEB"/>
          </w:tcPr>
          <w:p>
            <w:pPr>
              <w:jc w:val="right"/>
              <w:ind w:right="150"/>
              <w:spacing w:after="0"/>
              <w:rPr>
                <w:sz w:val="20"/>
                <w:szCs w:val="20"/>
                <w:color w:val="auto"/>
              </w:rPr>
            </w:pPr>
            <w:r>
              <w:rPr>
                <w:rFonts w:ascii="Arial" w:cs="Arial" w:eastAsia="Arial" w:hAnsi="Arial"/>
                <w:sz w:val="14"/>
                <w:szCs w:val="14"/>
                <w:color w:val="333333"/>
              </w:rPr>
              <w:t>475,000</w:t>
            </w:r>
          </w:p>
        </w:tc>
        <w:tc>
          <w:tcPr>
            <w:tcW w:w="300" w:type="dxa"/>
            <w:vAlign w:val="bottom"/>
            <w:tcBorders>
              <w:top w:val="single" w:sz="8" w:color="005C5D"/>
              <w:bottom w:val="single" w:sz="8" w:color="FCEFEB"/>
            </w:tcBorders>
            <w:shd w:val="clear" w:color="auto" w:fill="FCEFEB"/>
          </w:tcPr>
          <w:p>
            <w:pPr>
              <w:spacing w:after="0"/>
              <w:rPr>
                <w:sz w:val="23"/>
                <w:szCs w:val="23"/>
                <w:color w:val="auto"/>
              </w:rPr>
            </w:pPr>
          </w:p>
        </w:tc>
        <w:tc>
          <w:tcPr>
            <w:tcW w:w="1300" w:type="dxa"/>
            <w:vAlign w:val="bottom"/>
            <w:tcBorders>
              <w:top w:val="single" w:sz="8" w:color="005C5D"/>
              <w:bottom w:val="single" w:sz="8" w:color="FCEFEB"/>
            </w:tcBorders>
            <w:shd w:val="clear" w:color="auto" w:fill="FCEFEB"/>
          </w:tcPr>
          <w:p>
            <w:pPr>
              <w:jc w:val="right"/>
              <w:ind w:right="150"/>
              <w:spacing w:after="0"/>
              <w:rPr>
                <w:sz w:val="20"/>
                <w:szCs w:val="20"/>
                <w:color w:val="auto"/>
              </w:rPr>
            </w:pPr>
            <w:r>
              <w:rPr>
                <w:rFonts w:ascii="Arial" w:cs="Arial" w:eastAsia="Arial" w:hAnsi="Arial"/>
                <w:sz w:val="14"/>
                <w:szCs w:val="14"/>
                <w:color w:val="333333"/>
              </w:rPr>
              <w:t>N/A</w:t>
            </w:r>
          </w:p>
        </w:tc>
      </w:tr>
      <w:tr>
        <w:trPr>
          <w:trHeight w:val="274"/>
        </w:trPr>
        <w:tc>
          <w:tcPr>
            <w:tcW w:w="212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Michael Schwindle</w:t>
            </w:r>
          </w:p>
        </w:tc>
        <w:tc>
          <w:tcPr>
            <w:tcW w:w="280" w:type="dxa"/>
            <w:vAlign w:val="bottom"/>
            <w:tcBorders>
              <w:top w:val="single" w:sz="8" w:color="005C5D"/>
              <w:bottom w:val="single" w:sz="8" w:color="FCEFEB"/>
            </w:tcBorders>
            <w:shd w:val="clear" w:color="auto" w:fill="FCEFEB"/>
          </w:tcPr>
          <w:p>
            <w:pPr>
              <w:spacing w:after="0"/>
              <w:rPr>
                <w:sz w:val="23"/>
                <w:szCs w:val="23"/>
                <w:color w:val="auto"/>
              </w:rPr>
            </w:pPr>
          </w:p>
        </w:tc>
        <w:tc>
          <w:tcPr>
            <w:tcW w:w="1240" w:type="dxa"/>
            <w:vAlign w:val="bottom"/>
            <w:tcBorders>
              <w:top w:val="single" w:sz="8" w:color="005C5D"/>
              <w:bottom w:val="single" w:sz="8" w:color="FCEFEB"/>
            </w:tcBorders>
            <w:shd w:val="clear" w:color="auto" w:fill="FCEFEB"/>
          </w:tcPr>
          <w:p>
            <w:pPr>
              <w:jc w:val="right"/>
              <w:ind w:right="150"/>
              <w:spacing w:after="0"/>
              <w:rPr>
                <w:sz w:val="20"/>
                <w:szCs w:val="20"/>
                <w:color w:val="auto"/>
              </w:rPr>
            </w:pPr>
            <w:r>
              <w:rPr>
                <w:rFonts w:ascii="Arial" w:cs="Arial" w:eastAsia="Arial" w:hAnsi="Arial"/>
                <w:sz w:val="14"/>
                <w:szCs w:val="14"/>
                <w:color w:val="333333"/>
              </w:rPr>
              <w:t>540,750</w:t>
            </w:r>
          </w:p>
        </w:tc>
        <w:tc>
          <w:tcPr>
            <w:tcW w:w="300" w:type="dxa"/>
            <w:vAlign w:val="bottom"/>
            <w:tcBorders>
              <w:top w:val="single" w:sz="8" w:color="005C5D"/>
              <w:bottom w:val="single" w:sz="8" w:color="FCEFEB"/>
            </w:tcBorders>
            <w:shd w:val="clear" w:color="auto" w:fill="FCEFEB"/>
          </w:tcPr>
          <w:p>
            <w:pPr>
              <w:spacing w:after="0"/>
              <w:rPr>
                <w:sz w:val="23"/>
                <w:szCs w:val="23"/>
                <w:color w:val="auto"/>
              </w:rPr>
            </w:pPr>
          </w:p>
        </w:tc>
        <w:tc>
          <w:tcPr>
            <w:tcW w:w="1300" w:type="dxa"/>
            <w:vAlign w:val="bottom"/>
            <w:tcBorders>
              <w:top w:val="single" w:sz="8" w:color="005C5D"/>
              <w:bottom w:val="single" w:sz="8" w:color="FCEFEB"/>
            </w:tcBorders>
            <w:shd w:val="clear" w:color="auto" w:fill="FCEFEB"/>
          </w:tcPr>
          <w:p>
            <w:pPr>
              <w:jc w:val="right"/>
              <w:ind w:right="150"/>
              <w:spacing w:after="0"/>
              <w:rPr>
                <w:sz w:val="20"/>
                <w:szCs w:val="20"/>
                <w:color w:val="auto"/>
              </w:rPr>
            </w:pPr>
            <w:r>
              <w:rPr>
                <w:rFonts w:ascii="Arial" w:cs="Arial" w:eastAsia="Arial" w:hAnsi="Arial"/>
                <w:sz w:val="14"/>
                <w:szCs w:val="14"/>
                <w:color w:val="333333"/>
              </w:rPr>
              <w:t>540,750</w:t>
            </w:r>
          </w:p>
        </w:tc>
      </w:tr>
      <w:tr>
        <w:trPr>
          <w:trHeight w:val="274"/>
        </w:trPr>
        <w:tc>
          <w:tcPr>
            <w:tcW w:w="212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Mark C. Dely</w:t>
            </w:r>
          </w:p>
        </w:tc>
        <w:tc>
          <w:tcPr>
            <w:tcW w:w="280" w:type="dxa"/>
            <w:vAlign w:val="bottom"/>
            <w:tcBorders>
              <w:top w:val="single" w:sz="8" w:color="005C5D"/>
              <w:bottom w:val="single" w:sz="8" w:color="FCEFEB"/>
            </w:tcBorders>
            <w:shd w:val="clear" w:color="auto" w:fill="FCEFEB"/>
          </w:tcPr>
          <w:p>
            <w:pPr>
              <w:spacing w:after="0"/>
              <w:rPr>
                <w:sz w:val="23"/>
                <w:szCs w:val="23"/>
                <w:color w:val="auto"/>
              </w:rPr>
            </w:pPr>
          </w:p>
        </w:tc>
        <w:tc>
          <w:tcPr>
            <w:tcW w:w="1240" w:type="dxa"/>
            <w:vAlign w:val="bottom"/>
            <w:tcBorders>
              <w:top w:val="single" w:sz="8" w:color="005C5D"/>
              <w:bottom w:val="single" w:sz="8" w:color="FCEFEB"/>
            </w:tcBorders>
            <w:shd w:val="clear" w:color="auto" w:fill="FCEFEB"/>
          </w:tcPr>
          <w:p>
            <w:pPr>
              <w:jc w:val="right"/>
              <w:ind w:right="150"/>
              <w:spacing w:after="0"/>
              <w:rPr>
                <w:sz w:val="20"/>
                <w:szCs w:val="20"/>
                <w:color w:val="auto"/>
              </w:rPr>
            </w:pPr>
            <w:r>
              <w:rPr>
                <w:rFonts w:ascii="Arial" w:cs="Arial" w:eastAsia="Arial" w:hAnsi="Arial"/>
                <w:sz w:val="14"/>
                <w:szCs w:val="14"/>
                <w:color w:val="333333"/>
              </w:rPr>
              <w:t>463,500</w:t>
            </w:r>
          </w:p>
        </w:tc>
        <w:tc>
          <w:tcPr>
            <w:tcW w:w="300" w:type="dxa"/>
            <w:vAlign w:val="bottom"/>
            <w:tcBorders>
              <w:top w:val="single" w:sz="8" w:color="005C5D"/>
              <w:bottom w:val="single" w:sz="8" w:color="FCEFEB"/>
            </w:tcBorders>
            <w:shd w:val="clear" w:color="auto" w:fill="FCEFEB"/>
          </w:tcPr>
          <w:p>
            <w:pPr>
              <w:spacing w:after="0"/>
              <w:rPr>
                <w:sz w:val="23"/>
                <w:szCs w:val="23"/>
                <w:color w:val="auto"/>
              </w:rPr>
            </w:pPr>
          </w:p>
        </w:tc>
        <w:tc>
          <w:tcPr>
            <w:tcW w:w="1300" w:type="dxa"/>
            <w:vAlign w:val="bottom"/>
            <w:tcBorders>
              <w:top w:val="single" w:sz="8" w:color="005C5D"/>
              <w:bottom w:val="single" w:sz="8" w:color="FCEFEB"/>
            </w:tcBorders>
            <w:shd w:val="clear" w:color="auto" w:fill="FCEFEB"/>
          </w:tcPr>
          <w:p>
            <w:pPr>
              <w:jc w:val="right"/>
              <w:ind w:right="150"/>
              <w:spacing w:after="0"/>
              <w:rPr>
                <w:sz w:val="20"/>
                <w:szCs w:val="20"/>
                <w:color w:val="auto"/>
              </w:rPr>
            </w:pPr>
            <w:r>
              <w:rPr>
                <w:rFonts w:ascii="Arial" w:cs="Arial" w:eastAsia="Arial" w:hAnsi="Arial"/>
                <w:sz w:val="14"/>
                <w:szCs w:val="14"/>
                <w:color w:val="333333"/>
              </w:rPr>
              <w:t>463,500</w:t>
            </w:r>
          </w:p>
        </w:tc>
      </w:tr>
      <w:tr>
        <w:trPr>
          <w:trHeight w:val="274"/>
        </w:trPr>
        <w:tc>
          <w:tcPr>
            <w:tcW w:w="212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Alison Hiatt</w:t>
            </w:r>
          </w:p>
        </w:tc>
        <w:tc>
          <w:tcPr>
            <w:tcW w:w="280" w:type="dxa"/>
            <w:vAlign w:val="bottom"/>
            <w:tcBorders>
              <w:top w:val="single" w:sz="8" w:color="005C5D"/>
              <w:bottom w:val="single" w:sz="8" w:color="FCEFEB"/>
            </w:tcBorders>
            <w:shd w:val="clear" w:color="auto" w:fill="FCEFEB"/>
          </w:tcPr>
          <w:p>
            <w:pPr>
              <w:spacing w:after="0"/>
              <w:rPr>
                <w:sz w:val="23"/>
                <w:szCs w:val="23"/>
                <w:color w:val="auto"/>
              </w:rPr>
            </w:pPr>
          </w:p>
        </w:tc>
        <w:tc>
          <w:tcPr>
            <w:tcW w:w="1240" w:type="dxa"/>
            <w:vAlign w:val="bottom"/>
            <w:tcBorders>
              <w:top w:val="single" w:sz="8" w:color="005C5D"/>
              <w:bottom w:val="single" w:sz="8" w:color="FCEFEB"/>
            </w:tcBorders>
            <w:shd w:val="clear" w:color="auto" w:fill="FCEFEB"/>
          </w:tcPr>
          <w:p>
            <w:pPr>
              <w:jc w:val="right"/>
              <w:ind w:right="150"/>
              <w:spacing w:after="0"/>
              <w:rPr>
                <w:sz w:val="20"/>
                <w:szCs w:val="20"/>
                <w:color w:val="auto"/>
              </w:rPr>
            </w:pPr>
            <w:r>
              <w:rPr>
                <w:rFonts w:ascii="Arial" w:cs="Arial" w:eastAsia="Arial" w:hAnsi="Arial"/>
                <w:sz w:val="14"/>
                <w:szCs w:val="14"/>
                <w:color w:val="333333"/>
              </w:rPr>
              <w:t>412,000</w:t>
            </w:r>
          </w:p>
        </w:tc>
        <w:tc>
          <w:tcPr>
            <w:tcW w:w="300" w:type="dxa"/>
            <w:vAlign w:val="bottom"/>
            <w:tcBorders>
              <w:top w:val="single" w:sz="8" w:color="005C5D"/>
              <w:bottom w:val="single" w:sz="8" w:color="FCEFEB"/>
            </w:tcBorders>
            <w:shd w:val="clear" w:color="auto" w:fill="FCEFEB"/>
          </w:tcPr>
          <w:p>
            <w:pPr>
              <w:spacing w:after="0"/>
              <w:rPr>
                <w:sz w:val="23"/>
                <w:szCs w:val="23"/>
                <w:color w:val="auto"/>
              </w:rPr>
            </w:pPr>
          </w:p>
        </w:tc>
        <w:tc>
          <w:tcPr>
            <w:tcW w:w="1300" w:type="dxa"/>
            <w:vAlign w:val="bottom"/>
            <w:tcBorders>
              <w:top w:val="single" w:sz="8" w:color="005C5D"/>
              <w:bottom w:val="single" w:sz="8" w:color="FCEFEB"/>
            </w:tcBorders>
            <w:shd w:val="clear" w:color="auto" w:fill="FCEFEB"/>
          </w:tcPr>
          <w:p>
            <w:pPr>
              <w:jc w:val="right"/>
              <w:ind w:right="150"/>
              <w:spacing w:after="0"/>
              <w:rPr>
                <w:sz w:val="20"/>
                <w:szCs w:val="20"/>
                <w:color w:val="auto"/>
              </w:rPr>
            </w:pPr>
            <w:r>
              <w:rPr>
                <w:rFonts w:ascii="Arial" w:cs="Arial" w:eastAsia="Arial" w:hAnsi="Arial"/>
                <w:sz w:val="14"/>
                <w:szCs w:val="14"/>
                <w:color w:val="333333"/>
              </w:rPr>
              <w:t>412,000</w:t>
            </w:r>
          </w:p>
        </w:tc>
      </w:tr>
      <w:tr>
        <w:trPr>
          <w:trHeight w:val="254"/>
        </w:trPr>
        <w:tc>
          <w:tcPr>
            <w:tcW w:w="212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Melinda Paraie</w:t>
            </w:r>
          </w:p>
        </w:tc>
        <w:tc>
          <w:tcPr>
            <w:tcW w:w="280" w:type="dxa"/>
            <w:vAlign w:val="bottom"/>
            <w:tcBorders>
              <w:top w:val="single" w:sz="8" w:color="005C5D"/>
              <w:bottom w:val="single" w:sz="8" w:color="FCEFEB"/>
            </w:tcBorders>
            <w:shd w:val="clear" w:color="auto" w:fill="FCEFEB"/>
          </w:tcPr>
          <w:p>
            <w:pPr>
              <w:spacing w:after="0"/>
              <w:rPr>
                <w:sz w:val="22"/>
                <w:szCs w:val="22"/>
                <w:color w:val="auto"/>
              </w:rPr>
            </w:pPr>
          </w:p>
        </w:tc>
        <w:tc>
          <w:tcPr>
            <w:tcW w:w="1240" w:type="dxa"/>
            <w:vAlign w:val="bottom"/>
            <w:tcBorders>
              <w:top w:val="single" w:sz="8" w:color="005C5D"/>
              <w:bottom w:val="single" w:sz="8" w:color="FCEFEB"/>
            </w:tcBorders>
            <w:shd w:val="clear" w:color="auto" w:fill="FCEFEB"/>
          </w:tcPr>
          <w:p>
            <w:pPr>
              <w:jc w:val="right"/>
              <w:ind w:right="150"/>
              <w:spacing w:after="0"/>
              <w:rPr>
                <w:sz w:val="20"/>
                <w:szCs w:val="20"/>
                <w:color w:val="auto"/>
              </w:rPr>
            </w:pPr>
            <w:r>
              <w:rPr>
                <w:rFonts w:ascii="Arial" w:cs="Arial" w:eastAsia="Arial" w:hAnsi="Arial"/>
                <w:sz w:val="14"/>
                <w:szCs w:val="14"/>
                <w:color w:val="333333"/>
              </w:rPr>
              <w:t>475,000</w:t>
            </w:r>
          </w:p>
        </w:tc>
        <w:tc>
          <w:tcPr>
            <w:tcW w:w="300" w:type="dxa"/>
            <w:vAlign w:val="bottom"/>
            <w:tcBorders>
              <w:top w:val="single" w:sz="8" w:color="005C5D"/>
              <w:bottom w:val="single" w:sz="8" w:color="FCEFEB"/>
            </w:tcBorders>
            <w:shd w:val="clear" w:color="auto" w:fill="FCEFEB"/>
          </w:tcPr>
          <w:p>
            <w:pPr>
              <w:spacing w:after="0"/>
              <w:rPr>
                <w:sz w:val="22"/>
                <w:szCs w:val="22"/>
                <w:color w:val="auto"/>
              </w:rPr>
            </w:pPr>
          </w:p>
        </w:tc>
        <w:tc>
          <w:tcPr>
            <w:tcW w:w="1300" w:type="dxa"/>
            <w:vAlign w:val="bottom"/>
            <w:tcBorders>
              <w:top w:val="single" w:sz="8" w:color="005C5D"/>
              <w:bottom w:val="single" w:sz="8" w:color="FCEFEB"/>
            </w:tcBorders>
            <w:shd w:val="clear" w:color="auto" w:fill="FCEFEB"/>
          </w:tcPr>
          <w:p>
            <w:pPr>
              <w:jc w:val="right"/>
              <w:ind w:right="150"/>
              <w:spacing w:after="0"/>
              <w:rPr>
                <w:sz w:val="20"/>
                <w:szCs w:val="20"/>
                <w:color w:val="auto"/>
              </w:rPr>
            </w:pPr>
            <w:r>
              <w:rPr>
                <w:rFonts w:ascii="Arial" w:cs="Arial" w:eastAsia="Arial" w:hAnsi="Arial"/>
                <w:sz w:val="14"/>
                <w:szCs w:val="14"/>
                <w:color w:val="333333"/>
              </w:rPr>
              <w:t>N/A</w:t>
            </w:r>
          </w:p>
        </w:tc>
      </w:tr>
      <w:tr>
        <w:trPr>
          <w:trHeight w:val="27"/>
        </w:trPr>
        <w:tc>
          <w:tcPr>
            <w:tcW w:w="2120" w:type="dxa"/>
            <w:vAlign w:val="bottom"/>
            <w:shd w:val="clear" w:color="auto" w:fill="005C5D"/>
          </w:tcPr>
          <w:p>
            <w:pPr>
              <w:spacing w:after="0"/>
              <w:rPr>
                <w:sz w:val="2"/>
                <w:szCs w:val="2"/>
                <w:color w:val="auto"/>
              </w:rPr>
            </w:pPr>
          </w:p>
        </w:tc>
        <w:tc>
          <w:tcPr>
            <w:tcW w:w="280" w:type="dxa"/>
            <w:vAlign w:val="bottom"/>
            <w:shd w:val="clear" w:color="auto" w:fill="005C5D"/>
          </w:tcPr>
          <w:p>
            <w:pPr>
              <w:spacing w:after="0"/>
              <w:rPr>
                <w:sz w:val="2"/>
                <w:szCs w:val="2"/>
                <w:color w:val="auto"/>
              </w:rPr>
            </w:pPr>
          </w:p>
        </w:tc>
        <w:tc>
          <w:tcPr>
            <w:tcW w:w="1240" w:type="dxa"/>
            <w:vAlign w:val="bottom"/>
            <w:shd w:val="clear" w:color="auto" w:fill="005C5D"/>
          </w:tcPr>
          <w:p>
            <w:pPr>
              <w:spacing w:after="0"/>
              <w:rPr>
                <w:sz w:val="2"/>
                <w:szCs w:val="2"/>
                <w:color w:val="auto"/>
              </w:rPr>
            </w:pPr>
          </w:p>
        </w:tc>
        <w:tc>
          <w:tcPr>
            <w:tcW w:w="300" w:type="dxa"/>
            <w:vAlign w:val="bottom"/>
            <w:shd w:val="clear" w:color="auto" w:fill="005C5D"/>
          </w:tcPr>
          <w:p>
            <w:pPr>
              <w:spacing w:after="0"/>
              <w:rPr>
                <w:sz w:val="2"/>
                <w:szCs w:val="2"/>
                <w:color w:val="auto"/>
              </w:rPr>
            </w:pPr>
          </w:p>
        </w:tc>
        <w:tc>
          <w:tcPr>
            <w:tcW w:w="1300" w:type="dxa"/>
            <w:vAlign w:val="bottom"/>
            <w:shd w:val="clear" w:color="auto" w:fill="005C5D"/>
          </w:tcPr>
          <w:p>
            <w:pPr>
              <w:spacing w:after="0"/>
              <w:rPr>
                <w:sz w:val="2"/>
                <w:szCs w:val="2"/>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5D"/>
        </w:rPr>
        <w:t>ANNUAL INCENTIVE COMPENSATION</w:t>
      </w:r>
    </w:p>
    <w:p>
      <w:pPr>
        <w:spacing w:after="0" w:line="110"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b w:val="1"/>
          <w:bCs w:val="1"/>
          <w:color w:val="337C7D"/>
        </w:rPr>
        <w:t xml:space="preserve">Purposes of Annual Incentive. </w:t>
      </w:r>
      <w:r>
        <w:rPr>
          <w:rFonts w:ascii="Arial" w:cs="Arial" w:eastAsia="Arial" w:hAnsi="Arial"/>
          <w:sz w:val="16"/>
          <w:szCs w:val="16"/>
          <w:color w:val="333333"/>
        </w:rPr>
        <w:t>Our annual incentive compensation, in</w:t>
      </w:r>
      <w:r>
        <w:rPr>
          <w:rFonts w:ascii="Arial" w:cs="Arial" w:eastAsia="Arial" w:hAnsi="Arial"/>
          <w:sz w:val="16"/>
          <w:szCs w:val="16"/>
          <w:b w:val="1"/>
          <w:bCs w:val="1"/>
          <w:color w:val="337C7D"/>
        </w:rPr>
        <w:t xml:space="preserve"> </w:t>
      </w:r>
      <w:r>
        <w:rPr>
          <w:rFonts w:ascii="Arial" w:cs="Arial" w:eastAsia="Arial" w:hAnsi="Arial"/>
          <w:sz w:val="16"/>
          <w:szCs w:val="16"/>
          <w:color w:val="333333"/>
        </w:rPr>
        <w:t>the form of an annual cash payment, is intended to compensate our NEOs for meeting our short-term corporate financial and strategic objectives and to incentivize our NEOs to meet these objectives. Our financial and strategic objectives are intended to build shareholder value, maximize growth and profitability, build a strong brand, and execute against the annual milestones of the long-term strategic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337C7D"/>
        </w:rPr>
        <w:t>Setting Annual Incentive Compensation Levels</w:t>
      </w:r>
      <w:r>
        <w:rPr>
          <w:rFonts w:ascii="Arial" w:cs="Arial" w:eastAsia="Arial" w:hAnsi="Arial"/>
          <w:sz w:val="16"/>
          <w:szCs w:val="16"/>
          <w:color w:val="333333"/>
        </w:rPr>
        <w:t>. Our objective is</w:t>
      </w:r>
      <w:r>
        <w:rPr>
          <w:rFonts w:ascii="Arial" w:cs="Arial" w:eastAsia="Arial" w:hAnsi="Arial"/>
          <w:sz w:val="16"/>
          <w:szCs w:val="16"/>
          <w:b w:val="1"/>
          <w:bCs w:val="1"/>
          <w:color w:val="337C7D"/>
        </w:rPr>
        <w:t xml:space="preserve"> </w:t>
      </w:r>
      <w:r>
        <w:rPr>
          <w:rFonts w:ascii="Arial" w:cs="Arial" w:eastAsia="Arial" w:hAnsi="Arial"/>
          <w:sz w:val="16"/>
          <w:szCs w:val="16"/>
          <w:color w:val="333333"/>
        </w:rPr>
        <w:t>generally to be within the competitive range of the peer group median, on average, for annual incentive opportunities of our executive officers, including our NEOs. We consider a range of +/-10% around the market median (50th percentile) to be competitive but still capable of recognizing differences among executives.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337C7D"/>
        </w:rPr>
        <w:t>Fiscal 2026 Annual Incentive Performance Metrics</w:t>
      </w:r>
      <w:r>
        <w:rPr>
          <w:rFonts w:ascii="Arial" w:cs="Arial" w:eastAsia="Arial" w:hAnsi="Arial"/>
          <w:sz w:val="16"/>
          <w:szCs w:val="16"/>
          <w:color w:val="333333"/>
        </w:rPr>
        <w:t>. For fiscal 2026, the</w:t>
      </w:r>
      <w:r>
        <w:rPr>
          <w:rFonts w:ascii="Arial" w:cs="Arial" w:eastAsia="Arial" w:hAnsi="Arial"/>
          <w:sz w:val="16"/>
          <w:szCs w:val="16"/>
          <w:b w:val="1"/>
          <w:bCs w:val="1"/>
          <w:color w:val="337C7D"/>
        </w:rPr>
        <w:t xml:space="preserve"> </w:t>
      </w:r>
      <w:r>
        <w:rPr>
          <w:rFonts w:ascii="Arial" w:cs="Arial" w:eastAsia="Arial" w:hAnsi="Arial"/>
          <w:sz w:val="16"/>
          <w:szCs w:val="16"/>
          <w:color w:val="333333"/>
        </w:rPr>
        <w:t>Committee updated the compensation program from fiscal 2025 to include one plan across the Company, following the sale of the Pura Vida business. The strategic objectives are updated annually as appropriate.</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color w:val="337C7D"/>
        </w:rPr>
        <w:t>Selecting the Financial Metrics</w:t>
      </w:r>
      <w:r>
        <w:rPr>
          <w:rFonts w:ascii="Arial" w:cs="Arial" w:eastAsia="Arial" w:hAnsi="Arial"/>
          <w:sz w:val="16"/>
          <w:szCs w:val="16"/>
          <w:color w:val="333333"/>
        </w:rPr>
        <w:t>. Revenue and operating income were the</w:t>
      </w:r>
      <w:r>
        <w:rPr>
          <w:rFonts w:ascii="Arial" w:cs="Arial" w:eastAsia="Arial" w:hAnsi="Arial"/>
          <w:sz w:val="16"/>
          <w:szCs w:val="16"/>
          <w:b w:val="1"/>
          <w:bCs w:val="1"/>
          <w:color w:val="337C7D"/>
        </w:rPr>
        <w:t xml:space="preserve"> </w:t>
      </w:r>
      <w:r>
        <w:rPr>
          <w:rFonts w:ascii="Arial" w:cs="Arial" w:eastAsia="Arial" w:hAnsi="Arial"/>
          <w:sz w:val="16"/>
          <w:szCs w:val="16"/>
          <w:color w:val="333333"/>
        </w:rPr>
        <w:t>financial metrics used for fiscal 2026. The Committee selected net revenue because we believe it is important to our shareholders and to the ultimate performance of the Company. Top line performance, however, must be accompanied by operating performance as well, so operating income was selected as a second performance metric. In the future, the Committee will review the application of other financial performance measures. The Committee typically sets a target level of performance at which the full target bonus can be earned. The Committee also sets a threshold level of performance below which no bonus is earned and a maximum level of performance that results in a maximum bonus.</w:t>
      </w:r>
    </w:p>
    <w:p>
      <w:pPr>
        <w:spacing w:after="0" w:line="1825"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05C5D"/>
        </w:rPr>
        <w:t>ANNUAL INCENTIVE PLAN STRUCTURE</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120"/>
        </w:trPr>
        <w:tc>
          <w:tcPr>
            <w:tcW w:w="3200" w:type="dxa"/>
            <w:vAlign w:val="bottom"/>
          </w:tcPr>
          <w:p>
            <w:pPr>
              <w:spacing w:after="0"/>
              <w:rPr>
                <w:sz w:val="10"/>
                <w:szCs w:val="10"/>
                <w:color w:val="auto"/>
              </w:rPr>
            </w:pPr>
          </w:p>
        </w:tc>
        <w:tc>
          <w:tcPr>
            <w:tcW w:w="920" w:type="dxa"/>
            <w:vAlign w:val="bottom"/>
            <w:shd w:val="clear" w:color="auto" w:fill="FCEFEB"/>
          </w:tcPr>
          <w:p>
            <w:pPr>
              <w:spacing w:after="0"/>
              <w:rPr>
                <w:sz w:val="10"/>
                <w:szCs w:val="10"/>
                <w:color w:val="auto"/>
              </w:rPr>
            </w:pPr>
          </w:p>
        </w:tc>
        <w:tc>
          <w:tcPr>
            <w:tcW w:w="1280" w:type="dxa"/>
            <w:vAlign w:val="bottom"/>
            <w:shd w:val="clear" w:color="auto" w:fill="FCEFEB"/>
          </w:tcPr>
          <w:p>
            <w:pPr>
              <w:spacing w:after="0"/>
              <w:rPr>
                <w:sz w:val="10"/>
                <w:szCs w:val="10"/>
                <w:color w:val="auto"/>
              </w:rPr>
            </w:pPr>
          </w:p>
        </w:tc>
        <w:tc>
          <w:tcPr>
            <w:tcW w:w="1720" w:type="dxa"/>
            <w:vAlign w:val="bottom"/>
            <w:shd w:val="clear" w:color="auto" w:fill="FCEFEB"/>
          </w:tcPr>
          <w:p>
            <w:pPr>
              <w:spacing w:after="0"/>
              <w:rPr>
                <w:sz w:val="10"/>
                <w:szCs w:val="10"/>
                <w:color w:val="auto"/>
              </w:rPr>
            </w:pPr>
          </w:p>
        </w:tc>
        <w:tc>
          <w:tcPr>
            <w:tcW w:w="1380" w:type="dxa"/>
            <w:vAlign w:val="bottom"/>
            <w:shd w:val="clear" w:color="auto" w:fill="FCEFEB"/>
          </w:tcPr>
          <w:p>
            <w:pPr>
              <w:spacing w:after="0"/>
              <w:rPr>
                <w:sz w:val="10"/>
                <w:szCs w:val="10"/>
                <w:color w:val="auto"/>
              </w:rPr>
            </w:pPr>
          </w:p>
        </w:tc>
        <w:tc>
          <w:tcPr>
            <w:tcW w:w="1940" w:type="dxa"/>
            <w:vAlign w:val="bottom"/>
            <w:shd w:val="clear" w:color="auto" w:fill="FCEFEB"/>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3200" w:type="dxa"/>
            <w:vAlign w:val="bottom"/>
            <w:shd w:val="clear" w:color="auto" w:fill="005C5D"/>
          </w:tcPr>
          <w:p>
            <w:pPr>
              <w:ind w:left="80"/>
              <w:spacing w:after="0"/>
              <w:rPr>
                <w:sz w:val="20"/>
                <w:szCs w:val="20"/>
                <w:color w:val="auto"/>
              </w:rPr>
            </w:pPr>
            <w:r>
              <w:rPr>
                <w:rFonts w:ascii="Arial" w:cs="Arial" w:eastAsia="Arial" w:hAnsi="Arial"/>
                <w:sz w:val="14"/>
                <w:szCs w:val="14"/>
                <w:color w:val="FFFFFF"/>
              </w:rPr>
              <w:t>FINANCIAL METRICS</w:t>
            </w:r>
          </w:p>
        </w:tc>
        <w:tc>
          <w:tcPr>
            <w:tcW w:w="920" w:type="dxa"/>
            <w:vAlign w:val="bottom"/>
            <w:shd w:val="clear" w:color="auto" w:fill="005C5D"/>
          </w:tcPr>
          <w:p>
            <w:pPr>
              <w:jc w:val="right"/>
              <w:spacing w:after="0"/>
              <w:rPr>
                <w:sz w:val="20"/>
                <w:szCs w:val="20"/>
                <w:color w:val="auto"/>
              </w:rPr>
            </w:pPr>
            <w:r>
              <w:rPr>
                <w:rFonts w:ascii="Arial" w:cs="Arial" w:eastAsia="Arial" w:hAnsi="Arial"/>
                <w:sz w:val="14"/>
                <w:szCs w:val="14"/>
                <w:color w:val="FFFFFF"/>
              </w:rPr>
              <w:t>Weight</w:t>
            </w:r>
          </w:p>
        </w:tc>
        <w:tc>
          <w:tcPr>
            <w:tcW w:w="1280" w:type="dxa"/>
            <w:vAlign w:val="bottom"/>
            <w:shd w:val="clear" w:color="auto" w:fill="005C5D"/>
          </w:tcPr>
          <w:p>
            <w:pPr>
              <w:spacing w:after="0"/>
              <w:rPr>
                <w:sz w:val="21"/>
                <w:szCs w:val="21"/>
                <w:color w:val="auto"/>
              </w:rPr>
            </w:pPr>
          </w:p>
        </w:tc>
        <w:tc>
          <w:tcPr>
            <w:tcW w:w="5040" w:type="dxa"/>
            <w:vAlign w:val="bottom"/>
            <w:gridSpan w:val="3"/>
            <w:shd w:val="clear" w:color="auto" w:fill="005C5D"/>
          </w:tcPr>
          <w:p>
            <w:pPr>
              <w:ind w:left="60"/>
              <w:spacing w:after="0"/>
              <w:rPr>
                <w:sz w:val="20"/>
                <w:szCs w:val="20"/>
                <w:color w:val="auto"/>
              </w:rPr>
            </w:pPr>
            <w:r>
              <w:rPr>
                <w:rFonts w:ascii="Arial" w:cs="Arial" w:eastAsia="Arial" w:hAnsi="Arial"/>
                <w:sz w:val="14"/>
                <w:szCs w:val="14"/>
                <w:color w:val="FFFFFF"/>
              </w:rPr>
              <w:t>Payout by Performance Level as a Percentage of Target Incentive</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3200" w:type="dxa"/>
            <w:vAlign w:val="bottom"/>
            <w:tcBorders>
              <w:bottom w:val="single" w:sz="8" w:color="005C5D"/>
            </w:tcBorders>
            <w:shd w:val="clear" w:color="auto" w:fill="005C5D"/>
          </w:tcPr>
          <w:p>
            <w:pPr>
              <w:spacing w:after="0"/>
              <w:rPr>
                <w:sz w:val="24"/>
                <w:szCs w:val="24"/>
                <w:color w:val="auto"/>
              </w:rPr>
            </w:pPr>
          </w:p>
        </w:tc>
        <w:tc>
          <w:tcPr>
            <w:tcW w:w="920" w:type="dxa"/>
            <w:vAlign w:val="bottom"/>
            <w:tcBorders>
              <w:bottom w:val="single" w:sz="8" w:color="005C5D"/>
            </w:tcBorders>
            <w:shd w:val="clear" w:color="auto" w:fill="005C5D"/>
          </w:tcPr>
          <w:p>
            <w:pPr>
              <w:spacing w:after="0"/>
              <w:rPr>
                <w:sz w:val="24"/>
                <w:szCs w:val="24"/>
                <w:color w:val="auto"/>
              </w:rPr>
            </w:pPr>
          </w:p>
        </w:tc>
        <w:tc>
          <w:tcPr>
            <w:tcW w:w="1280" w:type="dxa"/>
            <w:vAlign w:val="bottom"/>
            <w:tcBorders>
              <w:bottom w:val="single" w:sz="8" w:color="005C5D"/>
            </w:tcBorders>
            <w:shd w:val="clear" w:color="auto" w:fill="005C5D"/>
          </w:tcPr>
          <w:p>
            <w:pPr>
              <w:spacing w:after="0"/>
              <w:rPr>
                <w:sz w:val="24"/>
                <w:szCs w:val="24"/>
                <w:color w:val="auto"/>
              </w:rPr>
            </w:pPr>
          </w:p>
        </w:tc>
        <w:tc>
          <w:tcPr>
            <w:tcW w:w="1720" w:type="dxa"/>
            <w:vAlign w:val="bottom"/>
            <w:tcBorders>
              <w:bottom w:val="single" w:sz="8" w:color="005C5D"/>
            </w:tcBorders>
            <w:shd w:val="clear" w:color="auto" w:fill="005C5D"/>
          </w:tcPr>
          <w:p>
            <w:pPr>
              <w:ind w:left="40"/>
              <w:spacing w:after="0"/>
              <w:rPr>
                <w:sz w:val="20"/>
                <w:szCs w:val="20"/>
                <w:color w:val="auto"/>
              </w:rPr>
            </w:pPr>
            <w:r>
              <w:rPr>
                <w:rFonts w:ascii="Arial" w:cs="Arial" w:eastAsia="Arial" w:hAnsi="Arial"/>
                <w:sz w:val="14"/>
                <w:szCs w:val="14"/>
                <w:color w:val="FFFFFF"/>
              </w:rPr>
              <w:t>Threshold</w:t>
            </w:r>
          </w:p>
        </w:tc>
        <w:tc>
          <w:tcPr>
            <w:tcW w:w="1380" w:type="dxa"/>
            <w:vAlign w:val="bottom"/>
            <w:tcBorders>
              <w:bottom w:val="single" w:sz="8" w:color="005C5D"/>
            </w:tcBorders>
            <w:shd w:val="clear" w:color="auto" w:fill="005C5D"/>
          </w:tcPr>
          <w:p>
            <w:pPr>
              <w:jc w:val="right"/>
              <w:ind w:right="409"/>
              <w:spacing w:after="0"/>
              <w:rPr>
                <w:sz w:val="20"/>
                <w:szCs w:val="20"/>
                <w:color w:val="auto"/>
              </w:rPr>
            </w:pPr>
            <w:r>
              <w:rPr>
                <w:rFonts w:ascii="Arial" w:cs="Arial" w:eastAsia="Arial" w:hAnsi="Arial"/>
                <w:sz w:val="14"/>
                <w:szCs w:val="14"/>
                <w:b w:val="1"/>
                <w:bCs w:val="1"/>
                <w:color w:val="FFFFFF"/>
              </w:rPr>
              <w:t>Target</w:t>
            </w:r>
          </w:p>
        </w:tc>
        <w:tc>
          <w:tcPr>
            <w:tcW w:w="1940" w:type="dxa"/>
            <w:vAlign w:val="bottom"/>
            <w:tcBorders>
              <w:bottom w:val="single" w:sz="8" w:color="005C5D"/>
            </w:tcBorders>
            <w:shd w:val="clear" w:color="auto" w:fill="005C5D"/>
          </w:tcPr>
          <w:p>
            <w:pPr>
              <w:ind w:left="780"/>
              <w:spacing w:after="0"/>
              <w:rPr>
                <w:sz w:val="20"/>
                <w:szCs w:val="20"/>
                <w:color w:val="auto"/>
              </w:rPr>
            </w:pPr>
            <w:r>
              <w:rPr>
                <w:rFonts w:ascii="Arial" w:cs="Arial" w:eastAsia="Arial" w:hAnsi="Arial"/>
                <w:sz w:val="14"/>
                <w:szCs w:val="14"/>
                <w:color w:val="FFFFFF"/>
              </w:rPr>
              <w:t>Maximum</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00" w:type="dxa"/>
            <w:vAlign w:val="bottom"/>
          </w:tcPr>
          <w:p>
            <w:pPr>
              <w:ind w:left="80"/>
              <w:spacing w:after="0"/>
              <w:rPr>
                <w:sz w:val="20"/>
                <w:szCs w:val="20"/>
                <w:color w:val="auto"/>
              </w:rPr>
            </w:pPr>
            <w:r>
              <w:rPr>
                <w:rFonts w:ascii="Arial" w:cs="Arial" w:eastAsia="Arial" w:hAnsi="Arial"/>
                <w:sz w:val="14"/>
                <w:szCs w:val="14"/>
                <w:color w:val="333333"/>
              </w:rPr>
              <w:t>Operating Income</w:t>
            </w:r>
          </w:p>
        </w:tc>
        <w:tc>
          <w:tcPr>
            <w:tcW w:w="920" w:type="dxa"/>
            <w:vAlign w:val="bottom"/>
            <w:tcBorders>
              <w:bottom w:val="single" w:sz="8" w:color="FCEFEB"/>
            </w:tcBorders>
            <w:shd w:val="clear" w:color="auto" w:fill="FCEFEB"/>
          </w:tcPr>
          <w:p>
            <w:pPr>
              <w:jc w:val="right"/>
              <w:spacing w:after="0"/>
              <w:rPr>
                <w:sz w:val="20"/>
                <w:szCs w:val="20"/>
                <w:color w:val="auto"/>
              </w:rPr>
            </w:pPr>
            <w:r>
              <w:rPr>
                <w:rFonts w:ascii="Arial" w:cs="Arial" w:eastAsia="Arial" w:hAnsi="Arial"/>
                <w:sz w:val="14"/>
                <w:szCs w:val="14"/>
                <w:color w:val="333333"/>
              </w:rPr>
              <w:t>30%</w:t>
            </w:r>
          </w:p>
        </w:tc>
        <w:tc>
          <w:tcPr>
            <w:tcW w:w="1280" w:type="dxa"/>
            <w:vAlign w:val="bottom"/>
            <w:tcBorders>
              <w:bottom w:val="single" w:sz="8" w:color="FCEFEB"/>
            </w:tcBorders>
            <w:shd w:val="clear" w:color="auto" w:fill="FCEFEB"/>
          </w:tcPr>
          <w:p>
            <w:pPr>
              <w:spacing w:after="0"/>
              <w:rPr>
                <w:sz w:val="24"/>
                <w:szCs w:val="24"/>
                <w:color w:val="auto"/>
              </w:rPr>
            </w:pPr>
          </w:p>
        </w:tc>
        <w:tc>
          <w:tcPr>
            <w:tcW w:w="1720" w:type="dxa"/>
            <w:vAlign w:val="bottom"/>
            <w:tcBorders>
              <w:bottom w:val="single" w:sz="8" w:color="FCEFEB"/>
            </w:tcBorders>
            <w:shd w:val="clear" w:color="auto" w:fill="FCEFEB"/>
          </w:tcPr>
          <w:p>
            <w:pPr>
              <w:jc w:val="right"/>
              <w:ind w:right="389"/>
              <w:spacing w:after="0"/>
              <w:rPr>
                <w:sz w:val="20"/>
                <w:szCs w:val="20"/>
                <w:color w:val="auto"/>
              </w:rPr>
            </w:pPr>
            <w:r>
              <w:rPr>
                <w:rFonts w:ascii="Arial" w:cs="Arial" w:eastAsia="Arial" w:hAnsi="Arial"/>
                <w:sz w:val="14"/>
                <w:szCs w:val="14"/>
                <w:color w:val="333333"/>
              </w:rPr>
              <w:t>25%</w:t>
            </w:r>
          </w:p>
        </w:tc>
        <w:tc>
          <w:tcPr>
            <w:tcW w:w="1380" w:type="dxa"/>
            <w:vAlign w:val="bottom"/>
            <w:tcBorders>
              <w:bottom w:val="single" w:sz="8" w:color="FCEFEB"/>
            </w:tcBorders>
            <w:shd w:val="clear" w:color="auto" w:fill="FCEFEB"/>
          </w:tcPr>
          <w:p>
            <w:pPr>
              <w:jc w:val="right"/>
              <w:ind w:right="409"/>
              <w:spacing w:after="0"/>
              <w:rPr>
                <w:sz w:val="20"/>
                <w:szCs w:val="20"/>
                <w:color w:val="auto"/>
              </w:rPr>
            </w:pPr>
            <w:r>
              <w:rPr>
                <w:rFonts w:ascii="Arial" w:cs="Arial" w:eastAsia="Arial" w:hAnsi="Arial"/>
                <w:sz w:val="14"/>
                <w:szCs w:val="14"/>
                <w:color w:val="333333"/>
              </w:rPr>
              <w:t>100%</w:t>
            </w:r>
          </w:p>
        </w:tc>
        <w:tc>
          <w:tcPr>
            <w:tcW w:w="1940" w:type="dxa"/>
            <w:vAlign w:val="bottom"/>
            <w:tcBorders>
              <w:bottom w:val="single" w:sz="8" w:color="FCEFEB"/>
            </w:tcBorders>
            <w:shd w:val="clear" w:color="auto" w:fill="FCEFEB"/>
          </w:tcPr>
          <w:p>
            <w:pPr>
              <w:ind w:left="940"/>
              <w:spacing w:after="0"/>
              <w:rPr>
                <w:sz w:val="20"/>
                <w:szCs w:val="20"/>
                <w:color w:val="auto"/>
              </w:rPr>
            </w:pPr>
            <w:r>
              <w:rPr>
                <w:rFonts w:ascii="Arial" w:cs="Arial" w:eastAsia="Arial" w:hAnsi="Arial"/>
                <w:sz w:val="14"/>
                <w:szCs w:val="14"/>
                <w:color w:val="333333"/>
              </w:rPr>
              <w:t>200%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20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Net Revenue</w:t>
            </w:r>
          </w:p>
        </w:tc>
        <w:tc>
          <w:tcPr>
            <w:tcW w:w="920" w:type="dxa"/>
            <w:vAlign w:val="bottom"/>
            <w:tcBorders>
              <w:top w:val="single" w:sz="8" w:color="005C5D"/>
              <w:bottom w:val="single" w:sz="8" w:color="FCEFEB"/>
            </w:tcBorders>
            <w:shd w:val="clear" w:color="auto" w:fill="FCEFEB"/>
          </w:tcPr>
          <w:p>
            <w:pPr>
              <w:jc w:val="right"/>
              <w:spacing w:after="0"/>
              <w:rPr>
                <w:sz w:val="20"/>
                <w:szCs w:val="20"/>
                <w:color w:val="auto"/>
              </w:rPr>
            </w:pPr>
            <w:r>
              <w:rPr>
                <w:rFonts w:ascii="Arial" w:cs="Arial" w:eastAsia="Arial" w:hAnsi="Arial"/>
                <w:sz w:val="14"/>
                <w:szCs w:val="14"/>
                <w:color w:val="333333"/>
              </w:rPr>
              <w:t>30%</w:t>
            </w:r>
          </w:p>
        </w:tc>
        <w:tc>
          <w:tcPr>
            <w:tcW w:w="1280" w:type="dxa"/>
            <w:vAlign w:val="bottom"/>
            <w:tcBorders>
              <w:top w:val="single" w:sz="8" w:color="005C5D"/>
              <w:bottom w:val="single" w:sz="8" w:color="FCEFEB"/>
            </w:tcBorders>
            <w:shd w:val="clear" w:color="auto" w:fill="FCEFEB"/>
          </w:tcPr>
          <w:p>
            <w:pPr>
              <w:spacing w:after="0"/>
              <w:rPr>
                <w:sz w:val="23"/>
                <w:szCs w:val="23"/>
                <w:color w:val="auto"/>
              </w:rPr>
            </w:pPr>
          </w:p>
        </w:tc>
        <w:tc>
          <w:tcPr>
            <w:tcW w:w="1720" w:type="dxa"/>
            <w:vAlign w:val="bottom"/>
            <w:tcBorders>
              <w:top w:val="single" w:sz="8" w:color="005C5D"/>
              <w:bottom w:val="single" w:sz="8" w:color="FCEFEB"/>
            </w:tcBorders>
            <w:shd w:val="clear" w:color="auto" w:fill="FCEFEB"/>
          </w:tcPr>
          <w:p>
            <w:pPr>
              <w:jc w:val="right"/>
              <w:ind w:right="389"/>
              <w:spacing w:after="0"/>
              <w:rPr>
                <w:sz w:val="20"/>
                <w:szCs w:val="20"/>
                <w:color w:val="auto"/>
              </w:rPr>
            </w:pPr>
            <w:r>
              <w:rPr>
                <w:rFonts w:ascii="Arial" w:cs="Arial" w:eastAsia="Arial" w:hAnsi="Arial"/>
                <w:sz w:val="14"/>
                <w:szCs w:val="14"/>
                <w:color w:val="333333"/>
              </w:rPr>
              <w:t>25%</w:t>
            </w:r>
          </w:p>
        </w:tc>
        <w:tc>
          <w:tcPr>
            <w:tcW w:w="1380" w:type="dxa"/>
            <w:vAlign w:val="bottom"/>
            <w:tcBorders>
              <w:top w:val="single" w:sz="8" w:color="005C5D"/>
              <w:bottom w:val="single" w:sz="8" w:color="FCEFEB"/>
            </w:tcBorders>
            <w:shd w:val="clear" w:color="auto" w:fill="FCEFEB"/>
          </w:tcPr>
          <w:p>
            <w:pPr>
              <w:jc w:val="right"/>
              <w:ind w:right="409"/>
              <w:spacing w:after="0"/>
              <w:rPr>
                <w:sz w:val="20"/>
                <w:szCs w:val="20"/>
                <w:color w:val="auto"/>
              </w:rPr>
            </w:pPr>
            <w:r>
              <w:rPr>
                <w:rFonts w:ascii="Arial" w:cs="Arial" w:eastAsia="Arial" w:hAnsi="Arial"/>
                <w:sz w:val="14"/>
                <w:szCs w:val="14"/>
                <w:color w:val="333333"/>
              </w:rPr>
              <w:t>100%</w:t>
            </w:r>
          </w:p>
        </w:tc>
        <w:tc>
          <w:tcPr>
            <w:tcW w:w="1940" w:type="dxa"/>
            <w:vAlign w:val="bottom"/>
            <w:tcBorders>
              <w:top w:val="single" w:sz="8" w:color="005C5D"/>
              <w:bottom w:val="single" w:sz="8" w:color="FCEFEB"/>
            </w:tcBorders>
            <w:shd w:val="clear" w:color="auto" w:fill="FCEFEB"/>
          </w:tcPr>
          <w:p>
            <w:pPr>
              <w:ind w:left="940"/>
              <w:spacing w:after="0"/>
              <w:rPr>
                <w:sz w:val="20"/>
                <w:szCs w:val="20"/>
                <w:color w:val="auto"/>
              </w:rPr>
            </w:pPr>
            <w:r>
              <w:rPr>
                <w:rFonts w:ascii="Arial" w:cs="Arial" w:eastAsia="Arial" w:hAnsi="Arial"/>
                <w:sz w:val="14"/>
                <w:szCs w:val="14"/>
                <w:color w:val="333333"/>
              </w:rPr>
              <w:t>200%</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3200" w:type="dxa"/>
            <w:vAlign w:val="bottom"/>
            <w:tcBorders>
              <w:top w:val="single" w:sz="8" w:color="005C5D"/>
            </w:tcBorders>
            <w:vMerge w:val="restart"/>
          </w:tcPr>
          <w:p>
            <w:pPr>
              <w:ind w:left="80"/>
              <w:spacing w:after="0"/>
              <w:rPr>
                <w:sz w:val="20"/>
                <w:szCs w:val="20"/>
                <w:color w:val="auto"/>
              </w:rPr>
            </w:pPr>
            <w:r>
              <w:rPr>
                <w:rFonts w:ascii="Arial" w:cs="Arial" w:eastAsia="Arial" w:hAnsi="Arial"/>
                <w:sz w:val="14"/>
                <w:szCs w:val="14"/>
                <w:color w:val="333333"/>
              </w:rPr>
              <w:t>Total</w:t>
            </w:r>
          </w:p>
        </w:tc>
        <w:tc>
          <w:tcPr>
            <w:tcW w:w="920" w:type="dxa"/>
            <w:vAlign w:val="bottom"/>
            <w:tcBorders>
              <w:top w:val="single" w:sz="8" w:color="005C5D"/>
            </w:tcBorders>
            <w:vMerge w:val="restart"/>
            <w:shd w:val="clear" w:color="auto" w:fill="FCEFEB"/>
          </w:tcPr>
          <w:p>
            <w:pPr>
              <w:jc w:val="right"/>
              <w:spacing w:after="0"/>
              <w:rPr>
                <w:sz w:val="20"/>
                <w:szCs w:val="20"/>
                <w:color w:val="auto"/>
              </w:rPr>
            </w:pPr>
            <w:r>
              <w:rPr>
                <w:rFonts w:ascii="Arial" w:cs="Arial" w:eastAsia="Arial" w:hAnsi="Arial"/>
                <w:sz w:val="14"/>
                <w:szCs w:val="14"/>
                <w:color w:val="333333"/>
              </w:rPr>
              <w:t>60%</w:t>
            </w:r>
          </w:p>
        </w:tc>
        <w:tc>
          <w:tcPr>
            <w:tcW w:w="1280" w:type="dxa"/>
            <w:vAlign w:val="bottom"/>
            <w:tcBorders>
              <w:top w:val="single" w:sz="8" w:color="005C5D"/>
            </w:tcBorders>
            <w:shd w:val="clear" w:color="auto" w:fill="FCEFEB"/>
          </w:tcPr>
          <w:p>
            <w:pPr>
              <w:spacing w:after="0"/>
              <w:rPr>
                <w:sz w:val="4"/>
                <w:szCs w:val="4"/>
                <w:color w:val="auto"/>
              </w:rPr>
            </w:pPr>
          </w:p>
        </w:tc>
        <w:tc>
          <w:tcPr>
            <w:tcW w:w="1720" w:type="dxa"/>
            <w:vAlign w:val="bottom"/>
            <w:tcBorders>
              <w:top w:val="single" w:sz="8" w:color="005C5D"/>
            </w:tcBorders>
            <w:shd w:val="clear" w:color="auto" w:fill="FCEFEB"/>
          </w:tcPr>
          <w:p>
            <w:pPr>
              <w:spacing w:after="0"/>
              <w:rPr>
                <w:sz w:val="4"/>
                <w:szCs w:val="4"/>
                <w:color w:val="auto"/>
              </w:rPr>
            </w:pPr>
          </w:p>
        </w:tc>
        <w:tc>
          <w:tcPr>
            <w:tcW w:w="1380" w:type="dxa"/>
            <w:vAlign w:val="bottom"/>
            <w:tcBorders>
              <w:top w:val="single" w:sz="8" w:color="005C5D"/>
            </w:tcBorders>
            <w:shd w:val="clear" w:color="auto" w:fill="FCEFEB"/>
          </w:tcPr>
          <w:p>
            <w:pPr>
              <w:spacing w:after="0"/>
              <w:rPr>
                <w:sz w:val="4"/>
                <w:szCs w:val="4"/>
                <w:color w:val="auto"/>
              </w:rPr>
            </w:pPr>
          </w:p>
        </w:tc>
        <w:tc>
          <w:tcPr>
            <w:tcW w:w="1940" w:type="dxa"/>
            <w:vAlign w:val="bottom"/>
            <w:tcBorders>
              <w:top w:val="single" w:sz="8" w:color="005C5D"/>
            </w:tcBorders>
            <w:shd w:val="clear" w:color="auto" w:fill="FCEFEB"/>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200" w:type="dxa"/>
            <w:vAlign w:val="bottom"/>
            <w:vMerge w:val="continue"/>
          </w:tcPr>
          <w:p>
            <w:pPr>
              <w:spacing w:after="0"/>
              <w:rPr>
                <w:sz w:val="20"/>
                <w:szCs w:val="20"/>
                <w:color w:val="auto"/>
              </w:rPr>
            </w:pPr>
          </w:p>
        </w:tc>
        <w:tc>
          <w:tcPr>
            <w:tcW w:w="920" w:type="dxa"/>
            <w:vAlign w:val="bottom"/>
            <w:tcBorders>
              <w:bottom w:val="single" w:sz="8" w:color="FCEFEB"/>
            </w:tcBorders>
            <w:vMerge w:val="continue"/>
            <w:shd w:val="clear" w:color="auto" w:fill="FCEFEB"/>
          </w:tcPr>
          <w:p>
            <w:pPr>
              <w:spacing w:after="0"/>
              <w:rPr>
                <w:sz w:val="20"/>
                <w:szCs w:val="20"/>
                <w:color w:val="auto"/>
              </w:rPr>
            </w:pPr>
          </w:p>
        </w:tc>
        <w:tc>
          <w:tcPr>
            <w:tcW w:w="1280" w:type="dxa"/>
            <w:vAlign w:val="bottom"/>
            <w:tcBorders>
              <w:bottom w:val="single" w:sz="8" w:color="FCEFEB"/>
            </w:tcBorders>
            <w:shd w:val="clear" w:color="auto" w:fill="FCEFEB"/>
          </w:tcPr>
          <w:p>
            <w:pPr>
              <w:spacing w:after="0"/>
              <w:rPr>
                <w:sz w:val="20"/>
                <w:szCs w:val="20"/>
                <w:color w:val="auto"/>
              </w:rPr>
            </w:pPr>
          </w:p>
        </w:tc>
        <w:tc>
          <w:tcPr>
            <w:tcW w:w="1720" w:type="dxa"/>
            <w:vAlign w:val="bottom"/>
            <w:tcBorders>
              <w:bottom w:val="single" w:sz="8" w:color="FCEFEB"/>
            </w:tcBorders>
            <w:shd w:val="clear" w:color="auto" w:fill="FCEFEB"/>
          </w:tcPr>
          <w:p>
            <w:pPr>
              <w:spacing w:after="0"/>
              <w:rPr>
                <w:sz w:val="20"/>
                <w:szCs w:val="20"/>
                <w:color w:val="auto"/>
              </w:rPr>
            </w:pPr>
          </w:p>
        </w:tc>
        <w:tc>
          <w:tcPr>
            <w:tcW w:w="1380" w:type="dxa"/>
            <w:vAlign w:val="bottom"/>
            <w:tcBorders>
              <w:bottom w:val="single" w:sz="8" w:color="FCEFEB"/>
            </w:tcBorders>
            <w:shd w:val="clear" w:color="auto" w:fill="FCEFEB"/>
          </w:tcPr>
          <w:p>
            <w:pPr>
              <w:spacing w:after="0"/>
              <w:rPr>
                <w:sz w:val="20"/>
                <w:szCs w:val="20"/>
                <w:color w:val="auto"/>
              </w:rPr>
            </w:pPr>
          </w:p>
        </w:tc>
        <w:tc>
          <w:tcPr>
            <w:tcW w:w="1940" w:type="dxa"/>
            <w:vAlign w:val="bottom"/>
            <w:tcBorders>
              <w:bottom w:val="single" w:sz="8" w:color="FCEFEB"/>
            </w:tcBorders>
            <w:shd w:val="clear" w:color="auto" w:fill="FCEFEB"/>
          </w:tcPr>
          <w:p>
            <w:pPr>
              <w:spacing w:after="0"/>
              <w:rPr>
                <w:sz w:val="20"/>
                <w:szCs w:val="20"/>
                <w:color w:val="auto"/>
              </w:rPr>
            </w:pPr>
          </w:p>
        </w:tc>
        <w:tc>
          <w:tcPr>
            <w:tcW w:w="480" w:type="dxa"/>
            <w:vAlign w:val="bottom"/>
            <w:tcBorders>
              <w:bottom w:val="single" w:sz="8" w:color="FCEFEB"/>
            </w:tcBorders>
            <w:shd w:val="clear" w:color="auto" w:fill="FCEFEB"/>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00" w:type="dxa"/>
            <w:vAlign w:val="bottom"/>
            <w:tcBorders>
              <w:top w:val="single" w:sz="8" w:color="005C5D"/>
            </w:tcBorders>
            <w:shd w:val="clear" w:color="auto" w:fill="005C5D"/>
          </w:tcPr>
          <w:p>
            <w:pPr>
              <w:ind w:left="80"/>
              <w:spacing w:after="0"/>
              <w:rPr>
                <w:sz w:val="20"/>
                <w:szCs w:val="20"/>
                <w:color w:val="auto"/>
              </w:rPr>
            </w:pPr>
            <w:r>
              <w:rPr>
                <w:rFonts w:ascii="Arial" w:cs="Arial" w:eastAsia="Arial" w:hAnsi="Arial"/>
                <w:sz w:val="14"/>
                <w:szCs w:val="14"/>
                <w:color w:val="FFFFFF"/>
              </w:rPr>
              <w:t>STRATEGIC METRICS</w:t>
            </w:r>
          </w:p>
        </w:tc>
        <w:tc>
          <w:tcPr>
            <w:tcW w:w="920" w:type="dxa"/>
            <w:vAlign w:val="bottom"/>
            <w:tcBorders>
              <w:top w:val="single" w:sz="8" w:color="005C5D"/>
            </w:tcBorders>
            <w:shd w:val="clear" w:color="auto" w:fill="005C5D"/>
          </w:tcPr>
          <w:p>
            <w:pPr>
              <w:jc w:val="right"/>
              <w:spacing w:after="0"/>
              <w:rPr>
                <w:sz w:val="20"/>
                <w:szCs w:val="20"/>
                <w:color w:val="auto"/>
              </w:rPr>
            </w:pPr>
            <w:r>
              <w:rPr>
                <w:rFonts w:ascii="Arial" w:cs="Arial" w:eastAsia="Arial" w:hAnsi="Arial"/>
                <w:sz w:val="14"/>
                <w:szCs w:val="14"/>
                <w:color w:val="FFFFFF"/>
              </w:rPr>
              <w:t>Weight</w:t>
            </w:r>
          </w:p>
        </w:tc>
        <w:tc>
          <w:tcPr>
            <w:tcW w:w="1280" w:type="dxa"/>
            <w:vAlign w:val="bottom"/>
            <w:tcBorders>
              <w:top w:val="single" w:sz="8" w:color="005C5D"/>
            </w:tcBorders>
            <w:shd w:val="clear" w:color="auto" w:fill="005C5D"/>
          </w:tcPr>
          <w:p>
            <w:pPr>
              <w:spacing w:after="0"/>
              <w:rPr>
                <w:sz w:val="20"/>
                <w:szCs w:val="20"/>
                <w:color w:val="auto"/>
              </w:rPr>
            </w:pPr>
          </w:p>
        </w:tc>
        <w:tc>
          <w:tcPr>
            <w:tcW w:w="5040" w:type="dxa"/>
            <w:vAlign w:val="bottom"/>
            <w:tcBorders>
              <w:top w:val="single" w:sz="8" w:color="005C5D"/>
            </w:tcBorders>
            <w:gridSpan w:val="3"/>
            <w:shd w:val="clear" w:color="auto" w:fill="005C5D"/>
          </w:tcPr>
          <w:p>
            <w:pPr>
              <w:ind w:left="60"/>
              <w:spacing w:after="0"/>
              <w:rPr>
                <w:sz w:val="20"/>
                <w:szCs w:val="20"/>
                <w:color w:val="auto"/>
              </w:rPr>
            </w:pPr>
            <w:r>
              <w:rPr>
                <w:rFonts w:ascii="Arial" w:cs="Arial" w:eastAsia="Arial" w:hAnsi="Arial"/>
                <w:sz w:val="14"/>
                <w:szCs w:val="14"/>
                <w:color w:val="FFFFFF"/>
              </w:rPr>
              <w:t>Payout by Performance Level as a Percentage of Target Incentive</w:t>
            </w:r>
          </w:p>
        </w:tc>
        <w:tc>
          <w:tcPr>
            <w:tcW w:w="480" w:type="dxa"/>
            <w:vAlign w:val="bottom"/>
            <w:tcBorders>
              <w:top w:val="single" w:sz="8" w:color="005C5D"/>
            </w:tcBorders>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3200" w:type="dxa"/>
            <w:vAlign w:val="bottom"/>
            <w:tcBorders>
              <w:bottom w:val="single" w:sz="8" w:color="005C5D"/>
            </w:tcBorders>
            <w:shd w:val="clear" w:color="auto" w:fill="005C5D"/>
          </w:tcPr>
          <w:p>
            <w:pPr>
              <w:spacing w:after="0"/>
              <w:rPr>
                <w:sz w:val="24"/>
                <w:szCs w:val="24"/>
                <w:color w:val="auto"/>
              </w:rPr>
            </w:pPr>
          </w:p>
        </w:tc>
        <w:tc>
          <w:tcPr>
            <w:tcW w:w="920" w:type="dxa"/>
            <w:vAlign w:val="bottom"/>
            <w:tcBorders>
              <w:bottom w:val="single" w:sz="8" w:color="005C5D"/>
            </w:tcBorders>
            <w:shd w:val="clear" w:color="auto" w:fill="005C5D"/>
          </w:tcPr>
          <w:p>
            <w:pPr>
              <w:spacing w:after="0"/>
              <w:rPr>
                <w:sz w:val="24"/>
                <w:szCs w:val="24"/>
                <w:color w:val="auto"/>
              </w:rPr>
            </w:pPr>
          </w:p>
        </w:tc>
        <w:tc>
          <w:tcPr>
            <w:tcW w:w="1280" w:type="dxa"/>
            <w:vAlign w:val="bottom"/>
            <w:tcBorders>
              <w:bottom w:val="single" w:sz="8" w:color="005C5D"/>
            </w:tcBorders>
            <w:shd w:val="clear" w:color="auto" w:fill="005C5D"/>
          </w:tcPr>
          <w:p>
            <w:pPr>
              <w:jc w:val="right"/>
              <w:spacing w:after="0"/>
              <w:rPr>
                <w:sz w:val="20"/>
                <w:szCs w:val="20"/>
                <w:color w:val="auto"/>
              </w:rPr>
            </w:pPr>
            <w:r>
              <w:rPr>
                <w:rFonts w:ascii="Arial" w:cs="Arial" w:eastAsia="Arial" w:hAnsi="Arial"/>
                <w:sz w:val="14"/>
                <w:szCs w:val="14"/>
                <w:color w:val="FFFFFF"/>
              </w:rPr>
              <w:t>Met Most</w:t>
            </w:r>
          </w:p>
        </w:tc>
        <w:tc>
          <w:tcPr>
            <w:tcW w:w="1720" w:type="dxa"/>
            <w:vAlign w:val="bottom"/>
            <w:tcBorders>
              <w:bottom w:val="single" w:sz="8" w:color="005C5D"/>
            </w:tcBorders>
            <w:shd w:val="clear" w:color="auto" w:fill="005C5D"/>
          </w:tcPr>
          <w:p>
            <w:pPr>
              <w:ind w:left="840"/>
              <w:spacing w:after="0"/>
              <w:rPr>
                <w:sz w:val="20"/>
                <w:szCs w:val="20"/>
                <w:color w:val="auto"/>
              </w:rPr>
            </w:pPr>
            <w:r>
              <w:rPr>
                <w:rFonts w:ascii="Arial" w:cs="Arial" w:eastAsia="Arial" w:hAnsi="Arial"/>
                <w:sz w:val="14"/>
                <w:szCs w:val="14"/>
                <w:color w:val="FFFFFF"/>
              </w:rPr>
              <w:t>Met All</w:t>
            </w:r>
          </w:p>
        </w:tc>
        <w:tc>
          <w:tcPr>
            <w:tcW w:w="1380" w:type="dxa"/>
            <w:vAlign w:val="bottom"/>
            <w:tcBorders>
              <w:bottom w:val="single" w:sz="8" w:color="005C5D"/>
            </w:tcBorders>
            <w:shd w:val="clear" w:color="auto" w:fill="005C5D"/>
          </w:tcPr>
          <w:p>
            <w:pPr>
              <w:jc w:val="right"/>
              <w:ind w:right="369"/>
              <w:spacing w:after="0"/>
              <w:rPr>
                <w:sz w:val="20"/>
                <w:szCs w:val="20"/>
                <w:color w:val="auto"/>
              </w:rPr>
            </w:pPr>
            <w:r>
              <w:rPr>
                <w:rFonts w:ascii="Arial" w:cs="Arial" w:eastAsia="Arial" w:hAnsi="Arial"/>
                <w:sz w:val="14"/>
                <w:szCs w:val="14"/>
                <w:b w:val="1"/>
                <w:bCs w:val="1"/>
                <w:color w:val="FFFFFF"/>
              </w:rPr>
              <w:t>Exceed</w:t>
            </w:r>
          </w:p>
        </w:tc>
        <w:tc>
          <w:tcPr>
            <w:tcW w:w="1940" w:type="dxa"/>
            <w:vAlign w:val="bottom"/>
            <w:tcBorders>
              <w:bottom w:val="single" w:sz="8" w:color="005C5D"/>
            </w:tcBorders>
            <w:shd w:val="clear" w:color="auto" w:fill="005C5D"/>
          </w:tcPr>
          <w:p>
            <w:pPr>
              <w:ind w:left="460"/>
              <w:spacing w:after="0"/>
              <w:rPr>
                <w:sz w:val="20"/>
                <w:szCs w:val="20"/>
                <w:color w:val="auto"/>
              </w:rPr>
            </w:pPr>
            <w:r>
              <w:rPr>
                <w:rFonts w:ascii="Arial" w:cs="Arial" w:eastAsia="Arial" w:hAnsi="Arial"/>
                <w:sz w:val="14"/>
                <w:szCs w:val="14"/>
                <w:color w:val="FFFFFF"/>
              </w:rPr>
              <w:t>Significantly Exceed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200" w:type="dxa"/>
            <w:vAlign w:val="bottom"/>
            <w:tcBorders>
              <w:bottom w:val="single" w:sz="8" w:color="005C5D"/>
            </w:tcBorders>
          </w:tcPr>
          <w:p>
            <w:pPr>
              <w:ind w:left="80"/>
              <w:spacing w:after="0"/>
              <w:rPr>
                <w:sz w:val="20"/>
                <w:szCs w:val="20"/>
                <w:color w:val="auto"/>
              </w:rPr>
            </w:pPr>
            <w:r>
              <w:rPr>
                <w:rFonts w:ascii="Arial" w:cs="Arial" w:eastAsia="Arial" w:hAnsi="Arial"/>
                <w:sz w:val="14"/>
                <w:szCs w:val="14"/>
                <w:color w:val="333333"/>
              </w:rPr>
              <w:t>Strategic Objectives</w:t>
            </w:r>
            <w:r>
              <w:rPr>
                <w:rFonts w:ascii="Arial" w:cs="Arial" w:eastAsia="Arial" w:hAnsi="Arial"/>
                <w:sz w:val="21"/>
                <w:szCs w:val="21"/>
                <w:color w:val="333333"/>
                <w:vertAlign w:val="superscript"/>
              </w:rPr>
              <w:t>(1)</w:t>
            </w:r>
          </w:p>
        </w:tc>
        <w:tc>
          <w:tcPr>
            <w:tcW w:w="920" w:type="dxa"/>
            <w:vAlign w:val="bottom"/>
            <w:tcBorders>
              <w:bottom w:val="single" w:sz="8" w:color="005C5D"/>
            </w:tcBorders>
            <w:shd w:val="clear" w:color="auto" w:fill="FCEFEB"/>
          </w:tcPr>
          <w:p>
            <w:pPr>
              <w:jc w:val="right"/>
              <w:spacing w:after="0"/>
              <w:rPr>
                <w:sz w:val="20"/>
                <w:szCs w:val="20"/>
                <w:color w:val="auto"/>
              </w:rPr>
            </w:pPr>
            <w:r>
              <w:rPr>
                <w:rFonts w:ascii="Arial" w:cs="Arial" w:eastAsia="Arial" w:hAnsi="Arial"/>
                <w:sz w:val="14"/>
                <w:szCs w:val="14"/>
                <w:color w:val="333333"/>
              </w:rPr>
              <w:t>40%</w:t>
            </w:r>
          </w:p>
        </w:tc>
        <w:tc>
          <w:tcPr>
            <w:tcW w:w="1280" w:type="dxa"/>
            <w:vAlign w:val="bottom"/>
            <w:tcBorders>
              <w:bottom w:val="single" w:sz="8" w:color="005C5D"/>
            </w:tcBorders>
            <w:shd w:val="clear" w:color="auto" w:fill="FCEFEB"/>
          </w:tcPr>
          <w:p>
            <w:pPr>
              <w:jc w:val="right"/>
              <w:ind w:right="69"/>
              <w:spacing w:after="0"/>
              <w:rPr>
                <w:sz w:val="20"/>
                <w:szCs w:val="20"/>
                <w:color w:val="auto"/>
              </w:rPr>
            </w:pPr>
            <w:r>
              <w:rPr>
                <w:rFonts w:ascii="Arial" w:cs="Arial" w:eastAsia="Arial" w:hAnsi="Arial"/>
                <w:sz w:val="14"/>
                <w:szCs w:val="14"/>
                <w:color w:val="333333"/>
              </w:rPr>
              <w:t>25%</w:t>
            </w:r>
          </w:p>
        </w:tc>
        <w:tc>
          <w:tcPr>
            <w:tcW w:w="1720" w:type="dxa"/>
            <w:vAlign w:val="bottom"/>
            <w:tcBorders>
              <w:bottom w:val="single" w:sz="8" w:color="005C5D"/>
            </w:tcBorders>
            <w:shd w:val="clear" w:color="auto" w:fill="FCEFEB"/>
          </w:tcPr>
          <w:p>
            <w:pPr>
              <w:jc w:val="right"/>
              <w:ind w:right="389"/>
              <w:spacing w:after="0"/>
              <w:rPr>
                <w:sz w:val="20"/>
                <w:szCs w:val="20"/>
                <w:color w:val="auto"/>
              </w:rPr>
            </w:pPr>
            <w:r>
              <w:rPr>
                <w:rFonts w:ascii="Arial" w:cs="Arial" w:eastAsia="Arial" w:hAnsi="Arial"/>
                <w:sz w:val="14"/>
                <w:szCs w:val="14"/>
                <w:color w:val="333333"/>
              </w:rPr>
              <w:t>100%</w:t>
            </w:r>
          </w:p>
        </w:tc>
        <w:tc>
          <w:tcPr>
            <w:tcW w:w="1380" w:type="dxa"/>
            <w:vAlign w:val="bottom"/>
            <w:tcBorders>
              <w:bottom w:val="single" w:sz="8" w:color="005C5D"/>
            </w:tcBorders>
            <w:shd w:val="clear" w:color="auto" w:fill="FCEFEB"/>
          </w:tcPr>
          <w:p>
            <w:pPr>
              <w:jc w:val="right"/>
              <w:ind w:right="409"/>
              <w:spacing w:after="0"/>
              <w:rPr>
                <w:sz w:val="20"/>
                <w:szCs w:val="20"/>
                <w:color w:val="auto"/>
              </w:rPr>
            </w:pPr>
            <w:r>
              <w:rPr>
                <w:rFonts w:ascii="Arial" w:cs="Arial" w:eastAsia="Arial" w:hAnsi="Arial"/>
                <w:sz w:val="14"/>
                <w:szCs w:val="14"/>
                <w:color w:val="333333"/>
              </w:rPr>
              <w:t>125%</w:t>
            </w:r>
          </w:p>
        </w:tc>
        <w:tc>
          <w:tcPr>
            <w:tcW w:w="1940" w:type="dxa"/>
            <w:vAlign w:val="bottom"/>
            <w:tcBorders>
              <w:bottom w:val="single" w:sz="8" w:color="005C5D"/>
            </w:tcBorders>
            <w:shd w:val="clear" w:color="auto" w:fill="FCEFEB"/>
          </w:tcPr>
          <w:p>
            <w:pPr>
              <w:ind w:left="940"/>
              <w:spacing w:after="0"/>
              <w:rPr>
                <w:sz w:val="20"/>
                <w:szCs w:val="20"/>
                <w:color w:val="auto"/>
              </w:rPr>
            </w:pPr>
            <w:r>
              <w:rPr>
                <w:rFonts w:ascii="Arial" w:cs="Arial" w:eastAsia="Arial" w:hAnsi="Arial"/>
                <w:sz w:val="14"/>
                <w:szCs w:val="14"/>
                <w:color w:val="333333"/>
              </w:rPr>
              <w:t>200%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200" w:type="dxa"/>
            <w:vAlign w:val="bottom"/>
            <w:tcBorders>
              <w:bottom w:val="single" w:sz="8" w:color="005C5D"/>
            </w:tcBorders>
          </w:tcPr>
          <w:p>
            <w:pPr>
              <w:ind w:left="80"/>
              <w:spacing w:after="0"/>
              <w:rPr>
                <w:sz w:val="20"/>
                <w:szCs w:val="20"/>
                <w:color w:val="auto"/>
              </w:rPr>
            </w:pPr>
            <w:r>
              <w:rPr>
                <w:rFonts w:ascii="Arial" w:cs="Arial" w:eastAsia="Arial" w:hAnsi="Arial"/>
                <w:sz w:val="14"/>
                <w:szCs w:val="14"/>
                <w:color w:val="333333"/>
              </w:rPr>
              <w:t>TOTAL</w:t>
            </w:r>
          </w:p>
        </w:tc>
        <w:tc>
          <w:tcPr>
            <w:tcW w:w="920" w:type="dxa"/>
            <w:vAlign w:val="bottom"/>
            <w:tcBorders>
              <w:bottom w:val="single" w:sz="8" w:color="005C5D"/>
            </w:tcBorders>
            <w:shd w:val="clear" w:color="auto" w:fill="FCEFEB"/>
          </w:tcPr>
          <w:p>
            <w:pPr>
              <w:spacing w:after="0"/>
              <w:rPr>
                <w:sz w:val="24"/>
                <w:szCs w:val="24"/>
                <w:color w:val="auto"/>
              </w:rPr>
            </w:pPr>
          </w:p>
        </w:tc>
        <w:tc>
          <w:tcPr>
            <w:tcW w:w="1280" w:type="dxa"/>
            <w:vAlign w:val="bottom"/>
            <w:tcBorders>
              <w:bottom w:val="single" w:sz="8" w:color="005C5D"/>
            </w:tcBorders>
            <w:shd w:val="clear" w:color="auto" w:fill="FCEFEB"/>
          </w:tcPr>
          <w:p>
            <w:pPr>
              <w:spacing w:after="0"/>
              <w:rPr>
                <w:sz w:val="24"/>
                <w:szCs w:val="24"/>
                <w:color w:val="auto"/>
              </w:rPr>
            </w:pPr>
          </w:p>
        </w:tc>
        <w:tc>
          <w:tcPr>
            <w:tcW w:w="1720" w:type="dxa"/>
            <w:vAlign w:val="bottom"/>
            <w:tcBorders>
              <w:bottom w:val="single" w:sz="8" w:color="005C5D"/>
            </w:tcBorders>
            <w:shd w:val="clear" w:color="auto" w:fill="FCEFEB"/>
          </w:tcPr>
          <w:p>
            <w:pPr>
              <w:spacing w:after="0"/>
              <w:rPr>
                <w:sz w:val="24"/>
                <w:szCs w:val="24"/>
                <w:color w:val="auto"/>
              </w:rPr>
            </w:pPr>
          </w:p>
        </w:tc>
        <w:tc>
          <w:tcPr>
            <w:tcW w:w="1380" w:type="dxa"/>
            <w:vAlign w:val="bottom"/>
            <w:tcBorders>
              <w:bottom w:val="single" w:sz="8" w:color="005C5D"/>
            </w:tcBorders>
            <w:shd w:val="clear" w:color="auto" w:fill="FCEFEB"/>
          </w:tcPr>
          <w:p>
            <w:pPr>
              <w:spacing w:after="0"/>
              <w:rPr>
                <w:sz w:val="24"/>
                <w:szCs w:val="24"/>
                <w:color w:val="auto"/>
              </w:rPr>
            </w:pPr>
          </w:p>
        </w:tc>
        <w:tc>
          <w:tcPr>
            <w:tcW w:w="1940" w:type="dxa"/>
            <w:vAlign w:val="bottom"/>
            <w:tcBorders>
              <w:bottom w:val="single" w:sz="8" w:color="005C5D"/>
            </w:tcBorders>
            <w:shd w:val="clear" w:color="auto" w:fill="FCEFEB"/>
          </w:tcPr>
          <w:p>
            <w:pPr>
              <w:ind w:left="940"/>
              <w:spacing w:after="0"/>
              <w:rPr>
                <w:sz w:val="20"/>
                <w:szCs w:val="20"/>
                <w:color w:val="auto"/>
              </w:rPr>
            </w:pPr>
            <w:r>
              <w:rPr>
                <w:rFonts w:ascii="Arial" w:cs="Arial" w:eastAsia="Arial" w:hAnsi="Arial"/>
                <w:sz w:val="14"/>
                <w:szCs w:val="14"/>
                <w:color w:val="333333"/>
              </w:rPr>
              <w:t>200%</w:t>
            </w:r>
            <w:r>
              <w:rPr>
                <w:rFonts w:ascii="Arial" w:cs="Arial" w:eastAsia="Arial" w:hAnsi="Arial"/>
                <w:sz w:val="21"/>
                <w:szCs w:val="21"/>
                <w:color w:val="333333"/>
                <w:vertAlign w:val="superscript"/>
              </w:rPr>
              <w:t>(2)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80" w:hanging="313"/>
        <w:spacing w:after="0" w:line="243" w:lineRule="auto"/>
        <w:tabs>
          <w:tab w:leader="none" w:pos="480" w:val="left"/>
        </w:tabs>
        <w:numPr>
          <w:ilvl w:val="0"/>
          <w:numId w:val="38"/>
        </w:numPr>
        <w:rPr>
          <w:rFonts w:ascii="Arial" w:cs="Arial" w:eastAsia="Arial" w:hAnsi="Arial"/>
          <w:sz w:val="12"/>
          <w:szCs w:val="12"/>
          <w:color w:val="333333"/>
        </w:rPr>
      </w:pPr>
      <w:r>
        <w:rPr>
          <w:rFonts w:ascii="Arial" w:cs="Arial" w:eastAsia="Arial" w:hAnsi="Arial"/>
          <w:sz w:val="12"/>
          <w:szCs w:val="12"/>
          <w:color w:val="333333"/>
        </w:rPr>
        <w:t>The payout for strategic objectives is capped at 100% in the event that either or both of the operating income or net revenue metrics are not achieved at the threshold performance level or higher.</w:t>
      </w:r>
    </w:p>
    <w:p>
      <w:pPr>
        <w:spacing w:after="0" w:line="139" w:lineRule="exact"/>
        <w:rPr>
          <w:rFonts w:ascii="Arial" w:cs="Arial" w:eastAsia="Arial" w:hAnsi="Arial"/>
          <w:sz w:val="12"/>
          <w:szCs w:val="12"/>
          <w:color w:val="333333"/>
        </w:rPr>
      </w:pPr>
    </w:p>
    <w:p>
      <w:pPr>
        <w:ind w:left="480" w:hanging="313"/>
        <w:spacing w:after="0"/>
        <w:tabs>
          <w:tab w:leader="none" w:pos="480" w:val="left"/>
        </w:tabs>
        <w:numPr>
          <w:ilvl w:val="0"/>
          <w:numId w:val="38"/>
        </w:numPr>
        <w:rPr>
          <w:rFonts w:ascii="Arial" w:cs="Arial" w:eastAsia="Arial" w:hAnsi="Arial"/>
          <w:sz w:val="12"/>
          <w:szCs w:val="12"/>
          <w:color w:val="333333"/>
        </w:rPr>
      </w:pPr>
      <w:r>
        <w:rPr>
          <w:rFonts w:ascii="Arial" w:cs="Arial" w:eastAsia="Arial" w:hAnsi="Arial"/>
          <w:sz w:val="12"/>
          <w:szCs w:val="12"/>
          <w:color w:val="333333"/>
        </w:rPr>
        <w:t>Mr. Bickley’s total annual incentive payout is capped at 200% of his base salary.</w:t>
      </w:r>
    </w:p>
    <w:p>
      <w:pPr>
        <w:spacing w:after="0" w:line="140" w:lineRule="exact"/>
        <w:rPr>
          <w:sz w:val="20"/>
          <w:szCs w:val="20"/>
          <w:color w:val="auto"/>
        </w:rPr>
      </w:pPr>
    </w:p>
    <w:p>
      <w:pPr>
        <w:ind w:left="160"/>
        <w:spacing w:after="0"/>
        <w:tabs>
          <w:tab w:leader="none" w:pos="4920" w:val="left"/>
        </w:tabs>
        <w:rPr>
          <w:sz w:val="20"/>
          <w:szCs w:val="20"/>
          <w:color w:val="auto"/>
        </w:rPr>
      </w:pPr>
      <w:r>
        <w:rPr>
          <w:rFonts w:ascii="Arial" w:cs="Arial" w:eastAsia="Arial" w:hAnsi="Arial"/>
          <w:sz w:val="14"/>
          <w:szCs w:val="14"/>
          <w:color w:val="005C5D"/>
        </w:rPr>
        <w:t xml:space="preserve">26 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1080"/>
          </w:cols>
          <w:pgMar w:left="320" w:top="478" w:right="4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both"/>
        <w:ind w:left="160"/>
        <w:spacing w:after="0" w:line="249" w:lineRule="auto"/>
        <w:rPr>
          <w:sz w:val="20"/>
          <w:szCs w:val="20"/>
          <w:color w:val="auto"/>
        </w:rPr>
      </w:pPr>
      <w:r>
        <w:rPr>
          <w:rFonts w:ascii="Arial" w:cs="Arial" w:eastAsia="Arial" w:hAnsi="Arial"/>
          <w:sz w:val="16"/>
          <w:szCs w:val="16"/>
          <w:b w:val="1"/>
          <w:bCs w:val="1"/>
          <w:color w:val="337C7D"/>
        </w:rPr>
        <w:t>Selecting the Strategic Metrics</w:t>
      </w:r>
      <w:r>
        <w:rPr>
          <w:rFonts w:ascii="Arial" w:cs="Arial" w:eastAsia="Arial" w:hAnsi="Arial"/>
          <w:sz w:val="16"/>
          <w:szCs w:val="16"/>
          <w:color w:val="333333"/>
        </w:rPr>
        <w:t>. In fiscal 2026, the Committee once</w:t>
      </w:r>
      <w:r>
        <w:rPr>
          <w:rFonts w:ascii="Arial" w:cs="Arial" w:eastAsia="Arial" w:hAnsi="Arial"/>
          <w:sz w:val="16"/>
          <w:szCs w:val="16"/>
          <w:b w:val="1"/>
          <w:bCs w:val="1"/>
          <w:color w:val="337C7D"/>
        </w:rPr>
        <w:t xml:space="preserve"> </w:t>
      </w:r>
      <w:r>
        <w:rPr>
          <w:rFonts w:ascii="Arial" w:cs="Arial" w:eastAsia="Arial" w:hAnsi="Arial"/>
          <w:sz w:val="16"/>
          <w:szCs w:val="16"/>
          <w:color w:val="333333"/>
        </w:rPr>
        <w:t>again included a corporate-level strategic objective as a component of the annual incentive compensation program. The Committee believes that this metric is appropriate to incentivize the management team to meet significant strategic objectives key to achieving the Company’s long-term strategic plan. The strategic objective measure is tied to an objective metric where performance is based on the level of achievement against the metric.</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In fiscal 2026 the corporate strategic goal was cash management.</w:t>
      </w:r>
    </w:p>
    <w:p>
      <w:pPr>
        <w:spacing w:after="0" w:line="150"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333333"/>
        </w:rPr>
        <w:t>In the future, the Committee will continue to evaluate both payout levels and performance levels in accordance with business conditions and prevailing market practices.</w:t>
      </w:r>
    </w:p>
    <w:p>
      <w:pPr>
        <w:spacing w:after="0" w:line="93"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b w:val="1"/>
          <w:bCs w:val="1"/>
          <w:color w:val="337C7D"/>
        </w:rPr>
        <w:t xml:space="preserve">Fiscal 2026 Annual Incentive Payout. </w:t>
      </w:r>
      <w:r>
        <w:rPr>
          <w:rFonts w:ascii="Arial" w:cs="Arial" w:eastAsia="Arial" w:hAnsi="Arial"/>
          <w:sz w:val="16"/>
          <w:szCs w:val="16"/>
          <w:color w:val="333333"/>
        </w:rPr>
        <w:t>In fiscal 2026, the Company’s net</w:t>
      </w:r>
      <w:r>
        <w:rPr>
          <w:rFonts w:ascii="Arial" w:cs="Arial" w:eastAsia="Arial" w:hAnsi="Arial"/>
          <w:sz w:val="16"/>
          <w:szCs w:val="16"/>
          <w:b w:val="1"/>
          <w:bCs w:val="1"/>
          <w:color w:val="337C7D"/>
        </w:rPr>
        <w:t xml:space="preserve"> </w:t>
      </w:r>
      <w:r>
        <w:rPr>
          <w:rFonts w:ascii="Arial" w:cs="Arial" w:eastAsia="Arial" w:hAnsi="Arial"/>
          <w:sz w:val="16"/>
          <w:szCs w:val="16"/>
          <w:color w:val="333333"/>
        </w:rPr>
        <w:t>revenue was above the threshold performance level of $268.2 million, resulting in a partial payout for this metric. The Company’s adjusted operating loss was below the threshold performance level of $0.4 million, resulting in no payout for this metric. The Company’s operating loss from continuing operations was adjusted to exclude severance charges, certain professional fees associated with strategic objectives, professional fees associated with the sale of Pura Vida, PPE impairment charges, transformation initiative charges, PO cancellation charges, and inventory write-off charges associated with the sale of Pura Vida.</w:t>
      </w:r>
    </w:p>
    <w:p>
      <w:pPr>
        <w:spacing w:after="0" w:line="118"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333333"/>
        </w:rPr>
        <w:t>For financial performance metrics, payout levels are determined using linear interpolation for results falling between the three performance levels.</w:t>
      </w:r>
    </w:p>
    <w:p>
      <w:pPr>
        <w:spacing w:after="0" w:line="106" w:lineRule="exact"/>
        <w:rPr>
          <w:sz w:val="20"/>
          <w:szCs w:val="20"/>
          <w:color w:val="auto"/>
        </w:rPr>
      </w:pPr>
    </w:p>
    <w:p>
      <w:pPr>
        <w:jc w:val="both"/>
        <w:ind w:left="160"/>
        <w:spacing w:after="0" w:line="256" w:lineRule="auto"/>
        <w:rPr>
          <w:sz w:val="20"/>
          <w:szCs w:val="20"/>
          <w:color w:val="auto"/>
        </w:rPr>
      </w:pPr>
      <w:r>
        <w:rPr>
          <w:rFonts w:ascii="Arial" w:cs="Arial" w:eastAsia="Arial" w:hAnsi="Arial"/>
          <w:sz w:val="16"/>
          <w:szCs w:val="16"/>
          <w:color w:val="333333"/>
        </w:rPr>
        <w:t>The Committee determined the Company’s strategic goals were not met and therefore resulted in no payout. This result was determined based on metrics identified at the beginning of fiscal 2026 and how the Company performed with respect to each of these metrics.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ind w:left="7"/>
        <w:spacing w:after="0" w:line="279" w:lineRule="auto"/>
        <w:rPr>
          <w:sz w:val="20"/>
          <w:szCs w:val="20"/>
          <w:color w:val="auto"/>
        </w:rPr>
      </w:pPr>
      <w:r>
        <w:rPr>
          <w:rFonts w:ascii="Arial" w:cs="Arial" w:eastAsia="Arial" w:hAnsi="Arial"/>
          <w:sz w:val="16"/>
          <w:szCs w:val="16"/>
          <w:color w:val="333333"/>
        </w:rPr>
        <w:t>The following table sets forth the payout opportunities at each performance level, as well as actual bonus earned as a percentage of base salary:</w:t>
      </w:r>
    </w:p>
    <w:p>
      <w:pPr>
        <w:spacing w:after="0" w:line="161"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005C5D"/>
        </w:rPr>
        <w:t>FISCAL 2026 ANNUAL INCENTIVE PAYOUT AS A</w:t>
      </w:r>
    </w:p>
    <w:p>
      <w:pPr>
        <w:spacing w:after="0" w:line="19"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005C5D"/>
        </w:rPr>
        <w:t>PERCENTAGE OF BASE SALARY</w:t>
      </w:r>
    </w:p>
    <w:p>
      <w:pPr>
        <w:spacing w:after="0" w:line="362" w:lineRule="exact"/>
        <w:rPr>
          <w:sz w:val="20"/>
          <w:szCs w:val="20"/>
          <w:color w:val="auto"/>
        </w:rPr>
      </w:pPr>
    </w:p>
    <w:tbl>
      <w:tblPr>
        <w:tblLayout w:type="fixed"/>
        <w:tblInd w:w="7" w:type="dxa"/>
        <w:tblCellMar>
          <w:top w:w="0" w:type="dxa"/>
          <w:left w:w="0" w:type="dxa"/>
          <w:bottom w:w="0" w:type="dxa"/>
          <w:right w:w="0" w:type="dxa"/>
        </w:tblCellMar>
      </w:tblPr>
      <w:tr>
        <w:trPr>
          <w:trHeight w:val="120"/>
        </w:trPr>
        <w:tc>
          <w:tcPr>
            <w:tcW w:w="1320" w:type="dxa"/>
            <w:vAlign w:val="bottom"/>
          </w:tcPr>
          <w:p>
            <w:pPr>
              <w:spacing w:after="0"/>
              <w:rPr>
                <w:sz w:val="10"/>
                <w:szCs w:val="10"/>
                <w:color w:val="auto"/>
              </w:rPr>
            </w:pPr>
          </w:p>
        </w:tc>
        <w:tc>
          <w:tcPr>
            <w:tcW w:w="1260" w:type="dxa"/>
            <w:vAlign w:val="bottom"/>
            <w:shd w:val="clear" w:color="auto" w:fill="FCEFEB"/>
          </w:tcPr>
          <w:p>
            <w:pPr>
              <w:spacing w:after="0"/>
              <w:rPr>
                <w:sz w:val="10"/>
                <w:szCs w:val="10"/>
                <w:color w:val="auto"/>
              </w:rPr>
            </w:pPr>
          </w:p>
        </w:tc>
        <w:tc>
          <w:tcPr>
            <w:tcW w:w="920" w:type="dxa"/>
            <w:vAlign w:val="bottom"/>
            <w:shd w:val="clear" w:color="auto" w:fill="FCEFEB"/>
          </w:tcPr>
          <w:p>
            <w:pPr>
              <w:spacing w:after="0"/>
              <w:rPr>
                <w:sz w:val="10"/>
                <w:szCs w:val="10"/>
                <w:color w:val="auto"/>
              </w:rPr>
            </w:pPr>
          </w:p>
        </w:tc>
        <w:tc>
          <w:tcPr>
            <w:tcW w:w="740" w:type="dxa"/>
            <w:vAlign w:val="bottom"/>
            <w:shd w:val="clear" w:color="auto" w:fill="FCEFEB"/>
          </w:tcPr>
          <w:p>
            <w:pPr>
              <w:spacing w:after="0"/>
              <w:rPr>
                <w:sz w:val="10"/>
                <w:szCs w:val="10"/>
                <w:color w:val="auto"/>
              </w:rPr>
            </w:pPr>
          </w:p>
        </w:tc>
        <w:tc>
          <w:tcPr>
            <w:tcW w:w="1100" w:type="dxa"/>
            <w:vAlign w:val="bottom"/>
            <w:shd w:val="clear" w:color="auto" w:fill="FCEFEB"/>
          </w:tcPr>
          <w:p>
            <w:pPr>
              <w:spacing w:after="0"/>
              <w:rPr>
                <w:sz w:val="10"/>
                <w:szCs w:val="10"/>
                <w:color w:val="auto"/>
              </w:rPr>
            </w:pPr>
          </w:p>
        </w:tc>
      </w:tr>
      <w:tr>
        <w:trPr>
          <w:trHeight w:val="247"/>
        </w:trPr>
        <w:tc>
          <w:tcPr>
            <w:tcW w:w="1320" w:type="dxa"/>
            <w:vAlign w:val="bottom"/>
            <w:shd w:val="clear" w:color="auto" w:fill="005C5D"/>
          </w:tcPr>
          <w:p>
            <w:pPr>
              <w:spacing w:after="0"/>
              <w:rPr>
                <w:sz w:val="21"/>
                <w:szCs w:val="21"/>
                <w:color w:val="auto"/>
              </w:rPr>
            </w:pPr>
          </w:p>
        </w:tc>
        <w:tc>
          <w:tcPr>
            <w:tcW w:w="2180" w:type="dxa"/>
            <w:vAlign w:val="bottom"/>
            <w:gridSpan w:val="2"/>
            <w:shd w:val="clear" w:color="auto" w:fill="005C5D"/>
          </w:tcPr>
          <w:p>
            <w:pPr>
              <w:jc w:val="right"/>
              <w:ind w:right="89"/>
              <w:spacing w:after="0"/>
              <w:rPr>
                <w:sz w:val="20"/>
                <w:szCs w:val="20"/>
                <w:color w:val="auto"/>
              </w:rPr>
            </w:pPr>
            <w:r>
              <w:rPr>
                <w:rFonts w:ascii="Arial" w:cs="Arial" w:eastAsia="Arial" w:hAnsi="Arial"/>
                <w:sz w:val="14"/>
                <w:szCs w:val="14"/>
                <w:color w:val="FFFFFF"/>
              </w:rPr>
              <w:t>OPPORTUNITY</w:t>
            </w:r>
          </w:p>
        </w:tc>
        <w:tc>
          <w:tcPr>
            <w:tcW w:w="740" w:type="dxa"/>
            <w:vAlign w:val="bottom"/>
            <w:shd w:val="clear" w:color="auto" w:fill="005C5D"/>
          </w:tcPr>
          <w:p>
            <w:pPr>
              <w:spacing w:after="0"/>
              <w:rPr>
                <w:sz w:val="21"/>
                <w:szCs w:val="21"/>
                <w:color w:val="auto"/>
              </w:rPr>
            </w:pPr>
          </w:p>
        </w:tc>
        <w:tc>
          <w:tcPr>
            <w:tcW w:w="1100" w:type="dxa"/>
            <w:vAlign w:val="bottom"/>
            <w:shd w:val="clear" w:color="auto" w:fill="005C5D"/>
          </w:tcPr>
          <w:p>
            <w:pPr>
              <w:spacing w:after="0"/>
              <w:rPr>
                <w:sz w:val="21"/>
                <w:szCs w:val="21"/>
                <w:color w:val="auto"/>
              </w:rPr>
            </w:pPr>
          </w:p>
        </w:tc>
      </w:tr>
      <w:tr>
        <w:trPr>
          <w:trHeight w:val="322"/>
        </w:trPr>
        <w:tc>
          <w:tcPr>
            <w:tcW w:w="1320" w:type="dxa"/>
            <w:vAlign w:val="bottom"/>
            <w:tcBorders>
              <w:bottom w:val="single" w:sz="8" w:color="005C5D"/>
            </w:tcBorders>
            <w:shd w:val="clear" w:color="auto" w:fill="005C5D"/>
          </w:tcPr>
          <w:p>
            <w:pPr>
              <w:spacing w:after="0"/>
              <w:rPr>
                <w:sz w:val="24"/>
                <w:szCs w:val="24"/>
                <w:color w:val="auto"/>
              </w:rPr>
            </w:pPr>
          </w:p>
        </w:tc>
        <w:tc>
          <w:tcPr>
            <w:tcW w:w="1260" w:type="dxa"/>
            <w:vAlign w:val="bottom"/>
            <w:tcBorders>
              <w:bottom w:val="single" w:sz="8" w:color="005C5D"/>
            </w:tcBorders>
            <w:shd w:val="clear" w:color="auto" w:fill="005C5D"/>
          </w:tcPr>
          <w:p>
            <w:pPr>
              <w:jc w:val="right"/>
              <w:ind w:right="109"/>
              <w:spacing w:after="0"/>
              <w:rPr>
                <w:sz w:val="20"/>
                <w:szCs w:val="20"/>
                <w:color w:val="auto"/>
              </w:rPr>
            </w:pPr>
            <w:r>
              <w:rPr>
                <w:rFonts w:ascii="Arial" w:cs="Arial" w:eastAsia="Arial" w:hAnsi="Arial"/>
                <w:sz w:val="14"/>
                <w:szCs w:val="14"/>
                <w:color w:val="FFFFFF"/>
              </w:rPr>
              <w:t>Threshold</w:t>
            </w:r>
          </w:p>
        </w:tc>
        <w:tc>
          <w:tcPr>
            <w:tcW w:w="920" w:type="dxa"/>
            <w:vAlign w:val="bottom"/>
            <w:tcBorders>
              <w:bottom w:val="single" w:sz="8" w:color="005C5D"/>
            </w:tcBorders>
            <w:shd w:val="clear" w:color="auto" w:fill="005C5D"/>
          </w:tcPr>
          <w:p>
            <w:pPr>
              <w:jc w:val="right"/>
              <w:ind w:right="149"/>
              <w:spacing w:after="0"/>
              <w:rPr>
                <w:sz w:val="20"/>
                <w:szCs w:val="20"/>
                <w:color w:val="auto"/>
              </w:rPr>
            </w:pPr>
            <w:r>
              <w:rPr>
                <w:rFonts w:ascii="Arial" w:cs="Arial" w:eastAsia="Arial" w:hAnsi="Arial"/>
                <w:sz w:val="14"/>
                <w:szCs w:val="14"/>
                <w:color w:val="FFFFFF"/>
              </w:rPr>
              <w:t>Target</w:t>
            </w:r>
          </w:p>
        </w:tc>
        <w:tc>
          <w:tcPr>
            <w:tcW w:w="740" w:type="dxa"/>
            <w:vAlign w:val="bottom"/>
            <w:tcBorders>
              <w:bottom w:val="single" w:sz="8" w:color="005C5D"/>
            </w:tcBorders>
            <w:shd w:val="clear" w:color="auto" w:fill="005C5D"/>
          </w:tcPr>
          <w:p>
            <w:pPr>
              <w:ind w:left="180"/>
              <w:spacing w:after="0"/>
              <w:rPr>
                <w:sz w:val="20"/>
                <w:szCs w:val="20"/>
                <w:color w:val="auto"/>
              </w:rPr>
            </w:pPr>
            <w:r>
              <w:rPr>
                <w:rFonts w:ascii="Arial" w:cs="Arial" w:eastAsia="Arial" w:hAnsi="Arial"/>
                <w:sz w:val="14"/>
                <w:szCs w:val="14"/>
                <w:color w:val="FFFFFF"/>
              </w:rPr>
              <w:t>Max</w:t>
            </w:r>
          </w:p>
        </w:tc>
        <w:tc>
          <w:tcPr>
            <w:tcW w:w="1100" w:type="dxa"/>
            <w:vAlign w:val="bottom"/>
            <w:tcBorders>
              <w:bottom w:val="single" w:sz="8" w:color="005C5D"/>
            </w:tcBorders>
            <w:shd w:val="clear" w:color="auto" w:fill="005C5D"/>
          </w:tcPr>
          <w:p>
            <w:pPr>
              <w:jc w:val="right"/>
              <w:ind w:right="49"/>
              <w:spacing w:after="0"/>
              <w:rPr>
                <w:sz w:val="20"/>
                <w:szCs w:val="20"/>
                <w:color w:val="auto"/>
              </w:rPr>
            </w:pPr>
            <w:r>
              <w:rPr>
                <w:rFonts w:ascii="Arial" w:cs="Arial" w:eastAsia="Arial" w:hAnsi="Arial"/>
                <w:sz w:val="14"/>
                <w:szCs w:val="14"/>
                <w:color w:val="FFFFFF"/>
              </w:rPr>
              <w:t>ACTUAL</w:t>
            </w:r>
            <w:r>
              <w:rPr>
                <w:rFonts w:ascii="Arial" w:cs="Arial" w:eastAsia="Arial" w:hAnsi="Arial"/>
                <w:sz w:val="14"/>
                <w:szCs w:val="14"/>
                <w:color w:val="FFFFFF"/>
                <w:vertAlign w:val="superscript"/>
              </w:rPr>
              <w:t>(1)</w:t>
            </w:r>
            <w:r>
              <w:rPr>
                <w:rFonts w:ascii="Arial" w:cs="Arial" w:eastAsia="Arial" w:hAnsi="Arial"/>
                <w:sz w:val="14"/>
                <w:szCs w:val="14"/>
                <w:color w:val="FFFFFF"/>
              </w:rPr>
              <w:t xml:space="preserve">   </w:t>
            </w:r>
          </w:p>
        </w:tc>
      </w:tr>
      <w:tr>
        <w:trPr>
          <w:trHeight w:val="294"/>
        </w:trPr>
        <w:tc>
          <w:tcPr>
            <w:tcW w:w="1320" w:type="dxa"/>
            <w:vAlign w:val="bottom"/>
          </w:tcPr>
          <w:p>
            <w:pPr>
              <w:ind w:left="60"/>
              <w:spacing w:after="0"/>
              <w:rPr>
                <w:sz w:val="20"/>
                <w:szCs w:val="20"/>
                <w:color w:val="auto"/>
              </w:rPr>
            </w:pPr>
            <w:r>
              <w:rPr>
                <w:rFonts w:ascii="Arial" w:cs="Arial" w:eastAsia="Arial" w:hAnsi="Arial"/>
                <w:sz w:val="14"/>
                <w:szCs w:val="14"/>
                <w:color w:val="333333"/>
              </w:rPr>
              <w:t>Ian Bickley</w:t>
            </w:r>
          </w:p>
        </w:tc>
        <w:tc>
          <w:tcPr>
            <w:tcW w:w="1260" w:type="dxa"/>
            <w:vAlign w:val="bottom"/>
            <w:tcBorders>
              <w:bottom w:val="single" w:sz="8" w:color="FCEFEB"/>
            </w:tcBorders>
            <w:shd w:val="clear" w:color="auto" w:fill="FCEFEB"/>
          </w:tcPr>
          <w:p>
            <w:pPr>
              <w:jc w:val="right"/>
              <w:ind w:right="269"/>
              <w:spacing w:after="0"/>
              <w:rPr>
                <w:sz w:val="20"/>
                <w:szCs w:val="20"/>
                <w:color w:val="auto"/>
              </w:rPr>
            </w:pPr>
            <w:r>
              <w:rPr>
                <w:rFonts w:ascii="Arial" w:cs="Arial" w:eastAsia="Arial" w:hAnsi="Arial"/>
                <w:sz w:val="14"/>
                <w:szCs w:val="14"/>
                <w:color w:val="333333"/>
              </w:rPr>
              <w:t>N/A</w:t>
            </w:r>
          </w:p>
        </w:tc>
        <w:tc>
          <w:tcPr>
            <w:tcW w:w="920" w:type="dxa"/>
            <w:vAlign w:val="bottom"/>
            <w:tcBorders>
              <w:bottom w:val="single" w:sz="8" w:color="FCEFEB"/>
            </w:tcBorders>
            <w:shd w:val="clear" w:color="auto" w:fill="FCEFEB"/>
          </w:tcPr>
          <w:p>
            <w:pPr>
              <w:jc w:val="right"/>
              <w:ind w:right="269"/>
              <w:spacing w:after="0"/>
              <w:rPr>
                <w:sz w:val="20"/>
                <w:szCs w:val="20"/>
                <w:color w:val="auto"/>
              </w:rPr>
            </w:pPr>
            <w:r>
              <w:rPr>
                <w:rFonts w:ascii="Arial" w:cs="Arial" w:eastAsia="Arial" w:hAnsi="Arial"/>
                <w:sz w:val="14"/>
                <w:szCs w:val="14"/>
                <w:color w:val="333333"/>
              </w:rPr>
              <w:t>N/A</w:t>
            </w:r>
          </w:p>
        </w:tc>
        <w:tc>
          <w:tcPr>
            <w:tcW w:w="740" w:type="dxa"/>
            <w:vAlign w:val="bottom"/>
            <w:tcBorders>
              <w:bottom w:val="single" w:sz="8" w:color="FCEFEB"/>
            </w:tcBorders>
            <w:shd w:val="clear" w:color="auto" w:fill="FCEFEB"/>
          </w:tcPr>
          <w:p>
            <w:pPr>
              <w:ind w:left="160"/>
              <w:spacing w:after="0"/>
              <w:rPr>
                <w:sz w:val="20"/>
                <w:szCs w:val="20"/>
                <w:color w:val="auto"/>
              </w:rPr>
            </w:pPr>
            <w:r>
              <w:rPr>
                <w:rFonts w:ascii="Arial" w:cs="Arial" w:eastAsia="Arial" w:hAnsi="Arial"/>
                <w:sz w:val="14"/>
                <w:szCs w:val="14"/>
                <w:color w:val="333333"/>
              </w:rPr>
              <w:t>N/A</w:t>
            </w:r>
          </w:p>
        </w:tc>
        <w:tc>
          <w:tcPr>
            <w:tcW w:w="1100" w:type="dxa"/>
            <w:vAlign w:val="bottom"/>
            <w:tcBorders>
              <w:bottom w:val="single" w:sz="8" w:color="FCEFEB"/>
            </w:tcBorders>
            <w:shd w:val="clear" w:color="auto" w:fill="FCEFEB"/>
          </w:tcPr>
          <w:p>
            <w:pPr>
              <w:jc w:val="right"/>
              <w:ind w:right="309"/>
              <w:spacing w:after="0"/>
              <w:rPr>
                <w:sz w:val="20"/>
                <w:szCs w:val="20"/>
                <w:color w:val="auto"/>
              </w:rPr>
            </w:pPr>
            <w:r>
              <w:rPr>
                <w:rFonts w:ascii="Arial" w:cs="Arial" w:eastAsia="Arial" w:hAnsi="Arial"/>
                <w:sz w:val="14"/>
                <w:szCs w:val="14"/>
                <w:color w:val="333333"/>
              </w:rPr>
              <w:t>N/A</w:t>
            </w:r>
          </w:p>
        </w:tc>
      </w:tr>
      <w:tr>
        <w:trPr>
          <w:trHeight w:val="274"/>
        </w:trPr>
        <w:tc>
          <w:tcPr>
            <w:tcW w:w="1320" w:type="dxa"/>
            <w:vAlign w:val="bottom"/>
            <w:tcBorders>
              <w:top w:val="single" w:sz="8" w:color="005C5D"/>
            </w:tcBorders>
          </w:tcPr>
          <w:p>
            <w:pPr>
              <w:ind w:left="60"/>
              <w:spacing w:after="0"/>
              <w:rPr>
                <w:sz w:val="20"/>
                <w:szCs w:val="20"/>
                <w:color w:val="auto"/>
              </w:rPr>
            </w:pPr>
            <w:r>
              <w:rPr>
                <w:rFonts w:ascii="Arial" w:cs="Arial" w:eastAsia="Arial" w:hAnsi="Arial"/>
                <w:sz w:val="14"/>
                <w:szCs w:val="14"/>
                <w:color w:val="333333"/>
              </w:rPr>
              <w:t>Jacqueline Ardrey</w:t>
            </w:r>
          </w:p>
        </w:tc>
        <w:tc>
          <w:tcPr>
            <w:tcW w:w="1260" w:type="dxa"/>
            <w:vAlign w:val="bottom"/>
            <w:tcBorders>
              <w:top w:val="single" w:sz="8" w:color="005C5D"/>
              <w:bottom w:val="single" w:sz="8" w:color="FCEFEB"/>
            </w:tcBorders>
            <w:shd w:val="clear" w:color="auto" w:fill="FCEFEB"/>
          </w:tcPr>
          <w:p>
            <w:pPr>
              <w:jc w:val="right"/>
              <w:ind w:right="129"/>
              <w:spacing w:after="0"/>
              <w:rPr>
                <w:sz w:val="20"/>
                <w:szCs w:val="20"/>
                <w:color w:val="auto"/>
              </w:rPr>
            </w:pPr>
            <w:r>
              <w:rPr>
                <w:rFonts w:ascii="Arial" w:cs="Arial" w:eastAsia="Arial" w:hAnsi="Arial"/>
                <w:sz w:val="14"/>
                <w:szCs w:val="14"/>
                <w:color w:val="333333"/>
              </w:rPr>
              <w:t>25.0%</w:t>
            </w:r>
          </w:p>
        </w:tc>
        <w:tc>
          <w:tcPr>
            <w:tcW w:w="920" w:type="dxa"/>
            <w:vAlign w:val="bottom"/>
            <w:tcBorders>
              <w:top w:val="single" w:sz="8" w:color="005C5D"/>
              <w:bottom w:val="single" w:sz="8" w:color="FCEFEB"/>
            </w:tcBorders>
            <w:shd w:val="clear" w:color="auto" w:fill="FCEFEB"/>
          </w:tcPr>
          <w:p>
            <w:pPr>
              <w:jc w:val="right"/>
              <w:ind w:right="129"/>
              <w:spacing w:after="0"/>
              <w:rPr>
                <w:sz w:val="20"/>
                <w:szCs w:val="20"/>
                <w:color w:val="auto"/>
              </w:rPr>
            </w:pPr>
            <w:r>
              <w:rPr>
                <w:rFonts w:ascii="Arial" w:cs="Arial" w:eastAsia="Arial" w:hAnsi="Arial"/>
                <w:sz w:val="14"/>
                <w:szCs w:val="14"/>
                <w:color w:val="333333"/>
              </w:rPr>
              <w:t>100%</w:t>
            </w:r>
          </w:p>
        </w:tc>
        <w:tc>
          <w:tcPr>
            <w:tcW w:w="740" w:type="dxa"/>
            <w:vAlign w:val="bottom"/>
            <w:tcBorders>
              <w:top w:val="single" w:sz="8" w:color="005C5D"/>
              <w:bottom w:val="single" w:sz="8" w:color="FCEFEB"/>
            </w:tcBorders>
            <w:shd w:val="clear" w:color="auto" w:fill="FCEFEB"/>
          </w:tcPr>
          <w:p>
            <w:pPr>
              <w:ind w:left="160"/>
              <w:spacing w:after="0"/>
              <w:rPr>
                <w:sz w:val="20"/>
                <w:szCs w:val="20"/>
                <w:color w:val="auto"/>
              </w:rPr>
            </w:pPr>
            <w:r>
              <w:rPr>
                <w:rFonts w:ascii="Arial" w:cs="Arial" w:eastAsia="Arial" w:hAnsi="Arial"/>
                <w:sz w:val="14"/>
                <w:szCs w:val="14"/>
                <w:color w:val="333333"/>
              </w:rPr>
              <w:t>200%</w:t>
            </w:r>
          </w:p>
        </w:tc>
        <w:tc>
          <w:tcPr>
            <w:tcW w:w="1100" w:type="dxa"/>
            <w:vAlign w:val="bottom"/>
            <w:tcBorders>
              <w:top w:val="single" w:sz="8" w:color="005C5D"/>
              <w:bottom w:val="single" w:sz="8" w:color="FCEFEB"/>
            </w:tcBorders>
            <w:shd w:val="clear" w:color="auto" w:fill="FCEFEB"/>
          </w:tcPr>
          <w:p>
            <w:pPr>
              <w:jc w:val="right"/>
              <w:ind w:right="149"/>
              <w:spacing w:after="0"/>
              <w:rPr>
                <w:sz w:val="20"/>
                <w:szCs w:val="20"/>
                <w:color w:val="auto"/>
              </w:rPr>
            </w:pPr>
            <w:r>
              <w:rPr>
                <w:rFonts w:ascii="Arial" w:cs="Arial" w:eastAsia="Arial" w:hAnsi="Arial"/>
                <w:sz w:val="14"/>
                <w:szCs w:val="14"/>
                <w:color w:val="333333"/>
              </w:rPr>
              <w:t>9.0%</w:t>
            </w:r>
          </w:p>
        </w:tc>
      </w:tr>
      <w:tr>
        <w:trPr>
          <w:trHeight w:val="274"/>
        </w:trPr>
        <w:tc>
          <w:tcPr>
            <w:tcW w:w="1320" w:type="dxa"/>
            <w:vAlign w:val="bottom"/>
            <w:tcBorders>
              <w:top w:val="single" w:sz="8" w:color="005C5D"/>
            </w:tcBorders>
          </w:tcPr>
          <w:p>
            <w:pPr>
              <w:ind w:left="60"/>
              <w:spacing w:after="0"/>
              <w:rPr>
                <w:sz w:val="20"/>
                <w:szCs w:val="20"/>
                <w:color w:val="auto"/>
              </w:rPr>
            </w:pPr>
            <w:r>
              <w:rPr>
                <w:rFonts w:ascii="Arial" w:cs="Arial" w:eastAsia="Arial" w:hAnsi="Arial"/>
                <w:sz w:val="14"/>
                <w:szCs w:val="14"/>
                <w:color w:val="333333"/>
              </w:rPr>
              <w:t>Martin Layding</w:t>
            </w:r>
          </w:p>
        </w:tc>
        <w:tc>
          <w:tcPr>
            <w:tcW w:w="1260" w:type="dxa"/>
            <w:vAlign w:val="bottom"/>
            <w:tcBorders>
              <w:top w:val="single" w:sz="8" w:color="005C5D"/>
              <w:bottom w:val="single" w:sz="8" w:color="FCEFEB"/>
            </w:tcBorders>
            <w:shd w:val="clear" w:color="auto" w:fill="FCEFEB"/>
          </w:tcPr>
          <w:p>
            <w:pPr>
              <w:jc w:val="right"/>
              <w:ind w:right="129"/>
              <w:spacing w:after="0"/>
              <w:rPr>
                <w:sz w:val="20"/>
                <w:szCs w:val="20"/>
                <w:color w:val="auto"/>
              </w:rPr>
            </w:pPr>
            <w:r>
              <w:rPr>
                <w:rFonts w:ascii="Arial" w:cs="Arial" w:eastAsia="Arial" w:hAnsi="Arial"/>
                <w:sz w:val="14"/>
                <w:szCs w:val="14"/>
                <w:color w:val="333333"/>
              </w:rPr>
              <w:t>16.3%</w:t>
            </w:r>
          </w:p>
        </w:tc>
        <w:tc>
          <w:tcPr>
            <w:tcW w:w="920" w:type="dxa"/>
            <w:vAlign w:val="bottom"/>
            <w:tcBorders>
              <w:top w:val="single" w:sz="8" w:color="005C5D"/>
              <w:bottom w:val="single" w:sz="8" w:color="FCEFEB"/>
            </w:tcBorders>
            <w:shd w:val="clear" w:color="auto" w:fill="FCEFEB"/>
          </w:tcPr>
          <w:p>
            <w:pPr>
              <w:jc w:val="right"/>
              <w:ind w:right="129"/>
              <w:spacing w:after="0"/>
              <w:rPr>
                <w:sz w:val="20"/>
                <w:szCs w:val="20"/>
                <w:color w:val="auto"/>
              </w:rPr>
            </w:pPr>
            <w:r>
              <w:rPr>
                <w:rFonts w:ascii="Arial" w:cs="Arial" w:eastAsia="Arial" w:hAnsi="Arial"/>
                <w:sz w:val="14"/>
                <w:szCs w:val="14"/>
                <w:color w:val="333333"/>
              </w:rPr>
              <w:t>65%</w:t>
            </w:r>
          </w:p>
        </w:tc>
        <w:tc>
          <w:tcPr>
            <w:tcW w:w="740" w:type="dxa"/>
            <w:vAlign w:val="bottom"/>
            <w:tcBorders>
              <w:top w:val="single" w:sz="8" w:color="005C5D"/>
              <w:bottom w:val="single" w:sz="8" w:color="FCEFEB"/>
            </w:tcBorders>
            <w:shd w:val="clear" w:color="auto" w:fill="FCEFEB"/>
          </w:tcPr>
          <w:p>
            <w:pPr>
              <w:ind w:left="160"/>
              <w:spacing w:after="0"/>
              <w:rPr>
                <w:sz w:val="20"/>
                <w:szCs w:val="20"/>
                <w:color w:val="auto"/>
              </w:rPr>
            </w:pPr>
            <w:r>
              <w:rPr>
                <w:rFonts w:ascii="Arial" w:cs="Arial" w:eastAsia="Arial" w:hAnsi="Arial"/>
                <w:sz w:val="14"/>
                <w:szCs w:val="14"/>
                <w:color w:val="333333"/>
              </w:rPr>
              <w:t>130%</w:t>
            </w:r>
          </w:p>
        </w:tc>
        <w:tc>
          <w:tcPr>
            <w:tcW w:w="1100" w:type="dxa"/>
            <w:vAlign w:val="bottom"/>
            <w:tcBorders>
              <w:top w:val="single" w:sz="8" w:color="005C5D"/>
              <w:bottom w:val="single" w:sz="8" w:color="FCEFEB"/>
            </w:tcBorders>
            <w:shd w:val="clear" w:color="auto" w:fill="FCEFEB"/>
          </w:tcPr>
          <w:p>
            <w:pPr>
              <w:jc w:val="right"/>
              <w:ind w:right="149"/>
              <w:spacing w:after="0"/>
              <w:rPr>
                <w:sz w:val="20"/>
                <w:szCs w:val="20"/>
                <w:color w:val="auto"/>
              </w:rPr>
            </w:pPr>
            <w:r>
              <w:rPr>
                <w:rFonts w:ascii="Arial" w:cs="Arial" w:eastAsia="Arial" w:hAnsi="Arial"/>
                <w:sz w:val="14"/>
                <w:szCs w:val="14"/>
                <w:color w:val="333333"/>
              </w:rPr>
              <w:t>14.0%</w:t>
            </w:r>
          </w:p>
        </w:tc>
      </w:tr>
      <w:tr>
        <w:trPr>
          <w:trHeight w:val="274"/>
        </w:trPr>
        <w:tc>
          <w:tcPr>
            <w:tcW w:w="1320" w:type="dxa"/>
            <w:vAlign w:val="bottom"/>
            <w:tcBorders>
              <w:top w:val="single" w:sz="8" w:color="005C5D"/>
            </w:tcBorders>
          </w:tcPr>
          <w:p>
            <w:pPr>
              <w:ind w:left="60"/>
              <w:spacing w:after="0"/>
              <w:rPr>
                <w:sz w:val="20"/>
                <w:szCs w:val="20"/>
                <w:color w:val="auto"/>
              </w:rPr>
            </w:pPr>
            <w:r>
              <w:rPr>
                <w:rFonts w:ascii="Arial" w:cs="Arial" w:eastAsia="Arial" w:hAnsi="Arial"/>
                <w:sz w:val="14"/>
                <w:szCs w:val="14"/>
                <w:color w:val="333333"/>
              </w:rPr>
              <w:t>Michael Schwindle</w:t>
            </w:r>
          </w:p>
        </w:tc>
        <w:tc>
          <w:tcPr>
            <w:tcW w:w="1260" w:type="dxa"/>
            <w:vAlign w:val="bottom"/>
            <w:tcBorders>
              <w:top w:val="single" w:sz="8" w:color="005C5D"/>
              <w:bottom w:val="single" w:sz="8" w:color="FCEFEB"/>
            </w:tcBorders>
            <w:shd w:val="clear" w:color="auto" w:fill="FCEFEB"/>
          </w:tcPr>
          <w:p>
            <w:pPr>
              <w:jc w:val="right"/>
              <w:ind w:right="129"/>
              <w:spacing w:after="0"/>
              <w:rPr>
                <w:sz w:val="20"/>
                <w:szCs w:val="20"/>
                <w:color w:val="auto"/>
              </w:rPr>
            </w:pPr>
            <w:r>
              <w:rPr>
                <w:rFonts w:ascii="Arial" w:cs="Arial" w:eastAsia="Arial" w:hAnsi="Arial"/>
                <w:sz w:val="14"/>
                <w:szCs w:val="14"/>
                <w:color w:val="333333"/>
              </w:rPr>
              <w:t>15.0%</w:t>
            </w:r>
          </w:p>
        </w:tc>
        <w:tc>
          <w:tcPr>
            <w:tcW w:w="920" w:type="dxa"/>
            <w:vAlign w:val="bottom"/>
            <w:tcBorders>
              <w:top w:val="single" w:sz="8" w:color="005C5D"/>
              <w:bottom w:val="single" w:sz="8" w:color="FCEFEB"/>
            </w:tcBorders>
            <w:shd w:val="clear" w:color="auto" w:fill="FCEFEB"/>
          </w:tcPr>
          <w:p>
            <w:pPr>
              <w:jc w:val="right"/>
              <w:ind w:right="129"/>
              <w:spacing w:after="0"/>
              <w:rPr>
                <w:sz w:val="20"/>
                <w:szCs w:val="20"/>
                <w:color w:val="auto"/>
              </w:rPr>
            </w:pPr>
            <w:r>
              <w:rPr>
                <w:rFonts w:ascii="Arial" w:cs="Arial" w:eastAsia="Arial" w:hAnsi="Arial"/>
                <w:sz w:val="14"/>
                <w:szCs w:val="14"/>
                <w:color w:val="333333"/>
              </w:rPr>
              <w:t>60%</w:t>
            </w:r>
          </w:p>
        </w:tc>
        <w:tc>
          <w:tcPr>
            <w:tcW w:w="740" w:type="dxa"/>
            <w:vAlign w:val="bottom"/>
            <w:tcBorders>
              <w:top w:val="single" w:sz="8" w:color="005C5D"/>
              <w:bottom w:val="single" w:sz="8" w:color="FCEFEB"/>
            </w:tcBorders>
            <w:shd w:val="clear" w:color="auto" w:fill="FCEFEB"/>
          </w:tcPr>
          <w:p>
            <w:pPr>
              <w:ind w:left="160"/>
              <w:spacing w:after="0"/>
              <w:rPr>
                <w:sz w:val="20"/>
                <w:szCs w:val="20"/>
                <w:color w:val="auto"/>
              </w:rPr>
            </w:pPr>
            <w:r>
              <w:rPr>
                <w:rFonts w:ascii="Arial" w:cs="Arial" w:eastAsia="Arial" w:hAnsi="Arial"/>
                <w:sz w:val="14"/>
                <w:szCs w:val="14"/>
                <w:color w:val="333333"/>
              </w:rPr>
              <w:t>120%</w:t>
            </w:r>
          </w:p>
        </w:tc>
        <w:tc>
          <w:tcPr>
            <w:tcW w:w="1100" w:type="dxa"/>
            <w:vAlign w:val="bottom"/>
            <w:tcBorders>
              <w:top w:val="single" w:sz="8" w:color="005C5D"/>
              <w:bottom w:val="single" w:sz="8" w:color="FCEFEB"/>
            </w:tcBorders>
            <w:shd w:val="clear" w:color="auto" w:fill="FCEFEB"/>
          </w:tcPr>
          <w:p>
            <w:pPr>
              <w:jc w:val="right"/>
              <w:ind w:right="149"/>
              <w:spacing w:after="0"/>
              <w:rPr>
                <w:sz w:val="20"/>
                <w:szCs w:val="20"/>
                <w:color w:val="auto"/>
              </w:rPr>
            </w:pPr>
            <w:r>
              <w:rPr>
                <w:rFonts w:ascii="Arial" w:cs="Arial" w:eastAsia="Arial" w:hAnsi="Arial"/>
                <w:sz w:val="14"/>
                <w:szCs w:val="14"/>
                <w:color w:val="333333"/>
              </w:rPr>
              <w:t>5.4%</w:t>
            </w:r>
          </w:p>
        </w:tc>
      </w:tr>
      <w:tr>
        <w:trPr>
          <w:trHeight w:val="274"/>
        </w:trPr>
        <w:tc>
          <w:tcPr>
            <w:tcW w:w="1320" w:type="dxa"/>
            <w:vAlign w:val="bottom"/>
            <w:tcBorders>
              <w:top w:val="single" w:sz="8" w:color="005C5D"/>
            </w:tcBorders>
          </w:tcPr>
          <w:p>
            <w:pPr>
              <w:ind w:left="60"/>
              <w:spacing w:after="0"/>
              <w:rPr>
                <w:sz w:val="20"/>
                <w:szCs w:val="20"/>
                <w:color w:val="auto"/>
              </w:rPr>
            </w:pPr>
            <w:r>
              <w:rPr>
                <w:rFonts w:ascii="Arial" w:cs="Arial" w:eastAsia="Arial" w:hAnsi="Arial"/>
                <w:sz w:val="14"/>
                <w:szCs w:val="14"/>
                <w:color w:val="333333"/>
              </w:rPr>
              <w:t>Mark C. Dely</w:t>
            </w:r>
          </w:p>
        </w:tc>
        <w:tc>
          <w:tcPr>
            <w:tcW w:w="1260" w:type="dxa"/>
            <w:vAlign w:val="bottom"/>
            <w:tcBorders>
              <w:top w:val="single" w:sz="8" w:color="005C5D"/>
              <w:bottom w:val="single" w:sz="8" w:color="FCEFEB"/>
            </w:tcBorders>
            <w:shd w:val="clear" w:color="auto" w:fill="FCEFEB"/>
          </w:tcPr>
          <w:p>
            <w:pPr>
              <w:jc w:val="right"/>
              <w:ind w:right="129"/>
              <w:spacing w:after="0"/>
              <w:rPr>
                <w:sz w:val="20"/>
                <w:szCs w:val="20"/>
                <w:color w:val="auto"/>
              </w:rPr>
            </w:pPr>
            <w:r>
              <w:rPr>
                <w:rFonts w:ascii="Arial" w:cs="Arial" w:eastAsia="Arial" w:hAnsi="Arial"/>
                <w:sz w:val="14"/>
                <w:szCs w:val="14"/>
                <w:color w:val="333333"/>
              </w:rPr>
              <w:t>15.0%</w:t>
            </w:r>
          </w:p>
        </w:tc>
        <w:tc>
          <w:tcPr>
            <w:tcW w:w="920" w:type="dxa"/>
            <w:vAlign w:val="bottom"/>
            <w:tcBorders>
              <w:top w:val="single" w:sz="8" w:color="005C5D"/>
              <w:bottom w:val="single" w:sz="8" w:color="FCEFEB"/>
            </w:tcBorders>
            <w:shd w:val="clear" w:color="auto" w:fill="FCEFEB"/>
          </w:tcPr>
          <w:p>
            <w:pPr>
              <w:jc w:val="right"/>
              <w:ind w:right="129"/>
              <w:spacing w:after="0"/>
              <w:rPr>
                <w:sz w:val="20"/>
                <w:szCs w:val="20"/>
                <w:color w:val="auto"/>
              </w:rPr>
            </w:pPr>
            <w:r>
              <w:rPr>
                <w:rFonts w:ascii="Arial" w:cs="Arial" w:eastAsia="Arial" w:hAnsi="Arial"/>
                <w:sz w:val="14"/>
                <w:szCs w:val="14"/>
                <w:color w:val="333333"/>
              </w:rPr>
              <w:t>60%</w:t>
            </w:r>
          </w:p>
        </w:tc>
        <w:tc>
          <w:tcPr>
            <w:tcW w:w="740" w:type="dxa"/>
            <w:vAlign w:val="bottom"/>
            <w:tcBorders>
              <w:top w:val="single" w:sz="8" w:color="005C5D"/>
              <w:bottom w:val="single" w:sz="8" w:color="FCEFEB"/>
            </w:tcBorders>
            <w:shd w:val="clear" w:color="auto" w:fill="FCEFEB"/>
          </w:tcPr>
          <w:p>
            <w:pPr>
              <w:ind w:left="160"/>
              <w:spacing w:after="0"/>
              <w:rPr>
                <w:sz w:val="20"/>
                <w:szCs w:val="20"/>
                <w:color w:val="auto"/>
              </w:rPr>
            </w:pPr>
            <w:r>
              <w:rPr>
                <w:rFonts w:ascii="Arial" w:cs="Arial" w:eastAsia="Arial" w:hAnsi="Arial"/>
                <w:sz w:val="14"/>
                <w:szCs w:val="14"/>
                <w:color w:val="333333"/>
              </w:rPr>
              <w:t>120%</w:t>
            </w:r>
          </w:p>
        </w:tc>
        <w:tc>
          <w:tcPr>
            <w:tcW w:w="1100" w:type="dxa"/>
            <w:vAlign w:val="bottom"/>
            <w:tcBorders>
              <w:top w:val="single" w:sz="8" w:color="005C5D"/>
              <w:bottom w:val="single" w:sz="8" w:color="FCEFEB"/>
            </w:tcBorders>
            <w:shd w:val="clear" w:color="auto" w:fill="FCEFEB"/>
          </w:tcPr>
          <w:p>
            <w:pPr>
              <w:jc w:val="right"/>
              <w:ind w:right="149"/>
              <w:spacing w:after="0"/>
              <w:rPr>
                <w:sz w:val="20"/>
                <w:szCs w:val="20"/>
                <w:color w:val="auto"/>
              </w:rPr>
            </w:pPr>
            <w:r>
              <w:rPr>
                <w:rFonts w:ascii="Arial" w:cs="Arial" w:eastAsia="Arial" w:hAnsi="Arial"/>
                <w:sz w:val="14"/>
                <w:szCs w:val="14"/>
                <w:color w:val="333333"/>
              </w:rPr>
              <w:t>9.7%</w:t>
            </w:r>
          </w:p>
        </w:tc>
      </w:tr>
      <w:tr>
        <w:trPr>
          <w:trHeight w:val="274"/>
        </w:trPr>
        <w:tc>
          <w:tcPr>
            <w:tcW w:w="1320" w:type="dxa"/>
            <w:vAlign w:val="bottom"/>
            <w:tcBorders>
              <w:top w:val="single" w:sz="8" w:color="005C5D"/>
            </w:tcBorders>
          </w:tcPr>
          <w:p>
            <w:pPr>
              <w:ind w:left="60"/>
              <w:spacing w:after="0"/>
              <w:rPr>
                <w:sz w:val="20"/>
                <w:szCs w:val="20"/>
                <w:color w:val="auto"/>
              </w:rPr>
            </w:pPr>
            <w:r>
              <w:rPr>
                <w:rFonts w:ascii="Arial" w:cs="Arial" w:eastAsia="Arial" w:hAnsi="Arial"/>
                <w:sz w:val="14"/>
                <w:szCs w:val="14"/>
                <w:color w:val="333333"/>
              </w:rPr>
              <w:t>Alison Hiatt</w:t>
            </w:r>
          </w:p>
        </w:tc>
        <w:tc>
          <w:tcPr>
            <w:tcW w:w="1260" w:type="dxa"/>
            <w:vAlign w:val="bottom"/>
            <w:tcBorders>
              <w:top w:val="single" w:sz="8" w:color="005C5D"/>
              <w:bottom w:val="single" w:sz="8" w:color="FCEFEB"/>
            </w:tcBorders>
            <w:shd w:val="clear" w:color="auto" w:fill="FCEFEB"/>
          </w:tcPr>
          <w:p>
            <w:pPr>
              <w:jc w:val="right"/>
              <w:ind w:right="129"/>
              <w:spacing w:after="0"/>
              <w:rPr>
                <w:sz w:val="20"/>
                <w:szCs w:val="20"/>
                <w:color w:val="auto"/>
              </w:rPr>
            </w:pPr>
            <w:r>
              <w:rPr>
                <w:rFonts w:ascii="Arial" w:cs="Arial" w:eastAsia="Arial" w:hAnsi="Arial"/>
                <w:sz w:val="14"/>
                <w:szCs w:val="14"/>
                <w:color w:val="333333"/>
              </w:rPr>
              <w:t>12.5%</w:t>
            </w:r>
          </w:p>
        </w:tc>
        <w:tc>
          <w:tcPr>
            <w:tcW w:w="920" w:type="dxa"/>
            <w:vAlign w:val="bottom"/>
            <w:tcBorders>
              <w:top w:val="single" w:sz="8" w:color="005C5D"/>
              <w:bottom w:val="single" w:sz="8" w:color="FCEFEB"/>
            </w:tcBorders>
            <w:shd w:val="clear" w:color="auto" w:fill="FCEFEB"/>
          </w:tcPr>
          <w:p>
            <w:pPr>
              <w:jc w:val="right"/>
              <w:ind w:right="129"/>
              <w:spacing w:after="0"/>
              <w:rPr>
                <w:sz w:val="20"/>
                <w:szCs w:val="20"/>
                <w:color w:val="auto"/>
              </w:rPr>
            </w:pPr>
            <w:r>
              <w:rPr>
                <w:rFonts w:ascii="Arial" w:cs="Arial" w:eastAsia="Arial" w:hAnsi="Arial"/>
                <w:sz w:val="14"/>
                <w:szCs w:val="14"/>
                <w:color w:val="333333"/>
              </w:rPr>
              <w:t>50%</w:t>
            </w:r>
          </w:p>
        </w:tc>
        <w:tc>
          <w:tcPr>
            <w:tcW w:w="740" w:type="dxa"/>
            <w:vAlign w:val="bottom"/>
            <w:tcBorders>
              <w:top w:val="single" w:sz="8" w:color="005C5D"/>
              <w:bottom w:val="single" w:sz="8" w:color="FCEFEB"/>
            </w:tcBorders>
            <w:shd w:val="clear" w:color="auto" w:fill="FCEFEB"/>
          </w:tcPr>
          <w:p>
            <w:pPr>
              <w:ind w:left="160"/>
              <w:spacing w:after="0"/>
              <w:rPr>
                <w:sz w:val="20"/>
                <w:szCs w:val="20"/>
                <w:color w:val="auto"/>
              </w:rPr>
            </w:pPr>
            <w:r>
              <w:rPr>
                <w:rFonts w:ascii="Arial" w:cs="Arial" w:eastAsia="Arial" w:hAnsi="Arial"/>
                <w:sz w:val="14"/>
                <w:szCs w:val="14"/>
                <w:color w:val="333333"/>
              </w:rPr>
              <w:t>100%</w:t>
            </w:r>
          </w:p>
        </w:tc>
        <w:tc>
          <w:tcPr>
            <w:tcW w:w="1100" w:type="dxa"/>
            <w:vAlign w:val="bottom"/>
            <w:tcBorders>
              <w:top w:val="single" w:sz="8" w:color="005C5D"/>
              <w:bottom w:val="single" w:sz="8" w:color="FCEFEB"/>
            </w:tcBorders>
            <w:shd w:val="clear" w:color="auto" w:fill="FCEFEB"/>
          </w:tcPr>
          <w:p>
            <w:pPr>
              <w:jc w:val="right"/>
              <w:ind w:right="149"/>
              <w:spacing w:after="0"/>
              <w:rPr>
                <w:sz w:val="20"/>
                <w:szCs w:val="20"/>
                <w:color w:val="auto"/>
              </w:rPr>
            </w:pPr>
            <w:r>
              <w:rPr>
                <w:rFonts w:ascii="Arial" w:cs="Arial" w:eastAsia="Arial" w:hAnsi="Arial"/>
                <w:sz w:val="14"/>
                <w:szCs w:val="14"/>
                <w:color w:val="333333"/>
              </w:rPr>
              <w:t>4.5%</w:t>
            </w:r>
          </w:p>
        </w:tc>
      </w:tr>
      <w:tr>
        <w:trPr>
          <w:trHeight w:val="254"/>
        </w:trPr>
        <w:tc>
          <w:tcPr>
            <w:tcW w:w="1320" w:type="dxa"/>
            <w:vAlign w:val="bottom"/>
            <w:tcBorders>
              <w:top w:val="single" w:sz="8" w:color="005C5D"/>
            </w:tcBorders>
          </w:tcPr>
          <w:p>
            <w:pPr>
              <w:ind w:left="60"/>
              <w:spacing w:after="0"/>
              <w:rPr>
                <w:sz w:val="20"/>
                <w:szCs w:val="20"/>
                <w:color w:val="auto"/>
              </w:rPr>
            </w:pPr>
            <w:r>
              <w:rPr>
                <w:rFonts w:ascii="Arial" w:cs="Arial" w:eastAsia="Arial" w:hAnsi="Arial"/>
                <w:sz w:val="14"/>
                <w:szCs w:val="14"/>
                <w:color w:val="333333"/>
              </w:rPr>
              <w:t>Melinda Paraie</w:t>
            </w:r>
          </w:p>
        </w:tc>
        <w:tc>
          <w:tcPr>
            <w:tcW w:w="1260" w:type="dxa"/>
            <w:vAlign w:val="bottom"/>
            <w:tcBorders>
              <w:top w:val="single" w:sz="8" w:color="005C5D"/>
              <w:bottom w:val="single" w:sz="8" w:color="FCEFEB"/>
            </w:tcBorders>
            <w:shd w:val="clear" w:color="auto" w:fill="FCEFEB"/>
          </w:tcPr>
          <w:p>
            <w:pPr>
              <w:jc w:val="right"/>
              <w:ind w:right="129"/>
              <w:spacing w:after="0"/>
              <w:rPr>
                <w:sz w:val="20"/>
                <w:szCs w:val="20"/>
                <w:color w:val="auto"/>
              </w:rPr>
            </w:pPr>
            <w:r>
              <w:rPr>
                <w:rFonts w:ascii="Arial" w:cs="Arial" w:eastAsia="Arial" w:hAnsi="Arial"/>
                <w:sz w:val="14"/>
                <w:szCs w:val="14"/>
                <w:color w:val="333333"/>
              </w:rPr>
              <w:t>16.3%</w:t>
            </w:r>
          </w:p>
        </w:tc>
        <w:tc>
          <w:tcPr>
            <w:tcW w:w="920" w:type="dxa"/>
            <w:vAlign w:val="bottom"/>
            <w:tcBorders>
              <w:top w:val="single" w:sz="8" w:color="005C5D"/>
              <w:bottom w:val="single" w:sz="8" w:color="FCEFEB"/>
            </w:tcBorders>
            <w:shd w:val="clear" w:color="auto" w:fill="FCEFEB"/>
          </w:tcPr>
          <w:p>
            <w:pPr>
              <w:jc w:val="right"/>
              <w:ind w:right="129"/>
              <w:spacing w:after="0"/>
              <w:rPr>
                <w:sz w:val="20"/>
                <w:szCs w:val="20"/>
                <w:color w:val="auto"/>
              </w:rPr>
            </w:pPr>
            <w:r>
              <w:rPr>
                <w:rFonts w:ascii="Arial" w:cs="Arial" w:eastAsia="Arial" w:hAnsi="Arial"/>
                <w:sz w:val="14"/>
                <w:szCs w:val="14"/>
                <w:color w:val="333333"/>
              </w:rPr>
              <w:t>65%</w:t>
            </w:r>
          </w:p>
        </w:tc>
        <w:tc>
          <w:tcPr>
            <w:tcW w:w="740" w:type="dxa"/>
            <w:vAlign w:val="bottom"/>
            <w:tcBorders>
              <w:top w:val="single" w:sz="8" w:color="005C5D"/>
              <w:bottom w:val="single" w:sz="8" w:color="FCEFEB"/>
            </w:tcBorders>
            <w:shd w:val="clear" w:color="auto" w:fill="FCEFEB"/>
          </w:tcPr>
          <w:p>
            <w:pPr>
              <w:ind w:left="160"/>
              <w:spacing w:after="0"/>
              <w:rPr>
                <w:sz w:val="20"/>
                <w:szCs w:val="20"/>
                <w:color w:val="auto"/>
              </w:rPr>
            </w:pPr>
            <w:r>
              <w:rPr>
                <w:rFonts w:ascii="Arial" w:cs="Arial" w:eastAsia="Arial" w:hAnsi="Arial"/>
                <w:sz w:val="14"/>
                <w:szCs w:val="14"/>
                <w:color w:val="333333"/>
              </w:rPr>
              <w:t>100%</w:t>
            </w:r>
          </w:p>
        </w:tc>
        <w:tc>
          <w:tcPr>
            <w:tcW w:w="1100" w:type="dxa"/>
            <w:vAlign w:val="bottom"/>
            <w:tcBorders>
              <w:top w:val="single" w:sz="8" w:color="005C5D"/>
              <w:bottom w:val="single" w:sz="8" w:color="FCEFEB"/>
            </w:tcBorders>
            <w:shd w:val="clear" w:color="auto" w:fill="FCEFEB"/>
          </w:tcPr>
          <w:p>
            <w:pPr>
              <w:jc w:val="right"/>
              <w:ind w:right="149"/>
              <w:spacing w:after="0"/>
              <w:rPr>
                <w:sz w:val="20"/>
                <w:szCs w:val="20"/>
                <w:color w:val="auto"/>
              </w:rPr>
            </w:pPr>
            <w:r>
              <w:rPr>
                <w:rFonts w:ascii="Arial" w:cs="Arial" w:eastAsia="Arial" w:hAnsi="Arial"/>
                <w:sz w:val="14"/>
                <w:szCs w:val="14"/>
                <w:color w:val="333333"/>
              </w:rPr>
              <w:t>26.9%</w:t>
            </w:r>
          </w:p>
        </w:tc>
      </w:tr>
      <w:tr>
        <w:trPr>
          <w:trHeight w:val="27"/>
        </w:trPr>
        <w:tc>
          <w:tcPr>
            <w:tcW w:w="1320" w:type="dxa"/>
            <w:vAlign w:val="bottom"/>
            <w:shd w:val="clear" w:color="auto" w:fill="005C5D"/>
          </w:tcPr>
          <w:p>
            <w:pPr>
              <w:spacing w:after="0"/>
              <w:rPr>
                <w:sz w:val="2"/>
                <w:szCs w:val="2"/>
                <w:color w:val="auto"/>
              </w:rPr>
            </w:pPr>
          </w:p>
        </w:tc>
        <w:tc>
          <w:tcPr>
            <w:tcW w:w="1260" w:type="dxa"/>
            <w:vAlign w:val="bottom"/>
            <w:shd w:val="clear" w:color="auto" w:fill="005C5D"/>
          </w:tcPr>
          <w:p>
            <w:pPr>
              <w:spacing w:after="0"/>
              <w:rPr>
                <w:sz w:val="2"/>
                <w:szCs w:val="2"/>
                <w:color w:val="auto"/>
              </w:rPr>
            </w:pPr>
          </w:p>
        </w:tc>
        <w:tc>
          <w:tcPr>
            <w:tcW w:w="920" w:type="dxa"/>
            <w:vAlign w:val="bottom"/>
            <w:shd w:val="clear" w:color="auto" w:fill="005C5D"/>
          </w:tcPr>
          <w:p>
            <w:pPr>
              <w:spacing w:after="0"/>
              <w:rPr>
                <w:sz w:val="2"/>
                <w:szCs w:val="2"/>
                <w:color w:val="auto"/>
              </w:rPr>
            </w:pPr>
          </w:p>
        </w:tc>
        <w:tc>
          <w:tcPr>
            <w:tcW w:w="740" w:type="dxa"/>
            <w:vAlign w:val="bottom"/>
            <w:shd w:val="clear" w:color="auto" w:fill="005C5D"/>
          </w:tcPr>
          <w:p>
            <w:pPr>
              <w:spacing w:after="0"/>
              <w:rPr>
                <w:sz w:val="2"/>
                <w:szCs w:val="2"/>
                <w:color w:val="auto"/>
              </w:rPr>
            </w:pPr>
          </w:p>
        </w:tc>
        <w:tc>
          <w:tcPr>
            <w:tcW w:w="1100" w:type="dxa"/>
            <w:vAlign w:val="bottom"/>
            <w:shd w:val="clear" w:color="auto" w:fill="005C5D"/>
          </w:tcPr>
          <w:p>
            <w:pPr>
              <w:spacing w:after="0"/>
              <w:rPr>
                <w:sz w:val="2"/>
                <w:szCs w:val="2"/>
                <w:color w:val="auto"/>
              </w:rPr>
            </w:pPr>
          </w:p>
        </w:tc>
      </w:tr>
    </w:tbl>
    <w:p>
      <w:pPr>
        <w:spacing w:after="0" w:line="22" w:lineRule="exact"/>
        <w:rPr>
          <w:sz w:val="20"/>
          <w:szCs w:val="20"/>
          <w:color w:val="auto"/>
        </w:rPr>
      </w:pPr>
    </w:p>
    <w:p>
      <w:pPr>
        <w:ind w:left="247" w:right="20" w:hanging="247"/>
        <w:spacing w:after="0" w:line="279" w:lineRule="auto"/>
        <w:tabs>
          <w:tab w:leader="none" w:pos="247" w:val="left"/>
        </w:tabs>
        <w:numPr>
          <w:ilvl w:val="0"/>
          <w:numId w:val="39"/>
        </w:numPr>
        <w:rPr>
          <w:rFonts w:ascii="Arial" w:cs="Arial" w:eastAsia="Arial" w:hAnsi="Arial"/>
          <w:sz w:val="12"/>
          <w:szCs w:val="12"/>
          <w:color w:val="333333"/>
        </w:rPr>
      </w:pPr>
      <w:r>
        <w:rPr>
          <w:rFonts w:ascii="Arial" w:cs="Arial" w:eastAsia="Arial" w:hAnsi="Arial"/>
          <w:sz w:val="12"/>
          <w:szCs w:val="12"/>
          <w:color w:val="333333"/>
        </w:rPr>
        <w:t>Actual reflected as a percentage of eligible earnings during fiscal 2026. Represents totals for each category.</w:t>
      </w:r>
    </w:p>
    <w:p>
      <w:pPr>
        <w:spacing w:after="0" w:line="26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05C5D"/>
        </w:rPr>
        <w:t>LONG-TERM INCENTIVE COMPENSATION</w:t>
      </w:r>
    </w:p>
    <w:p>
      <w:pPr>
        <w:spacing w:after="0" w:line="100" w:lineRule="exact"/>
        <w:rPr>
          <w:sz w:val="20"/>
          <w:szCs w:val="20"/>
          <w:color w:val="auto"/>
        </w:rPr>
      </w:pPr>
    </w:p>
    <w:p>
      <w:pPr>
        <w:jc w:val="both"/>
        <w:ind w:left="7"/>
        <w:spacing w:after="0" w:line="248" w:lineRule="auto"/>
        <w:rPr>
          <w:sz w:val="20"/>
          <w:szCs w:val="20"/>
          <w:color w:val="auto"/>
        </w:rPr>
      </w:pPr>
      <w:r>
        <w:rPr>
          <w:rFonts w:ascii="Arial" w:cs="Arial" w:eastAsia="Arial" w:hAnsi="Arial"/>
          <w:sz w:val="16"/>
          <w:szCs w:val="16"/>
          <w:b w:val="1"/>
          <w:bCs w:val="1"/>
          <w:color w:val="337C7D"/>
        </w:rPr>
        <w:t xml:space="preserve">Purposes of Long-Term Incentive Compensation. </w:t>
      </w:r>
      <w:r>
        <w:rPr>
          <w:rFonts w:ascii="Arial" w:cs="Arial" w:eastAsia="Arial" w:hAnsi="Arial"/>
          <w:sz w:val="16"/>
          <w:szCs w:val="16"/>
          <w:color w:val="333333"/>
        </w:rPr>
        <w:t>We grant long-term</w:t>
      </w:r>
      <w:r>
        <w:rPr>
          <w:rFonts w:ascii="Arial" w:cs="Arial" w:eastAsia="Arial" w:hAnsi="Arial"/>
          <w:sz w:val="16"/>
          <w:szCs w:val="16"/>
          <w:b w:val="1"/>
          <w:bCs w:val="1"/>
          <w:color w:val="337C7D"/>
        </w:rPr>
        <w:t xml:space="preserve"> </w:t>
      </w:r>
      <w:r>
        <w:rPr>
          <w:rFonts w:ascii="Arial" w:cs="Arial" w:eastAsia="Arial" w:hAnsi="Arial"/>
          <w:sz w:val="16"/>
          <w:szCs w:val="16"/>
          <w:color w:val="333333"/>
        </w:rPr>
        <w:t>equity awards under our executive compensation program in order to compete for executive talent and align the interests of our employees, including our NEOs, with those of the Company’s shareholders. These awards are intended to motivate executives by tying a portion of their incentive compensation to the performance of our common stock over the long term and, in turn, also motivate employees to remain with the Company as the value of these awards is intended to increase over time. We believe these awards also serve as motivation for executives to continue to improve the long-term performance of the Company.</w:t>
      </w:r>
    </w:p>
    <w:p>
      <w:pPr>
        <w:spacing w:after="0" w:line="105" w:lineRule="exact"/>
        <w:rPr>
          <w:sz w:val="20"/>
          <w:szCs w:val="20"/>
          <w:color w:val="auto"/>
        </w:rPr>
      </w:pPr>
    </w:p>
    <w:p>
      <w:pPr>
        <w:jc w:val="both"/>
        <w:ind w:left="7"/>
        <w:spacing w:after="0" w:line="256" w:lineRule="auto"/>
        <w:rPr>
          <w:sz w:val="20"/>
          <w:szCs w:val="20"/>
          <w:color w:val="auto"/>
        </w:rPr>
      </w:pPr>
      <w:r>
        <w:rPr>
          <w:rFonts w:ascii="Arial" w:cs="Arial" w:eastAsia="Arial" w:hAnsi="Arial"/>
          <w:sz w:val="16"/>
          <w:szCs w:val="16"/>
          <w:b w:val="1"/>
          <w:bCs w:val="1"/>
          <w:color w:val="337C7D"/>
        </w:rPr>
        <w:t>Fiscal 2026 Long-Term Incentive Vehicles, Mix, and Grant Size</w:t>
      </w:r>
      <w:r>
        <w:rPr>
          <w:rFonts w:ascii="Arial" w:cs="Arial" w:eastAsia="Arial" w:hAnsi="Arial"/>
          <w:sz w:val="16"/>
          <w:szCs w:val="16"/>
          <w:color w:val="333333"/>
        </w:rPr>
        <w:t>. For all</w:t>
      </w:r>
      <w:r>
        <w:rPr>
          <w:rFonts w:ascii="Arial" w:cs="Arial" w:eastAsia="Arial" w:hAnsi="Arial"/>
          <w:sz w:val="16"/>
          <w:szCs w:val="16"/>
          <w:b w:val="1"/>
          <w:bCs w:val="1"/>
          <w:color w:val="337C7D"/>
        </w:rPr>
        <w:t xml:space="preserve"> </w:t>
      </w:r>
      <w:r>
        <w:rPr>
          <w:rFonts w:ascii="Arial" w:cs="Arial" w:eastAsia="Arial" w:hAnsi="Arial"/>
          <w:sz w:val="16"/>
          <w:szCs w:val="16"/>
          <w:color w:val="333333"/>
        </w:rPr>
        <w:t>grants made to each NEO during fiscal 2026, fiscal 2025, and fiscal 2024, except for sign-on and retention grants, were made up of 50% performance-based restricted stock units and 50% time-based</w:t>
      </w:r>
    </w:p>
    <w:p>
      <w:pPr>
        <w:spacing w:after="0" w:line="200" w:lineRule="exact"/>
        <w:rPr>
          <w:sz w:val="20"/>
          <w:szCs w:val="20"/>
          <w:color w:val="auto"/>
        </w:rPr>
      </w:pPr>
    </w:p>
    <w:p>
      <w:pPr>
        <w:sectPr>
          <w:pgSz w:w="11900" w:h="16838" w:orient="portrait"/>
          <w:cols w:equalWidth="0" w:num="2">
            <w:col w:w="5400" w:space="333"/>
            <w:col w:w="5347"/>
          </w:cols>
          <w:pgMar w:left="320" w:top="478" w:right="499" w:bottom="1440" w:gutter="0" w:footer="0" w:header="0"/>
          <w:type w:val="continuous"/>
        </w:sectPr>
      </w:pPr>
    </w:p>
    <w:p>
      <w:pPr>
        <w:spacing w:after="0" w:line="63" w:lineRule="exact"/>
        <w:rPr>
          <w:sz w:val="20"/>
          <w:szCs w:val="20"/>
          <w:color w:val="auto"/>
        </w:rPr>
      </w:pPr>
    </w:p>
    <w:p>
      <w:pPr>
        <w:ind w:left="4940"/>
        <w:spacing w:after="0"/>
        <w:tabs>
          <w:tab w:leader="none" w:pos="9080" w:val="left"/>
          <w:tab w:leader="none" w:pos="1090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27</w:t>
      </w:r>
    </w:p>
    <w:p>
      <w:pPr>
        <w:sectPr>
          <w:pgSz w:w="11900" w:h="16838" w:orient="portrait"/>
          <w:cols w:equalWidth="0" w:num="1">
            <w:col w:w="11080"/>
          </w:cols>
          <w:pgMar w:left="320" w:top="478" w:right="4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both"/>
        <w:ind w:left="160"/>
        <w:spacing w:after="0" w:line="279" w:lineRule="auto"/>
        <w:rPr>
          <w:sz w:val="20"/>
          <w:szCs w:val="20"/>
          <w:color w:val="auto"/>
        </w:rPr>
      </w:pPr>
      <w:r>
        <w:rPr>
          <w:rFonts w:ascii="Arial" w:cs="Arial" w:eastAsia="Arial" w:hAnsi="Arial"/>
          <w:sz w:val="16"/>
          <w:szCs w:val="16"/>
          <w:color w:val="333333"/>
        </w:rPr>
        <w:t>restricted stock units. The terms of the fiscal 2026, fiscal 2025, and fiscal 2024 grants were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68580</wp:posOffset>
            </wp:positionV>
            <wp:extent cx="1936115" cy="19278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36115" cy="192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60"/>
        <w:spacing w:after="0" w:line="279" w:lineRule="auto"/>
        <w:rPr>
          <w:sz w:val="20"/>
          <w:szCs w:val="20"/>
          <w:color w:val="auto"/>
        </w:rPr>
      </w:pPr>
      <w:r>
        <w:rPr>
          <w:rFonts w:ascii="Arial" w:cs="Arial" w:eastAsia="Arial" w:hAnsi="Arial"/>
          <w:sz w:val="16"/>
          <w:szCs w:val="16"/>
          <w:color w:val="333333"/>
        </w:rPr>
        <w:t>Based on the Committee’s assessment, the following table reflects the fiscal 2026 long-term grant values for the NEOs.</w:t>
      </w:r>
    </w:p>
    <w:p>
      <w:pPr>
        <w:spacing w:after="0" w:line="161" w:lineRule="exact"/>
        <w:rPr>
          <w:sz w:val="20"/>
          <w:szCs w:val="20"/>
          <w:color w:val="auto"/>
        </w:rPr>
      </w:pPr>
    </w:p>
    <w:p>
      <w:pPr>
        <w:jc w:val="center"/>
        <w:ind w:left="160"/>
        <w:spacing w:after="0"/>
        <w:rPr>
          <w:sz w:val="20"/>
          <w:szCs w:val="20"/>
          <w:color w:val="auto"/>
        </w:rPr>
      </w:pPr>
      <w:r>
        <w:rPr>
          <w:rFonts w:ascii="Arial" w:cs="Arial" w:eastAsia="Arial" w:hAnsi="Arial"/>
          <w:sz w:val="16"/>
          <w:szCs w:val="16"/>
          <w:b w:val="1"/>
          <w:bCs w:val="1"/>
          <w:color w:val="005C5D"/>
        </w:rPr>
        <w:t>FISCAL 2026 GRANTS</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120"/>
        </w:trPr>
        <w:tc>
          <w:tcPr>
            <w:tcW w:w="1760" w:type="dxa"/>
            <w:vAlign w:val="bottom"/>
          </w:tcPr>
          <w:p>
            <w:pPr>
              <w:spacing w:after="0"/>
              <w:rPr>
                <w:sz w:val="10"/>
                <w:szCs w:val="10"/>
                <w:color w:val="auto"/>
              </w:rPr>
            </w:pPr>
          </w:p>
        </w:tc>
        <w:tc>
          <w:tcPr>
            <w:tcW w:w="960" w:type="dxa"/>
            <w:vAlign w:val="bottom"/>
            <w:shd w:val="clear" w:color="auto" w:fill="FCEFEB"/>
          </w:tcPr>
          <w:p>
            <w:pPr>
              <w:spacing w:after="0"/>
              <w:rPr>
                <w:sz w:val="10"/>
                <w:szCs w:val="10"/>
                <w:color w:val="auto"/>
              </w:rPr>
            </w:pPr>
          </w:p>
        </w:tc>
        <w:tc>
          <w:tcPr>
            <w:tcW w:w="840" w:type="dxa"/>
            <w:vAlign w:val="bottom"/>
            <w:shd w:val="clear" w:color="auto" w:fill="FCEFEB"/>
          </w:tcPr>
          <w:p>
            <w:pPr>
              <w:spacing w:after="0"/>
              <w:rPr>
                <w:sz w:val="10"/>
                <w:szCs w:val="10"/>
                <w:color w:val="auto"/>
              </w:rPr>
            </w:pPr>
          </w:p>
        </w:tc>
        <w:tc>
          <w:tcPr>
            <w:tcW w:w="1180" w:type="dxa"/>
            <w:vAlign w:val="bottom"/>
            <w:shd w:val="clear" w:color="auto" w:fill="FCEFEB"/>
          </w:tcPr>
          <w:p>
            <w:pPr>
              <w:spacing w:after="0"/>
              <w:rPr>
                <w:sz w:val="10"/>
                <w:szCs w:val="10"/>
                <w:color w:val="auto"/>
              </w:rPr>
            </w:pPr>
          </w:p>
        </w:tc>
        <w:tc>
          <w:tcPr>
            <w:tcW w:w="500" w:type="dxa"/>
            <w:vAlign w:val="bottom"/>
            <w:shd w:val="clear" w:color="auto" w:fill="FCEFEB"/>
          </w:tcPr>
          <w:p>
            <w:pPr>
              <w:spacing w:after="0"/>
              <w:rPr>
                <w:sz w:val="10"/>
                <w:szCs w:val="10"/>
                <w:color w:val="auto"/>
              </w:rPr>
            </w:pPr>
          </w:p>
        </w:tc>
      </w:tr>
      <w:tr>
        <w:trPr>
          <w:trHeight w:val="183"/>
        </w:trPr>
        <w:tc>
          <w:tcPr>
            <w:tcW w:w="1760" w:type="dxa"/>
            <w:vAlign w:val="bottom"/>
            <w:shd w:val="clear" w:color="auto" w:fill="005C5D"/>
          </w:tcPr>
          <w:p>
            <w:pPr>
              <w:spacing w:after="0"/>
              <w:rPr>
                <w:sz w:val="15"/>
                <w:szCs w:val="15"/>
                <w:color w:val="auto"/>
              </w:rPr>
            </w:pPr>
          </w:p>
        </w:tc>
        <w:tc>
          <w:tcPr>
            <w:tcW w:w="960" w:type="dxa"/>
            <w:vAlign w:val="bottom"/>
            <w:shd w:val="clear" w:color="auto" w:fill="005C5D"/>
          </w:tcPr>
          <w:p>
            <w:pPr>
              <w:spacing w:after="0"/>
              <w:rPr>
                <w:sz w:val="15"/>
                <w:szCs w:val="15"/>
                <w:color w:val="auto"/>
              </w:rPr>
            </w:pPr>
          </w:p>
        </w:tc>
        <w:tc>
          <w:tcPr>
            <w:tcW w:w="840" w:type="dxa"/>
            <w:vAlign w:val="bottom"/>
            <w:shd w:val="clear" w:color="auto" w:fill="005C5D"/>
          </w:tcPr>
          <w:p>
            <w:pPr>
              <w:jc w:val="center"/>
              <w:ind w:right="32"/>
              <w:spacing w:after="0"/>
              <w:rPr>
                <w:sz w:val="20"/>
                <w:szCs w:val="20"/>
                <w:color w:val="auto"/>
              </w:rPr>
            </w:pPr>
            <w:r>
              <w:rPr>
                <w:rFonts w:ascii="Arial" w:cs="Arial" w:eastAsia="Arial" w:hAnsi="Arial"/>
                <w:sz w:val="12"/>
                <w:szCs w:val="12"/>
                <w:color w:val="FFFFFF"/>
              </w:rPr>
              <w:t>AS A %</w:t>
            </w:r>
          </w:p>
        </w:tc>
        <w:tc>
          <w:tcPr>
            <w:tcW w:w="1180" w:type="dxa"/>
            <w:vAlign w:val="bottom"/>
            <w:shd w:val="clear" w:color="auto" w:fill="005C5D"/>
          </w:tcPr>
          <w:p>
            <w:pPr>
              <w:spacing w:after="0"/>
              <w:rPr>
                <w:sz w:val="15"/>
                <w:szCs w:val="15"/>
                <w:color w:val="auto"/>
              </w:rPr>
            </w:pPr>
          </w:p>
        </w:tc>
        <w:tc>
          <w:tcPr>
            <w:tcW w:w="500" w:type="dxa"/>
            <w:vAlign w:val="bottom"/>
            <w:shd w:val="clear" w:color="auto" w:fill="005C5D"/>
          </w:tcPr>
          <w:p>
            <w:pPr>
              <w:spacing w:after="0"/>
              <w:rPr>
                <w:sz w:val="15"/>
                <w:szCs w:val="15"/>
                <w:color w:val="auto"/>
              </w:rPr>
            </w:pPr>
          </w:p>
        </w:tc>
      </w:tr>
      <w:tr>
        <w:trPr>
          <w:trHeight w:val="134"/>
        </w:trPr>
        <w:tc>
          <w:tcPr>
            <w:tcW w:w="1760" w:type="dxa"/>
            <w:vAlign w:val="bottom"/>
            <w:shd w:val="clear" w:color="auto" w:fill="005C5D"/>
          </w:tcPr>
          <w:p>
            <w:pPr>
              <w:spacing w:after="0"/>
              <w:rPr>
                <w:sz w:val="11"/>
                <w:szCs w:val="11"/>
                <w:color w:val="auto"/>
              </w:rPr>
            </w:pPr>
          </w:p>
        </w:tc>
        <w:tc>
          <w:tcPr>
            <w:tcW w:w="960" w:type="dxa"/>
            <w:vAlign w:val="bottom"/>
            <w:shd w:val="clear" w:color="auto" w:fill="005C5D"/>
          </w:tcPr>
          <w:p>
            <w:pPr>
              <w:spacing w:after="0"/>
              <w:rPr>
                <w:sz w:val="11"/>
                <w:szCs w:val="11"/>
                <w:color w:val="auto"/>
              </w:rPr>
            </w:pPr>
          </w:p>
        </w:tc>
        <w:tc>
          <w:tcPr>
            <w:tcW w:w="840" w:type="dxa"/>
            <w:vAlign w:val="bottom"/>
            <w:shd w:val="clear" w:color="auto" w:fill="005C5D"/>
          </w:tcPr>
          <w:p>
            <w:pPr>
              <w:jc w:val="center"/>
              <w:ind w:right="32"/>
              <w:spacing w:after="0" w:line="134" w:lineRule="exact"/>
              <w:rPr>
                <w:sz w:val="20"/>
                <w:szCs w:val="20"/>
                <w:color w:val="auto"/>
              </w:rPr>
            </w:pPr>
            <w:r>
              <w:rPr>
                <w:rFonts w:ascii="Arial" w:cs="Arial" w:eastAsia="Arial" w:hAnsi="Arial"/>
                <w:sz w:val="12"/>
                <w:szCs w:val="12"/>
                <w:color w:val="FFFFFF"/>
              </w:rPr>
              <w:t>OF</w:t>
            </w:r>
          </w:p>
        </w:tc>
        <w:tc>
          <w:tcPr>
            <w:tcW w:w="1180" w:type="dxa"/>
            <w:vAlign w:val="bottom"/>
            <w:shd w:val="clear" w:color="auto" w:fill="005C5D"/>
          </w:tcPr>
          <w:p>
            <w:pPr>
              <w:spacing w:after="0"/>
              <w:rPr>
                <w:sz w:val="11"/>
                <w:szCs w:val="11"/>
                <w:color w:val="auto"/>
              </w:rPr>
            </w:pPr>
          </w:p>
        </w:tc>
        <w:tc>
          <w:tcPr>
            <w:tcW w:w="500" w:type="dxa"/>
            <w:vAlign w:val="bottom"/>
            <w:shd w:val="clear" w:color="auto" w:fill="005C5D"/>
          </w:tcPr>
          <w:p>
            <w:pPr>
              <w:jc w:val="center"/>
              <w:spacing w:after="0" w:line="134" w:lineRule="exact"/>
              <w:rPr>
                <w:sz w:val="20"/>
                <w:szCs w:val="20"/>
                <w:color w:val="auto"/>
              </w:rPr>
            </w:pPr>
            <w:r>
              <w:rPr>
                <w:rFonts w:ascii="Arial" w:cs="Arial" w:eastAsia="Arial" w:hAnsi="Arial"/>
                <w:sz w:val="12"/>
                <w:szCs w:val="12"/>
                <w:color w:val="FFFFFF"/>
              </w:rPr>
              <w:t>% OF</w:t>
            </w:r>
          </w:p>
        </w:tc>
      </w:tr>
      <w:tr>
        <w:trPr>
          <w:trHeight w:val="134"/>
        </w:trPr>
        <w:tc>
          <w:tcPr>
            <w:tcW w:w="1760" w:type="dxa"/>
            <w:vAlign w:val="bottom"/>
            <w:shd w:val="clear" w:color="auto" w:fill="005C5D"/>
          </w:tcPr>
          <w:p>
            <w:pPr>
              <w:spacing w:after="0"/>
              <w:rPr>
                <w:sz w:val="11"/>
                <w:szCs w:val="11"/>
                <w:color w:val="auto"/>
              </w:rPr>
            </w:pPr>
          </w:p>
        </w:tc>
        <w:tc>
          <w:tcPr>
            <w:tcW w:w="960" w:type="dxa"/>
            <w:vAlign w:val="bottom"/>
            <w:shd w:val="clear" w:color="auto" w:fill="005C5D"/>
          </w:tcPr>
          <w:p>
            <w:pPr>
              <w:jc w:val="center"/>
              <w:spacing w:after="0" w:line="134" w:lineRule="exact"/>
              <w:rPr>
                <w:sz w:val="20"/>
                <w:szCs w:val="20"/>
                <w:color w:val="auto"/>
              </w:rPr>
            </w:pPr>
            <w:r>
              <w:rPr>
                <w:rFonts w:ascii="Arial" w:cs="Arial" w:eastAsia="Arial" w:hAnsi="Arial"/>
                <w:sz w:val="12"/>
                <w:szCs w:val="12"/>
                <w:color w:val="FFFFFF"/>
              </w:rPr>
              <w:t>TARGET</w:t>
            </w:r>
          </w:p>
        </w:tc>
        <w:tc>
          <w:tcPr>
            <w:tcW w:w="840" w:type="dxa"/>
            <w:vAlign w:val="bottom"/>
            <w:shd w:val="clear" w:color="auto" w:fill="005C5D"/>
          </w:tcPr>
          <w:p>
            <w:pPr>
              <w:jc w:val="center"/>
              <w:ind w:right="32"/>
              <w:spacing w:after="0" w:line="134" w:lineRule="exact"/>
              <w:rPr>
                <w:sz w:val="20"/>
                <w:szCs w:val="20"/>
                <w:color w:val="auto"/>
              </w:rPr>
            </w:pPr>
            <w:r>
              <w:rPr>
                <w:rFonts w:ascii="Arial" w:cs="Arial" w:eastAsia="Arial" w:hAnsi="Arial"/>
                <w:sz w:val="12"/>
                <w:szCs w:val="12"/>
                <w:color w:val="FFFFFF"/>
              </w:rPr>
              <w:t>BASE</w:t>
            </w:r>
          </w:p>
        </w:tc>
        <w:tc>
          <w:tcPr>
            <w:tcW w:w="1180" w:type="dxa"/>
            <w:vAlign w:val="bottom"/>
            <w:shd w:val="clear" w:color="auto" w:fill="005C5D"/>
          </w:tcPr>
          <w:p>
            <w:pPr>
              <w:jc w:val="center"/>
              <w:spacing w:after="0" w:line="134" w:lineRule="exact"/>
              <w:rPr>
                <w:sz w:val="20"/>
                <w:szCs w:val="20"/>
                <w:color w:val="auto"/>
              </w:rPr>
            </w:pPr>
            <w:r>
              <w:rPr>
                <w:rFonts w:ascii="Arial" w:cs="Arial" w:eastAsia="Arial" w:hAnsi="Arial"/>
                <w:sz w:val="12"/>
                <w:szCs w:val="12"/>
                <w:color w:val="FFFFFF"/>
              </w:rPr>
              <w:t>% OF GRANT</w:t>
            </w:r>
          </w:p>
        </w:tc>
        <w:tc>
          <w:tcPr>
            <w:tcW w:w="500" w:type="dxa"/>
            <w:vAlign w:val="bottom"/>
            <w:shd w:val="clear" w:color="auto" w:fill="005C5D"/>
          </w:tcPr>
          <w:p>
            <w:pPr>
              <w:jc w:val="center"/>
              <w:spacing w:after="0" w:line="134" w:lineRule="exact"/>
              <w:rPr>
                <w:sz w:val="20"/>
                <w:szCs w:val="20"/>
                <w:color w:val="auto"/>
              </w:rPr>
            </w:pPr>
            <w:r>
              <w:rPr>
                <w:rFonts w:ascii="Arial" w:cs="Arial" w:eastAsia="Arial" w:hAnsi="Arial"/>
                <w:sz w:val="12"/>
                <w:szCs w:val="12"/>
                <w:color w:val="FFFFFF"/>
              </w:rPr>
              <w:t>GRANT</w:t>
            </w:r>
          </w:p>
        </w:tc>
      </w:tr>
      <w:tr>
        <w:trPr>
          <w:trHeight w:val="134"/>
        </w:trPr>
        <w:tc>
          <w:tcPr>
            <w:tcW w:w="1760" w:type="dxa"/>
            <w:vAlign w:val="bottom"/>
            <w:shd w:val="clear" w:color="auto" w:fill="005C5D"/>
          </w:tcPr>
          <w:p>
            <w:pPr>
              <w:spacing w:after="0"/>
              <w:rPr>
                <w:sz w:val="11"/>
                <w:szCs w:val="11"/>
                <w:color w:val="auto"/>
              </w:rPr>
            </w:pPr>
          </w:p>
        </w:tc>
        <w:tc>
          <w:tcPr>
            <w:tcW w:w="960" w:type="dxa"/>
            <w:vAlign w:val="bottom"/>
            <w:shd w:val="clear" w:color="auto" w:fill="005C5D"/>
          </w:tcPr>
          <w:p>
            <w:pPr>
              <w:jc w:val="center"/>
              <w:spacing w:after="0" w:line="134" w:lineRule="exact"/>
              <w:rPr>
                <w:sz w:val="20"/>
                <w:szCs w:val="20"/>
                <w:color w:val="auto"/>
              </w:rPr>
            </w:pPr>
            <w:r>
              <w:rPr>
                <w:rFonts w:ascii="Arial" w:cs="Arial" w:eastAsia="Arial" w:hAnsi="Arial"/>
                <w:sz w:val="12"/>
                <w:szCs w:val="12"/>
                <w:color w:val="FFFFFF"/>
              </w:rPr>
              <w:t>GRANT</w:t>
            </w:r>
          </w:p>
        </w:tc>
        <w:tc>
          <w:tcPr>
            <w:tcW w:w="840" w:type="dxa"/>
            <w:vAlign w:val="bottom"/>
            <w:shd w:val="clear" w:color="auto" w:fill="005C5D"/>
          </w:tcPr>
          <w:p>
            <w:pPr>
              <w:jc w:val="center"/>
              <w:ind w:right="32"/>
              <w:spacing w:after="0" w:line="134" w:lineRule="exact"/>
              <w:rPr>
                <w:sz w:val="20"/>
                <w:szCs w:val="20"/>
                <w:color w:val="auto"/>
              </w:rPr>
            </w:pPr>
            <w:r>
              <w:rPr>
                <w:rFonts w:ascii="Arial" w:cs="Arial" w:eastAsia="Arial" w:hAnsi="Arial"/>
                <w:sz w:val="12"/>
                <w:szCs w:val="12"/>
                <w:color w:val="FFFFFF"/>
              </w:rPr>
              <w:t>SALARY</w:t>
            </w:r>
          </w:p>
        </w:tc>
        <w:tc>
          <w:tcPr>
            <w:tcW w:w="1180" w:type="dxa"/>
            <w:vAlign w:val="bottom"/>
            <w:shd w:val="clear" w:color="auto" w:fill="005C5D"/>
          </w:tcPr>
          <w:p>
            <w:pPr>
              <w:jc w:val="center"/>
              <w:spacing w:after="0" w:line="134" w:lineRule="exact"/>
              <w:rPr>
                <w:sz w:val="20"/>
                <w:szCs w:val="20"/>
                <w:color w:val="auto"/>
              </w:rPr>
            </w:pPr>
            <w:r>
              <w:rPr>
                <w:rFonts w:ascii="Arial" w:cs="Arial" w:eastAsia="Arial" w:hAnsi="Arial"/>
                <w:sz w:val="12"/>
                <w:szCs w:val="12"/>
                <w:color w:val="FFFFFF"/>
              </w:rPr>
              <w:t>PERFORMANCE-</w:t>
            </w:r>
          </w:p>
        </w:tc>
        <w:tc>
          <w:tcPr>
            <w:tcW w:w="500" w:type="dxa"/>
            <w:vAlign w:val="bottom"/>
            <w:shd w:val="clear" w:color="auto" w:fill="005C5D"/>
          </w:tcPr>
          <w:p>
            <w:pPr>
              <w:jc w:val="center"/>
              <w:ind w:left="12"/>
              <w:spacing w:after="0" w:line="134" w:lineRule="exact"/>
              <w:rPr>
                <w:sz w:val="20"/>
                <w:szCs w:val="20"/>
                <w:color w:val="auto"/>
              </w:rPr>
            </w:pPr>
            <w:r>
              <w:rPr>
                <w:rFonts w:ascii="Arial" w:cs="Arial" w:eastAsia="Arial" w:hAnsi="Arial"/>
                <w:sz w:val="12"/>
                <w:szCs w:val="12"/>
                <w:color w:val="FFFFFF"/>
              </w:rPr>
              <w:t>TIME-</w:t>
            </w:r>
          </w:p>
        </w:tc>
      </w:tr>
      <w:tr>
        <w:trPr>
          <w:trHeight w:val="199"/>
        </w:trPr>
        <w:tc>
          <w:tcPr>
            <w:tcW w:w="1760" w:type="dxa"/>
            <w:vAlign w:val="bottom"/>
            <w:tcBorders>
              <w:bottom w:val="single" w:sz="8" w:color="005C5D"/>
            </w:tcBorders>
            <w:shd w:val="clear" w:color="auto" w:fill="005C5D"/>
          </w:tcPr>
          <w:p>
            <w:pPr>
              <w:spacing w:after="0"/>
              <w:rPr>
                <w:sz w:val="17"/>
                <w:szCs w:val="17"/>
                <w:color w:val="auto"/>
              </w:rPr>
            </w:pPr>
          </w:p>
        </w:tc>
        <w:tc>
          <w:tcPr>
            <w:tcW w:w="960" w:type="dxa"/>
            <w:vAlign w:val="bottom"/>
            <w:tcBorders>
              <w:bottom w:val="single" w:sz="8" w:color="005C5D"/>
            </w:tcBorders>
            <w:shd w:val="clear" w:color="auto" w:fill="005C5D"/>
          </w:tcPr>
          <w:p>
            <w:pPr>
              <w:jc w:val="center"/>
              <w:spacing w:after="0"/>
              <w:rPr>
                <w:sz w:val="20"/>
                <w:szCs w:val="20"/>
                <w:color w:val="auto"/>
              </w:rPr>
            </w:pPr>
            <w:r>
              <w:rPr>
                <w:rFonts w:ascii="Arial" w:cs="Arial" w:eastAsia="Arial" w:hAnsi="Arial"/>
                <w:sz w:val="12"/>
                <w:szCs w:val="12"/>
                <w:color w:val="FFFFFF"/>
              </w:rPr>
              <w:t>VALUE</w:t>
            </w:r>
          </w:p>
        </w:tc>
        <w:tc>
          <w:tcPr>
            <w:tcW w:w="840" w:type="dxa"/>
            <w:vAlign w:val="bottom"/>
            <w:tcBorders>
              <w:bottom w:val="single" w:sz="8" w:color="005C5D"/>
            </w:tcBorders>
            <w:shd w:val="clear" w:color="auto" w:fill="005C5D"/>
          </w:tcPr>
          <w:p>
            <w:pPr>
              <w:jc w:val="center"/>
              <w:ind w:right="12"/>
              <w:spacing w:after="0"/>
              <w:rPr>
                <w:sz w:val="20"/>
                <w:szCs w:val="20"/>
                <w:color w:val="auto"/>
              </w:rPr>
            </w:pPr>
            <w:r>
              <w:rPr>
                <w:rFonts w:ascii="Arial" w:cs="Arial" w:eastAsia="Arial" w:hAnsi="Arial"/>
                <w:sz w:val="12"/>
                <w:szCs w:val="12"/>
                <w:color w:val="FFFFFF"/>
                <w:w w:val="99"/>
              </w:rPr>
              <w:t>RATE</w:t>
            </w:r>
          </w:p>
        </w:tc>
        <w:tc>
          <w:tcPr>
            <w:tcW w:w="1180" w:type="dxa"/>
            <w:vAlign w:val="bottom"/>
            <w:tcBorders>
              <w:bottom w:val="single" w:sz="8" w:color="005C5D"/>
            </w:tcBorders>
            <w:shd w:val="clear" w:color="auto" w:fill="005C5D"/>
          </w:tcPr>
          <w:p>
            <w:pPr>
              <w:jc w:val="center"/>
              <w:spacing w:after="0"/>
              <w:rPr>
                <w:sz w:val="20"/>
                <w:szCs w:val="20"/>
                <w:color w:val="auto"/>
              </w:rPr>
            </w:pPr>
            <w:r>
              <w:rPr>
                <w:rFonts w:ascii="Arial" w:cs="Arial" w:eastAsia="Arial" w:hAnsi="Arial"/>
                <w:sz w:val="12"/>
                <w:szCs w:val="12"/>
                <w:color w:val="FFFFFF"/>
              </w:rPr>
              <w:t>BASED</w:t>
            </w:r>
          </w:p>
        </w:tc>
        <w:tc>
          <w:tcPr>
            <w:tcW w:w="500" w:type="dxa"/>
            <w:vAlign w:val="bottom"/>
            <w:tcBorders>
              <w:bottom w:val="single" w:sz="8" w:color="005C5D"/>
            </w:tcBorders>
            <w:shd w:val="clear" w:color="auto" w:fill="005C5D"/>
          </w:tcPr>
          <w:p>
            <w:pPr>
              <w:jc w:val="center"/>
              <w:spacing w:after="0"/>
              <w:rPr>
                <w:sz w:val="20"/>
                <w:szCs w:val="20"/>
                <w:color w:val="auto"/>
              </w:rPr>
            </w:pPr>
            <w:r>
              <w:rPr>
                <w:rFonts w:ascii="Arial" w:cs="Arial" w:eastAsia="Arial" w:hAnsi="Arial"/>
                <w:sz w:val="12"/>
                <w:szCs w:val="12"/>
                <w:color w:val="FFFFFF"/>
              </w:rPr>
              <w:t>BASED</w:t>
            </w:r>
          </w:p>
        </w:tc>
      </w:tr>
      <w:tr>
        <w:trPr>
          <w:trHeight w:val="294"/>
        </w:trPr>
        <w:tc>
          <w:tcPr>
            <w:tcW w:w="1760" w:type="dxa"/>
            <w:vAlign w:val="bottom"/>
          </w:tcPr>
          <w:p>
            <w:pPr>
              <w:ind w:left="80"/>
              <w:spacing w:after="0"/>
              <w:rPr>
                <w:sz w:val="20"/>
                <w:szCs w:val="20"/>
                <w:color w:val="auto"/>
              </w:rPr>
            </w:pPr>
            <w:r>
              <w:rPr>
                <w:rFonts w:ascii="Arial" w:cs="Arial" w:eastAsia="Arial" w:hAnsi="Arial"/>
                <w:sz w:val="14"/>
                <w:szCs w:val="14"/>
                <w:color w:val="333333"/>
              </w:rPr>
              <w:t>Ian Bickley</w:t>
            </w:r>
          </w:p>
        </w:tc>
        <w:tc>
          <w:tcPr>
            <w:tcW w:w="960" w:type="dxa"/>
            <w:vAlign w:val="bottom"/>
            <w:tcBorders>
              <w:bottom w:val="single" w:sz="8" w:color="FCEFEB"/>
            </w:tcBorders>
            <w:shd w:val="clear" w:color="auto" w:fill="FCEFEB"/>
          </w:tcPr>
          <w:p>
            <w:pPr>
              <w:jc w:val="right"/>
              <w:ind w:right="51"/>
              <w:spacing w:after="0"/>
              <w:rPr>
                <w:sz w:val="20"/>
                <w:szCs w:val="20"/>
                <w:color w:val="auto"/>
              </w:rPr>
            </w:pPr>
            <w:r>
              <w:rPr>
                <w:rFonts w:ascii="Arial" w:cs="Arial" w:eastAsia="Arial" w:hAnsi="Arial"/>
                <w:sz w:val="14"/>
                <w:szCs w:val="14"/>
                <w:color w:val="333333"/>
              </w:rPr>
              <w:t>$1,500,000</w:t>
            </w:r>
          </w:p>
        </w:tc>
        <w:tc>
          <w:tcPr>
            <w:tcW w:w="840" w:type="dxa"/>
            <w:vAlign w:val="bottom"/>
            <w:tcBorders>
              <w:bottom w:val="single" w:sz="8" w:color="FCEFEB"/>
            </w:tcBorders>
            <w:shd w:val="clear" w:color="auto" w:fill="FCEFEB"/>
          </w:tcPr>
          <w:p>
            <w:pPr>
              <w:jc w:val="right"/>
              <w:ind w:right="32"/>
              <w:spacing w:after="0"/>
              <w:rPr>
                <w:sz w:val="20"/>
                <w:szCs w:val="20"/>
                <w:color w:val="auto"/>
              </w:rPr>
            </w:pPr>
            <w:r>
              <w:rPr>
                <w:rFonts w:ascii="Arial" w:cs="Arial" w:eastAsia="Arial" w:hAnsi="Arial"/>
                <w:sz w:val="14"/>
                <w:szCs w:val="14"/>
                <w:color w:val="333333"/>
              </w:rPr>
              <w:t>208.3%</w:t>
            </w:r>
          </w:p>
        </w:tc>
        <w:tc>
          <w:tcPr>
            <w:tcW w:w="1180" w:type="dxa"/>
            <w:vAlign w:val="bottom"/>
            <w:tcBorders>
              <w:bottom w:val="single" w:sz="8" w:color="FCEFEB"/>
            </w:tcBorders>
            <w:shd w:val="clear" w:color="auto" w:fill="FCEFEB"/>
          </w:tcPr>
          <w:p>
            <w:pPr>
              <w:jc w:val="center"/>
              <w:spacing w:after="0"/>
              <w:rPr>
                <w:sz w:val="20"/>
                <w:szCs w:val="20"/>
                <w:color w:val="auto"/>
              </w:rPr>
            </w:pPr>
            <w:r>
              <w:rPr>
                <w:rFonts w:ascii="Arial" w:cs="Arial" w:eastAsia="Arial" w:hAnsi="Arial"/>
                <w:sz w:val="14"/>
                <w:szCs w:val="14"/>
                <w:color w:val="333333"/>
                <w:w w:val="98"/>
              </w:rPr>
              <w:t>0%</w:t>
            </w:r>
          </w:p>
        </w:tc>
        <w:tc>
          <w:tcPr>
            <w:tcW w:w="500" w:type="dxa"/>
            <w:vAlign w:val="bottom"/>
            <w:tcBorders>
              <w:bottom w:val="single" w:sz="8" w:color="FCEFEB"/>
            </w:tcBorders>
            <w:shd w:val="clear" w:color="auto" w:fill="FCEFEB"/>
          </w:tcPr>
          <w:p>
            <w:pPr>
              <w:jc w:val="center"/>
              <w:spacing w:after="0"/>
              <w:rPr>
                <w:sz w:val="20"/>
                <w:szCs w:val="20"/>
                <w:color w:val="auto"/>
              </w:rPr>
            </w:pPr>
            <w:r>
              <w:rPr>
                <w:rFonts w:ascii="Arial" w:cs="Arial" w:eastAsia="Arial" w:hAnsi="Arial"/>
                <w:sz w:val="14"/>
                <w:szCs w:val="14"/>
                <w:color w:val="333333"/>
              </w:rPr>
              <w:t>100%</w:t>
            </w:r>
          </w:p>
        </w:tc>
      </w:tr>
      <w:tr>
        <w:trPr>
          <w:trHeight w:val="274"/>
        </w:trPr>
        <w:tc>
          <w:tcPr>
            <w:tcW w:w="176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Jacqueline Ardrey</w:t>
            </w:r>
          </w:p>
        </w:tc>
        <w:tc>
          <w:tcPr>
            <w:tcW w:w="960" w:type="dxa"/>
            <w:vAlign w:val="bottom"/>
            <w:tcBorders>
              <w:top w:val="single" w:sz="8" w:color="005C5D"/>
              <w:bottom w:val="single" w:sz="8" w:color="FCEFEB"/>
            </w:tcBorders>
            <w:shd w:val="clear" w:color="auto" w:fill="FCEFEB"/>
          </w:tcPr>
          <w:p>
            <w:pPr>
              <w:jc w:val="right"/>
              <w:ind w:right="51"/>
              <w:spacing w:after="0"/>
              <w:rPr>
                <w:sz w:val="20"/>
                <w:szCs w:val="20"/>
                <w:color w:val="auto"/>
              </w:rPr>
            </w:pPr>
            <w:r>
              <w:rPr>
                <w:rFonts w:ascii="Arial" w:cs="Arial" w:eastAsia="Arial" w:hAnsi="Arial"/>
                <w:sz w:val="14"/>
                <w:szCs w:val="14"/>
                <w:color w:val="333333"/>
              </w:rPr>
              <w:t>700,000</w:t>
            </w:r>
          </w:p>
        </w:tc>
        <w:tc>
          <w:tcPr>
            <w:tcW w:w="840" w:type="dxa"/>
            <w:vAlign w:val="bottom"/>
            <w:tcBorders>
              <w:top w:val="single" w:sz="8" w:color="005C5D"/>
              <w:bottom w:val="single" w:sz="8" w:color="FCEFEB"/>
            </w:tcBorders>
            <w:shd w:val="clear" w:color="auto" w:fill="FCEFEB"/>
          </w:tcPr>
          <w:p>
            <w:pPr>
              <w:jc w:val="right"/>
              <w:ind w:right="32"/>
              <w:spacing w:after="0"/>
              <w:rPr>
                <w:sz w:val="20"/>
                <w:szCs w:val="20"/>
                <w:color w:val="auto"/>
              </w:rPr>
            </w:pPr>
            <w:r>
              <w:rPr>
                <w:rFonts w:ascii="Arial" w:cs="Arial" w:eastAsia="Arial" w:hAnsi="Arial"/>
                <w:sz w:val="14"/>
                <w:szCs w:val="14"/>
                <w:color w:val="333333"/>
              </w:rPr>
              <w:t>80.0%</w:t>
            </w:r>
          </w:p>
        </w:tc>
        <w:tc>
          <w:tcPr>
            <w:tcW w:w="1180" w:type="dxa"/>
            <w:vAlign w:val="bottom"/>
            <w:tcBorders>
              <w:top w:val="single" w:sz="8" w:color="005C5D"/>
              <w:bottom w:val="single" w:sz="8" w:color="FCEFEB"/>
            </w:tcBorders>
            <w:shd w:val="clear" w:color="auto" w:fill="FCEFEB"/>
          </w:tcPr>
          <w:p>
            <w:pPr>
              <w:jc w:val="center"/>
              <w:spacing w:after="0"/>
              <w:rPr>
                <w:sz w:val="20"/>
                <w:szCs w:val="20"/>
                <w:color w:val="auto"/>
              </w:rPr>
            </w:pPr>
            <w:r>
              <w:rPr>
                <w:rFonts w:ascii="Arial" w:cs="Arial" w:eastAsia="Arial" w:hAnsi="Arial"/>
                <w:sz w:val="14"/>
                <w:szCs w:val="14"/>
                <w:color w:val="333333"/>
                <w:w w:val="99"/>
              </w:rPr>
              <w:t>50%</w:t>
            </w:r>
          </w:p>
        </w:tc>
        <w:tc>
          <w:tcPr>
            <w:tcW w:w="500" w:type="dxa"/>
            <w:vAlign w:val="bottom"/>
            <w:tcBorders>
              <w:top w:val="single" w:sz="8" w:color="005C5D"/>
              <w:bottom w:val="single" w:sz="8" w:color="FCEFEB"/>
            </w:tcBorders>
            <w:shd w:val="clear" w:color="auto" w:fill="FCEFEB"/>
          </w:tcPr>
          <w:p>
            <w:pPr>
              <w:jc w:val="center"/>
              <w:spacing w:after="0"/>
              <w:rPr>
                <w:sz w:val="20"/>
                <w:szCs w:val="20"/>
                <w:color w:val="auto"/>
              </w:rPr>
            </w:pPr>
            <w:r>
              <w:rPr>
                <w:rFonts w:ascii="Arial" w:cs="Arial" w:eastAsia="Arial" w:hAnsi="Arial"/>
                <w:sz w:val="14"/>
                <w:szCs w:val="14"/>
                <w:color w:val="333333"/>
                <w:w w:val="99"/>
              </w:rPr>
              <w:t>50%</w:t>
            </w:r>
          </w:p>
        </w:tc>
      </w:tr>
      <w:tr>
        <w:trPr>
          <w:trHeight w:val="274"/>
        </w:trPr>
        <w:tc>
          <w:tcPr>
            <w:tcW w:w="176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Martin Layding</w:t>
            </w:r>
          </w:p>
        </w:tc>
        <w:tc>
          <w:tcPr>
            <w:tcW w:w="960" w:type="dxa"/>
            <w:vAlign w:val="bottom"/>
            <w:tcBorders>
              <w:top w:val="single" w:sz="8" w:color="005C5D"/>
              <w:bottom w:val="single" w:sz="8" w:color="FCEFEB"/>
            </w:tcBorders>
            <w:shd w:val="clear" w:color="auto" w:fill="FCEFEB"/>
          </w:tcPr>
          <w:p>
            <w:pPr>
              <w:jc w:val="right"/>
              <w:ind w:right="51"/>
              <w:spacing w:after="0"/>
              <w:rPr>
                <w:sz w:val="20"/>
                <w:szCs w:val="20"/>
                <w:color w:val="auto"/>
              </w:rPr>
            </w:pPr>
            <w:r>
              <w:rPr>
                <w:rFonts w:ascii="Arial" w:cs="Arial" w:eastAsia="Arial" w:hAnsi="Arial"/>
                <w:sz w:val="14"/>
                <w:szCs w:val="14"/>
                <w:color w:val="333333"/>
              </w:rPr>
              <w:t>1,025,000</w:t>
            </w:r>
          </w:p>
        </w:tc>
        <w:tc>
          <w:tcPr>
            <w:tcW w:w="840" w:type="dxa"/>
            <w:vAlign w:val="bottom"/>
            <w:tcBorders>
              <w:top w:val="single" w:sz="8" w:color="005C5D"/>
              <w:bottom w:val="single" w:sz="8" w:color="FCEFEB"/>
            </w:tcBorders>
            <w:shd w:val="clear" w:color="auto" w:fill="FCEFEB"/>
          </w:tcPr>
          <w:p>
            <w:pPr>
              <w:jc w:val="right"/>
              <w:ind w:right="32"/>
              <w:spacing w:after="0"/>
              <w:rPr>
                <w:sz w:val="20"/>
                <w:szCs w:val="20"/>
                <w:color w:val="auto"/>
              </w:rPr>
            </w:pPr>
            <w:r>
              <w:rPr>
                <w:rFonts w:ascii="Arial" w:cs="Arial" w:eastAsia="Arial" w:hAnsi="Arial"/>
                <w:sz w:val="14"/>
                <w:szCs w:val="14"/>
                <w:color w:val="333333"/>
              </w:rPr>
              <w:t>215.8%</w:t>
            </w:r>
          </w:p>
        </w:tc>
        <w:tc>
          <w:tcPr>
            <w:tcW w:w="1180" w:type="dxa"/>
            <w:vAlign w:val="bottom"/>
            <w:tcBorders>
              <w:top w:val="single" w:sz="8" w:color="005C5D"/>
              <w:bottom w:val="single" w:sz="8" w:color="FCEFEB"/>
            </w:tcBorders>
            <w:shd w:val="clear" w:color="auto" w:fill="FCEFEB"/>
          </w:tcPr>
          <w:p>
            <w:pPr>
              <w:jc w:val="center"/>
              <w:spacing w:after="0"/>
              <w:rPr>
                <w:sz w:val="20"/>
                <w:szCs w:val="20"/>
                <w:color w:val="auto"/>
              </w:rPr>
            </w:pPr>
            <w:r>
              <w:rPr>
                <w:rFonts w:ascii="Arial" w:cs="Arial" w:eastAsia="Arial" w:hAnsi="Arial"/>
                <w:sz w:val="14"/>
                <w:szCs w:val="14"/>
                <w:color w:val="333333"/>
                <w:w w:val="99"/>
              </w:rPr>
              <w:t>24%</w:t>
            </w:r>
          </w:p>
        </w:tc>
        <w:tc>
          <w:tcPr>
            <w:tcW w:w="500" w:type="dxa"/>
            <w:vAlign w:val="bottom"/>
            <w:tcBorders>
              <w:top w:val="single" w:sz="8" w:color="005C5D"/>
              <w:bottom w:val="single" w:sz="8" w:color="FCEFEB"/>
            </w:tcBorders>
            <w:shd w:val="clear" w:color="auto" w:fill="FCEFEB"/>
          </w:tcPr>
          <w:p>
            <w:pPr>
              <w:jc w:val="center"/>
              <w:spacing w:after="0"/>
              <w:rPr>
                <w:sz w:val="20"/>
                <w:szCs w:val="20"/>
                <w:color w:val="auto"/>
              </w:rPr>
            </w:pPr>
            <w:r>
              <w:rPr>
                <w:rFonts w:ascii="Arial" w:cs="Arial" w:eastAsia="Arial" w:hAnsi="Arial"/>
                <w:sz w:val="14"/>
                <w:szCs w:val="14"/>
                <w:color w:val="333333"/>
                <w:w w:val="99"/>
              </w:rPr>
              <w:t>76%</w:t>
            </w:r>
          </w:p>
        </w:tc>
      </w:tr>
      <w:tr>
        <w:trPr>
          <w:trHeight w:val="274"/>
        </w:trPr>
        <w:tc>
          <w:tcPr>
            <w:tcW w:w="176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Michael Schwindle</w:t>
            </w:r>
          </w:p>
        </w:tc>
        <w:tc>
          <w:tcPr>
            <w:tcW w:w="960" w:type="dxa"/>
            <w:vAlign w:val="bottom"/>
            <w:tcBorders>
              <w:top w:val="single" w:sz="8" w:color="005C5D"/>
              <w:bottom w:val="single" w:sz="8" w:color="FCEFEB"/>
            </w:tcBorders>
            <w:shd w:val="clear" w:color="auto" w:fill="FCEFEB"/>
          </w:tcPr>
          <w:p>
            <w:pPr>
              <w:jc w:val="right"/>
              <w:ind w:right="51"/>
              <w:spacing w:after="0"/>
              <w:rPr>
                <w:sz w:val="20"/>
                <w:szCs w:val="20"/>
                <w:color w:val="auto"/>
              </w:rPr>
            </w:pPr>
            <w:r>
              <w:rPr>
                <w:rFonts w:ascii="Arial" w:cs="Arial" w:eastAsia="Arial" w:hAnsi="Arial"/>
                <w:sz w:val="14"/>
                <w:szCs w:val="14"/>
                <w:color w:val="333333"/>
              </w:rPr>
              <w:t>400,000</w:t>
            </w:r>
          </w:p>
        </w:tc>
        <w:tc>
          <w:tcPr>
            <w:tcW w:w="840" w:type="dxa"/>
            <w:vAlign w:val="bottom"/>
            <w:tcBorders>
              <w:top w:val="single" w:sz="8" w:color="005C5D"/>
              <w:bottom w:val="single" w:sz="8" w:color="FCEFEB"/>
            </w:tcBorders>
            <w:shd w:val="clear" w:color="auto" w:fill="FCEFEB"/>
          </w:tcPr>
          <w:p>
            <w:pPr>
              <w:jc w:val="right"/>
              <w:ind w:right="32"/>
              <w:spacing w:after="0"/>
              <w:rPr>
                <w:sz w:val="20"/>
                <w:szCs w:val="20"/>
                <w:color w:val="auto"/>
              </w:rPr>
            </w:pPr>
            <w:r>
              <w:rPr>
                <w:rFonts w:ascii="Arial" w:cs="Arial" w:eastAsia="Arial" w:hAnsi="Arial"/>
                <w:sz w:val="14"/>
                <w:szCs w:val="14"/>
                <w:color w:val="333333"/>
              </w:rPr>
              <w:t>74.0%</w:t>
            </w:r>
          </w:p>
        </w:tc>
        <w:tc>
          <w:tcPr>
            <w:tcW w:w="1180" w:type="dxa"/>
            <w:vAlign w:val="bottom"/>
            <w:tcBorders>
              <w:top w:val="single" w:sz="8" w:color="005C5D"/>
              <w:bottom w:val="single" w:sz="8" w:color="FCEFEB"/>
            </w:tcBorders>
            <w:shd w:val="clear" w:color="auto" w:fill="FCEFEB"/>
          </w:tcPr>
          <w:p>
            <w:pPr>
              <w:jc w:val="center"/>
              <w:spacing w:after="0"/>
              <w:rPr>
                <w:sz w:val="20"/>
                <w:szCs w:val="20"/>
                <w:color w:val="auto"/>
              </w:rPr>
            </w:pPr>
            <w:r>
              <w:rPr>
                <w:rFonts w:ascii="Arial" w:cs="Arial" w:eastAsia="Arial" w:hAnsi="Arial"/>
                <w:sz w:val="14"/>
                <w:szCs w:val="14"/>
                <w:color w:val="333333"/>
                <w:w w:val="99"/>
              </w:rPr>
              <w:t>50%</w:t>
            </w:r>
          </w:p>
        </w:tc>
        <w:tc>
          <w:tcPr>
            <w:tcW w:w="500" w:type="dxa"/>
            <w:vAlign w:val="bottom"/>
            <w:tcBorders>
              <w:top w:val="single" w:sz="8" w:color="005C5D"/>
              <w:bottom w:val="single" w:sz="8" w:color="FCEFEB"/>
            </w:tcBorders>
            <w:shd w:val="clear" w:color="auto" w:fill="FCEFEB"/>
          </w:tcPr>
          <w:p>
            <w:pPr>
              <w:jc w:val="center"/>
              <w:spacing w:after="0"/>
              <w:rPr>
                <w:sz w:val="20"/>
                <w:szCs w:val="20"/>
                <w:color w:val="auto"/>
              </w:rPr>
            </w:pPr>
            <w:r>
              <w:rPr>
                <w:rFonts w:ascii="Arial" w:cs="Arial" w:eastAsia="Arial" w:hAnsi="Arial"/>
                <w:sz w:val="14"/>
                <w:szCs w:val="14"/>
                <w:color w:val="333333"/>
                <w:w w:val="99"/>
              </w:rPr>
              <w:t>50%</w:t>
            </w:r>
          </w:p>
        </w:tc>
      </w:tr>
      <w:tr>
        <w:trPr>
          <w:trHeight w:val="274"/>
        </w:trPr>
        <w:tc>
          <w:tcPr>
            <w:tcW w:w="176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Mark C. Dely</w:t>
            </w:r>
          </w:p>
        </w:tc>
        <w:tc>
          <w:tcPr>
            <w:tcW w:w="960" w:type="dxa"/>
            <w:vAlign w:val="bottom"/>
            <w:tcBorders>
              <w:top w:val="single" w:sz="8" w:color="005C5D"/>
              <w:bottom w:val="single" w:sz="8" w:color="FCEFEB"/>
            </w:tcBorders>
            <w:shd w:val="clear" w:color="auto" w:fill="FCEFEB"/>
          </w:tcPr>
          <w:p>
            <w:pPr>
              <w:jc w:val="right"/>
              <w:ind w:right="51"/>
              <w:spacing w:after="0"/>
              <w:rPr>
                <w:sz w:val="20"/>
                <w:szCs w:val="20"/>
                <w:color w:val="auto"/>
              </w:rPr>
            </w:pPr>
            <w:r>
              <w:rPr>
                <w:rFonts w:ascii="Arial" w:cs="Arial" w:eastAsia="Arial" w:hAnsi="Arial"/>
                <w:sz w:val="14"/>
                <w:szCs w:val="14"/>
                <w:color w:val="333333"/>
              </w:rPr>
              <w:t>600,000</w:t>
            </w:r>
          </w:p>
        </w:tc>
        <w:tc>
          <w:tcPr>
            <w:tcW w:w="840" w:type="dxa"/>
            <w:vAlign w:val="bottom"/>
            <w:tcBorders>
              <w:top w:val="single" w:sz="8" w:color="005C5D"/>
              <w:bottom w:val="single" w:sz="8" w:color="FCEFEB"/>
            </w:tcBorders>
            <w:shd w:val="clear" w:color="auto" w:fill="FCEFEB"/>
          </w:tcPr>
          <w:p>
            <w:pPr>
              <w:jc w:val="right"/>
              <w:ind w:right="32"/>
              <w:spacing w:after="0"/>
              <w:rPr>
                <w:sz w:val="20"/>
                <w:szCs w:val="20"/>
                <w:color w:val="auto"/>
              </w:rPr>
            </w:pPr>
            <w:r>
              <w:rPr>
                <w:rFonts w:ascii="Arial" w:cs="Arial" w:eastAsia="Arial" w:hAnsi="Arial"/>
                <w:sz w:val="14"/>
                <w:szCs w:val="14"/>
                <w:color w:val="333333"/>
              </w:rPr>
              <w:t>129.4%</w:t>
            </w:r>
          </w:p>
        </w:tc>
        <w:tc>
          <w:tcPr>
            <w:tcW w:w="1180" w:type="dxa"/>
            <w:vAlign w:val="bottom"/>
            <w:tcBorders>
              <w:top w:val="single" w:sz="8" w:color="005C5D"/>
              <w:bottom w:val="single" w:sz="8" w:color="FCEFEB"/>
            </w:tcBorders>
            <w:shd w:val="clear" w:color="auto" w:fill="FCEFEB"/>
          </w:tcPr>
          <w:p>
            <w:pPr>
              <w:jc w:val="center"/>
              <w:spacing w:after="0"/>
              <w:rPr>
                <w:sz w:val="20"/>
                <w:szCs w:val="20"/>
                <w:color w:val="auto"/>
              </w:rPr>
            </w:pPr>
            <w:r>
              <w:rPr>
                <w:rFonts w:ascii="Arial" w:cs="Arial" w:eastAsia="Arial" w:hAnsi="Arial"/>
                <w:sz w:val="14"/>
                <w:szCs w:val="14"/>
                <w:color w:val="333333"/>
                <w:w w:val="99"/>
              </w:rPr>
              <w:t>25%</w:t>
            </w:r>
          </w:p>
        </w:tc>
        <w:tc>
          <w:tcPr>
            <w:tcW w:w="500" w:type="dxa"/>
            <w:vAlign w:val="bottom"/>
            <w:tcBorders>
              <w:top w:val="single" w:sz="8" w:color="005C5D"/>
              <w:bottom w:val="single" w:sz="8" w:color="FCEFEB"/>
            </w:tcBorders>
            <w:shd w:val="clear" w:color="auto" w:fill="FCEFEB"/>
          </w:tcPr>
          <w:p>
            <w:pPr>
              <w:jc w:val="center"/>
              <w:spacing w:after="0"/>
              <w:rPr>
                <w:sz w:val="20"/>
                <w:szCs w:val="20"/>
                <w:color w:val="auto"/>
              </w:rPr>
            </w:pPr>
            <w:r>
              <w:rPr>
                <w:rFonts w:ascii="Arial" w:cs="Arial" w:eastAsia="Arial" w:hAnsi="Arial"/>
                <w:sz w:val="14"/>
                <w:szCs w:val="14"/>
                <w:color w:val="333333"/>
                <w:w w:val="99"/>
              </w:rPr>
              <w:t>75%</w:t>
            </w:r>
          </w:p>
        </w:tc>
      </w:tr>
      <w:tr>
        <w:trPr>
          <w:trHeight w:val="274"/>
        </w:trPr>
        <w:tc>
          <w:tcPr>
            <w:tcW w:w="176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Alison Hiatt</w:t>
            </w:r>
          </w:p>
        </w:tc>
        <w:tc>
          <w:tcPr>
            <w:tcW w:w="960" w:type="dxa"/>
            <w:vAlign w:val="bottom"/>
            <w:tcBorders>
              <w:top w:val="single" w:sz="8" w:color="005C5D"/>
              <w:bottom w:val="single" w:sz="8" w:color="FCEFEB"/>
            </w:tcBorders>
            <w:shd w:val="clear" w:color="auto" w:fill="FCEFEB"/>
          </w:tcPr>
          <w:p>
            <w:pPr>
              <w:jc w:val="right"/>
              <w:ind w:right="51"/>
              <w:spacing w:after="0"/>
              <w:rPr>
                <w:sz w:val="20"/>
                <w:szCs w:val="20"/>
                <w:color w:val="auto"/>
              </w:rPr>
            </w:pPr>
            <w:r>
              <w:rPr>
                <w:rFonts w:ascii="Arial" w:cs="Arial" w:eastAsia="Arial" w:hAnsi="Arial"/>
                <w:sz w:val="14"/>
                <w:szCs w:val="14"/>
                <w:color w:val="333333"/>
              </w:rPr>
              <w:t>300,000</w:t>
            </w:r>
          </w:p>
        </w:tc>
        <w:tc>
          <w:tcPr>
            <w:tcW w:w="840" w:type="dxa"/>
            <w:vAlign w:val="bottom"/>
            <w:tcBorders>
              <w:top w:val="single" w:sz="8" w:color="005C5D"/>
              <w:bottom w:val="single" w:sz="8" w:color="FCEFEB"/>
            </w:tcBorders>
            <w:shd w:val="clear" w:color="auto" w:fill="FCEFEB"/>
          </w:tcPr>
          <w:p>
            <w:pPr>
              <w:jc w:val="right"/>
              <w:ind w:right="32"/>
              <w:spacing w:after="0"/>
              <w:rPr>
                <w:sz w:val="20"/>
                <w:szCs w:val="20"/>
                <w:color w:val="auto"/>
              </w:rPr>
            </w:pPr>
            <w:r>
              <w:rPr>
                <w:rFonts w:ascii="Arial" w:cs="Arial" w:eastAsia="Arial" w:hAnsi="Arial"/>
                <w:sz w:val="14"/>
                <w:szCs w:val="14"/>
                <w:color w:val="333333"/>
              </w:rPr>
              <w:t>72.8%</w:t>
            </w:r>
          </w:p>
        </w:tc>
        <w:tc>
          <w:tcPr>
            <w:tcW w:w="1180" w:type="dxa"/>
            <w:vAlign w:val="bottom"/>
            <w:tcBorders>
              <w:top w:val="single" w:sz="8" w:color="005C5D"/>
              <w:bottom w:val="single" w:sz="8" w:color="FCEFEB"/>
            </w:tcBorders>
            <w:shd w:val="clear" w:color="auto" w:fill="FCEFEB"/>
          </w:tcPr>
          <w:p>
            <w:pPr>
              <w:jc w:val="center"/>
              <w:spacing w:after="0"/>
              <w:rPr>
                <w:sz w:val="20"/>
                <w:szCs w:val="20"/>
                <w:color w:val="auto"/>
              </w:rPr>
            </w:pPr>
            <w:r>
              <w:rPr>
                <w:rFonts w:ascii="Arial" w:cs="Arial" w:eastAsia="Arial" w:hAnsi="Arial"/>
                <w:sz w:val="14"/>
                <w:szCs w:val="14"/>
                <w:color w:val="333333"/>
                <w:w w:val="99"/>
              </w:rPr>
              <w:t>50%</w:t>
            </w:r>
          </w:p>
        </w:tc>
        <w:tc>
          <w:tcPr>
            <w:tcW w:w="500" w:type="dxa"/>
            <w:vAlign w:val="bottom"/>
            <w:tcBorders>
              <w:top w:val="single" w:sz="8" w:color="005C5D"/>
              <w:bottom w:val="single" w:sz="8" w:color="FCEFEB"/>
            </w:tcBorders>
            <w:shd w:val="clear" w:color="auto" w:fill="FCEFEB"/>
          </w:tcPr>
          <w:p>
            <w:pPr>
              <w:jc w:val="center"/>
              <w:spacing w:after="0"/>
              <w:rPr>
                <w:sz w:val="20"/>
                <w:szCs w:val="20"/>
                <w:color w:val="auto"/>
              </w:rPr>
            </w:pPr>
            <w:r>
              <w:rPr>
                <w:rFonts w:ascii="Arial" w:cs="Arial" w:eastAsia="Arial" w:hAnsi="Arial"/>
                <w:sz w:val="14"/>
                <w:szCs w:val="14"/>
                <w:color w:val="333333"/>
                <w:w w:val="99"/>
              </w:rPr>
              <w:t>50%</w:t>
            </w:r>
          </w:p>
        </w:tc>
      </w:tr>
      <w:tr>
        <w:trPr>
          <w:trHeight w:val="254"/>
        </w:trPr>
        <w:tc>
          <w:tcPr>
            <w:tcW w:w="176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Melinda Paraie</w:t>
            </w:r>
          </w:p>
        </w:tc>
        <w:tc>
          <w:tcPr>
            <w:tcW w:w="960" w:type="dxa"/>
            <w:vAlign w:val="bottom"/>
            <w:tcBorders>
              <w:top w:val="single" w:sz="8" w:color="005C5D"/>
              <w:bottom w:val="single" w:sz="8" w:color="FCEFEB"/>
            </w:tcBorders>
            <w:shd w:val="clear" w:color="auto" w:fill="FCEFEB"/>
          </w:tcPr>
          <w:p>
            <w:pPr>
              <w:jc w:val="right"/>
              <w:ind w:right="51"/>
              <w:spacing w:after="0"/>
              <w:rPr>
                <w:sz w:val="20"/>
                <w:szCs w:val="20"/>
                <w:color w:val="auto"/>
              </w:rPr>
            </w:pPr>
            <w:r>
              <w:rPr>
                <w:rFonts w:ascii="Arial" w:cs="Arial" w:eastAsia="Arial" w:hAnsi="Arial"/>
                <w:sz w:val="14"/>
                <w:szCs w:val="14"/>
                <w:color w:val="333333"/>
              </w:rPr>
              <w:t>525,000</w:t>
            </w:r>
          </w:p>
        </w:tc>
        <w:tc>
          <w:tcPr>
            <w:tcW w:w="840" w:type="dxa"/>
            <w:vAlign w:val="bottom"/>
            <w:tcBorders>
              <w:top w:val="single" w:sz="8" w:color="005C5D"/>
              <w:bottom w:val="single" w:sz="8" w:color="FCEFEB"/>
            </w:tcBorders>
            <w:shd w:val="clear" w:color="auto" w:fill="FCEFEB"/>
          </w:tcPr>
          <w:p>
            <w:pPr>
              <w:jc w:val="right"/>
              <w:ind w:right="32"/>
              <w:spacing w:after="0"/>
              <w:rPr>
                <w:sz w:val="20"/>
                <w:szCs w:val="20"/>
                <w:color w:val="auto"/>
              </w:rPr>
            </w:pPr>
            <w:r>
              <w:rPr>
                <w:rFonts w:ascii="Arial" w:cs="Arial" w:eastAsia="Arial" w:hAnsi="Arial"/>
                <w:sz w:val="14"/>
                <w:szCs w:val="14"/>
                <w:color w:val="333333"/>
              </w:rPr>
              <w:t>110.5%</w:t>
            </w:r>
          </w:p>
        </w:tc>
        <w:tc>
          <w:tcPr>
            <w:tcW w:w="1180" w:type="dxa"/>
            <w:vAlign w:val="bottom"/>
            <w:tcBorders>
              <w:top w:val="single" w:sz="8" w:color="005C5D"/>
              <w:bottom w:val="single" w:sz="8" w:color="FCEFEB"/>
            </w:tcBorders>
            <w:shd w:val="clear" w:color="auto" w:fill="FCEFEB"/>
          </w:tcPr>
          <w:p>
            <w:pPr>
              <w:jc w:val="center"/>
              <w:spacing w:after="0"/>
              <w:rPr>
                <w:sz w:val="20"/>
                <w:szCs w:val="20"/>
                <w:color w:val="auto"/>
              </w:rPr>
            </w:pPr>
            <w:r>
              <w:rPr>
                <w:rFonts w:ascii="Arial" w:cs="Arial" w:eastAsia="Arial" w:hAnsi="Arial"/>
                <w:sz w:val="14"/>
                <w:szCs w:val="14"/>
                <w:color w:val="333333"/>
                <w:w w:val="98"/>
              </w:rPr>
              <w:t>0%</w:t>
            </w:r>
          </w:p>
        </w:tc>
        <w:tc>
          <w:tcPr>
            <w:tcW w:w="500" w:type="dxa"/>
            <w:vAlign w:val="bottom"/>
            <w:tcBorders>
              <w:top w:val="single" w:sz="8" w:color="005C5D"/>
              <w:bottom w:val="single" w:sz="8" w:color="FCEFEB"/>
            </w:tcBorders>
            <w:shd w:val="clear" w:color="auto" w:fill="FCEFEB"/>
          </w:tcPr>
          <w:p>
            <w:pPr>
              <w:jc w:val="center"/>
              <w:spacing w:after="0"/>
              <w:rPr>
                <w:sz w:val="20"/>
                <w:szCs w:val="20"/>
                <w:color w:val="auto"/>
              </w:rPr>
            </w:pPr>
            <w:r>
              <w:rPr>
                <w:rFonts w:ascii="Arial" w:cs="Arial" w:eastAsia="Arial" w:hAnsi="Arial"/>
                <w:sz w:val="14"/>
                <w:szCs w:val="14"/>
                <w:color w:val="333333"/>
              </w:rPr>
              <w:t>100%</w:t>
            </w:r>
          </w:p>
        </w:tc>
      </w:tr>
      <w:tr>
        <w:trPr>
          <w:trHeight w:val="27"/>
        </w:trPr>
        <w:tc>
          <w:tcPr>
            <w:tcW w:w="1760" w:type="dxa"/>
            <w:vAlign w:val="bottom"/>
            <w:shd w:val="clear" w:color="auto" w:fill="005C5D"/>
          </w:tcPr>
          <w:p>
            <w:pPr>
              <w:spacing w:after="0"/>
              <w:rPr>
                <w:sz w:val="2"/>
                <w:szCs w:val="2"/>
                <w:color w:val="auto"/>
              </w:rPr>
            </w:pPr>
          </w:p>
        </w:tc>
        <w:tc>
          <w:tcPr>
            <w:tcW w:w="960" w:type="dxa"/>
            <w:vAlign w:val="bottom"/>
            <w:shd w:val="clear" w:color="auto" w:fill="005C5D"/>
          </w:tcPr>
          <w:p>
            <w:pPr>
              <w:spacing w:after="0"/>
              <w:rPr>
                <w:sz w:val="2"/>
                <w:szCs w:val="2"/>
                <w:color w:val="auto"/>
              </w:rPr>
            </w:pPr>
          </w:p>
        </w:tc>
        <w:tc>
          <w:tcPr>
            <w:tcW w:w="840" w:type="dxa"/>
            <w:vAlign w:val="bottom"/>
            <w:shd w:val="clear" w:color="auto" w:fill="005C5D"/>
          </w:tcPr>
          <w:p>
            <w:pPr>
              <w:spacing w:after="0"/>
              <w:rPr>
                <w:sz w:val="2"/>
                <w:szCs w:val="2"/>
                <w:color w:val="auto"/>
              </w:rPr>
            </w:pPr>
          </w:p>
        </w:tc>
        <w:tc>
          <w:tcPr>
            <w:tcW w:w="1180" w:type="dxa"/>
            <w:vAlign w:val="bottom"/>
            <w:shd w:val="clear" w:color="auto" w:fill="005C5D"/>
          </w:tcPr>
          <w:p>
            <w:pPr>
              <w:spacing w:after="0"/>
              <w:rPr>
                <w:sz w:val="2"/>
                <w:szCs w:val="2"/>
                <w:color w:val="auto"/>
              </w:rPr>
            </w:pPr>
          </w:p>
        </w:tc>
        <w:tc>
          <w:tcPr>
            <w:tcW w:w="500" w:type="dxa"/>
            <w:vAlign w:val="bottom"/>
            <w:shd w:val="clear" w:color="auto" w:fill="005C5D"/>
          </w:tcPr>
          <w:p>
            <w:pPr>
              <w:spacing w:after="0"/>
              <w:rPr>
                <w:sz w:val="2"/>
                <w:szCs w:val="2"/>
                <w:color w:val="auto"/>
              </w:rPr>
            </w:pPr>
          </w:p>
        </w:tc>
      </w:tr>
    </w:tbl>
    <w:p>
      <w:pPr>
        <w:spacing w:after="0" w:line="200"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b w:val="1"/>
          <w:bCs w:val="1"/>
          <w:color w:val="337C7D"/>
        </w:rPr>
        <w:t xml:space="preserve">Terms of the Fiscal 2026 Time-Based Restricted Stock Unit “RSU” Grant. </w:t>
      </w:r>
      <w:r>
        <w:rPr>
          <w:rFonts w:ascii="Arial" w:cs="Arial" w:eastAsia="Arial" w:hAnsi="Arial"/>
          <w:sz w:val="16"/>
          <w:szCs w:val="16"/>
          <w:color w:val="333333"/>
        </w:rPr>
        <w:t>The time-based RSUs vest and settle in our common shares, on a</w:t>
      </w:r>
      <w:r>
        <w:rPr>
          <w:rFonts w:ascii="Arial" w:cs="Arial" w:eastAsia="Arial" w:hAnsi="Arial"/>
          <w:sz w:val="16"/>
          <w:szCs w:val="16"/>
          <w:b w:val="1"/>
          <w:bCs w:val="1"/>
          <w:color w:val="337C7D"/>
        </w:rPr>
        <w:t xml:space="preserve"> </w:t>
      </w:r>
      <w:r>
        <w:rPr>
          <w:rFonts w:ascii="Arial" w:cs="Arial" w:eastAsia="Arial" w:hAnsi="Arial"/>
          <w:sz w:val="16"/>
          <w:szCs w:val="16"/>
          <w:color w:val="333333"/>
        </w:rPr>
        <w:t>one-for-one basis in three equal annual installments on the first, second, and third anniversaries of the date of grant. The applicable award agreement provides that the units vest immediately upon the NEO’s disability (as defined in the Incentive Plan) or death or, provided the NEO remains employed through the effective date, upon a change in control (which is more specifically defined in the award agreement). The units will also vest upon the NEO’s retirement (as defined in the Incentive Plan) on a prorated basis based on service through the retirement date.</w:t>
      </w:r>
    </w:p>
    <w:p>
      <w:pPr>
        <w:spacing w:after="0" w:line="118" w:lineRule="exact"/>
        <w:rPr>
          <w:sz w:val="20"/>
          <w:szCs w:val="20"/>
          <w:color w:val="auto"/>
        </w:rPr>
      </w:pPr>
    </w:p>
    <w:p>
      <w:pPr>
        <w:jc w:val="both"/>
        <w:ind w:left="160"/>
        <w:spacing w:after="0" w:line="256" w:lineRule="auto"/>
        <w:rPr>
          <w:sz w:val="20"/>
          <w:szCs w:val="20"/>
          <w:color w:val="auto"/>
        </w:rPr>
      </w:pPr>
      <w:r>
        <w:rPr>
          <w:rFonts w:ascii="Arial" w:cs="Arial" w:eastAsia="Arial" w:hAnsi="Arial"/>
          <w:sz w:val="16"/>
          <w:szCs w:val="16"/>
          <w:b w:val="1"/>
          <w:bCs w:val="1"/>
          <w:color w:val="337C7D"/>
        </w:rPr>
        <w:t xml:space="preserve">Terms of the Fiscal 2026 Performance-Based RSU Grant. </w:t>
      </w:r>
      <w:r>
        <w:rPr>
          <w:rFonts w:ascii="Arial" w:cs="Arial" w:eastAsia="Arial" w:hAnsi="Arial"/>
          <w:sz w:val="16"/>
          <w:szCs w:val="16"/>
          <w:color w:val="333333"/>
        </w:rPr>
        <w:t>The</w:t>
      </w:r>
      <w:r>
        <w:rPr>
          <w:rFonts w:ascii="Arial" w:cs="Arial" w:eastAsia="Arial" w:hAnsi="Arial"/>
          <w:sz w:val="16"/>
          <w:szCs w:val="16"/>
          <w:b w:val="1"/>
          <w:bCs w:val="1"/>
          <w:color w:val="337C7D"/>
        </w:rPr>
        <w:t xml:space="preserve"> </w:t>
      </w:r>
      <w:r>
        <w:rPr>
          <w:rFonts w:ascii="Arial" w:cs="Arial" w:eastAsia="Arial" w:hAnsi="Arial"/>
          <w:sz w:val="16"/>
          <w:szCs w:val="16"/>
          <w:color w:val="333333"/>
        </w:rPr>
        <w:t>performance-based RSU awards granted in fiscal 2026 are subject to a one-year performance period and cliff vest on the third anniversary of the grant date, subject to continued employment.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333333"/>
        </w:rPr>
        <w:t>The number of PRSUs ultimately earned, if any, will be determined based on the Company’s fiscal 2026 performance, with payout levels ranging from 25% of target for threshold performance up to 200% of target for maximum performance. Any earned RSUs will vest and be settled in shares of the Company’s common stock on a one-for-one basis following the end of the third anniversary of the grant date, subject to the executive’s continued employment through the vesting date.</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333333"/>
        </w:rPr>
        <w:t>For the fiscal 2026 awards, performance is measured based on adjusted EBITDA for the fiscal 2026 performance period. Threshold and maximum performance levels were established at 88% and 112%, respectively, of target adjusted EBITDA.</w:t>
      </w:r>
    </w:p>
    <w:p>
      <w:pPr>
        <w:spacing w:after="0" w:line="178" w:lineRule="exact"/>
        <w:rPr>
          <w:sz w:val="20"/>
          <w:szCs w:val="20"/>
          <w:color w:val="auto"/>
        </w:rPr>
      </w:pPr>
    </w:p>
    <w:p>
      <w:pPr>
        <w:jc w:val="center"/>
        <w:ind w:left="40"/>
        <w:spacing w:after="0" w:line="292" w:lineRule="auto"/>
        <w:rPr>
          <w:sz w:val="20"/>
          <w:szCs w:val="20"/>
          <w:color w:val="auto"/>
        </w:rPr>
      </w:pPr>
      <w:r>
        <w:rPr>
          <w:rFonts w:ascii="Arial" w:cs="Arial" w:eastAsia="Arial" w:hAnsi="Arial"/>
          <w:sz w:val="16"/>
          <w:szCs w:val="16"/>
          <w:b w:val="1"/>
          <w:bCs w:val="1"/>
          <w:color w:val="005C5D"/>
        </w:rPr>
        <w:t>FISCAL 2026 PERFORMANCE-BASED RSU GRANT – TRANCHE ONE PERFORMANCE MEASURES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880" w:type="dxa"/>
            <w:vAlign w:val="bottom"/>
          </w:tcPr>
          <w:p>
            <w:pPr>
              <w:spacing w:after="0"/>
              <w:rPr>
                <w:sz w:val="10"/>
                <w:szCs w:val="10"/>
                <w:color w:val="auto"/>
              </w:rPr>
            </w:pPr>
          </w:p>
        </w:tc>
        <w:tc>
          <w:tcPr>
            <w:tcW w:w="1600" w:type="dxa"/>
            <w:vAlign w:val="bottom"/>
            <w:shd w:val="clear" w:color="auto" w:fill="FCEFEB"/>
          </w:tcPr>
          <w:p>
            <w:pPr>
              <w:spacing w:after="0"/>
              <w:rPr>
                <w:sz w:val="10"/>
                <w:szCs w:val="10"/>
                <w:color w:val="auto"/>
              </w:rPr>
            </w:pPr>
          </w:p>
        </w:tc>
        <w:tc>
          <w:tcPr>
            <w:tcW w:w="1860" w:type="dxa"/>
            <w:vAlign w:val="bottom"/>
            <w:shd w:val="clear" w:color="auto" w:fill="FCEFEB"/>
          </w:tcPr>
          <w:p>
            <w:pPr>
              <w:spacing w:after="0"/>
              <w:rPr>
                <w:sz w:val="10"/>
                <w:szCs w:val="10"/>
                <w:color w:val="auto"/>
              </w:rPr>
            </w:pPr>
          </w:p>
        </w:tc>
      </w:tr>
      <w:tr>
        <w:trPr>
          <w:trHeight w:val="218"/>
        </w:trPr>
        <w:tc>
          <w:tcPr>
            <w:tcW w:w="1880" w:type="dxa"/>
            <w:vAlign w:val="bottom"/>
            <w:shd w:val="clear" w:color="auto" w:fill="005C5D"/>
          </w:tcPr>
          <w:p>
            <w:pPr>
              <w:spacing w:after="0"/>
              <w:rPr>
                <w:sz w:val="18"/>
                <w:szCs w:val="18"/>
                <w:color w:val="auto"/>
              </w:rPr>
            </w:pPr>
          </w:p>
        </w:tc>
        <w:tc>
          <w:tcPr>
            <w:tcW w:w="1600" w:type="dxa"/>
            <w:vAlign w:val="bottom"/>
            <w:shd w:val="clear" w:color="auto" w:fill="005C5D"/>
          </w:tcPr>
          <w:p>
            <w:pPr>
              <w:spacing w:after="0"/>
              <w:rPr>
                <w:sz w:val="18"/>
                <w:szCs w:val="18"/>
                <w:color w:val="auto"/>
              </w:rPr>
            </w:pPr>
          </w:p>
        </w:tc>
        <w:tc>
          <w:tcPr>
            <w:tcW w:w="1860" w:type="dxa"/>
            <w:vAlign w:val="bottom"/>
            <w:shd w:val="clear" w:color="auto" w:fill="005C5D"/>
          </w:tcPr>
          <w:p>
            <w:pPr>
              <w:jc w:val="center"/>
              <w:ind w:left="129"/>
              <w:spacing w:after="0"/>
              <w:rPr>
                <w:sz w:val="20"/>
                <w:szCs w:val="20"/>
                <w:color w:val="auto"/>
              </w:rPr>
            </w:pPr>
            <w:r>
              <w:rPr>
                <w:rFonts w:ascii="Arial" w:cs="Arial" w:eastAsia="Arial" w:hAnsi="Arial"/>
                <w:sz w:val="14"/>
                <w:szCs w:val="14"/>
                <w:color w:val="FFFFFF"/>
              </w:rPr>
              <w:t>SHARES VESTING</w:t>
            </w:r>
          </w:p>
        </w:tc>
      </w:tr>
      <w:tr>
        <w:trPr>
          <w:trHeight w:val="160"/>
        </w:trPr>
        <w:tc>
          <w:tcPr>
            <w:tcW w:w="1880" w:type="dxa"/>
            <w:vAlign w:val="bottom"/>
            <w:shd w:val="clear" w:color="auto" w:fill="005C5D"/>
          </w:tcPr>
          <w:p>
            <w:pPr>
              <w:spacing w:after="0"/>
              <w:rPr>
                <w:sz w:val="13"/>
                <w:szCs w:val="13"/>
                <w:color w:val="auto"/>
              </w:rPr>
            </w:pPr>
          </w:p>
        </w:tc>
        <w:tc>
          <w:tcPr>
            <w:tcW w:w="1600" w:type="dxa"/>
            <w:vAlign w:val="bottom"/>
            <w:shd w:val="clear" w:color="auto" w:fill="005C5D"/>
          </w:tcPr>
          <w:p>
            <w:pPr>
              <w:jc w:val="center"/>
              <w:spacing w:after="0"/>
              <w:rPr>
                <w:sz w:val="20"/>
                <w:szCs w:val="20"/>
                <w:color w:val="auto"/>
              </w:rPr>
            </w:pPr>
            <w:r>
              <w:rPr>
                <w:rFonts w:ascii="Arial" w:cs="Arial" w:eastAsia="Arial" w:hAnsi="Arial"/>
                <w:sz w:val="14"/>
                <w:szCs w:val="14"/>
                <w:color w:val="FFFFFF"/>
              </w:rPr>
              <w:t>ADJUSTED EBITDA</w:t>
            </w:r>
          </w:p>
        </w:tc>
        <w:tc>
          <w:tcPr>
            <w:tcW w:w="1860" w:type="dxa"/>
            <w:vAlign w:val="bottom"/>
            <w:shd w:val="clear" w:color="auto" w:fill="005C5D"/>
          </w:tcPr>
          <w:p>
            <w:pPr>
              <w:jc w:val="center"/>
              <w:ind w:left="129"/>
              <w:spacing w:after="0"/>
              <w:rPr>
                <w:sz w:val="20"/>
                <w:szCs w:val="20"/>
                <w:color w:val="auto"/>
              </w:rPr>
            </w:pPr>
            <w:r>
              <w:rPr>
                <w:rFonts w:ascii="Arial" w:cs="Arial" w:eastAsia="Arial" w:hAnsi="Arial"/>
                <w:sz w:val="14"/>
                <w:szCs w:val="14"/>
                <w:color w:val="FFFFFF"/>
              </w:rPr>
              <w:t>AS A</w:t>
            </w:r>
          </w:p>
        </w:tc>
      </w:tr>
      <w:tr>
        <w:trPr>
          <w:trHeight w:val="160"/>
        </w:trPr>
        <w:tc>
          <w:tcPr>
            <w:tcW w:w="1880" w:type="dxa"/>
            <w:vAlign w:val="bottom"/>
            <w:shd w:val="clear" w:color="auto" w:fill="005C5D"/>
          </w:tcPr>
          <w:p>
            <w:pPr>
              <w:spacing w:after="0"/>
              <w:rPr>
                <w:sz w:val="20"/>
                <w:szCs w:val="20"/>
                <w:color w:val="auto"/>
              </w:rPr>
            </w:pPr>
            <w:r>
              <w:rPr>
                <w:rFonts w:ascii="Arial" w:cs="Arial" w:eastAsia="Arial" w:hAnsi="Arial"/>
                <w:sz w:val="14"/>
                <w:szCs w:val="14"/>
                <w:color w:val="FFFFFF"/>
              </w:rPr>
              <w:t>PERFORMANCE</w:t>
            </w:r>
          </w:p>
        </w:tc>
        <w:tc>
          <w:tcPr>
            <w:tcW w:w="1600" w:type="dxa"/>
            <w:vAlign w:val="bottom"/>
            <w:shd w:val="clear" w:color="auto" w:fill="005C5D"/>
          </w:tcPr>
          <w:p>
            <w:pPr>
              <w:jc w:val="center"/>
              <w:spacing w:after="0"/>
              <w:rPr>
                <w:sz w:val="20"/>
                <w:szCs w:val="20"/>
                <w:color w:val="auto"/>
              </w:rPr>
            </w:pPr>
            <w:r>
              <w:rPr>
                <w:rFonts w:ascii="Arial" w:cs="Arial" w:eastAsia="Arial" w:hAnsi="Arial"/>
                <w:sz w:val="14"/>
                <w:szCs w:val="14"/>
                <w:color w:val="FFFFFF"/>
                <w:w w:val="99"/>
              </w:rPr>
              <w:t>GOAL FOR</w:t>
            </w:r>
          </w:p>
        </w:tc>
        <w:tc>
          <w:tcPr>
            <w:tcW w:w="1860" w:type="dxa"/>
            <w:vAlign w:val="bottom"/>
            <w:shd w:val="clear" w:color="auto" w:fill="005C5D"/>
          </w:tcPr>
          <w:p>
            <w:pPr>
              <w:jc w:val="center"/>
              <w:ind w:left="129"/>
              <w:spacing w:after="0"/>
              <w:rPr>
                <w:sz w:val="20"/>
                <w:szCs w:val="20"/>
                <w:color w:val="auto"/>
              </w:rPr>
            </w:pPr>
            <w:r>
              <w:rPr>
                <w:rFonts w:ascii="Arial" w:cs="Arial" w:eastAsia="Arial" w:hAnsi="Arial"/>
                <w:sz w:val="14"/>
                <w:szCs w:val="14"/>
                <w:color w:val="FFFFFF"/>
              </w:rPr>
              <w:t>PERCENTAGE OF</w:t>
            </w:r>
          </w:p>
        </w:tc>
      </w:tr>
      <w:tr>
        <w:trPr>
          <w:trHeight w:val="189"/>
        </w:trPr>
        <w:tc>
          <w:tcPr>
            <w:tcW w:w="1880" w:type="dxa"/>
            <w:vAlign w:val="bottom"/>
            <w:shd w:val="clear" w:color="auto" w:fill="005C5D"/>
          </w:tcPr>
          <w:p>
            <w:pPr>
              <w:spacing w:after="0"/>
              <w:rPr>
                <w:sz w:val="20"/>
                <w:szCs w:val="20"/>
                <w:color w:val="auto"/>
              </w:rPr>
            </w:pPr>
            <w:r>
              <w:rPr>
                <w:rFonts w:ascii="Arial" w:cs="Arial" w:eastAsia="Arial" w:hAnsi="Arial"/>
                <w:sz w:val="14"/>
                <w:szCs w:val="14"/>
                <w:color w:val="FFFFFF"/>
              </w:rPr>
              <w:t>LEVEL</w:t>
            </w:r>
          </w:p>
        </w:tc>
        <w:tc>
          <w:tcPr>
            <w:tcW w:w="1600" w:type="dxa"/>
            <w:vAlign w:val="bottom"/>
            <w:shd w:val="clear" w:color="auto" w:fill="005C5D"/>
          </w:tcPr>
          <w:p>
            <w:pPr>
              <w:jc w:val="center"/>
              <w:spacing w:after="0"/>
              <w:rPr>
                <w:sz w:val="20"/>
                <w:szCs w:val="20"/>
                <w:color w:val="auto"/>
              </w:rPr>
            </w:pPr>
            <w:r>
              <w:rPr>
                <w:rFonts w:ascii="Arial" w:cs="Arial" w:eastAsia="Arial" w:hAnsi="Arial"/>
                <w:sz w:val="14"/>
                <w:szCs w:val="14"/>
                <w:color w:val="FFFFFF"/>
                <w:w w:val="99"/>
              </w:rPr>
              <w:t>FISCAL 2026</w:t>
            </w:r>
          </w:p>
        </w:tc>
        <w:tc>
          <w:tcPr>
            <w:tcW w:w="1860" w:type="dxa"/>
            <w:vAlign w:val="bottom"/>
            <w:shd w:val="clear" w:color="auto" w:fill="005C5D"/>
          </w:tcPr>
          <w:p>
            <w:pPr>
              <w:jc w:val="center"/>
              <w:ind w:left="129"/>
              <w:spacing w:after="0"/>
              <w:rPr>
                <w:sz w:val="20"/>
                <w:szCs w:val="20"/>
                <w:color w:val="auto"/>
              </w:rPr>
            </w:pPr>
            <w:r>
              <w:rPr>
                <w:rFonts w:ascii="Arial" w:cs="Arial" w:eastAsia="Arial" w:hAnsi="Arial"/>
                <w:sz w:val="14"/>
                <w:szCs w:val="14"/>
                <w:color w:val="FFFFFF"/>
              </w:rPr>
              <w:t>TARGET GRANT</w:t>
            </w:r>
          </w:p>
        </w:tc>
      </w:tr>
      <w:tr>
        <w:trPr>
          <w:trHeight w:val="61"/>
        </w:trPr>
        <w:tc>
          <w:tcPr>
            <w:tcW w:w="1880" w:type="dxa"/>
            <w:vAlign w:val="bottom"/>
            <w:shd w:val="clear" w:color="auto" w:fill="005C5D"/>
          </w:tcPr>
          <w:p>
            <w:pPr>
              <w:spacing w:after="0"/>
              <w:rPr>
                <w:sz w:val="5"/>
                <w:szCs w:val="5"/>
                <w:color w:val="auto"/>
              </w:rPr>
            </w:pPr>
          </w:p>
        </w:tc>
        <w:tc>
          <w:tcPr>
            <w:tcW w:w="1600" w:type="dxa"/>
            <w:vAlign w:val="bottom"/>
            <w:shd w:val="clear" w:color="auto" w:fill="005C5D"/>
          </w:tcPr>
          <w:p>
            <w:pPr>
              <w:spacing w:after="0"/>
              <w:rPr>
                <w:sz w:val="5"/>
                <w:szCs w:val="5"/>
                <w:color w:val="auto"/>
              </w:rPr>
            </w:pPr>
          </w:p>
        </w:tc>
        <w:tc>
          <w:tcPr>
            <w:tcW w:w="1860" w:type="dxa"/>
            <w:vAlign w:val="bottom"/>
            <w:shd w:val="clear" w:color="auto" w:fill="005C5D"/>
          </w:tcPr>
          <w:p>
            <w:pPr>
              <w:spacing w:after="0"/>
              <w:rPr>
                <w:sz w:val="5"/>
                <w:szCs w:val="5"/>
                <w:color w:val="auto"/>
              </w:rPr>
            </w:pPr>
          </w:p>
        </w:tc>
      </w:tr>
      <w:tr>
        <w:trPr>
          <w:trHeight w:val="294"/>
        </w:trPr>
        <w:tc>
          <w:tcPr>
            <w:tcW w:w="1880" w:type="dxa"/>
            <w:vAlign w:val="bottom"/>
          </w:tcPr>
          <w:p>
            <w:pPr>
              <w:ind w:left="60"/>
              <w:spacing w:after="0"/>
              <w:rPr>
                <w:sz w:val="20"/>
                <w:szCs w:val="20"/>
                <w:color w:val="auto"/>
              </w:rPr>
            </w:pPr>
            <w:r>
              <w:rPr>
                <w:rFonts w:ascii="Arial" w:cs="Arial" w:eastAsia="Arial" w:hAnsi="Arial"/>
                <w:sz w:val="14"/>
                <w:szCs w:val="14"/>
                <w:color w:val="333333"/>
              </w:rPr>
              <w:t>Threshold</w:t>
            </w:r>
          </w:p>
        </w:tc>
        <w:tc>
          <w:tcPr>
            <w:tcW w:w="1600" w:type="dxa"/>
            <w:vAlign w:val="bottom"/>
            <w:tcBorders>
              <w:bottom w:val="single" w:sz="8" w:color="FCEFEB"/>
            </w:tcBorders>
            <w:shd w:val="clear" w:color="auto" w:fill="FCEFEB"/>
          </w:tcPr>
          <w:p>
            <w:pPr>
              <w:jc w:val="center"/>
              <w:spacing w:after="0"/>
              <w:rPr>
                <w:sz w:val="20"/>
                <w:szCs w:val="20"/>
                <w:color w:val="auto"/>
              </w:rPr>
            </w:pPr>
            <w:r>
              <w:rPr>
                <w:rFonts w:ascii="Arial" w:cs="Arial" w:eastAsia="Arial" w:hAnsi="Arial"/>
                <w:sz w:val="14"/>
                <w:szCs w:val="14"/>
                <w:color w:val="333333"/>
              </w:rPr>
              <w:t>$7.6 million</w:t>
            </w:r>
          </w:p>
        </w:tc>
        <w:tc>
          <w:tcPr>
            <w:tcW w:w="1860" w:type="dxa"/>
            <w:vAlign w:val="bottom"/>
            <w:tcBorders>
              <w:bottom w:val="single" w:sz="8" w:color="FCEFEB"/>
            </w:tcBorders>
            <w:shd w:val="clear" w:color="auto" w:fill="FCEFEB"/>
          </w:tcPr>
          <w:p>
            <w:pPr>
              <w:jc w:val="right"/>
              <w:spacing w:after="0"/>
              <w:rPr>
                <w:sz w:val="20"/>
                <w:szCs w:val="20"/>
                <w:color w:val="auto"/>
              </w:rPr>
            </w:pPr>
            <w:r>
              <w:rPr>
                <w:rFonts w:ascii="Arial" w:cs="Arial" w:eastAsia="Arial" w:hAnsi="Arial"/>
                <w:sz w:val="14"/>
                <w:szCs w:val="14"/>
                <w:color w:val="333333"/>
              </w:rPr>
              <w:t xml:space="preserve">25%   </w:t>
            </w:r>
          </w:p>
        </w:tc>
      </w:tr>
      <w:tr>
        <w:trPr>
          <w:trHeight w:val="274"/>
        </w:trPr>
        <w:tc>
          <w:tcPr>
            <w:tcW w:w="1880" w:type="dxa"/>
            <w:vAlign w:val="bottom"/>
            <w:tcBorders>
              <w:top w:val="single" w:sz="8" w:color="005C5D"/>
            </w:tcBorders>
          </w:tcPr>
          <w:p>
            <w:pPr>
              <w:ind w:left="60"/>
              <w:spacing w:after="0"/>
              <w:rPr>
                <w:sz w:val="20"/>
                <w:szCs w:val="20"/>
                <w:color w:val="auto"/>
              </w:rPr>
            </w:pPr>
            <w:r>
              <w:rPr>
                <w:rFonts w:ascii="Arial" w:cs="Arial" w:eastAsia="Arial" w:hAnsi="Arial"/>
                <w:sz w:val="14"/>
                <w:szCs w:val="14"/>
                <w:color w:val="333333"/>
              </w:rPr>
              <w:t>Target</w:t>
            </w:r>
          </w:p>
        </w:tc>
        <w:tc>
          <w:tcPr>
            <w:tcW w:w="1600" w:type="dxa"/>
            <w:vAlign w:val="bottom"/>
            <w:tcBorders>
              <w:top w:val="single" w:sz="8" w:color="005C5D"/>
              <w:bottom w:val="single" w:sz="8" w:color="FCEFEB"/>
            </w:tcBorders>
            <w:shd w:val="clear" w:color="auto" w:fill="FCEFEB"/>
          </w:tcPr>
          <w:p>
            <w:pPr>
              <w:jc w:val="center"/>
              <w:spacing w:after="0"/>
              <w:rPr>
                <w:sz w:val="20"/>
                <w:szCs w:val="20"/>
                <w:color w:val="auto"/>
              </w:rPr>
            </w:pPr>
            <w:r>
              <w:rPr>
                <w:rFonts w:ascii="Arial" w:cs="Arial" w:eastAsia="Arial" w:hAnsi="Arial"/>
                <w:sz w:val="14"/>
                <w:szCs w:val="14"/>
                <w:color w:val="333333"/>
              </w:rPr>
              <w:t>$8.6 million</w:t>
            </w:r>
          </w:p>
        </w:tc>
        <w:tc>
          <w:tcPr>
            <w:tcW w:w="1860" w:type="dxa"/>
            <w:vAlign w:val="bottom"/>
            <w:tcBorders>
              <w:top w:val="single" w:sz="8" w:color="005C5D"/>
              <w:bottom w:val="single" w:sz="8" w:color="FCEFEB"/>
            </w:tcBorders>
            <w:shd w:val="clear" w:color="auto" w:fill="FCEFEB"/>
          </w:tcPr>
          <w:p>
            <w:pPr>
              <w:jc w:val="right"/>
              <w:spacing w:after="0"/>
              <w:rPr>
                <w:sz w:val="20"/>
                <w:szCs w:val="20"/>
                <w:color w:val="auto"/>
              </w:rPr>
            </w:pPr>
            <w:r>
              <w:rPr>
                <w:rFonts w:ascii="Arial" w:cs="Arial" w:eastAsia="Arial" w:hAnsi="Arial"/>
                <w:sz w:val="14"/>
                <w:szCs w:val="14"/>
                <w:color w:val="333333"/>
              </w:rPr>
              <w:t xml:space="preserve">100%   </w:t>
            </w:r>
          </w:p>
        </w:tc>
      </w:tr>
      <w:tr>
        <w:trPr>
          <w:trHeight w:val="254"/>
        </w:trPr>
        <w:tc>
          <w:tcPr>
            <w:tcW w:w="1880" w:type="dxa"/>
            <w:vAlign w:val="bottom"/>
            <w:tcBorders>
              <w:top w:val="single" w:sz="8" w:color="005C5D"/>
            </w:tcBorders>
          </w:tcPr>
          <w:p>
            <w:pPr>
              <w:ind w:left="60"/>
              <w:spacing w:after="0"/>
              <w:rPr>
                <w:sz w:val="20"/>
                <w:szCs w:val="20"/>
                <w:color w:val="auto"/>
              </w:rPr>
            </w:pPr>
            <w:r>
              <w:rPr>
                <w:rFonts w:ascii="Arial" w:cs="Arial" w:eastAsia="Arial" w:hAnsi="Arial"/>
                <w:sz w:val="14"/>
                <w:szCs w:val="14"/>
                <w:color w:val="333333"/>
              </w:rPr>
              <w:t>Maximum</w:t>
            </w:r>
          </w:p>
        </w:tc>
        <w:tc>
          <w:tcPr>
            <w:tcW w:w="1600" w:type="dxa"/>
            <w:vAlign w:val="bottom"/>
            <w:tcBorders>
              <w:top w:val="single" w:sz="8" w:color="005C5D"/>
              <w:bottom w:val="single" w:sz="8" w:color="FCEFEB"/>
            </w:tcBorders>
            <w:shd w:val="clear" w:color="auto" w:fill="FCEFEB"/>
          </w:tcPr>
          <w:p>
            <w:pPr>
              <w:jc w:val="center"/>
              <w:spacing w:after="0"/>
              <w:rPr>
                <w:sz w:val="20"/>
                <w:szCs w:val="20"/>
                <w:color w:val="auto"/>
              </w:rPr>
            </w:pPr>
            <w:r>
              <w:rPr>
                <w:rFonts w:ascii="Arial" w:cs="Arial" w:eastAsia="Arial" w:hAnsi="Arial"/>
                <w:sz w:val="14"/>
                <w:szCs w:val="14"/>
                <w:color w:val="333333"/>
              </w:rPr>
              <w:t>$9.7 million</w:t>
            </w:r>
          </w:p>
        </w:tc>
        <w:tc>
          <w:tcPr>
            <w:tcW w:w="1860" w:type="dxa"/>
            <w:vAlign w:val="bottom"/>
            <w:tcBorders>
              <w:top w:val="single" w:sz="8" w:color="005C5D"/>
              <w:bottom w:val="single" w:sz="8" w:color="FCEFEB"/>
            </w:tcBorders>
            <w:shd w:val="clear" w:color="auto" w:fill="FCEFEB"/>
          </w:tcPr>
          <w:p>
            <w:pPr>
              <w:jc w:val="right"/>
              <w:spacing w:after="0"/>
              <w:rPr>
                <w:sz w:val="20"/>
                <w:szCs w:val="20"/>
                <w:color w:val="auto"/>
              </w:rPr>
            </w:pPr>
            <w:r>
              <w:rPr>
                <w:rFonts w:ascii="Arial" w:cs="Arial" w:eastAsia="Arial" w:hAnsi="Arial"/>
                <w:sz w:val="14"/>
                <w:szCs w:val="14"/>
                <w:color w:val="333333"/>
              </w:rPr>
              <w:t xml:space="preserve">200%   </w:t>
            </w:r>
          </w:p>
        </w:tc>
      </w:tr>
      <w:tr>
        <w:trPr>
          <w:trHeight w:val="27"/>
        </w:trPr>
        <w:tc>
          <w:tcPr>
            <w:tcW w:w="1880" w:type="dxa"/>
            <w:vAlign w:val="bottom"/>
            <w:shd w:val="clear" w:color="auto" w:fill="005C5D"/>
          </w:tcPr>
          <w:p>
            <w:pPr>
              <w:spacing w:after="0"/>
              <w:rPr>
                <w:sz w:val="2"/>
                <w:szCs w:val="2"/>
                <w:color w:val="auto"/>
              </w:rPr>
            </w:pPr>
          </w:p>
        </w:tc>
        <w:tc>
          <w:tcPr>
            <w:tcW w:w="1600" w:type="dxa"/>
            <w:vAlign w:val="bottom"/>
            <w:shd w:val="clear" w:color="auto" w:fill="005C5D"/>
          </w:tcPr>
          <w:p>
            <w:pPr>
              <w:spacing w:after="0"/>
              <w:rPr>
                <w:sz w:val="2"/>
                <w:szCs w:val="2"/>
                <w:color w:val="auto"/>
              </w:rPr>
            </w:pPr>
          </w:p>
        </w:tc>
        <w:tc>
          <w:tcPr>
            <w:tcW w:w="1860" w:type="dxa"/>
            <w:vAlign w:val="bottom"/>
            <w:shd w:val="clear" w:color="auto" w:fill="005C5D"/>
          </w:tcPr>
          <w:p>
            <w:pPr>
              <w:spacing w:after="0"/>
              <w:rPr>
                <w:sz w:val="2"/>
                <w:szCs w:val="2"/>
                <w:color w:val="auto"/>
              </w:rPr>
            </w:pPr>
          </w:p>
        </w:tc>
      </w:tr>
    </w:tbl>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337C7D"/>
        </w:rPr>
        <w:t xml:space="preserve">Results of Fiscal 2024 through Fiscal 2026 Performance-Based RSU Cycle. </w:t>
      </w:r>
      <w:r>
        <w:rPr>
          <w:rFonts w:ascii="Arial" w:cs="Arial" w:eastAsia="Arial" w:hAnsi="Arial"/>
          <w:sz w:val="16"/>
          <w:szCs w:val="16"/>
          <w:color w:val="333333"/>
        </w:rPr>
        <w:t>The Company’s Long-Term Incentive Plan Performance-based</w:t>
      </w:r>
      <w:r>
        <w:rPr>
          <w:rFonts w:ascii="Arial" w:cs="Arial" w:eastAsia="Arial" w:hAnsi="Arial"/>
          <w:sz w:val="16"/>
          <w:szCs w:val="16"/>
          <w:b w:val="1"/>
          <w:bCs w:val="1"/>
          <w:color w:val="337C7D"/>
        </w:rPr>
        <w:t xml:space="preserve"> </w:t>
      </w:r>
      <w:r>
        <w:rPr>
          <w:rFonts w:ascii="Arial" w:cs="Arial" w:eastAsia="Arial" w:hAnsi="Arial"/>
          <w:sz w:val="16"/>
          <w:szCs w:val="16"/>
          <w:color w:val="333333"/>
        </w:rPr>
        <w:t>restricted stock units are earned over a three year period and therefore the discussion below includes discussion over the last three fiscal years. Performance-based restricted stock units granted on November 1, 2022 and March 31, 2023 were subject to a three-year performance period established by the Committee that ended on January 31, 2026, which represents performance periods covered by fiscal 2024, fiscal 2025, and fiscal 2026. The following table shows the target number of restricted stock units granted to each NEO for this period.</w:t>
      </w:r>
    </w:p>
    <w:p>
      <w:pPr>
        <w:spacing w:after="0" w:line="4058"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50" w:lineRule="exact"/>
        <w:rPr>
          <w:sz w:val="20"/>
          <w:szCs w:val="20"/>
          <w:color w:val="auto"/>
        </w:rPr>
      </w:pPr>
    </w:p>
    <w:p>
      <w:pPr>
        <w:ind w:left="160"/>
        <w:spacing w:after="0"/>
        <w:tabs>
          <w:tab w:leader="none" w:pos="4920" w:val="left"/>
        </w:tabs>
        <w:rPr>
          <w:sz w:val="20"/>
          <w:szCs w:val="20"/>
          <w:color w:val="auto"/>
        </w:rPr>
      </w:pPr>
      <w:r>
        <w:rPr>
          <w:rFonts w:ascii="Arial" w:cs="Arial" w:eastAsia="Arial" w:hAnsi="Arial"/>
          <w:sz w:val="14"/>
          <w:szCs w:val="14"/>
          <w:color w:val="005C5D"/>
        </w:rPr>
        <w:t xml:space="preserve">28 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1080"/>
          </w:cols>
          <w:pgMar w:left="320" w:top="478" w:right="4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005C5D"/>
        </w:rPr>
        <w:t>FISCAL 2024 PERFORMANCE-BASED RSU GRANTS</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120"/>
        </w:trPr>
        <w:tc>
          <w:tcPr>
            <w:tcW w:w="2740" w:type="dxa"/>
            <w:vAlign w:val="bottom"/>
          </w:tcPr>
          <w:p>
            <w:pPr>
              <w:spacing w:after="0"/>
              <w:rPr>
                <w:sz w:val="10"/>
                <w:szCs w:val="10"/>
                <w:color w:val="auto"/>
              </w:rPr>
            </w:pPr>
          </w:p>
        </w:tc>
        <w:tc>
          <w:tcPr>
            <w:tcW w:w="2500" w:type="dxa"/>
            <w:vAlign w:val="bottom"/>
            <w:shd w:val="clear" w:color="auto" w:fill="FCEFEB"/>
          </w:tcPr>
          <w:p>
            <w:pPr>
              <w:spacing w:after="0"/>
              <w:rPr>
                <w:sz w:val="10"/>
                <w:szCs w:val="10"/>
                <w:color w:val="auto"/>
              </w:rPr>
            </w:pPr>
          </w:p>
        </w:tc>
      </w:tr>
      <w:tr>
        <w:trPr>
          <w:trHeight w:val="218"/>
        </w:trPr>
        <w:tc>
          <w:tcPr>
            <w:tcW w:w="2740" w:type="dxa"/>
            <w:vAlign w:val="bottom"/>
            <w:shd w:val="clear" w:color="auto" w:fill="005C5D"/>
          </w:tcPr>
          <w:p>
            <w:pPr>
              <w:spacing w:after="0"/>
              <w:rPr>
                <w:sz w:val="18"/>
                <w:szCs w:val="18"/>
                <w:color w:val="auto"/>
              </w:rPr>
            </w:pPr>
          </w:p>
        </w:tc>
        <w:tc>
          <w:tcPr>
            <w:tcW w:w="2500" w:type="dxa"/>
            <w:vAlign w:val="bottom"/>
            <w:shd w:val="clear" w:color="auto" w:fill="005C5D"/>
          </w:tcPr>
          <w:p>
            <w:pPr>
              <w:ind w:left="680"/>
              <w:spacing w:after="0"/>
              <w:rPr>
                <w:sz w:val="20"/>
                <w:szCs w:val="20"/>
                <w:color w:val="auto"/>
              </w:rPr>
            </w:pPr>
            <w:r>
              <w:rPr>
                <w:rFonts w:ascii="Arial" w:cs="Arial" w:eastAsia="Arial" w:hAnsi="Arial"/>
                <w:sz w:val="14"/>
                <w:szCs w:val="14"/>
                <w:color w:val="FFFFFF"/>
              </w:rPr>
              <w:t>TARGET GRANT</w:t>
            </w:r>
          </w:p>
        </w:tc>
      </w:tr>
      <w:tr>
        <w:trPr>
          <w:trHeight w:val="217"/>
        </w:trPr>
        <w:tc>
          <w:tcPr>
            <w:tcW w:w="2740" w:type="dxa"/>
            <w:vAlign w:val="bottom"/>
            <w:tcBorders>
              <w:bottom w:val="single" w:sz="8" w:color="005C5D"/>
            </w:tcBorders>
            <w:shd w:val="clear" w:color="auto" w:fill="005C5D"/>
          </w:tcPr>
          <w:p>
            <w:pPr>
              <w:spacing w:after="0"/>
              <w:rPr>
                <w:sz w:val="18"/>
                <w:szCs w:val="18"/>
                <w:color w:val="auto"/>
              </w:rPr>
            </w:pPr>
          </w:p>
        </w:tc>
        <w:tc>
          <w:tcPr>
            <w:tcW w:w="2500" w:type="dxa"/>
            <w:vAlign w:val="bottom"/>
            <w:tcBorders>
              <w:bottom w:val="single" w:sz="8" w:color="005C5D"/>
            </w:tcBorders>
            <w:shd w:val="clear" w:color="auto" w:fill="005C5D"/>
          </w:tcPr>
          <w:p>
            <w:pPr>
              <w:jc w:val="right"/>
              <w:ind w:right="509"/>
              <w:spacing w:after="0"/>
              <w:rPr>
                <w:sz w:val="20"/>
                <w:szCs w:val="20"/>
                <w:color w:val="auto"/>
              </w:rPr>
            </w:pPr>
            <w:r>
              <w:rPr>
                <w:rFonts w:ascii="Arial" w:cs="Arial" w:eastAsia="Arial" w:hAnsi="Arial"/>
                <w:sz w:val="14"/>
                <w:szCs w:val="14"/>
                <w:color w:val="FFFFFF"/>
              </w:rPr>
              <w:t>(NUMBER OF RSUs)</w:t>
            </w:r>
          </w:p>
        </w:tc>
      </w:tr>
      <w:tr>
        <w:trPr>
          <w:trHeight w:val="294"/>
        </w:trPr>
        <w:tc>
          <w:tcPr>
            <w:tcW w:w="2740" w:type="dxa"/>
            <w:vAlign w:val="bottom"/>
          </w:tcPr>
          <w:p>
            <w:pPr>
              <w:ind w:left="80"/>
              <w:spacing w:after="0"/>
              <w:rPr>
                <w:sz w:val="20"/>
                <w:szCs w:val="20"/>
                <w:color w:val="auto"/>
              </w:rPr>
            </w:pPr>
            <w:r>
              <w:rPr>
                <w:rFonts w:ascii="Arial" w:cs="Arial" w:eastAsia="Arial" w:hAnsi="Arial"/>
                <w:sz w:val="14"/>
                <w:szCs w:val="14"/>
                <w:color w:val="333333"/>
              </w:rPr>
              <w:t>Ian Bickley</w:t>
            </w:r>
          </w:p>
        </w:tc>
        <w:tc>
          <w:tcPr>
            <w:tcW w:w="2500" w:type="dxa"/>
            <w:vAlign w:val="bottom"/>
            <w:tcBorders>
              <w:bottom w:val="single" w:sz="8" w:color="FCEFEB"/>
            </w:tcBorders>
            <w:shd w:val="clear" w:color="auto" w:fill="FCEFEB"/>
          </w:tcPr>
          <w:p>
            <w:pPr>
              <w:ind w:left="1700"/>
              <w:spacing w:after="0"/>
              <w:rPr>
                <w:sz w:val="20"/>
                <w:szCs w:val="20"/>
                <w:color w:val="auto"/>
              </w:rPr>
            </w:pPr>
            <w:r>
              <w:rPr>
                <w:rFonts w:ascii="Arial" w:cs="Arial" w:eastAsia="Arial" w:hAnsi="Arial"/>
                <w:sz w:val="14"/>
                <w:szCs w:val="14"/>
                <w:color w:val="333333"/>
              </w:rPr>
              <w:t>— </w:t>
            </w:r>
          </w:p>
        </w:tc>
      </w:tr>
      <w:tr>
        <w:trPr>
          <w:trHeight w:val="274"/>
        </w:trPr>
        <w:tc>
          <w:tcPr>
            <w:tcW w:w="274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Jacqueline Ardrey</w:t>
            </w:r>
          </w:p>
        </w:tc>
        <w:tc>
          <w:tcPr>
            <w:tcW w:w="2500" w:type="dxa"/>
            <w:vAlign w:val="bottom"/>
            <w:tcBorders>
              <w:top w:val="single" w:sz="8" w:color="005C5D"/>
              <w:bottom w:val="single" w:sz="8" w:color="FCEFEB"/>
            </w:tcBorders>
            <w:shd w:val="clear" w:color="auto" w:fill="FCEFEB"/>
          </w:tcPr>
          <w:p>
            <w:pPr>
              <w:jc w:val="right"/>
              <w:ind w:right="509"/>
              <w:spacing w:after="0"/>
              <w:rPr>
                <w:sz w:val="20"/>
                <w:szCs w:val="20"/>
                <w:color w:val="auto"/>
              </w:rPr>
            </w:pPr>
            <w:r>
              <w:rPr>
                <w:rFonts w:ascii="Arial" w:cs="Arial" w:eastAsia="Arial" w:hAnsi="Arial"/>
                <w:sz w:val="14"/>
                <w:szCs w:val="14"/>
                <w:color w:val="333333"/>
              </w:rPr>
              <w:t>76,220</w:t>
            </w:r>
          </w:p>
        </w:tc>
      </w:tr>
      <w:tr>
        <w:trPr>
          <w:trHeight w:val="274"/>
        </w:trPr>
        <w:tc>
          <w:tcPr>
            <w:tcW w:w="274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Martin Layding</w:t>
            </w:r>
          </w:p>
        </w:tc>
        <w:tc>
          <w:tcPr>
            <w:tcW w:w="2500" w:type="dxa"/>
            <w:vAlign w:val="bottom"/>
            <w:tcBorders>
              <w:top w:val="single" w:sz="8" w:color="005C5D"/>
              <w:bottom w:val="single" w:sz="8" w:color="FCEFEB"/>
            </w:tcBorders>
            <w:shd w:val="clear" w:color="auto" w:fill="FCEFEB"/>
          </w:tcPr>
          <w:p>
            <w:pPr>
              <w:ind w:left="1700"/>
              <w:spacing w:after="0"/>
              <w:rPr>
                <w:sz w:val="20"/>
                <w:szCs w:val="20"/>
                <w:color w:val="auto"/>
              </w:rPr>
            </w:pPr>
            <w:r>
              <w:rPr>
                <w:rFonts w:ascii="Arial" w:cs="Arial" w:eastAsia="Arial" w:hAnsi="Arial"/>
                <w:sz w:val="14"/>
                <w:szCs w:val="14"/>
                <w:color w:val="333333"/>
              </w:rPr>
              <w:t>— </w:t>
            </w:r>
          </w:p>
        </w:tc>
      </w:tr>
      <w:tr>
        <w:trPr>
          <w:trHeight w:val="274"/>
        </w:trPr>
        <w:tc>
          <w:tcPr>
            <w:tcW w:w="274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Michael Schwindle</w:t>
            </w:r>
          </w:p>
        </w:tc>
        <w:tc>
          <w:tcPr>
            <w:tcW w:w="2500" w:type="dxa"/>
            <w:vAlign w:val="bottom"/>
            <w:tcBorders>
              <w:top w:val="single" w:sz="8" w:color="005C5D"/>
              <w:bottom w:val="single" w:sz="8" w:color="FCEFEB"/>
            </w:tcBorders>
            <w:shd w:val="clear" w:color="auto" w:fill="FCEFEB"/>
          </w:tcPr>
          <w:p>
            <w:pPr>
              <w:ind w:left="1700"/>
              <w:spacing w:after="0"/>
              <w:rPr>
                <w:sz w:val="20"/>
                <w:szCs w:val="20"/>
                <w:color w:val="auto"/>
              </w:rPr>
            </w:pPr>
            <w:r>
              <w:rPr>
                <w:rFonts w:ascii="Arial" w:cs="Arial" w:eastAsia="Arial" w:hAnsi="Arial"/>
                <w:sz w:val="14"/>
                <w:szCs w:val="14"/>
                <w:color w:val="333333"/>
              </w:rPr>
              <w:t>— </w:t>
            </w:r>
          </w:p>
        </w:tc>
      </w:tr>
      <w:tr>
        <w:trPr>
          <w:trHeight w:val="274"/>
        </w:trPr>
        <w:tc>
          <w:tcPr>
            <w:tcW w:w="274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Mark C. Dely</w:t>
            </w:r>
          </w:p>
        </w:tc>
        <w:tc>
          <w:tcPr>
            <w:tcW w:w="2500" w:type="dxa"/>
            <w:vAlign w:val="bottom"/>
            <w:tcBorders>
              <w:top w:val="single" w:sz="8" w:color="005C5D"/>
              <w:bottom w:val="single" w:sz="8" w:color="FCEFEB"/>
            </w:tcBorders>
            <w:shd w:val="clear" w:color="auto" w:fill="FCEFEB"/>
          </w:tcPr>
          <w:p>
            <w:pPr>
              <w:jc w:val="right"/>
              <w:ind w:right="509"/>
              <w:spacing w:after="0"/>
              <w:rPr>
                <w:sz w:val="20"/>
                <w:szCs w:val="20"/>
                <w:color w:val="auto"/>
              </w:rPr>
            </w:pPr>
            <w:r>
              <w:rPr>
                <w:rFonts w:ascii="Arial" w:cs="Arial" w:eastAsia="Arial" w:hAnsi="Arial"/>
                <w:sz w:val="14"/>
                <w:szCs w:val="14"/>
                <w:color w:val="333333"/>
              </w:rPr>
              <w:t>22,955</w:t>
            </w:r>
          </w:p>
        </w:tc>
      </w:tr>
      <w:tr>
        <w:trPr>
          <w:trHeight w:val="274"/>
        </w:trPr>
        <w:tc>
          <w:tcPr>
            <w:tcW w:w="274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Alison Hiatt</w:t>
            </w:r>
          </w:p>
        </w:tc>
        <w:tc>
          <w:tcPr>
            <w:tcW w:w="2500" w:type="dxa"/>
            <w:vAlign w:val="bottom"/>
            <w:tcBorders>
              <w:top w:val="single" w:sz="8" w:color="005C5D"/>
              <w:bottom w:val="single" w:sz="8" w:color="FCEFEB"/>
            </w:tcBorders>
            <w:shd w:val="clear" w:color="auto" w:fill="FCEFEB"/>
          </w:tcPr>
          <w:p>
            <w:pPr>
              <w:ind w:left="1700"/>
              <w:spacing w:after="0"/>
              <w:rPr>
                <w:sz w:val="20"/>
                <w:szCs w:val="20"/>
                <w:color w:val="auto"/>
              </w:rPr>
            </w:pPr>
            <w:r>
              <w:rPr>
                <w:rFonts w:ascii="Arial" w:cs="Arial" w:eastAsia="Arial" w:hAnsi="Arial"/>
                <w:sz w:val="14"/>
                <w:szCs w:val="14"/>
                <w:color w:val="333333"/>
              </w:rPr>
              <w:t>— </w:t>
            </w:r>
          </w:p>
        </w:tc>
      </w:tr>
      <w:tr>
        <w:trPr>
          <w:trHeight w:val="254"/>
        </w:trPr>
        <w:tc>
          <w:tcPr>
            <w:tcW w:w="274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Melinda Paraie</w:t>
            </w:r>
          </w:p>
        </w:tc>
        <w:tc>
          <w:tcPr>
            <w:tcW w:w="2500" w:type="dxa"/>
            <w:vAlign w:val="bottom"/>
            <w:tcBorders>
              <w:top w:val="single" w:sz="8" w:color="005C5D"/>
              <w:bottom w:val="single" w:sz="8" w:color="FCEFEB"/>
            </w:tcBorders>
            <w:shd w:val="clear" w:color="auto" w:fill="FCEFEB"/>
          </w:tcPr>
          <w:p>
            <w:pPr>
              <w:ind w:left="1700"/>
              <w:spacing w:after="0"/>
              <w:rPr>
                <w:sz w:val="20"/>
                <w:szCs w:val="20"/>
                <w:color w:val="auto"/>
              </w:rPr>
            </w:pPr>
            <w:r>
              <w:rPr>
                <w:rFonts w:ascii="Arial" w:cs="Arial" w:eastAsia="Arial" w:hAnsi="Arial"/>
                <w:sz w:val="14"/>
                <w:szCs w:val="14"/>
                <w:color w:val="333333"/>
              </w:rPr>
              <w:t>— </w:t>
            </w:r>
          </w:p>
        </w:tc>
      </w:tr>
      <w:tr>
        <w:trPr>
          <w:trHeight w:val="27"/>
        </w:trPr>
        <w:tc>
          <w:tcPr>
            <w:tcW w:w="2740" w:type="dxa"/>
            <w:vAlign w:val="bottom"/>
            <w:shd w:val="clear" w:color="auto" w:fill="005C5D"/>
          </w:tcPr>
          <w:p>
            <w:pPr>
              <w:spacing w:after="0"/>
              <w:rPr>
                <w:sz w:val="2"/>
                <w:szCs w:val="2"/>
                <w:color w:val="auto"/>
              </w:rPr>
            </w:pPr>
          </w:p>
        </w:tc>
        <w:tc>
          <w:tcPr>
            <w:tcW w:w="2500" w:type="dxa"/>
            <w:vAlign w:val="bottom"/>
            <w:shd w:val="clear" w:color="auto" w:fill="005C5D"/>
          </w:tcPr>
          <w:p>
            <w:pPr>
              <w:spacing w:after="0"/>
              <w:rPr>
                <w:sz w:val="2"/>
                <w:szCs w:val="2"/>
                <w:color w:val="auto"/>
              </w:rPr>
            </w:pPr>
          </w:p>
        </w:tc>
      </w:tr>
    </w:tbl>
    <w:p>
      <w:pPr>
        <w:spacing w:after="0" w:line="120"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color w:val="333333"/>
        </w:rPr>
        <w:t>The target number of performance-based RSUs was equally divided into three tranches with the first tranche earned based on fiscal 2024 performance (“FY24 Tranche”), the second tranche earned based on fiscal 2025 performance (“FY25 Tranche”), and the third tranche earned based on fiscal 2026 performance (“FY26 Tranche”).</w:t>
      </w:r>
    </w:p>
    <w:p>
      <w:pPr>
        <w:spacing w:after="0" w:line="114"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color w:val="333333"/>
        </w:rPr>
        <w:t>At the time of grant, it was determined that target performance for the FY24 Tranche was to be established based on the Company’s 2024 target for diluted earnings per share of $0.43, with a maximum performance of $0.48 and a minimum performance of $0.38 per share. Actual fiscal 2024 adjusted earnings per share was $0.55 per share, resulting in a payout of 200% of target. GAAP diluted EPS of $0.25 was adjusted in accordance with the requirements of the incentive plan for intangible asset impairment charges, the amortization of definite-lived intangible assets, severance charges, and consulting and professional fees primarily associated with strategic initiatives.</w:t>
      </w:r>
    </w:p>
    <w:p>
      <w:pPr>
        <w:spacing w:after="0" w:line="105" w:lineRule="exact"/>
        <w:rPr>
          <w:sz w:val="20"/>
          <w:szCs w:val="20"/>
          <w:color w:val="auto"/>
        </w:rPr>
      </w:pPr>
    </w:p>
    <w:p>
      <w:pPr>
        <w:jc w:val="both"/>
        <w:ind w:left="160"/>
        <w:spacing w:after="0" w:line="256" w:lineRule="auto"/>
        <w:rPr>
          <w:sz w:val="20"/>
          <w:szCs w:val="20"/>
          <w:color w:val="auto"/>
        </w:rPr>
      </w:pPr>
      <w:r>
        <w:rPr>
          <w:rFonts w:ascii="Arial" w:cs="Arial" w:eastAsia="Arial" w:hAnsi="Arial"/>
          <w:sz w:val="16"/>
          <w:szCs w:val="16"/>
          <w:color w:val="333333"/>
        </w:rPr>
        <w:t>For the FY25 Tranche, it was determined that target performance was 110% of actual fiscal 2024 adjusted diluted earnings per share, and for the FY26 Tranche it was determined that target performance was 110% of actual fiscal 2025 adjusted diluted earnings per share.</w:t>
      </w:r>
    </w:p>
    <w:p>
      <w:pPr>
        <w:spacing w:after="0" w:line="111"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color w:val="333333"/>
        </w:rPr>
        <w:t>Adjusted diluted earnings per share for fiscal 2025 of ($0.64) fell below the threshold performance level of $0.54, resulting no payout for the FY25 Tranche. GAAP diluted earnings per share of ($2.15) was adjusted in accordance with the requirements of the incentive plan for, intangible asset impairment charges; severance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333333"/>
        </w:rPr>
        <w:t>charges; PPE impairment charges; the amortization of definite-lived intangible assets, Project Restoration charges, consulting and professional fees primarily associated with strategic initiatives, software abandonment charges, and one-time vendor charges.</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333333"/>
        </w:rPr>
        <w:t>Adjusted diluted earnings per share from continuing operations for fiscal 2026 of ($0.59) exceeded threshold performance level of ($0.65), resulting in a partial payout of 89% for the FY26 Tranche. GAAP diluted earnings per share from continuing operations of ($1.17) was adjusted in accordance with the requirements of the incentive plan for severance charges, consulting and professional fees primarily associated with strategic initiatives, professional fees associated with the sale of Pura Vida, PPE impairment charges; transformation initiative charges; PO cancellation fees; and inventory write-offs associated with the sale of Pua Vida.</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33333"/>
        </w:rPr>
        <w:t>Therefore, in total, Ms. Ardrey earned 73,424 and Mr. Dely earned 22,112 shares pursuant to the FY24, FY25, and FY26 Tranches of the fiscal 2024 grant,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005C5D"/>
        </w:rPr>
        <w:t>BENEFITS</w:t>
      </w:r>
    </w:p>
    <w:p>
      <w:pPr>
        <w:spacing w:after="0" w:line="10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333333"/>
        </w:rPr>
        <w:t>The NEOs are eligible for the same level and offering of benefits available to other employees. Our benefits, such as our basic health benefits, 401(k) plan, life insurance, paid time off, matching charitable gifts program, and discounts on certain Company products, are intended to provide a stable array of support to our employees and their families throughout various stages of their careers, and these core benefits are provided to all full-time employees. The 401(k) plan allows participants to defer amounts of their annual compensation before taxes, up to the cap set by the Internal Revenue Code, which was $23,500 per person for calendar year 2025 (or $31,000 for employees over age 50). Employees’ elective deferrals are immediately vested and non-forfeitable upon contribution to the 401(k) plan. For fiscal 2026, we provided matching contributions equal to 100% for the first 3% of an employee’s individual contribution and 50% for the next 2% of individual contributions, for a maximum employer match of 4% of individual contributions, subject to certain other limits, including vesting requirements.</w:t>
      </w:r>
    </w:p>
    <w:p>
      <w:pPr>
        <w:spacing w:after="0" w:line="1549"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65" w:lineRule="exact"/>
        <w:rPr>
          <w:sz w:val="20"/>
          <w:szCs w:val="20"/>
          <w:color w:val="auto"/>
        </w:rPr>
      </w:pPr>
    </w:p>
    <w:p>
      <w:pPr>
        <w:ind w:left="4940"/>
        <w:spacing w:after="0"/>
        <w:tabs>
          <w:tab w:leader="none" w:pos="9080" w:val="left"/>
          <w:tab w:leader="none" w:pos="1090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29</w:t>
      </w:r>
    </w:p>
    <w:p>
      <w:pPr>
        <w:sectPr>
          <w:pgSz w:w="11900" w:h="16838" w:orient="portrait"/>
          <w:cols w:equalWidth="0" w:num="1">
            <w:col w:w="11080"/>
          </w:cols>
          <w:pgMar w:left="320" w:top="478" w:right="4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AGREEMENTS WITH NAMED EXECUTIVE OFFICERS</w:t>
      </w:r>
    </w:p>
    <w:p>
      <w:pPr>
        <w:spacing w:after="0" w:line="100"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b w:val="1"/>
          <w:bCs w:val="1"/>
          <w:color w:val="337C7D"/>
        </w:rPr>
        <w:t xml:space="preserve">Ms. Ardrey’s Employment Agreement. </w:t>
      </w:r>
      <w:r>
        <w:rPr>
          <w:rFonts w:ascii="Arial" w:cs="Arial" w:eastAsia="Arial" w:hAnsi="Arial"/>
          <w:sz w:val="16"/>
          <w:szCs w:val="16"/>
          <w:color w:val="333333"/>
        </w:rPr>
        <w:t>Ms. Ardrey’s employment</w:t>
      </w:r>
      <w:r>
        <w:rPr>
          <w:rFonts w:ascii="Arial" w:cs="Arial" w:eastAsia="Arial" w:hAnsi="Arial"/>
          <w:sz w:val="16"/>
          <w:szCs w:val="16"/>
          <w:b w:val="1"/>
          <w:bCs w:val="1"/>
          <w:color w:val="337C7D"/>
        </w:rPr>
        <w:t xml:space="preserve"> </w:t>
      </w:r>
      <w:r>
        <w:rPr>
          <w:rFonts w:ascii="Arial" w:cs="Arial" w:eastAsia="Arial" w:hAnsi="Arial"/>
          <w:sz w:val="16"/>
          <w:szCs w:val="16"/>
          <w:color w:val="333333"/>
        </w:rPr>
        <w:t>agreement with the Company was effective November 1, 2022 (the “Employment Agreement”). The Agreement was terminated pursuant to the Waiver and Release Agreement signed between the Company and Ms. Ardrey July 31, 2025.</w:t>
      </w:r>
    </w:p>
    <w:p>
      <w:pPr>
        <w:spacing w:after="0" w:line="100"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color w:val="333333"/>
        </w:rPr>
        <w:t>Ms. Ardrey’s annual base salary rate during fiscal 2026 was $875,500. Under her employment agreement, Ms. Ardrey has a target annual fiscal bonus of 100% of her annual base salary rate, with a maximum annual cash bonus of up to 200% of her annual base salary rate, and she is also eligible for long-term incentive grants.</w:t>
      </w:r>
    </w:p>
    <w:p>
      <w:pPr>
        <w:spacing w:after="0" w:line="114" w:lineRule="exact"/>
        <w:rPr>
          <w:sz w:val="20"/>
          <w:szCs w:val="20"/>
          <w:color w:val="auto"/>
        </w:rPr>
      </w:pPr>
    </w:p>
    <w:p>
      <w:pPr>
        <w:jc w:val="both"/>
        <w:ind w:left="160"/>
        <w:spacing w:after="0" w:line="247" w:lineRule="auto"/>
        <w:rPr>
          <w:sz w:val="20"/>
          <w:szCs w:val="20"/>
          <w:color w:val="auto"/>
        </w:rPr>
      </w:pPr>
      <w:r>
        <w:rPr>
          <w:rFonts w:ascii="Arial" w:cs="Arial" w:eastAsia="Arial" w:hAnsi="Arial"/>
          <w:sz w:val="16"/>
          <w:szCs w:val="16"/>
          <w:color w:val="333333"/>
        </w:rPr>
        <w:t>Ms. Ardrey’s Employment Agreement contains non-compete restrictions. During the period of her employment and for a period of two years following her termination, Ms. Ardrey may not engage in, manage, join or work for (as an employee, consultant, or independent contractor) or permit the use of her name by, or provide financial or other assistance to, any competitor that engages in the design, production, marketing, and retailing of (i) handbags and other bags and related accessories or</w:t>
      </w:r>
    </w:p>
    <w:p>
      <w:pPr>
        <w:spacing w:after="0" w:line="1" w:lineRule="exact"/>
        <w:rPr>
          <w:sz w:val="20"/>
          <w:szCs w:val="20"/>
          <w:color w:val="auto"/>
        </w:rPr>
      </w:pPr>
    </w:p>
    <w:p>
      <w:pPr>
        <w:jc w:val="both"/>
        <w:ind w:left="160" w:firstLine="7"/>
        <w:spacing w:after="0" w:line="245" w:lineRule="auto"/>
        <w:tabs>
          <w:tab w:leader="none" w:pos="438" w:val="left"/>
        </w:tabs>
        <w:numPr>
          <w:ilvl w:val="0"/>
          <w:numId w:val="40"/>
        </w:numPr>
        <w:rPr>
          <w:rFonts w:ascii="Arial" w:cs="Arial" w:eastAsia="Arial" w:hAnsi="Arial"/>
          <w:sz w:val="16"/>
          <w:szCs w:val="16"/>
          <w:color w:val="333333"/>
        </w:rPr>
      </w:pPr>
      <w:r>
        <w:rPr>
          <w:rFonts w:ascii="Arial" w:cs="Arial" w:eastAsia="Arial" w:hAnsi="Arial"/>
          <w:sz w:val="16"/>
          <w:szCs w:val="16"/>
          <w:color w:val="333333"/>
        </w:rPr>
        <w:t>accessories such as jewelry, travel and leisure items, and baby clothes and accessories. In order to be treated as a competitor pursuant to Ms. Ardrey’s Employment Agreement, an enterprise would have to have received in the prior fiscal year at least 25% of its revenues from the design, production, marketing and/or retailing of handbags, other bags, and related accessories or more than 50% of its revenues from the combination of the design, production, marketing and/or retailing of handbags, other bags and related accessories, accessories such as jewelry, travel and leisure items, and baby clothes and accessories. Ms. Ardrey’s Employment Agreement also contains customary confidentiality provisions.</w:t>
      </w:r>
    </w:p>
    <w:p>
      <w:pPr>
        <w:spacing w:after="0" w:line="111"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333333"/>
        </w:rPr>
        <w:t>For a description of severance benefits that Ms. Ardrey would be entitled to receive under certain circumstances, please see “Potential Payments Upon Termination or Change in Control.”</w:t>
      </w:r>
    </w:p>
    <w:p>
      <w:pPr>
        <w:spacing w:after="0" w:line="106"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b w:val="1"/>
          <w:bCs w:val="1"/>
          <w:color w:val="333333"/>
        </w:rPr>
        <w:t xml:space="preserve">Mr. Bickley’s Employment Agreement. </w:t>
      </w:r>
      <w:r>
        <w:rPr>
          <w:rFonts w:ascii="Arial" w:cs="Arial" w:eastAsia="Arial" w:hAnsi="Arial"/>
          <w:sz w:val="16"/>
          <w:szCs w:val="16"/>
          <w:color w:val="333333"/>
        </w:rPr>
        <w:t>Mr. Bickley entered into an</w:t>
      </w:r>
      <w:r>
        <w:rPr>
          <w:rFonts w:ascii="Arial" w:cs="Arial" w:eastAsia="Arial" w:hAnsi="Arial"/>
          <w:sz w:val="16"/>
          <w:szCs w:val="16"/>
          <w:b w:val="1"/>
          <w:bCs w:val="1"/>
          <w:color w:val="333333"/>
        </w:rPr>
        <w:t xml:space="preserve"> </w:t>
      </w:r>
      <w:r>
        <w:rPr>
          <w:rFonts w:ascii="Arial" w:cs="Arial" w:eastAsia="Arial" w:hAnsi="Arial"/>
          <w:sz w:val="16"/>
          <w:szCs w:val="16"/>
          <w:color w:val="333333"/>
        </w:rPr>
        <w:t>employment agreement with the Company effective March 12, 2026. Mr. Bickley’s Employment Agreement provides for successive one-year periods unless either the Company or Mr. Bickely gives notice to the other of its or his intention not to renew.</w:t>
      </w:r>
    </w:p>
    <w:p>
      <w:pPr>
        <w:spacing w:after="0" w:line="114" w:lineRule="exact"/>
        <w:rPr>
          <w:sz w:val="20"/>
          <w:szCs w:val="20"/>
          <w:color w:val="auto"/>
        </w:rPr>
      </w:pPr>
    </w:p>
    <w:p>
      <w:pPr>
        <w:jc w:val="both"/>
        <w:ind w:left="160"/>
        <w:spacing w:after="0" w:line="279" w:lineRule="auto"/>
        <w:rPr>
          <w:sz w:val="20"/>
          <w:szCs w:val="20"/>
          <w:color w:val="auto"/>
        </w:rPr>
      </w:pPr>
      <w:r>
        <w:rPr>
          <w:rFonts w:ascii="Arial" w:cs="Arial" w:eastAsia="Arial" w:hAnsi="Arial"/>
          <w:sz w:val="16"/>
          <w:szCs w:val="16"/>
          <w:color w:val="333333"/>
        </w:rPr>
        <w:t>Mr. Bickely’s annual base salary rate during fiscal 2027 is $750,000. Under his employment agreement, Mr. Bickley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33333"/>
        </w:rPr>
        <w:t>has a target annual fiscal bonus of 100% of his annual base salary rate, with a maximum annual cash bonus of up to 200% of his annual base salary rate, and he is also eligible for long-term incentive grants.</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333333"/>
        </w:rPr>
        <w:t>Mr. Bickley’s Employment Agreement contains non-compete and non solicitation provisions. During the term of his employment and for 12 months after Mr. Bickley may not directly or indirectly perform on behalf of a defined Competitor the same or similar activites that he performed for the Company. Mr. Bickley’s Employment Agreement also contains customary confidentiality provisions.</w:t>
      </w:r>
    </w:p>
    <w:p>
      <w:pPr>
        <w:spacing w:after="0" w:line="11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33333"/>
        </w:rPr>
        <w:t>For a description of severance benefits that Mr. Bickley would be entitled to receive under certain circumstances, please see “Potential Payments Upon Termination or Change of Control.”</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005C5D"/>
        </w:rPr>
        <w:t>COMPENSATION AND RISK</w:t>
      </w:r>
    </w:p>
    <w:p>
      <w:pPr>
        <w:spacing w:after="0" w:line="10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333333"/>
        </w:rPr>
        <w:t>The Committee has evaluated the risk profile of our compensation policies and practices and concluded that they do not motivate imprudent risk taking. In its evaluation, the Committee reviewed our employee compensation structures and noted numerous factors and design elements that manage and mitigate risk without diminishing the incentive nature of the compensation, including a unique and strong corporate culture that attracts passionate and motivated employees who are excited about our products and our brand (as opposed to being motivated by purely financial considerations); a balanced mix between cash and equity and annual and longer-term incentives under our executive compensation program; ownership of our shares by senior management, which aligns their interests with the long-term interests of the Company and our shareholders; reasonable limits on annual incentive awards (as determined by a review of our current business plan); with respect to annual incentive awards, a balanced mix of performance measures, linear payouts between target levels and maximum payouts capped in fiscal 2026 at 200% of target for the CEO and other NEOs; and subjective considerations (including a review of individual performance) and discretion in compensation decisions, which limit the influence of formulae or objective factors on excessive risk taking.</w:t>
      </w:r>
    </w:p>
    <w:p>
      <w:pPr>
        <w:spacing w:after="0" w:line="10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333333"/>
        </w:rPr>
        <w:t>The Committee also reviewed our compensation programs for certain design features that may have the potential to encourage excessive risk-taking, including over-weighting towards annual incentives, highly-leveraged payout curves, unreasonable thresholds, and steep payout cliffs at certain performance levels that may encourage short-term business decisions to meet</w:t>
      </w:r>
    </w:p>
    <w:p>
      <w:pPr>
        <w:spacing w:after="0" w:line="200"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68" w:lineRule="exact"/>
        <w:rPr>
          <w:sz w:val="20"/>
          <w:szCs w:val="20"/>
          <w:color w:val="auto"/>
        </w:rPr>
      </w:pPr>
    </w:p>
    <w:p>
      <w:pPr>
        <w:ind w:left="160"/>
        <w:spacing w:after="0"/>
        <w:tabs>
          <w:tab w:leader="none" w:pos="4920" w:val="left"/>
        </w:tabs>
        <w:rPr>
          <w:sz w:val="20"/>
          <w:szCs w:val="20"/>
          <w:color w:val="auto"/>
        </w:rPr>
      </w:pPr>
      <w:r>
        <w:rPr>
          <w:rFonts w:ascii="Arial" w:cs="Arial" w:eastAsia="Arial" w:hAnsi="Arial"/>
          <w:sz w:val="14"/>
          <w:szCs w:val="14"/>
          <w:color w:val="005C5D"/>
        </w:rPr>
        <w:t xml:space="preserve">30 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1080"/>
          </w:cols>
          <w:pgMar w:left="320" w:top="478" w:right="4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both"/>
        <w:ind w:left="160"/>
        <w:spacing w:after="0" w:line="249" w:lineRule="auto"/>
        <w:rPr>
          <w:sz w:val="20"/>
          <w:szCs w:val="20"/>
          <w:color w:val="auto"/>
        </w:rPr>
      </w:pPr>
      <w:r>
        <w:rPr>
          <w:rFonts w:ascii="Arial" w:cs="Arial" w:eastAsia="Arial" w:hAnsi="Arial"/>
          <w:sz w:val="16"/>
          <w:szCs w:val="16"/>
          <w:color w:val="333333"/>
        </w:rPr>
        <w:t>payout thresholds. The Committee concluded that our compensation programs do not include such elements. In addition, the Committee analyzed our overall enterprise risks and how compensation programs may impact individual behavior in a manner that could exacerbate these enterprise risks. In view of these analyses, the Committee concluded that we have a balanced pay and performance program that does not encourage excessive risk-taking that is reasonably likely to have a material adverse effect on the Company.</w:t>
      </w:r>
    </w:p>
    <w:p>
      <w:pPr>
        <w:spacing w:after="0" w:line="282" w:lineRule="exact"/>
        <w:rPr>
          <w:sz w:val="20"/>
          <w:szCs w:val="20"/>
          <w:color w:val="auto"/>
        </w:rPr>
      </w:pPr>
    </w:p>
    <w:p>
      <w:pPr>
        <w:ind w:left="160" w:right="260"/>
        <w:spacing w:after="0" w:line="264" w:lineRule="auto"/>
        <w:rPr>
          <w:sz w:val="20"/>
          <w:szCs w:val="20"/>
          <w:color w:val="auto"/>
        </w:rPr>
      </w:pPr>
      <w:r>
        <w:rPr>
          <w:rFonts w:ascii="Arial" w:cs="Arial" w:eastAsia="Arial" w:hAnsi="Arial"/>
          <w:sz w:val="20"/>
          <w:szCs w:val="20"/>
          <w:b w:val="1"/>
          <w:bCs w:val="1"/>
          <w:color w:val="005C5D"/>
        </w:rPr>
        <w:t>EFFECT OF ACCOUNTING AND TAX TREATMENT ON COMPENSATION DECISIONS</w:t>
      </w:r>
    </w:p>
    <w:p>
      <w:pPr>
        <w:spacing w:after="0" w:line="65" w:lineRule="exact"/>
        <w:rPr>
          <w:sz w:val="20"/>
          <w:szCs w:val="20"/>
          <w:color w:val="auto"/>
        </w:rPr>
      </w:pPr>
    </w:p>
    <w:p>
      <w:pPr>
        <w:jc w:val="both"/>
        <w:ind w:left="160"/>
        <w:spacing w:after="0" w:line="256" w:lineRule="auto"/>
        <w:rPr>
          <w:sz w:val="20"/>
          <w:szCs w:val="20"/>
          <w:color w:val="auto"/>
        </w:rPr>
      </w:pPr>
      <w:r>
        <w:rPr>
          <w:rFonts w:ascii="Arial" w:cs="Arial" w:eastAsia="Arial" w:hAnsi="Arial"/>
          <w:sz w:val="16"/>
          <w:szCs w:val="16"/>
          <w:color w:val="333333"/>
        </w:rPr>
        <w:t>In the review, establishment, and operation of our compensation programs, the Committee considers, among other factors, the anticipated accounting and tax implications to us and our executives. Section 162(m)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333333"/>
        </w:rPr>
        <w:t>the Internal Revenue Code limits the amount of compensation that we may deduct in any one year with respect to our NEOs. The Tax Cuts and Jobs Act (the “Tax Act”) generally eliminated the exception that allowed for the deductibility of certain performance-based compensation for covered employees (as defined in the Tax Act). The Committee seeks to maintain flexibility in compensating our executives in a manner designed to promote our corporate goals and therefore we have not adopted a policy requiring all compensation to be deductible. The Committee will continue to evaluate what, if any, changes should be made to the Company’s compensation programs regarding the deductibility of compensation.</w:t>
      </w:r>
    </w:p>
    <w:p>
      <w:pPr>
        <w:spacing w:after="0" w:line="1464"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63" w:lineRule="exact"/>
        <w:rPr>
          <w:sz w:val="20"/>
          <w:szCs w:val="20"/>
          <w:color w:val="auto"/>
        </w:rPr>
      </w:pPr>
    </w:p>
    <w:p>
      <w:pPr>
        <w:ind w:left="4940"/>
        <w:spacing w:after="0"/>
        <w:tabs>
          <w:tab w:leader="none" w:pos="9080" w:val="left"/>
          <w:tab w:leader="none" w:pos="1090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31</w:t>
      </w:r>
    </w:p>
    <w:p>
      <w:pPr>
        <w:sectPr>
          <w:pgSz w:w="11900" w:h="16838" w:orient="portrait"/>
          <w:cols w:equalWidth="0" w:num="1">
            <w:col w:w="11080"/>
          </w:cols>
          <w:pgMar w:left="320" w:top="478" w:right="4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9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COMPENSATION TABLES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Summary Compensation Table</w:t>
      </w:r>
    </w:p>
    <w:p>
      <w:pPr>
        <w:spacing w:after="0" w:line="100" w:lineRule="exact"/>
        <w:rPr>
          <w:sz w:val="20"/>
          <w:szCs w:val="20"/>
          <w:color w:val="auto"/>
        </w:rPr>
      </w:pPr>
    </w:p>
    <w:p>
      <w:pPr>
        <w:jc w:val="both"/>
        <w:ind w:left="160"/>
        <w:spacing w:after="0" w:line="256" w:lineRule="auto"/>
        <w:rPr>
          <w:sz w:val="20"/>
          <w:szCs w:val="20"/>
          <w:color w:val="auto"/>
        </w:rPr>
      </w:pPr>
      <w:r>
        <w:rPr>
          <w:rFonts w:ascii="Arial" w:cs="Arial" w:eastAsia="Arial" w:hAnsi="Arial"/>
          <w:sz w:val="16"/>
          <w:szCs w:val="16"/>
          <w:color w:val="333333"/>
        </w:rPr>
        <w:t>The table below shows information concerning the annual compensation for services to the Company in all capacities of the Company’s NEOs, and a former NEO, during the last three completed fiscal years, (fiscal years 2026 and 2025 contained 52 weeks, and fiscal year 2024 contained 53 weeks). Information regarding fiscal years 2024 and 2025 is omitted for Mr. Bickley, Mr. Layding, and Ms. Paraie because they were not NEOs during the relevant years.</w:t>
      </w: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4640" w:type="dxa"/>
            <w:vAlign w:val="bottom"/>
            <w:shd w:val="clear" w:color="auto" w:fill="005C5D"/>
          </w:tcPr>
          <w:p>
            <w:pPr>
              <w:spacing w:after="0"/>
              <w:rPr>
                <w:sz w:val="18"/>
                <w:szCs w:val="18"/>
                <w:color w:val="auto"/>
              </w:rPr>
            </w:pPr>
          </w:p>
        </w:tc>
        <w:tc>
          <w:tcPr>
            <w:tcW w:w="80" w:type="dxa"/>
            <w:vAlign w:val="bottom"/>
            <w:tcBorders>
              <w:right w:val="single" w:sz="8" w:color="005C5D"/>
            </w:tcBorders>
            <w:shd w:val="clear" w:color="auto" w:fill="005C5D"/>
          </w:tcPr>
          <w:p>
            <w:pPr>
              <w:spacing w:after="0"/>
              <w:rPr>
                <w:sz w:val="18"/>
                <w:szCs w:val="18"/>
                <w:color w:val="auto"/>
              </w:rPr>
            </w:pPr>
          </w:p>
        </w:tc>
        <w:tc>
          <w:tcPr>
            <w:tcW w:w="620" w:type="dxa"/>
            <w:vAlign w:val="bottom"/>
            <w:shd w:val="clear" w:color="auto" w:fill="005C5D"/>
          </w:tcPr>
          <w:p>
            <w:pPr>
              <w:spacing w:after="0"/>
              <w:rPr>
                <w:sz w:val="18"/>
                <w:szCs w:val="18"/>
                <w:color w:val="auto"/>
              </w:rPr>
            </w:pPr>
          </w:p>
        </w:tc>
        <w:tc>
          <w:tcPr>
            <w:tcW w:w="780" w:type="dxa"/>
            <w:vAlign w:val="bottom"/>
            <w:shd w:val="clear" w:color="auto" w:fill="005C5D"/>
          </w:tcPr>
          <w:p>
            <w:pPr>
              <w:spacing w:after="0"/>
              <w:rPr>
                <w:sz w:val="18"/>
                <w:szCs w:val="18"/>
                <w:color w:val="auto"/>
              </w:rPr>
            </w:pPr>
          </w:p>
        </w:tc>
        <w:tc>
          <w:tcPr>
            <w:tcW w:w="800" w:type="dxa"/>
            <w:vAlign w:val="bottom"/>
            <w:shd w:val="clear" w:color="auto" w:fill="005C5D"/>
          </w:tcPr>
          <w:p>
            <w:pPr>
              <w:spacing w:after="0"/>
              <w:rPr>
                <w:sz w:val="18"/>
                <w:szCs w:val="18"/>
                <w:color w:val="auto"/>
              </w:rPr>
            </w:pPr>
          </w:p>
        </w:tc>
        <w:tc>
          <w:tcPr>
            <w:tcW w:w="880" w:type="dxa"/>
            <w:vAlign w:val="bottom"/>
            <w:shd w:val="clear" w:color="auto" w:fill="005C5D"/>
          </w:tcPr>
          <w:p>
            <w:pPr>
              <w:spacing w:after="0"/>
              <w:rPr>
                <w:sz w:val="18"/>
                <w:szCs w:val="18"/>
                <w:color w:val="auto"/>
              </w:rPr>
            </w:pPr>
          </w:p>
        </w:tc>
        <w:tc>
          <w:tcPr>
            <w:tcW w:w="1080" w:type="dxa"/>
            <w:vAlign w:val="bottom"/>
            <w:gridSpan w:val="2"/>
            <w:shd w:val="clear" w:color="auto" w:fill="005C5D"/>
          </w:tcPr>
          <w:p>
            <w:pPr>
              <w:jc w:val="center"/>
              <w:spacing w:after="0"/>
              <w:rPr>
                <w:sz w:val="20"/>
                <w:szCs w:val="20"/>
                <w:color w:val="auto"/>
              </w:rPr>
            </w:pPr>
            <w:r>
              <w:rPr>
                <w:rFonts w:ascii="Arial" w:cs="Arial" w:eastAsia="Arial" w:hAnsi="Arial"/>
                <w:sz w:val="14"/>
                <w:szCs w:val="14"/>
                <w:color w:val="FFFFFF"/>
              </w:rPr>
              <w:t>NON-EQUITY</w:t>
            </w:r>
          </w:p>
        </w:tc>
        <w:tc>
          <w:tcPr>
            <w:tcW w:w="200" w:type="dxa"/>
            <w:vAlign w:val="bottom"/>
            <w:shd w:val="clear" w:color="auto" w:fill="005C5D"/>
          </w:tcPr>
          <w:p>
            <w:pPr>
              <w:spacing w:after="0"/>
              <w:rPr>
                <w:sz w:val="18"/>
                <w:szCs w:val="18"/>
                <w:color w:val="auto"/>
              </w:rPr>
            </w:pPr>
          </w:p>
        </w:tc>
        <w:tc>
          <w:tcPr>
            <w:tcW w:w="960" w:type="dxa"/>
            <w:vAlign w:val="bottom"/>
            <w:shd w:val="clear" w:color="auto" w:fill="005C5D"/>
          </w:tcPr>
          <w:p>
            <w:pPr>
              <w:spacing w:after="0"/>
              <w:rPr>
                <w:sz w:val="18"/>
                <w:szCs w:val="18"/>
                <w:color w:val="auto"/>
              </w:rPr>
            </w:pPr>
          </w:p>
        </w:tc>
        <w:tc>
          <w:tcPr>
            <w:tcW w:w="880" w:type="dxa"/>
            <w:vAlign w:val="bottom"/>
            <w:shd w:val="clear" w:color="auto" w:fill="005C5D"/>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640" w:type="dxa"/>
            <w:vAlign w:val="bottom"/>
            <w:shd w:val="clear" w:color="auto" w:fill="005C5D"/>
          </w:tcPr>
          <w:p>
            <w:pPr>
              <w:spacing w:after="0"/>
              <w:rPr>
                <w:sz w:val="13"/>
                <w:szCs w:val="13"/>
                <w:color w:val="auto"/>
              </w:rPr>
            </w:pPr>
          </w:p>
        </w:tc>
        <w:tc>
          <w:tcPr>
            <w:tcW w:w="80" w:type="dxa"/>
            <w:vAlign w:val="bottom"/>
            <w:tcBorders>
              <w:right w:val="single" w:sz="8" w:color="005C5D"/>
            </w:tcBorders>
            <w:shd w:val="clear" w:color="auto" w:fill="005C5D"/>
          </w:tcPr>
          <w:p>
            <w:pPr>
              <w:spacing w:after="0"/>
              <w:rPr>
                <w:sz w:val="13"/>
                <w:szCs w:val="13"/>
                <w:color w:val="auto"/>
              </w:rPr>
            </w:pPr>
          </w:p>
        </w:tc>
        <w:tc>
          <w:tcPr>
            <w:tcW w:w="620" w:type="dxa"/>
            <w:vAlign w:val="bottom"/>
            <w:shd w:val="clear" w:color="auto" w:fill="005C5D"/>
          </w:tcPr>
          <w:p>
            <w:pPr>
              <w:spacing w:after="0"/>
              <w:rPr>
                <w:sz w:val="13"/>
                <w:szCs w:val="13"/>
                <w:color w:val="auto"/>
              </w:rPr>
            </w:pPr>
          </w:p>
        </w:tc>
        <w:tc>
          <w:tcPr>
            <w:tcW w:w="780" w:type="dxa"/>
            <w:vAlign w:val="bottom"/>
            <w:shd w:val="clear" w:color="auto" w:fill="005C5D"/>
          </w:tcPr>
          <w:p>
            <w:pPr>
              <w:spacing w:after="0"/>
              <w:rPr>
                <w:sz w:val="13"/>
                <w:szCs w:val="13"/>
                <w:color w:val="auto"/>
              </w:rPr>
            </w:pPr>
          </w:p>
        </w:tc>
        <w:tc>
          <w:tcPr>
            <w:tcW w:w="800" w:type="dxa"/>
            <w:vAlign w:val="bottom"/>
            <w:shd w:val="clear" w:color="auto" w:fill="005C5D"/>
          </w:tcPr>
          <w:p>
            <w:pPr>
              <w:spacing w:after="0"/>
              <w:rPr>
                <w:sz w:val="13"/>
                <w:szCs w:val="13"/>
                <w:color w:val="auto"/>
              </w:rPr>
            </w:pPr>
          </w:p>
        </w:tc>
        <w:tc>
          <w:tcPr>
            <w:tcW w:w="880" w:type="dxa"/>
            <w:vAlign w:val="bottom"/>
            <w:shd w:val="clear" w:color="auto" w:fill="005C5D"/>
          </w:tcPr>
          <w:p>
            <w:pPr>
              <w:spacing w:after="0"/>
              <w:rPr>
                <w:sz w:val="13"/>
                <w:szCs w:val="13"/>
                <w:color w:val="auto"/>
              </w:rPr>
            </w:pPr>
          </w:p>
        </w:tc>
        <w:tc>
          <w:tcPr>
            <w:tcW w:w="1080" w:type="dxa"/>
            <w:vAlign w:val="bottom"/>
            <w:gridSpan w:val="2"/>
            <w:shd w:val="clear" w:color="auto" w:fill="005C5D"/>
          </w:tcPr>
          <w:p>
            <w:pPr>
              <w:jc w:val="center"/>
              <w:spacing w:after="0"/>
              <w:rPr>
                <w:sz w:val="20"/>
                <w:szCs w:val="20"/>
                <w:color w:val="auto"/>
              </w:rPr>
            </w:pPr>
            <w:r>
              <w:rPr>
                <w:rFonts w:ascii="Arial" w:cs="Arial" w:eastAsia="Arial" w:hAnsi="Arial"/>
                <w:sz w:val="14"/>
                <w:szCs w:val="14"/>
                <w:color w:val="FFFFFF"/>
              </w:rPr>
              <w:t>INCENTIVE</w:t>
            </w:r>
          </w:p>
        </w:tc>
        <w:tc>
          <w:tcPr>
            <w:tcW w:w="200" w:type="dxa"/>
            <w:vAlign w:val="bottom"/>
            <w:shd w:val="clear" w:color="auto" w:fill="005C5D"/>
          </w:tcPr>
          <w:p>
            <w:pPr>
              <w:spacing w:after="0"/>
              <w:rPr>
                <w:sz w:val="13"/>
                <w:szCs w:val="13"/>
                <w:color w:val="auto"/>
              </w:rPr>
            </w:pPr>
          </w:p>
        </w:tc>
        <w:tc>
          <w:tcPr>
            <w:tcW w:w="960" w:type="dxa"/>
            <w:vAlign w:val="bottom"/>
            <w:shd w:val="clear" w:color="auto" w:fill="005C5D"/>
          </w:tcPr>
          <w:p>
            <w:pPr>
              <w:spacing w:after="0"/>
              <w:rPr>
                <w:sz w:val="13"/>
                <w:szCs w:val="13"/>
                <w:color w:val="auto"/>
              </w:rPr>
            </w:pPr>
          </w:p>
        </w:tc>
        <w:tc>
          <w:tcPr>
            <w:tcW w:w="880" w:type="dxa"/>
            <w:vAlign w:val="bottom"/>
            <w:shd w:val="clear" w:color="auto" w:fill="005C5D"/>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40" w:type="dxa"/>
            <w:vAlign w:val="bottom"/>
            <w:shd w:val="clear" w:color="auto" w:fill="005C5D"/>
          </w:tcPr>
          <w:p>
            <w:pPr>
              <w:spacing w:after="0"/>
              <w:rPr>
                <w:sz w:val="13"/>
                <w:szCs w:val="13"/>
                <w:color w:val="auto"/>
              </w:rPr>
            </w:pPr>
          </w:p>
        </w:tc>
        <w:tc>
          <w:tcPr>
            <w:tcW w:w="80" w:type="dxa"/>
            <w:vAlign w:val="bottom"/>
            <w:tcBorders>
              <w:right w:val="single" w:sz="8" w:color="005C5D"/>
            </w:tcBorders>
            <w:shd w:val="clear" w:color="auto" w:fill="005C5D"/>
          </w:tcPr>
          <w:p>
            <w:pPr>
              <w:spacing w:after="0"/>
              <w:rPr>
                <w:sz w:val="13"/>
                <w:szCs w:val="13"/>
                <w:color w:val="auto"/>
              </w:rPr>
            </w:pPr>
          </w:p>
        </w:tc>
        <w:tc>
          <w:tcPr>
            <w:tcW w:w="620" w:type="dxa"/>
            <w:vAlign w:val="bottom"/>
            <w:shd w:val="clear" w:color="auto" w:fill="005C5D"/>
          </w:tcPr>
          <w:p>
            <w:pPr>
              <w:spacing w:after="0"/>
              <w:rPr>
                <w:sz w:val="13"/>
                <w:szCs w:val="13"/>
                <w:color w:val="auto"/>
              </w:rPr>
            </w:pPr>
          </w:p>
        </w:tc>
        <w:tc>
          <w:tcPr>
            <w:tcW w:w="780" w:type="dxa"/>
            <w:vAlign w:val="bottom"/>
            <w:shd w:val="clear" w:color="auto" w:fill="005C5D"/>
          </w:tcPr>
          <w:p>
            <w:pPr>
              <w:spacing w:after="0"/>
              <w:rPr>
                <w:sz w:val="13"/>
                <w:szCs w:val="13"/>
                <w:color w:val="auto"/>
              </w:rPr>
            </w:pPr>
          </w:p>
        </w:tc>
        <w:tc>
          <w:tcPr>
            <w:tcW w:w="800" w:type="dxa"/>
            <w:vAlign w:val="bottom"/>
            <w:shd w:val="clear" w:color="auto" w:fill="005C5D"/>
          </w:tcPr>
          <w:p>
            <w:pPr>
              <w:spacing w:after="0"/>
              <w:rPr>
                <w:sz w:val="13"/>
                <w:szCs w:val="13"/>
                <w:color w:val="auto"/>
              </w:rPr>
            </w:pPr>
          </w:p>
        </w:tc>
        <w:tc>
          <w:tcPr>
            <w:tcW w:w="880" w:type="dxa"/>
            <w:vAlign w:val="bottom"/>
            <w:shd w:val="clear" w:color="auto" w:fill="005C5D"/>
          </w:tcPr>
          <w:p>
            <w:pPr>
              <w:spacing w:after="0"/>
              <w:rPr>
                <w:sz w:val="13"/>
                <w:szCs w:val="13"/>
                <w:color w:val="auto"/>
              </w:rPr>
            </w:pPr>
          </w:p>
        </w:tc>
        <w:tc>
          <w:tcPr>
            <w:tcW w:w="200" w:type="dxa"/>
            <w:vAlign w:val="bottom"/>
            <w:shd w:val="clear" w:color="auto" w:fill="005C5D"/>
          </w:tcPr>
          <w:p>
            <w:pPr>
              <w:spacing w:after="0"/>
              <w:rPr>
                <w:sz w:val="13"/>
                <w:szCs w:val="13"/>
                <w:color w:val="auto"/>
              </w:rPr>
            </w:pPr>
          </w:p>
        </w:tc>
        <w:tc>
          <w:tcPr>
            <w:tcW w:w="880" w:type="dxa"/>
            <w:vAlign w:val="bottom"/>
            <w:shd w:val="clear" w:color="auto" w:fill="005C5D"/>
          </w:tcPr>
          <w:p>
            <w:pPr>
              <w:jc w:val="center"/>
              <w:ind w:right="109"/>
              <w:spacing w:after="0"/>
              <w:rPr>
                <w:sz w:val="20"/>
                <w:szCs w:val="20"/>
                <w:color w:val="auto"/>
              </w:rPr>
            </w:pPr>
            <w:r>
              <w:rPr>
                <w:rFonts w:ascii="Arial" w:cs="Arial" w:eastAsia="Arial" w:hAnsi="Arial"/>
                <w:sz w:val="14"/>
                <w:szCs w:val="14"/>
                <w:color w:val="FFFFFF"/>
              </w:rPr>
              <w:t>PLAN</w:t>
            </w:r>
          </w:p>
        </w:tc>
        <w:tc>
          <w:tcPr>
            <w:tcW w:w="1160" w:type="dxa"/>
            <w:vAlign w:val="bottom"/>
            <w:gridSpan w:val="2"/>
            <w:shd w:val="clear" w:color="auto" w:fill="005C5D"/>
          </w:tcPr>
          <w:p>
            <w:pPr>
              <w:jc w:val="center"/>
              <w:ind w:right="112"/>
              <w:spacing w:after="0"/>
              <w:rPr>
                <w:sz w:val="20"/>
                <w:szCs w:val="20"/>
                <w:color w:val="auto"/>
              </w:rPr>
            </w:pPr>
            <w:r>
              <w:rPr>
                <w:rFonts w:ascii="Arial" w:cs="Arial" w:eastAsia="Arial" w:hAnsi="Arial"/>
                <w:sz w:val="14"/>
                <w:szCs w:val="14"/>
                <w:color w:val="FFFFFF"/>
              </w:rPr>
              <w:t>ALL OTHER</w:t>
            </w:r>
          </w:p>
        </w:tc>
        <w:tc>
          <w:tcPr>
            <w:tcW w:w="880" w:type="dxa"/>
            <w:vAlign w:val="bottom"/>
            <w:shd w:val="clear" w:color="auto" w:fill="005C5D"/>
          </w:tcPr>
          <w:p>
            <w:pPr>
              <w:jc w:val="center"/>
              <w:spacing w:after="0"/>
              <w:rPr>
                <w:sz w:val="20"/>
                <w:szCs w:val="20"/>
                <w:color w:val="auto"/>
              </w:rPr>
            </w:pPr>
            <w:r>
              <w:rPr>
                <w:rFonts w:ascii="Arial" w:cs="Arial" w:eastAsia="Arial" w:hAnsi="Arial"/>
                <w:sz w:val="14"/>
                <w:szCs w:val="14"/>
                <w:color w:val="FFFFFF"/>
                <w:w w:val="97"/>
              </w:rPr>
              <w:t>TOTAL</w:t>
            </w:r>
          </w:p>
        </w:tc>
        <w:tc>
          <w:tcPr>
            <w:tcW w:w="0" w:type="dxa"/>
            <w:vAlign w:val="bottom"/>
          </w:tcPr>
          <w:p>
            <w:pPr>
              <w:spacing w:after="0"/>
              <w:rPr>
                <w:sz w:val="1"/>
                <w:szCs w:val="1"/>
                <w:color w:val="auto"/>
              </w:rPr>
            </w:pPr>
          </w:p>
        </w:tc>
      </w:tr>
      <w:tr>
        <w:trPr>
          <w:trHeight w:val="160"/>
        </w:trPr>
        <w:tc>
          <w:tcPr>
            <w:tcW w:w="4640" w:type="dxa"/>
            <w:vAlign w:val="bottom"/>
            <w:shd w:val="clear" w:color="auto" w:fill="005C5D"/>
          </w:tcPr>
          <w:p>
            <w:pPr>
              <w:spacing w:after="0"/>
              <w:rPr>
                <w:sz w:val="13"/>
                <w:szCs w:val="13"/>
                <w:color w:val="auto"/>
              </w:rPr>
            </w:pPr>
          </w:p>
        </w:tc>
        <w:tc>
          <w:tcPr>
            <w:tcW w:w="80" w:type="dxa"/>
            <w:vAlign w:val="bottom"/>
            <w:tcBorders>
              <w:right w:val="single" w:sz="8" w:color="005C5D"/>
            </w:tcBorders>
            <w:shd w:val="clear" w:color="auto" w:fill="005C5D"/>
          </w:tcPr>
          <w:p>
            <w:pPr>
              <w:spacing w:after="0"/>
              <w:rPr>
                <w:sz w:val="13"/>
                <w:szCs w:val="13"/>
                <w:color w:val="auto"/>
              </w:rPr>
            </w:pPr>
          </w:p>
        </w:tc>
        <w:tc>
          <w:tcPr>
            <w:tcW w:w="620" w:type="dxa"/>
            <w:vAlign w:val="bottom"/>
            <w:shd w:val="clear" w:color="auto" w:fill="005C5D"/>
          </w:tcPr>
          <w:p>
            <w:pPr>
              <w:jc w:val="right"/>
              <w:ind w:right="29"/>
              <w:spacing w:after="0"/>
              <w:rPr>
                <w:sz w:val="20"/>
                <w:szCs w:val="20"/>
                <w:color w:val="auto"/>
              </w:rPr>
            </w:pPr>
            <w:r>
              <w:rPr>
                <w:rFonts w:ascii="Arial" w:cs="Arial" w:eastAsia="Arial" w:hAnsi="Arial"/>
                <w:sz w:val="14"/>
                <w:szCs w:val="14"/>
                <w:color w:val="FFFFFF"/>
              </w:rPr>
              <w:t>FISCAL</w:t>
            </w:r>
          </w:p>
        </w:tc>
        <w:tc>
          <w:tcPr>
            <w:tcW w:w="780" w:type="dxa"/>
            <w:vAlign w:val="bottom"/>
            <w:shd w:val="clear" w:color="auto" w:fill="005C5D"/>
          </w:tcPr>
          <w:p>
            <w:pPr>
              <w:spacing w:after="0"/>
              <w:rPr>
                <w:sz w:val="13"/>
                <w:szCs w:val="13"/>
                <w:color w:val="auto"/>
              </w:rPr>
            </w:pPr>
          </w:p>
        </w:tc>
        <w:tc>
          <w:tcPr>
            <w:tcW w:w="800" w:type="dxa"/>
            <w:vAlign w:val="bottom"/>
            <w:shd w:val="clear" w:color="auto" w:fill="005C5D"/>
          </w:tcPr>
          <w:p>
            <w:pPr>
              <w:spacing w:after="0"/>
              <w:rPr>
                <w:sz w:val="13"/>
                <w:szCs w:val="13"/>
                <w:color w:val="auto"/>
              </w:rPr>
            </w:pPr>
          </w:p>
        </w:tc>
        <w:tc>
          <w:tcPr>
            <w:tcW w:w="880" w:type="dxa"/>
            <w:vAlign w:val="bottom"/>
            <w:shd w:val="clear" w:color="auto" w:fill="005C5D"/>
          </w:tcPr>
          <w:p>
            <w:pPr>
              <w:jc w:val="right"/>
              <w:ind w:right="129"/>
              <w:spacing w:after="0"/>
              <w:rPr>
                <w:sz w:val="20"/>
                <w:szCs w:val="20"/>
                <w:color w:val="auto"/>
              </w:rPr>
            </w:pPr>
            <w:r>
              <w:rPr>
                <w:rFonts w:ascii="Arial" w:cs="Arial" w:eastAsia="Arial" w:hAnsi="Arial"/>
                <w:sz w:val="14"/>
                <w:szCs w:val="14"/>
                <w:color w:val="FFFFFF"/>
              </w:rPr>
              <w:t>STOCK</w:t>
            </w:r>
          </w:p>
        </w:tc>
        <w:tc>
          <w:tcPr>
            <w:tcW w:w="200" w:type="dxa"/>
            <w:vAlign w:val="bottom"/>
            <w:shd w:val="clear" w:color="auto" w:fill="005C5D"/>
          </w:tcPr>
          <w:p>
            <w:pPr>
              <w:spacing w:after="0"/>
              <w:rPr>
                <w:sz w:val="13"/>
                <w:szCs w:val="13"/>
                <w:color w:val="auto"/>
              </w:rPr>
            </w:pPr>
          </w:p>
        </w:tc>
        <w:tc>
          <w:tcPr>
            <w:tcW w:w="880" w:type="dxa"/>
            <w:vAlign w:val="bottom"/>
            <w:shd w:val="clear" w:color="auto" w:fill="005C5D"/>
          </w:tcPr>
          <w:p>
            <w:pPr>
              <w:jc w:val="center"/>
              <w:ind w:right="129"/>
              <w:spacing w:after="0"/>
              <w:rPr>
                <w:sz w:val="20"/>
                <w:szCs w:val="20"/>
                <w:color w:val="auto"/>
              </w:rPr>
            </w:pPr>
            <w:r>
              <w:rPr>
                <w:rFonts w:ascii="Arial" w:cs="Arial" w:eastAsia="Arial" w:hAnsi="Arial"/>
                <w:sz w:val="14"/>
                <w:szCs w:val="14"/>
                <w:color w:val="FFFFFF"/>
              </w:rPr>
              <w:t>COMPEN-</w:t>
            </w:r>
          </w:p>
        </w:tc>
        <w:tc>
          <w:tcPr>
            <w:tcW w:w="1160" w:type="dxa"/>
            <w:vAlign w:val="bottom"/>
            <w:gridSpan w:val="2"/>
            <w:shd w:val="clear" w:color="auto" w:fill="005C5D"/>
          </w:tcPr>
          <w:p>
            <w:pPr>
              <w:jc w:val="center"/>
              <w:ind w:right="92"/>
              <w:spacing w:after="0"/>
              <w:rPr>
                <w:sz w:val="20"/>
                <w:szCs w:val="20"/>
                <w:color w:val="auto"/>
              </w:rPr>
            </w:pPr>
            <w:r>
              <w:rPr>
                <w:rFonts w:ascii="Arial" w:cs="Arial" w:eastAsia="Arial" w:hAnsi="Arial"/>
                <w:sz w:val="14"/>
                <w:szCs w:val="14"/>
                <w:color w:val="FFFFFF"/>
              </w:rPr>
              <w:t>COMPEN-</w:t>
            </w:r>
          </w:p>
        </w:tc>
        <w:tc>
          <w:tcPr>
            <w:tcW w:w="880" w:type="dxa"/>
            <w:vAlign w:val="bottom"/>
            <w:shd w:val="clear" w:color="auto" w:fill="005C5D"/>
          </w:tcPr>
          <w:p>
            <w:pPr>
              <w:jc w:val="center"/>
              <w:spacing w:after="0"/>
              <w:rPr>
                <w:sz w:val="20"/>
                <w:szCs w:val="20"/>
                <w:color w:val="auto"/>
              </w:rPr>
            </w:pPr>
            <w:r>
              <w:rPr>
                <w:rFonts w:ascii="Arial" w:cs="Arial" w:eastAsia="Arial" w:hAnsi="Arial"/>
                <w:sz w:val="14"/>
                <w:szCs w:val="14"/>
                <w:color w:val="FFFFFF"/>
              </w:rPr>
              <w:t>COMPEN-</w:t>
            </w:r>
          </w:p>
        </w:tc>
        <w:tc>
          <w:tcPr>
            <w:tcW w:w="0" w:type="dxa"/>
            <w:vAlign w:val="bottom"/>
          </w:tcPr>
          <w:p>
            <w:pPr>
              <w:spacing w:after="0"/>
              <w:rPr>
                <w:sz w:val="1"/>
                <w:szCs w:val="1"/>
                <w:color w:val="auto"/>
              </w:rPr>
            </w:pPr>
          </w:p>
        </w:tc>
      </w:tr>
      <w:tr>
        <w:trPr>
          <w:trHeight w:val="217"/>
        </w:trPr>
        <w:tc>
          <w:tcPr>
            <w:tcW w:w="4720" w:type="dxa"/>
            <w:vAlign w:val="bottom"/>
            <w:tcBorders>
              <w:bottom w:val="single" w:sz="8" w:color="005C5D"/>
              <w:right w:val="single" w:sz="8" w:color="005C5D"/>
            </w:tcBorders>
            <w:gridSpan w:val="2"/>
            <w:shd w:val="clear" w:color="auto" w:fill="005C5D"/>
          </w:tcPr>
          <w:p>
            <w:pPr>
              <w:ind w:left="80"/>
              <w:spacing w:after="0"/>
              <w:rPr>
                <w:sz w:val="20"/>
                <w:szCs w:val="20"/>
                <w:color w:val="auto"/>
              </w:rPr>
            </w:pPr>
            <w:r>
              <w:rPr>
                <w:rFonts w:ascii="Arial" w:cs="Arial" w:eastAsia="Arial" w:hAnsi="Arial"/>
                <w:sz w:val="14"/>
                <w:szCs w:val="14"/>
                <w:color w:val="FFFFFF"/>
              </w:rPr>
              <w:t>NAME AND PRINCIPAL POSITION</w:t>
            </w:r>
          </w:p>
        </w:tc>
        <w:tc>
          <w:tcPr>
            <w:tcW w:w="620" w:type="dxa"/>
            <w:vAlign w:val="bottom"/>
            <w:tcBorders>
              <w:bottom w:val="single" w:sz="8" w:color="005C5D"/>
            </w:tcBorders>
            <w:shd w:val="clear" w:color="auto" w:fill="005C5D"/>
          </w:tcPr>
          <w:p>
            <w:pPr>
              <w:jc w:val="right"/>
              <w:ind w:right="89"/>
              <w:spacing w:after="0"/>
              <w:rPr>
                <w:sz w:val="20"/>
                <w:szCs w:val="20"/>
                <w:color w:val="auto"/>
              </w:rPr>
            </w:pPr>
            <w:r>
              <w:rPr>
                <w:rFonts w:ascii="Arial" w:cs="Arial" w:eastAsia="Arial" w:hAnsi="Arial"/>
                <w:sz w:val="14"/>
                <w:szCs w:val="14"/>
                <w:color w:val="FFFFFF"/>
              </w:rPr>
              <w:t>YEAR</w:t>
            </w:r>
          </w:p>
        </w:tc>
        <w:tc>
          <w:tcPr>
            <w:tcW w:w="780" w:type="dxa"/>
            <w:vAlign w:val="bottom"/>
            <w:tcBorders>
              <w:bottom w:val="single" w:sz="8" w:color="005C5D"/>
            </w:tcBorders>
            <w:shd w:val="clear" w:color="auto" w:fill="005C5D"/>
          </w:tcPr>
          <w:p>
            <w:pPr>
              <w:jc w:val="right"/>
              <w:ind w:right="49"/>
              <w:spacing w:after="0"/>
              <w:rPr>
                <w:sz w:val="20"/>
                <w:szCs w:val="20"/>
                <w:color w:val="auto"/>
              </w:rPr>
            </w:pPr>
            <w:r>
              <w:rPr>
                <w:rFonts w:ascii="Arial" w:cs="Arial" w:eastAsia="Arial" w:hAnsi="Arial"/>
                <w:sz w:val="14"/>
                <w:szCs w:val="14"/>
                <w:color w:val="FFFFFF"/>
              </w:rPr>
              <w:t>SALARY</w:t>
            </w:r>
          </w:p>
        </w:tc>
        <w:tc>
          <w:tcPr>
            <w:tcW w:w="800" w:type="dxa"/>
            <w:vAlign w:val="bottom"/>
            <w:tcBorders>
              <w:bottom w:val="single" w:sz="8" w:color="005C5D"/>
            </w:tcBorders>
            <w:shd w:val="clear" w:color="auto" w:fill="005C5D"/>
          </w:tcPr>
          <w:p>
            <w:pPr>
              <w:jc w:val="right"/>
              <w:ind w:right="89"/>
              <w:spacing w:after="0"/>
              <w:rPr>
                <w:sz w:val="20"/>
                <w:szCs w:val="20"/>
                <w:color w:val="auto"/>
              </w:rPr>
            </w:pPr>
            <w:r>
              <w:rPr>
                <w:rFonts w:ascii="Arial" w:cs="Arial" w:eastAsia="Arial" w:hAnsi="Arial"/>
                <w:sz w:val="14"/>
                <w:szCs w:val="14"/>
                <w:color w:val="FFFFFF"/>
              </w:rPr>
              <w:t>BONUS</w:t>
            </w:r>
          </w:p>
        </w:tc>
        <w:tc>
          <w:tcPr>
            <w:tcW w:w="880" w:type="dxa"/>
            <w:vAlign w:val="bottom"/>
            <w:tcBorders>
              <w:bottom w:val="single" w:sz="8" w:color="005C5D"/>
            </w:tcBorders>
            <w:shd w:val="clear" w:color="auto" w:fill="005C5D"/>
          </w:tcPr>
          <w:p>
            <w:pPr>
              <w:jc w:val="right"/>
              <w:ind w:right="29"/>
              <w:spacing w:after="0"/>
              <w:rPr>
                <w:sz w:val="20"/>
                <w:szCs w:val="20"/>
                <w:color w:val="auto"/>
              </w:rPr>
            </w:pPr>
            <w:r>
              <w:rPr>
                <w:rFonts w:ascii="Arial" w:cs="Arial" w:eastAsia="Arial" w:hAnsi="Arial"/>
                <w:sz w:val="14"/>
                <w:szCs w:val="14"/>
                <w:color w:val="FFFFFF"/>
              </w:rPr>
              <w:t>AWARDS</w:t>
            </w:r>
            <w:r>
              <w:rPr>
                <w:rFonts w:ascii="Arial" w:cs="Arial" w:eastAsia="Arial" w:hAnsi="Arial"/>
                <w:sz w:val="14"/>
                <w:szCs w:val="14"/>
                <w:color w:val="FFFFFF"/>
                <w:vertAlign w:val="superscript"/>
              </w:rPr>
              <w:t>(1)</w:t>
            </w:r>
          </w:p>
        </w:tc>
        <w:tc>
          <w:tcPr>
            <w:tcW w:w="200" w:type="dxa"/>
            <w:vAlign w:val="bottom"/>
            <w:tcBorders>
              <w:bottom w:val="single" w:sz="8" w:color="005C5D"/>
            </w:tcBorders>
            <w:shd w:val="clear" w:color="auto" w:fill="005C5D"/>
          </w:tcPr>
          <w:p>
            <w:pPr>
              <w:spacing w:after="0"/>
              <w:rPr>
                <w:sz w:val="18"/>
                <w:szCs w:val="18"/>
                <w:color w:val="auto"/>
              </w:rPr>
            </w:pPr>
          </w:p>
        </w:tc>
        <w:tc>
          <w:tcPr>
            <w:tcW w:w="880" w:type="dxa"/>
            <w:vAlign w:val="bottom"/>
            <w:tcBorders>
              <w:bottom w:val="single" w:sz="8" w:color="005C5D"/>
            </w:tcBorders>
            <w:shd w:val="clear" w:color="auto" w:fill="005C5D"/>
          </w:tcPr>
          <w:p>
            <w:pPr>
              <w:jc w:val="center"/>
              <w:ind w:right="129"/>
              <w:spacing w:after="0"/>
              <w:rPr>
                <w:sz w:val="20"/>
                <w:szCs w:val="20"/>
                <w:color w:val="auto"/>
              </w:rPr>
            </w:pPr>
            <w:r>
              <w:rPr>
                <w:rFonts w:ascii="Arial" w:cs="Arial" w:eastAsia="Arial" w:hAnsi="Arial"/>
                <w:sz w:val="14"/>
                <w:szCs w:val="14"/>
                <w:color w:val="FFFFFF"/>
                <w:w w:val="94"/>
              </w:rPr>
              <w:t>SATION</w:t>
            </w:r>
            <w:r>
              <w:rPr>
                <w:rFonts w:ascii="Arial" w:cs="Arial" w:eastAsia="Arial" w:hAnsi="Arial"/>
                <w:sz w:val="14"/>
                <w:szCs w:val="14"/>
                <w:color w:val="FFFFFF"/>
                <w:w w:val="94"/>
                <w:vertAlign w:val="superscript"/>
              </w:rPr>
              <w:t>(2)</w:t>
            </w:r>
          </w:p>
        </w:tc>
        <w:tc>
          <w:tcPr>
            <w:tcW w:w="200" w:type="dxa"/>
            <w:vAlign w:val="bottom"/>
            <w:tcBorders>
              <w:bottom w:val="single" w:sz="8" w:color="005C5D"/>
            </w:tcBorders>
            <w:shd w:val="clear" w:color="auto" w:fill="005C5D"/>
          </w:tcPr>
          <w:p>
            <w:pPr>
              <w:spacing w:after="0"/>
              <w:rPr>
                <w:sz w:val="18"/>
                <w:szCs w:val="18"/>
                <w:color w:val="auto"/>
              </w:rPr>
            </w:pPr>
          </w:p>
        </w:tc>
        <w:tc>
          <w:tcPr>
            <w:tcW w:w="960" w:type="dxa"/>
            <w:vAlign w:val="bottom"/>
            <w:tcBorders>
              <w:bottom w:val="single" w:sz="8" w:color="005C5D"/>
            </w:tcBorders>
            <w:shd w:val="clear" w:color="auto" w:fill="005C5D"/>
          </w:tcPr>
          <w:p>
            <w:pPr>
              <w:jc w:val="center"/>
              <w:ind w:right="292"/>
              <w:spacing w:after="0"/>
              <w:rPr>
                <w:sz w:val="20"/>
                <w:szCs w:val="20"/>
                <w:color w:val="auto"/>
              </w:rPr>
            </w:pPr>
            <w:r>
              <w:rPr>
                <w:rFonts w:ascii="Arial" w:cs="Arial" w:eastAsia="Arial" w:hAnsi="Arial"/>
                <w:sz w:val="14"/>
                <w:szCs w:val="14"/>
                <w:color w:val="FFFFFF"/>
                <w:w w:val="99"/>
              </w:rPr>
              <w:t>SATION</w:t>
            </w:r>
          </w:p>
        </w:tc>
        <w:tc>
          <w:tcPr>
            <w:tcW w:w="880" w:type="dxa"/>
            <w:vAlign w:val="bottom"/>
            <w:tcBorders>
              <w:bottom w:val="single" w:sz="8" w:color="005C5D"/>
            </w:tcBorders>
            <w:shd w:val="clear" w:color="auto" w:fill="005C5D"/>
          </w:tcPr>
          <w:p>
            <w:pPr>
              <w:jc w:val="center"/>
              <w:spacing w:after="0"/>
              <w:rPr>
                <w:sz w:val="20"/>
                <w:szCs w:val="20"/>
                <w:color w:val="auto"/>
              </w:rPr>
            </w:pPr>
            <w:r>
              <w:rPr>
                <w:rFonts w:ascii="Arial" w:cs="Arial" w:eastAsia="Arial" w:hAnsi="Arial"/>
                <w:sz w:val="14"/>
                <w:szCs w:val="14"/>
                <w:color w:val="FFFFFF"/>
                <w:w w:val="99"/>
              </w:rPr>
              <w:t>SATION</w:t>
            </w:r>
          </w:p>
        </w:tc>
        <w:tc>
          <w:tcPr>
            <w:tcW w:w="0" w:type="dxa"/>
            <w:vAlign w:val="bottom"/>
          </w:tcPr>
          <w:p>
            <w:pPr>
              <w:spacing w:after="0"/>
              <w:rPr>
                <w:sz w:val="1"/>
                <w:szCs w:val="1"/>
                <w:color w:val="auto"/>
              </w:rPr>
            </w:pPr>
          </w:p>
        </w:tc>
      </w:tr>
      <w:tr>
        <w:trPr>
          <w:trHeight w:val="227"/>
        </w:trPr>
        <w:tc>
          <w:tcPr>
            <w:tcW w:w="4720" w:type="dxa"/>
            <w:vAlign w:val="bottom"/>
            <w:tcBorders>
              <w:right w:val="single" w:sz="8" w:color="FCEFEB"/>
            </w:tcBorders>
            <w:gridSpan w:val="2"/>
          </w:tcPr>
          <w:p>
            <w:pPr>
              <w:ind w:left="80"/>
              <w:spacing w:after="0"/>
              <w:rPr>
                <w:sz w:val="20"/>
                <w:szCs w:val="20"/>
                <w:color w:val="auto"/>
              </w:rPr>
            </w:pPr>
            <w:r>
              <w:rPr>
                <w:rFonts w:ascii="Arial" w:cs="Arial" w:eastAsia="Arial" w:hAnsi="Arial"/>
                <w:sz w:val="14"/>
                <w:szCs w:val="14"/>
                <w:b w:val="1"/>
                <w:bCs w:val="1"/>
                <w:color w:val="005C5D"/>
              </w:rPr>
              <w:t>Ian Bickley</w:t>
            </w:r>
          </w:p>
        </w:tc>
        <w:tc>
          <w:tcPr>
            <w:tcW w:w="62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2026</w:t>
            </w:r>
          </w:p>
        </w:tc>
        <w:tc>
          <w:tcPr>
            <w:tcW w:w="78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$272,769</w:t>
            </w:r>
          </w:p>
        </w:tc>
        <w:tc>
          <w:tcPr>
            <w:tcW w:w="80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$ 30,000</w:t>
            </w:r>
          </w:p>
        </w:tc>
        <w:tc>
          <w:tcPr>
            <w:tcW w:w="880" w:type="dxa"/>
            <w:vAlign w:val="bottom"/>
            <w:shd w:val="clear" w:color="auto" w:fill="FCEFEB"/>
          </w:tcPr>
          <w:p>
            <w:pPr>
              <w:jc w:val="right"/>
              <w:ind w:right="9"/>
              <w:spacing w:after="0"/>
              <w:rPr>
                <w:sz w:val="20"/>
                <w:szCs w:val="20"/>
                <w:color w:val="auto"/>
              </w:rPr>
            </w:pPr>
            <w:r>
              <w:rPr>
                <w:rFonts w:ascii="Arial" w:cs="Arial" w:eastAsia="Arial" w:hAnsi="Arial"/>
                <w:sz w:val="14"/>
                <w:szCs w:val="14"/>
                <w:color w:val="333333"/>
              </w:rPr>
              <w:t>1,499,999</w:t>
            </w:r>
          </w:p>
        </w:tc>
        <w:tc>
          <w:tcPr>
            <w:tcW w:w="20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880" w:type="dxa"/>
            <w:vAlign w:val="bottom"/>
            <w:shd w:val="clear" w:color="auto" w:fill="FCEFEB"/>
          </w:tcPr>
          <w:p>
            <w:pPr>
              <w:jc w:val="right"/>
              <w:ind w:right="9"/>
              <w:spacing w:after="0"/>
              <w:rPr>
                <w:sz w:val="20"/>
                <w:szCs w:val="20"/>
                <w:color w:val="auto"/>
              </w:rPr>
            </w:pPr>
            <w:r>
              <w:rPr>
                <w:rFonts w:ascii="Arial" w:cs="Arial" w:eastAsia="Arial" w:hAnsi="Arial"/>
                <w:sz w:val="14"/>
                <w:szCs w:val="14"/>
                <w:color w:val="333333"/>
              </w:rPr>
              <w:t>—</w:t>
            </w:r>
          </w:p>
        </w:tc>
        <w:tc>
          <w:tcPr>
            <w:tcW w:w="20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960" w:type="dxa"/>
            <w:vAlign w:val="bottom"/>
            <w:shd w:val="clear" w:color="auto" w:fill="FCEFEB"/>
          </w:tcPr>
          <w:p>
            <w:pPr>
              <w:jc w:val="right"/>
              <w:ind w:right="72"/>
              <w:spacing w:after="0" w:line="227" w:lineRule="exact"/>
              <w:rPr>
                <w:sz w:val="20"/>
                <w:szCs w:val="20"/>
                <w:color w:val="auto"/>
              </w:rPr>
            </w:pPr>
            <w:r>
              <w:rPr>
                <w:rFonts w:ascii="Arial" w:cs="Arial" w:eastAsia="Arial" w:hAnsi="Arial"/>
                <w:sz w:val="14"/>
                <w:szCs w:val="14"/>
                <w:color w:val="333333"/>
              </w:rPr>
              <w:t>1,340</w:t>
            </w:r>
            <w:r>
              <w:rPr>
                <w:rFonts w:ascii="Arial" w:cs="Arial" w:eastAsia="Arial" w:hAnsi="Arial"/>
                <w:sz w:val="21"/>
                <w:szCs w:val="21"/>
                <w:color w:val="333333"/>
                <w:vertAlign w:val="superscript"/>
              </w:rPr>
              <w:t>(3)</w:t>
            </w:r>
          </w:p>
        </w:tc>
        <w:tc>
          <w:tcPr>
            <w:tcW w:w="88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$1,804,108</w:t>
            </w:r>
          </w:p>
        </w:tc>
        <w:tc>
          <w:tcPr>
            <w:tcW w:w="0" w:type="dxa"/>
            <w:vAlign w:val="bottom"/>
          </w:tcPr>
          <w:p>
            <w:pPr>
              <w:spacing w:after="0"/>
              <w:rPr>
                <w:sz w:val="1"/>
                <w:szCs w:val="1"/>
                <w:color w:val="auto"/>
              </w:rPr>
            </w:pPr>
          </w:p>
        </w:tc>
      </w:tr>
      <w:tr>
        <w:trPr>
          <w:trHeight w:val="160"/>
        </w:trPr>
        <w:tc>
          <w:tcPr>
            <w:tcW w:w="4720" w:type="dxa"/>
            <w:vAlign w:val="bottom"/>
            <w:tcBorders>
              <w:bottom w:val="single" w:sz="8" w:color="005C5D"/>
              <w:right w:val="single" w:sz="8" w:color="FCEFEB"/>
            </w:tcBorders>
            <w:gridSpan w:val="2"/>
          </w:tcPr>
          <w:p>
            <w:pPr>
              <w:ind w:left="80"/>
              <w:spacing w:after="0"/>
              <w:rPr>
                <w:sz w:val="20"/>
                <w:szCs w:val="20"/>
                <w:color w:val="auto"/>
              </w:rPr>
            </w:pPr>
            <w:r>
              <w:rPr>
                <w:rFonts w:ascii="Arial" w:cs="Arial" w:eastAsia="Arial" w:hAnsi="Arial"/>
                <w:sz w:val="14"/>
                <w:szCs w:val="14"/>
                <w:color w:val="333333"/>
              </w:rPr>
              <w:t>CEO and Executive Chairman, Vera Bradley, Inc.</w:t>
            </w:r>
          </w:p>
        </w:tc>
        <w:tc>
          <w:tcPr>
            <w:tcW w:w="620" w:type="dxa"/>
            <w:vAlign w:val="bottom"/>
            <w:tcBorders>
              <w:bottom w:val="single" w:sz="8" w:color="005C5D"/>
            </w:tcBorders>
            <w:shd w:val="clear" w:color="auto" w:fill="FCEFEB"/>
          </w:tcPr>
          <w:p>
            <w:pPr>
              <w:spacing w:after="0"/>
              <w:rPr>
                <w:sz w:val="13"/>
                <w:szCs w:val="13"/>
                <w:color w:val="auto"/>
              </w:rPr>
            </w:pPr>
          </w:p>
        </w:tc>
        <w:tc>
          <w:tcPr>
            <w:tcW w:w="780" w:type="dxa"/>
            <w:vAlign w:val="bottom"/>
            <w:tcBorders>
              <w:bottom w:val="single" w:sz="8" w:color="005C5D"/>
            </w:tcBorders>
            <w:shd w:val="clear" w:color="auto" w:fill="FCEFEB"/>
          </w:tcPr>
          <w:p>
            <w:pPr>
              <w:spacing w:after="0"/>
              <w:rPr>
                <w:sz w:val="13"/>
                <w:szCs w:val="13"/>
                <w:color w:val="auto"/>
              </w:rPr>
            </w:pPr>
          </w:p>
        </w:tc>
        <w:tc>
          <w:tcPr>
            <w:tcW w:w="800" w:type="dxa"/>
            <w:vAlign w:val="bottom"/>
            <w:tcBorders>
              <w:bottom w:val="single" w:sz="8" w:color="005C5D"/>
            </w:tcBorders>
            <w:shd w:val="clear" w:color="auto" w:fill="FCEFEB"/>
          </w:tcPr>
          <w:p>
            <w:pPr>
              <w:spacing w:after="0"/>
              <w:rPr>
                <w:sz w:val="13"/>
                <w:szCs w:val="13"/>
                <w:color w:val="auto"/>
              </w:rPr>
            </w:pPr>
          </w:p>
        </w:tc>
        <w:tc>
          <w:tcPr>
            <w:tcW w:w="880" w:type="dxa"/>
            <w:vAlign w:val="bottom"/>
            <w:tcBorders>
              <w:bottom w:val="single" w:sz="8" w:color="005C5D"/>
            </w:tcBorders>
            <w:shd w:val="clear" w:color="auto" w:fill="FCEFEB"/>
          </w:tcPr>
          <w:p>
            <w:pPr>
              <w:spacing w:after="0"/>
              <w:rPr>
                <w:sz w:val="13"/>
                <w:szCs w:val="13"/>
                <w:color w:val="auto"/>
              </w:rPr>
            </w:pPr>
          </w:p>
        </w:tc>
        <w:tc>
          <w:tcPr>
            <w:tcW w:w="200" w:type="dxa"/>
            <w:vAlign w:val="bottom"/>
            <w:tcBorders>
              <w:bottom w:val="single" w:sz="8" w:color="005C5D"/>
            </w:tcBorders>
            <w:shd w:val="clear" w:color="auto" w:fill="FCEFEB"/>
          </w:tcPr>
          <w:p>
            <w:pPr>
              <w:spacing w:after="0"/>
              <w:rPr>
                <w:sz w:val="13"/>
                <w:szCs w:val="13"/>
                <w:color w:val="auto"/>
              </w:rPr>
            </w:pPr>
          </w:p>
        </w:tc>
        <w:tc>
          <w:tcPr>
            <w:tcW w:w="880" w:type="dxa"/>
            <w:vAlign w:val="bottom"/>
            <w:tcBorders>
              <w:bottom w:val="single" w:sz="8" w:color="005C5D"/>
            </w:tcBorders>
            <w:shd w:val="clear" w:color="auto" w:fill="FCEFEB"/>
          </w:tcPr>
          <w:p>
            <w:pPr>
              <w:spacing w:after="0"/>
              <w:rPr>
                <w:sz w:val="13"/>
                <w:szCs w:val="13"/>
                <w:color w:val="auto"/>
              </w:rPr>
            </w:pPr>
          </w:p>
        </w:tc>
        <w:tc>
          <w:tcPr>
            <w:tcW w:w="200" w:type="dxa"/>
            <w:vAlign w:val="bottom"/>
            <w:tcBorders>
              <w:bottom w:val="single" w:sz="8" w:color="005C5D"/>
            </w:tcBorders>
            <w:shd w:val="clear" w:color="auto" w:fill="FCEFEB"/>
          </w:tcPr>
          <w:p>
            <w:pPr>
              <w:spacing w:after="0"/>
              <w:rPr>
                <w:sz w:val="13"/>
                <w:szCs w:val="13"/>
                <w:color w:val="auto"/>
              </w:rPr>
            </w:pPr>
          </w:p>
        </w:tc>
        <w:tc>
          <w:tcPr>
            <w:tcW w:w="960" w:type="dxa"/>
            <w:vAlign w:val="bottom"/>
            <w:tcBorders>
              <w:bottom w:val="single" w:sz="8" w:color="005C5D"/>
            </w:tcBorders>
            <w:shd w:val="clear" w:color="auto" w:fill="FCEFEB"/>
          </w:tcPr>
          <w:p>
            <w:pPr>
              <w:spacing w:after="0"/>
              <w:rPr>
                <w:sz w:val="13"/>
                <w:szCs w:val="13"/>
                <w:color w:val="auto"/>
              </w:rPr>
            </w:pPr>
          </w:p>
        </w:tc>
        <w:tc>
          <w:tcPr>
            <w:tcW w:w="880" w:type="dxa"/>
            <w:vAlign w:val="bottom"/>
            <w:tcBorders>
              <w:bottom w:val="single" w:sz="8" w:color="005C5D"/>
            </w:tcBorders>
            <w:shd w:val="clear" w:color="auto" w:fill="FCEFEB"/>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720" w:type="dxa"/>
            <w:vAlign w:val="bottom"/>
            <w:tcBorders>
              <w:right w:val="single" w:sz="8" w:color="FCEFEB"/>
            </w:tcBorders>
            <w:gridSpan w:val="2"/>
          </w:tcPr>
          <w:p>
            <w:pPr>
              <w:ind w:left="80"/>
              <w:spacing w:after="0"/>
              <w:rPr>
                <w:sz w:val="20"/>
                <w:szCs w:val="20"/>
                <w:color w:val="auto"/>
              </w:rPr>
            </w:pPr>
            <w:r>
              <w:rPr>
                <w:rFonts w:ascii="Arial" w:cs="Arial" w:eastAsia="Arial" w:hAnsi="Arial"/>
                <w:sz w:val="14"/>
                <w:szCs w:val="14"/>
                <w:b w:val="1"/>
                <w:bCs w:val="1"/>
                <w:color w:val="005C5D"/>
              </w:rPr>
              <w:t>Jacqueline Ardrey</w:t>
            </w:r>
          </w:p>
        </w:tc>
        <w:tc>
          <w:tcPr>
            <w:tcW w:w="62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2026</w:t>
            </w:r>
          </w:p>
        </w:tc>
        <w:tc>
          <w:tcPr>
            <w:tcW w:w="78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434,383</w:t>
            </w:r>
          </w:p>
        </w:tc>
        <w:tc>
          <w:tcPr>
            <w:tcW w:w="80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w:t>
            </w:r>
          </w:p>
        </w:tc>
        <w:tc>
          <w:tcPr>
            <w:tcW w:w="880" w:type="dxa"/>
            <w:vAlign w:val="bottom"/>
            <w:shd w:val="clear" w:color="auto" w:fill="FCEFEB"/>
          </w:tcPr>
          <w:p>
            <w:pPr>
              <w:jc w:val="right"/>
              <w:ind w:right="9"/>
              <w:spacing w:after="0"/>
              <w:rPr>
                <w:sz w:val="20"/>
                <w:szCs w:val="20"/>
                <w:color w:val="auto"/>
              </w:rPr>
            </w:pPr>
            <w:r>
              <w:rPr>
                <w:rFonts w:ascii="Arial" w:cs="Arial" w:eastAsia="Arial" w:hAnsi="Arial"/>
                <w:sz w:val="14"/>
                <w:szCs w:val="14"/>
                <w:color w:val="333333"/>
              </w:rPr>
              <w:t>699,999</w:t>
            </w:r>
          </w:p>
        </w:tc>
        <w:tc>
          <w:tcPr>
            <w:tcW w:w="200" w:type="dxa"/>
            <w:vAlign w:val="bottom"/>
            <w:shd w:val="clear" w:color="auto" w:fill="FCEFEB"/>
          </w:tcPr>
          <w:p>
            <w:pPr>
              <w:spacing w:after="0"/>
              <w:rPr>
                <w:sz w:val="16"/>
                <w:szCs w:val="16"/>
                <w:color w:val="auto"/>
              </w:rPr>
            </w:pPr>
          </w:p>
        </w:tc>
        <w:tc>
          <w:tcPr>
            <w:tcW w:w="880" w:type="dxa"/>
            <w:vAlign w:val="bottom"/>
            <w:shd w:val="clear" w:color="auto" w:fill="FCEFEB"/>
          </w:tcPr>
          <w:p>
            <w:pPr>
              <w:jc w:val="right"/>
              <w:ind w:right="9"/>
              <w:spacing w:after="0"/>
              <w:rPr>
                <w:sz w:val="20"/>
                <w:szCs w:val="20"/>
                <w:color w:val="auto"/>
              </w:rPr>
            </w:pPr>
            <w:r>
              <w:rPr>
                <w:rFonts w:ascii="Arial" w:cs="Arial" w:eastAsia="Arial" w:hAnsi="Arial"/>
                <w:sz w:val="14"/>
                <w:szCs w:val="14"/>
                <w:color w:val="333333"/>
              </w:rPr>
              <w:t>39,094</w:t>
            </w:r>
          </w:p>
        </w:tc>
        <w:tc>
          <w:tcPr>
            <w:tcW w:w="200" w:type="dxa"/>
            <w:vAlign w:val="bottom"/>
            <w:shd w:val="clear" w:color="auto" w:fill="FCEFEB"/>
          </w:tcPr>
          <w:p>
            <w:pPr>
              <w:spacing w:after="0"/>
              <w:rPr>
                <w:sz w:val="16"/>
                <w:szCs w:val="16"/>
                <w:color w:val="auto"/>
              </w:rPr>
            </w:pPr>
          </w:p>
        </w:tc>
        <w:tc>
          <w:tcPr>
            <w:tcW w:w="960" w:type="dxa"/>
            <w:vAlign w:val="bottom"/>
            <w:shd w:val="clear" w:color="auto" w:fill="FCEFEB"/>
          </w:tcPr>
          <w:p>
            <w:pPr>
              <w:jc w:val="right"/>
              <w:ind w:right="72"/>
              <w:spacing w:after="0" w:line="194" w:lineRule="exact"/>
              <w:rPr>
                <w:sz w:val="20"/>
                <w:szCs w:val="20"/>
                <w:color w:val="auto"/>
              </w:rPr>
            </w:pPr>
            <w:r>
              <w:rPr>
                <w:rFonts w:ascii="Arial" w:cs="Arial" w:eastAsia="Arial" w:hAnsi="Arial"/>
                <w:sz w:val="14"/>
                <w:szCs w:val="14"/>
                <w:color w:val="333333"/>
              </w:rPr>
              <w:t>2,055,487</w:t>
            </w:r>
            <w:r>
              <w:rPr>
                <w:rFonts w:ascii="Arial" w:cs="Arial" w:eastAsia="Arial" w:hAnsi="Arial"/>
                <w:sz w:val="21"/>
                <w:szCs w:val="21"/>
                <w:color w:val="333333"/>
                <w:vertAlign w:val="superscript"/>
              </w:rPr>
              <w:t>(4)</w:t>
            </w:r>
          </w:p>
        </w:tc>
        <w:tc>
          <w:tcPr>
            <w:tcW w:w="88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3,228,963</w:t>
            </w:r>
          </w:p>
        </w:tc>
        <w:tc>
          <w:tcPr>
            <w:tcW w:w="0" w:type="dxa"/>
            <w:vAlign w:val="bottom"/>
          </w:tcPr>
          <w:p>
            <w:pPr>
              <w:spacing w:after="0"/>
              <w:rPr>
                <w:sz w:val="1"/>
                <w:szCs w:val="1"/>
                <w:color w:val="auto"/>
              </w:rPr>
            </w:pPr>
          </w:p>
        </w:tc>
      </w:tr>
      <w:tr>
        <w:trPr>
          <w:trHeight w:val="160"/>
        </w:trPr>
        <w:tc>
          <w:tcPr>
            <w:tcW w:w="4720" w:type="dxa"/>
            <w:vAlign w:val="bottom"/>
            <w:tcBorders>
              <w:right w:val="single" w:sz="8" w:color="FCEFEB"/>
            </w:tcBorders>
            <w:gridSpan w:val="2"/>
          </w:tcPr>
          <w:p>
            <w:pPr>
              <w:ind w:left="80"/>
              <w:spacing w:after="0"/>
              <w:rPr>
                <w:sz w:val="20"/>
                <w:szCs w:val="20"/>
                <w:color w:val="auto"/>
              </w:rPr>
            </w:pPr>
            <w:r>
              <w:rPr>
                <w:rFonts w:ascii="Arial" w:cs="Arial" w:eastAsia="Arial" w:hAnsi="Arial"/>
                <w:sz w:val="14"/>
                <w:szCs w:val="14"/>
                <w:color w:val="333333"/>
              </w:rPr>
              <w:t>Fomer President and CEO, Vera Bradley, Inc.</w:t>
            </w:r>
          </w:p>
        </w:tc>
        <w:tc>
          <w:tcPr>
            <w:tcW w:w="62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2025</w:t>
            </w:r>
          </w:p>
        </w:tc>
        <w:tc>
          <w:tcPr>
            <w:tcW w:w="78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873,048</w:t>
            </w:r>
          </w:p>
        </w:tc>
        <w:tc>
          <w:tcPr>
            <w:tcW w:w="80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w:t>
            </w:r>
          </w:p>
        </w:tc>
        <w:tc>
          <w:tcPr>
            <w:tcW w:w="880" w:type="dxa"/>
            <w:vAlign w:val="bottom"/>
            <w:shd w:val="clear" w:color="auto" w:fill="FCEFEB"/>
          </w:tcPr>
          <w:p>
            <w:pPr>
              <w:jc w:val="right"/>
              <w:ind w:right="9"/>
              <w:spacing w:after="0"/>
              <w:rPr>
                <w:sz w:val="20"/>
                <w:szCs w:val="20"/>
                <w:color w:val="auto"/>
              </w:rPr>
            </w:pPr>
            <w:r>
              <w:rPr>
                <w:rFonts w:ascii="Arial" w:cs="Arial" w:eastAsia="Arial" w:hAnsi="Arial"/>
                <w:sz w:val="14"/>
                <w:szCs w:val="14"/>
                <w:color w:val="333333"/>
              </w:rPr>
              <w:t>1,400,005</w:t>
            </w:r>
          </w:p>
        </w:tc>
        <w:tc>
          <w:tcPr>
            <w:tcW w:w="200" w:type="dxa"/>
            <w:vAlign w:val="bottom"/>
            <w:shd w:val="clear" w:color="auto" w:fill="FCEFEB"/>
          </w:tcPr>
          <w:p>
            <w:pPr>
              <w:spacing w:after="0"/>
              <w:rPr>
                <w:sz w:val="13"/>
                <w:szCs w:val="13"/>
                <w:color w:val="auto"/>
              </w:rPr>
            </w:pPr>
          </w:p>
        </w:tc>
        <w:tc>
          <w:tcPr>
            <w:tcW w:w="880" w:type="dxa"/>
            <w:vAlign w:val="bottom"/>
            <w:shd w:val="clear" w:color="auto" w:fill="FCEFEB"/>
          </w:tcPr>
          <w:p>
            <w:pPr>
              <w:jc w:val="right"/>
              <w:ind w:right="9"/>
              <w:spacing w:after="0"/>
              <w:rPr>
                <w:sz w:val="20"/>
                <w:szCs w:val="20"/>
                <w:color w:val="auto"/>
              </w:rPr>
            </w:pPr>
            <w:r>
              <w:rPr>
                <w:rFonts w:ascii="Arial" w:cs="Arial" w:eastAsia="Arial" w:hAnsi="Arial"/>
                <w:sz w:val="14"/>
                <w:szCs w:val="14"/>
                <w:color w:val="333333"/>
              </w:rPr>
              <w:t>70,935</w:t>
            </w:r>
          </w:p>
        </w:tc>
        <w:tc>
          <w:tcPr>
            <w:tcW w:w="200" w:type="dxa"/>
            <w:vAlign w:val="bottom"/>
            <w:shd w:val="clear" w:color="auto" w:fill="FCEFEB"/>
          </w:tcPr>
          <w:p>
            <w:pPr>
              <w:spacing w:after="0"/>
              <w:rPr>
                <w:sz w:val="13"/>
                <w:szCs w:val="13"/>
                <w:color w:val="auto"/>
              </w:rPr>
            </w:pPr>
          </w:p>
        </w:tc>
        <w:tc>
          <w:tcPr>
            <w:tcW w:w="960" w:type="dxa"/>
            <w:vAlign w:val="bottom"/>
            <w:shd w:val="clear" w:color="auto" w:fill="FCEFEB"/>
          </w:tcPr>
          <w:p>
            <w:pPr>
              <w:jc w:val="right"/>
              <w:ind w:right="72"/>
              <w:spacing w:after="0" w:line="161" w:lineRule="exact"/>
              <w:rPr>
                <w:sz w:val="20"/>
                <w:szCs w:val="20"/>
                <w:color w:val="auto"/>
              </w:rPr>
            </w:pPr>
            <w:r>
              <w:rPr>
                <w:rFonts w:ascii="Arial" w:cs="Arial" w:eastAsia="Arial" w:hAnsi="Arial"/>
                <w:sz w:val="12"/>
                <w:szCs w:val="12"/>
                <w:color w:val="333333"/>
              </w:rPr>
              <w:t>16,021</w:t>
            </w:r>
            <w:r>
              <w:rPr>
                <w:rFonts w:ascii="Arial" w:cs="Arial" w:eastAsia="Arial" w:hAnsi="Arial"/>
                <w:sz w:val="18"/>
                <w:szCs w:val="18"/>
                <w:color w:val="333333"/>
                <w:vertAlign w:val="superscript"/>
              </w:rPr>
              <w:t>(5)</w:t>
            </w:r>
          </w:p>
        </w:tc>
        <w:tc>
          <w:tcPr>
            <w:tcW w:w="88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2,360,009</w:t>
            </w:r>
          </w:p>
        </w:tc>
        <w:tc>
          <w:tcPr>
            <w:tcW w:w="0" w:type="dxa"/>
            <w:vAlign w:val="bottom"/>
          </w:tcPr>
          <w:p>
            <w:pPr>
              <w:spacing w:after="0"/>
              <w:rPr>
                <w:sz w:val="1"/>
                <w:szCs w:val="1"/>
                <w:color w:val="auto"/>
              </w:rPr>
            </w:pPr>
          </w:p>
        </w:tc>
      </w:tr>
      <w:tr>
        <w:trPr>
          <w:trHeight w:val="241"/>
        </w:trPr>
        <w:tc>
          <w:tcPr>
            <w:tcW w:w="4640" w:type="dxa"/>
            <w:vAlign w:val="bottom"/>
            <w:tcBorders>
              <w:bottom w:val="single" w:sz="8" w:color="005C5D"/>
            </w:tcBorders>
          </w:tcPr>
          <w:p>
            <w:pPr>
              <w:spacing w:after="0"/>
              <w:rPr>
                <w:sz w:val="20"/>
                <w:szCs w:val="20"/>
                <w:color w:val="auto"/>
              </w:rPr>
            </w:pPr>
          </w:p>
        </w:tc>
        <w:tc>
          <w:tcPr>
            <w:tcW w:w="80" w:type="dxa"/>
            <w:vAlign w:val="bottom"/>
            <w:tcBorders>
              <w:bottom w:val="single" w:sz="8" w:color="005C5D"/>
              <w:right w:val="single" w:sz="8" w:color="FCEFEB"/>
            </w:tcBorders>
          </w:tcPr>
          <w:p>
            <w:pPr>
              <w:spacing w:after="0"/>
              <w:rPr>
                <w:sz w:val="20"/>
                <w:szCs w:val="20"/>
                <w:color w:val="auto"/>
              </w:rPr>
            </w:pPr>
          </w:p>
        </w:tc>
        <w:tc>
          <w:tcPr>
            <w:tcW w:w="62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2024</w:t>
            </w:r>
          </w:p>
        </w:tc>
        <w:tc>
          <w:tcPr>
            <w:tcW w:w="78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866,346</w:t>
            </w:r>
          </w:p>
        </w:tc>
        <w:tc>
          <w:tcPr>
            <w:tcW w:w="80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w:t>
            </w:r>
          </w:p>
        </w:tc>
        <w:tc>
          <w:tcPr>
            <w:tcW w:w="880" w:type="dxa"/>
            <w:vAlign w:val="bottom"/>
            <w:tcBorders>
              <w:bottom w:val="single" w:sz="8" w:color="005C5D"/>
            </w:tcBorders>
            <w:shd w:val="clear" w:color="auto" w:fill="FCEFEB"/>
          </w:tcPr>
          <w:p>
            <w:pPr>
              <w:jc w:val="right"/>
              <w:ind w:right="9"/>
              <w:spacing w:after="0"/>
              <w:rPr>
                <w:sz w:val="20"/>
                <w:szCs w:val="20"/>
                <w:color w:val="auto"/>
              </w:rPr>
            </w:pPr>
            <w:r>
              <w:rPr>
                <w:rFonts w:ascii="Arial" w:cs="Arial" w:eastAsia="Arial" w:hAnsi="Arial"/>
                <w:sz w:val="14"/>
                <w:szCs w:val="14"/>
                <w:color w:val="333333"/>
              </w:rPr>
              <w:t>—</w:t>
            </w:r>
          </w:p>
        </w:tc>
        <w:tc>
          <w:tcPr>
            <w:tcW w:w="200" w:type="dxa"/>
            <w:vAlign w:val="bottom"/>
            <w:tcBorders>
              <w:bottom w:val="single" w:sz="8" w:color="005C5D"/>
            </w:tcBorders>
            <w:shd w:val="clear" w:color="auto" w:fill="FCEFEB"/>
          </w:tcPr>
          <w:p>
            <w:pPr>
              <w:spacing w:after="0"/>
              <w:rPr>
                <w:sz w:val="20"/>
                <w:szCs w:val="20"/>
                <w:color w:val="auto"/>
              </w:rPr>
            </w:pPr>
          </w:p>
        </w:tc>
        <w:tc>
          <w:tcPr>
            <w:tcW w:w="880" w:type="dxa"/>
            <w:vAlign w:val="bottom"/>
            <w:tcBorders>
              <w:bottom w:val="single" w:sz="8" w:color="005C5D"/>
            </w:tcBorders>
            <w:shd w:val="clear" w:color="auto" w:fill="FCEFEB"/>
          </w:tcPr>
          <w:p>
            <w:pPr>
              <w:jc w:val="right"/>
              <w:ind w:right="9"/>
              <w:spacing w:after="0"/>
              <w:rPr>
                <w:sz w:val="20"/>
                <w:szCs w:val="20"/>
                <w:color w:val="auto"/>
              </w:rPr>
            </w:pPr>
            <w:r>
              <w:rPr>
                <w:rFonts w:ascii="Arial" w:cs="Arial" w:eastAsia="Arial" w:hAnsi="Arial"/>
                <w:sz w:val="14"/>
                <w:szCs w:val="14"/>
                <w:color w:val="333333"/>
              </w:rPr>
              <w:t>1,104,591</w:t>
            </w:r>
          </w:p>
        </w:tc>
        <w:tc>
          <w:tcPr>
            <w:tcW w:w="200" w:type="dxa"/>
            <w:vAlign w:val="bottom"/>
            <w:tcBorders>
              <w:bottom w:val="single" w:sz="8" w:color="005C5D"/>
            </w:tcBorders>
            <w:shd w:val="clear" w:color="auto" w:fill="FCEFEB"/>
          </w:tcPr>
          <w:p>
            <w:pPr>
              <w:spacing w:after="0"/>
              <w:rPr>
                <w:sz w:val="20"/>
                <w:szCs w:val="20"/>
                <w:color w:val="auto"/>
              </w:rPr>
            </w:pPr>
          </w:p>
        </w:tc>
        <w:tc>
          <w:tcPr>
            <w:tcW w:w="960" w:type="dxa"/>
            <w:vAlign w:val="bottom"/>
            <w:tcBorders>
              <w:bottom w:val="single" w:sz="8" w:color="005C5D"/>
            </w:tcBorders>
            <w:shd w:val="clear" w:color="auto" w:fill="FCEFEB"/>
          </w:tcPr>
          <w:p>
            <w:pPr>
              <w:jc w:val="right"/>
              <w:ind w:right="72"/>
              <w:spacing w:after="0"/>
              <w:rPr>
                <w:sz w:val="20"/>
                <w:szCs w:val="20"/>
                <w:color w:val="auto"/>
              </w:rPr>
            </w:pPr>
            <w:r>
              <w:rPr>
                <w:rFonts w:ascii="Arial" w:cs="Arial" w:eastAsia="Arial" w:hAnsi="Arial"/>
                <w:sz w:val="14"/>
                <w:szCs w:val="14"/>
                <w:color w:val="333333"/>
              </w:rPr>
              <w:t>5,138</w:t>
            </w:r>
            <w:r>
              <w:rPr>
                <w:rFonts w:ascii="Arial" w:cs="Arial" w:eastAsia="Arial" w:hAnsi="Arial"/>
                <w:sz w:val="21"/>
                <w:szCs w:val="21"/>
                <w:color w:val="333333"/>
                <w:vertAlign w:val="superscript"/>
              </w:rPr>
              <w:t>(6)</w:t>
            </w:r>
          </w:p>
        </w:tc>
        <w:tc>
          <w:tcPr>
            <w:tcW w:w="88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1,976,075</w:t>
            </w:r>
          </w:p>
        </w:tc>
        <w:tc>
          <w:tcPr>
            <w:tcW w:w="0" w:type="dxa"/>
            <w:vAlign w:val="bottom"/>
          </w:tcPr>
          <w:p>
            <w:pPr>
              <w:spacing w:after="0"/>
              <w:rPr>
                <w:sz w:val="1"/>
                <w:szCs w:val="1"/>
                <w:color w:val="auto"/>
              </w:rPr>
            </w:pPr>
          </w:p>
        </w:tc>
      </w:tr>
      <w:tr>
        <w:trPr>
          <w:trHeight w:val="207"/>
        </w:trPr>
        <w:tc>
          <w:tcPr>
            <w:tcW w:w="4720" w:type="dxa"/>
            <w:vAlign w:val="bottom"/>
            <w:tcBorders>
              <w:right w:val="single" w:sz="8" w:color="FCEFEB"/>
            </w:tcBorders>
            <w:gridSpan w:val="2"/>
          </w:tcPr>
          <w:p>
            <w:pPr>
              <w:ind w:left="80"/>
              <w:spacing w:after="0"/>
              <w:rPr>
                <w:sz w:val="20"/>
                <w:szCs w:val="20"/>
                <w:color w:val="auto"/>
              </w:rPr>
            </w:pPr>
            <w:r>
              <w:rPr>
                <w:rFonts w:ascii="Arial" w:cs="Arial" w:eastAsia="Arial" w:hAnsi="Arial"/>
                <w:sz w:val="14"/>
                <w:szCs w:val="14"/>
                <w:b w:val="1"/>
                <w:bCs w:val="1"/>
                <w:color w:val="005C5D"/>
              </w:rPr>
              <w:t>Martin Layding</w:t>
            </w:r>
          </w:p>
        </w:tc>
        <w:tc>
          <w:tcPr>
            <w:tcW w:w="62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2026</w:t>
            </w:r>
          </w:p>
        </w:tc>
        <w:tc>
          <w:tcPr>
            <w:tcW w:w="78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306,923</w:t>
            </w:r>
          </w:p>
        </w:tc>
        <w:tc>
          <w:tcPr>
            <w:tcW w:w="80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150,000</w:t>
            </w:r>
          </w:p>
        </w:tc>
        <w:tc>
          <w:tcPr>
            <w:tcW w:w="880" w:type="dxa"/>
            <w:vAlign w:val="bottom"/>
            <w:shd w:val="clear" w:color="auto" w:fill="FCEFEB"/>
          </w:tcPr>
          <w:p>
            <w:pPr>
              <w:jc w:val="right"/>
              <w:ind w:right="9"/>
              <w:spacing w:after="0"/>
              <w:rPr>
                <w:sz w:val="20"/>
                <w:szCs w:val="20"/>
                <w:color w:val="auto"/>
              </w:rPr>
            </w:pPr>
            <w:r>
              <w:rPr>
                <w:rFonts w:ascii="Arial" w:cs="Arial" w:eastAsia="Arial" w:hAnsi="Arial"/>
                <w:sz w:val="14"/>
                <w:szCs w:val="14"/>
                <w:color w:val="333333"/>
              </w:rPr>
              <w:t>1,025,001</w:t>
            </w:r>
          </w:p>
        </w:tc>
        <w:tc>
          <w:tcPr>
            <w:tcW w:w="200" w:type="dxa"/>
            <w:vAlign w:val="bottom"/>
            <w:shd w:val="clear" w:color="auto" w:fill="FCEFEB"/>
          </w:tcPr>
          <w:p>
            <w:pPr>
              <w:spacing w:after="0"/>
              <w:rPr>
                <w:sz w:val="18"/>
                <w:szCs w:val="18"/>
                <w:color w:val="auto"/>
              </w:rPr>
            </w:pPr>
          </w:p>
        </w:tc>
        <w:tc>
          <w:tcPr>
            <w:tcW w:w="880" w:type="dxa"/>
            <w:vAlign w:val="bottom"/>
            <w:shd w:val="clear" w:color="auto" w:fill="FCEFEB"/>
          </w:tcPr>
          <w:p>
            <w:pPr>
              <w:jc w:val="right"/>
              <w:ind w:right="9"/>
              <w:spacing w:after="0"/>
              <w:rPr>
                <w:sz w:val="20"/>
                <w:szCs w:val="20"/>
                <w:color w:val="auto"/>
              </w:rPr>
            </w:pPr>
            <w:r>
              <w:rPr>
                <w:rFonts w:ascii="Arial" w:cs="Arial" w:eastAsia="Arial" w:hAnsi="Arial"/>
                <w:sz w:val="14"/>
                <w:szCs w:val="14"/>
                <w:color w:val="333333"/>
              </w:rPr>
              <w:t>42,955</w:t>
            </w:r>
          </w:p>
        </w:tc>
        <w:tc>
          <w:tcPr>
            <w:tcW w:w="200" w:type="dxa"/>
            <w:vAlign w:val="bottom"/>
            <w:shd w:val="clear" w:color="auto" w:fill="FCEFEB"/>
          </w:tcPr>
          <w:p>
            <w:pPr>
              <w:spacing w:after="0"/>
              <w:rPr>
                <w:sz w:val="18"/>
                <w:szCs w:val="18"/>
                <w:color w:val="auto"/>
              </w:rPr>
            </w:pPr>
          </w:p>
        </w:tc>
        <w:tc>
          <w:tcPr>
            <w:tcW w:w="960" w:type="dxa"/>
            <w:vAlign w:val="bottom"/>
            <w:shd w:val="clear" w:color="auto" w:fill="FCEFEB"/>
          </w:tcPr>
          <w:p>
            <w:pPr>
              <w:jc w:val="right"/>
              <w:ind w:right="72"/>
              <w:spacing w:after="0" w:line="208" w:lineRule="exact"/>
              <w:rPr>
                <w:sz w:val="20"/>
                <w:szCs w:val="20"/>
                <w:color w:val="auto"/>
              </w:rPr>
            </w:pPr>
            <w:r>
              <w:rPr>
                <w:rFonts w:ascii="Arial" w:cs="Arial" w:eastAsia="Arial" w:hAnsi="Arial"/>
                <w:sz w:val="14"/>
                <w:szCs w:val="14"/>
                <w:color w:val="333333"/>
              </w:rPr>
              <w:t>10,073</w:t>
            </w:r>
            <w:r>
              <w:rPr>
                <w:rFonts w:ascii="Arial" w:cs="Arial" w:eastAsia="Arial" w:hAnsi="Arial"/>
                <w:sz w:val="21"/>
                <w:szCs w:val="21"/>
                <w:color w:val="333333"/>
                <w:vertAlign w:val="superscript"/>
              </w:rPr>
              <w:t>(7)</w:t>
            </w:r>
          </w:p>
        </w:tc>
        <w:tc>
          <w:tcPr>
            <w:tcW w:w="88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1,534,952</w:t>
            </w:r>
          </w:p>
        </w:tc>
        <w:tc>
          <w:tcPr>
            <w:tcW w:w="0" w:type="dxa"/>
            <w:vAlign w:val="bottom"/>
          </w:tcPr>
          <w:p>
            <w:pPr>
              <w:spacing w:after="0"/>
              <w:rPr>
                <w:sz w:val="1"/>
                <w:szCs w:val="1"/>
                <w:color w:val="auto"/>
              </w:rPr>
            </w:pPr>
          </w:p>
        </w:tc>
      </w:tr>
      <w:tr>
        <w:trPr>
          <w:trHeight w:val="160"/>
        </w:trPr>
        <w:tc>
          <w:tcPr>
            <w:tcW w:w="4720" w:type="dxa"/>
            <w:vAlign w:val="bottom"/>
            <w:tcBorders>
              <w:bottom w:val="single" w:sz="8" w:color="005C5D"/>
              <w:right w:val="single" w:sz="8" w:color="FCEFEB"/>
            </w:tcBorders>
            <w:gridSpan w:val="2"/>
          </w:tcPr>
          <w:p>
            <w:pPr>
              <w:ind w:left="80"/>
              <w:spacing w:after="0"/>
              <w:rPr>
                <w:sz w:val="20"/>
                <w:szCs w:val="20"/>
                <w:color w:val="auto"/>
              </w:rPr>
            </w:pPr>
            <w:r>
              <w:rPr>
                <w:rFonts w:ascii="Arial" w:cs="Arial" w:eastAsia="Arial" w:hAnsi="Arial"/>
                <w:sz w:val="14"/>
                <w:szCs w:val="14"/>
                <w:color w:val="333333"/>
              </w:rPr>
              <w:t>Chief Financial Officer, Vera Bradley, Inc.</w:t>
            </w:r>
          </w:p>
        </w:tc>
        <w:tc>
          <w:tcPr>
            <w:tcW w:w="620" w:type="dxa"/>
            <w:vAlign w:val="bottom"/>
            <w:tcBorders>
              <w:bottom w:val="single" w:sz="8" w:color="005C5D"/>
            </w:tcBorders>
            <w:shd w:val="clear" w:color="auto" w:fill="FCEFEB"/>
          </w:tcPr>
          <w:p>
            <w:pPr>
              <w:spacing w:after="0"/>
              <w:rPr>
                <w:sz w:val="13"/>
                <w:szCs w:val="13"/>
                <w:color w:val="auto"/>
              </w:rPr>
            </w:pPr>
          </w:p>
        </w:tc>
        <w:tc>
          <w:tcPr>
            <w:tcW w:w="780" w:type="dxa"/>
            <w:vAlign w:val="bottom"/>
            <w:tcBorders>
              <w:bottom w:val="single" w:sz="8" w:color="005C5D"/>
            </w:tcBorders>
            <w:shd w:val="clear" w:color="auto" w:fill="FCEFEB"/>
          </w:tcPr>
          <w:p>
            <w:pPr>
              <w:spacing w:after="0"/>
              <w:rPr>
                <w:sz w:val="13"/>
                <w:szCs w:val="13"/>
                <w:color w:val="auto"/>
              </w:rPr>
            </w:pPr>
          </w:p>
        </w:tc>
        <w:tc>
          <w:tcPr>
            <w:tcW w:w="800" w:type="dxa"/>
            <w:vAlign w:val="bottom"/>
            <w:tcBorders>
              <w:bottom w:val="single" w:sz="8" w:color="005C5D"/>
            </w:tcBorders>
            <w:shd w:val="clear" w:color="auto" w:fill="FCEFEB"/>
          </w:tcPr>
          <w:p>
            <w:pPr>
              <w:spacing w:after="0"/>
              <w:rPr>
                <w:sz w:val="13"/>
                <w:szCs w:val="13"/>
                <w:color w:val="auto"/>
              </w:rPr>
            </w:pPr>
          </w:p>
        </w:tc>
        <w:tc>
          <w:tcPr>
            <w:tcW w:w="880" w:type="dxa"/>
            <w:vAlign w:val="bottom"/>
            <w:tcBorders>
              <w:bottom w:val="single" w:sz="8" w:color="005C5D"/>
            </w:tcBorders>
            <w:shd w:val="clear" w:color="auto" w:fill="FCEFEB"/>
          </w:tcPr>
          <w:p>
            <w:pPr>
              <w:spacing w:after="0"/>
              <w:rPr>
                <w:sz w:val="13"/>
                <w:szCs w:val="13"/>
                <w:color w:val="auto"/>
              </w:rPr>
            </w:pPr>
          </w:p>
        </w:tc>
        <w:tc>
          <w:tcPr>
            <w:tcW w:w="200" w:type="dxa"/>
            <w:vAlign w:val="bottom"/>
            <w:tcBorders>
              <w:bottom w:val="single" w:sz="8" w:color="005C5D"/>
            </w:tcBorders>
            <w:shd w:val="clear" w:color="auto" w:fill="FCEFEB"/>
          </w:tcPr>
          <w:p>
            <w:pPr>
              <w:spacing w:after="0"/>
              <w:rPr>
                <w:sz w:val="13"/>
                <w:szCs w:val="13"/>
                <w:color w:val="auto"/>
              </w:rPr>
            </w:pPr>
          </w:p>
        </w:tc>
        <w:tc>
          <w:tcPr>
            <w:tcW w:w="880" w:type="dxa"/>
            <w:vAlign w:val="bottom"/>
            <w:tcBorders>
              <w:bottom w:val="single" w:sz="8" w:color="005C5D"/>
            </w:tcBorders>
            <w:shd w:val="clear" w:color="auto" w:fill="FCEFEB"/>
          </w:tcPr>
          <w:p>
            <w:pPr>
              <w:spacing w:after="0"/>
              <w:rPr>
                <w:sz w:val="13"/>
                <w:szCs w:val="13"/>
                <w:color w:val="auto"/>
              </w:rPr>
            </w:pPr>
          </w:p>
        </w:tc>
        <w:tc>
          <w:tcPr>
            <w:tcW w:w="200" w:type="dxa"/>
            <w:vAlign w:val="bottom"/>
            <w:tcBorders>
              <w:bottom w:val="single" w:sz="8" w:color="005C5D"/>
            </w:tcBorders>
            <w:shd w:val="clear" w:color="auto" w:fill="FCEFEB"/>
          </w:tcPr>
          <w:p>
            <w:pPr>
              <w:spacing w:after="0"/>
              <w:rPr>
                <w:sz w:val="13"/>
                <w:szCs w:val="13"/>
                <w:color w:val="auto"/>
              </w:rPr>
            </w:pPr>
          </w:p>
        </w:tc>
        <w:tc>
          <w:tcPr>
            <w:tcW w:w="960" w:type="dxa"/>
            <w:vAlign w:val="bottom"/>
            <w:tcBorders>
              <w:bottom w:val="single" w:sz="8" w:color="005C5D"/>
            </w:tcBorders>
            <w:shd w:val="clear" w:color="auto" w:fill="FCEFEB"/>
          </w:tcPr>
          <w:p>
            <w:pPr>
              <w:spacing w:after="0"/>
              <w:rPr>
                <w:sz w:val="13"/>
                <w:szCs w:val="13"/>
                <w:color w:val="auto"/>
              </w:rPr>
            </w:pPr>
          </w:p>
        </w:tc>
        <w:tc>
          <w:tcPr>
            <w:tcW w:w="880" w:type="dxa"/>
            <w:vAlign w:val="bottom"/>
            <w:tcBorders>
              <w:bottom w:val="single" w:sz="8" w:color="005C5D"/>
            </w:tcBorders>
            <w:shd w:val="clear" w:color="auto" w:fill="FCEFEB"/>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720" w:type="dxa"/>
            <w:vAlign w:val="bottom"/>
            <w:tcBorders>
              <w:right w:val="single" w:sz="8" w:color="FCEFEB"/>
            </w:tcBorders>
            <w:gridSpan w:val="2"/>
          </w:tcPr>
          <w:p>
            <w:pPr>
              <w:ind w:left="80"/>
              <w:spacing w:after="0"/>
              <w:rPr>
                <w:sz w:val="20"/>
                <w:szCs w:val="20"/>
                <w:color w:val="auto"/>
              </w:rPr>
            </w:pPr>
            <w:r>
              <w:rPr>
                <w:rFonts w:ascii="Arial" w:cs="Arial" w:eastAsia="Arial" w:hAnsi="Arial"/>
                <w:sz w:val="14"/>
                <w:szCs w:val="14"/>
                <w:b w:val="1"/>
                <w:bCs w:val="1"/>
                <w:color w:val="005C5D"/>
              </w:rPr>
              <w:t>Michael Schwindle</w:t>
            </w:r>
          </w:p>
        </w:tc>
        <w:tc>
          <w:tcPr>
            <w:tcW w:w="62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2026</w:t>
            </w:r>
          </w:p>
        </w:tc>
        <w:tc>
          <w:tcPr>
            <w:tcW w:w="78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220,460</w:t>
            </w:r>
          </w:p>
        </w:tc>
        <w:tc>
          <w:tcPr>
            <w:tcW w:w="80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w:t>
            </w:r>
          </w:p>
        </w:tc>
        <w:tc>
          <w:tcPr>
            <w:tcW w:w="880" w:type="dxa"/>
            <w:vAlign w:val="bottom"/>
            <w:shd w:val="clear" w:color="auto" w:fill="FCEFEB"/>
          </w:tcPr>
          <w:p>
            <w:pPr>
              <w:jc w:val="right"/>
              <w:ind w:right="9"/>
              <w:spacing w:after="0"/>
              <w:rPr>
                <w:sz w:val="20"/>
                <w:szCs w:val="20"/>
                <w:color w:val="auto"/>
              </w:rPr>
            </w:pPr>
            <w:r>
              <w:rPr>
                <w:rFonts w:ascii="Arial" w:cs="Arial" w:eastAsia="Arial" w:hAnsi="Arial"/>
                <w:sz w:val="14"/>
                <w:szCs w:val="14"/>
                <w:color w:val="333333"/>
              </w:rPr>
              <w:t>400,001</w:t>
            </w:r>
          </w:p>
        </w:tc>
        <w:tc>
          <w:tcPr>
            <w:tcW w:w="200" w:type="dxa"/>
            <w:vAlign w:val="bottom"/>
            <w:shd w:val="clear" w:color="auto" w:fill="FCEFEB"/>
          </w:tcPr>
          <w:p>
            <w:pPr>
              <w:spacing w:after="0"/>
              <w:rPr>
                <w:sz w:val="16"/>
                <w:szCs w:val="16"/>
                <w:color w:val="auto"/>
              </w:rPr>
            </w:pPr>
          </w:p>
        </w:tc>
        <w:tc>
          <w:tcPr>
            <w:tcW w:w="880" w:type="dxa"/>
            <w:vAlign w:val="bottom"/>
            <w:shd w:val="clear" w:color="auto" w:fill="FCEFEB"/>
          </w:tcPr>
          <w:p>
            <w:pPr>
              <w:jc w:val="right"/>
              <w:ind w:right="9"/>
              <w:spacing w:after="0"/>
              <w:rPr>
                <w:sz w:val="20"/>
                <w:szCs w:val="20"/>
                <w:color w:val="auto"/>
              </w:rPr>
            </w:pPr>
            <w:r>
              <w:rPr>
                <w:rFonts w:ascii="Arial" w:cs="Arial" w:eastAsia="Arial" w:hAnsi="Arial"/>
                <w:sz w:val="14"/>
                <w:szCs w:val="14"/>
                <w:color w:val="333333"/>
              </w:rPr>
              <w:t>11,095</w:t>
            </w:r>
          </w:p>
        </w:tc>
        <w:tc>
          <w:tcPr>
            <w:tcW w:w="200" w:type="dxa"/>
            <w:vAlign w:val="bottom"/>
            <w:shd w:val="clear" w:color="auto" w:fill="FCEFEB"/>
          </w:tcPr>
          <w:p>
            <w:pPr>
              <w:spacing w:after="0"/>
              <w:rPr>
                <w:sz w:val="16"/>
                <w:szCs w:val="16"/>
                <w:color w:val="auto"/>
              </w:rPr>
            </w:pPr>
          </w:p>
        </w:tc>
        <w:tc>
          <w:tcPr>
            <w:tcW w:w="960" w:type="dxa"/>
            <w:vAlign w:val="bottom"/>
            <w:shd w:val="clear" w:color="auto" w:fill="FCEFEB"/>
          </w:tcPr>
          <w:p>
            <w:pPr>
              <w:jc w:val="right"/>
              <w:ind w:right="72"/>
              <w:spacing w:after="0" w:line="194" w:lineRule="exact"/>
              <w:rPr>
                <w:sz w:val="20"/>
                <w:szCs w:val="20"/>
                <w:color w:val="auto"/>
              </w:rPr>
            </w:pPr>
            <w:r>
              <w:rPr>
                <w:rFonts w:ascii="Arial" w:cs="Arial" w:eastAsia="Arial" w:hAnsi="Arial"/>
                <w:sz w:val="14"/>
                <w:szCs w:val="14"/>
                <w:color w:val="333333"/>
              </w:rPr>
              <w:t>718,975</w:t>
            </w:r>
            <w:r>
              <w:rPr>
                <w:rFonts w:ascii="Arial" w:cs="Arial" w:eastAsia="Arial" w:hAnsi="Arial"/>
                <w:sz w:val="21"/>
                <w:szCs w:val="21"/>
                <w:color w:val="333333"/>
                <w:vertAlign w:val="superscript"/>
              </w:rPr>
              <w:t>(8)</w:t>
            </w:r>
          </w:p>
        </w:tc>
        <w:tc>
          <w:tcPr>
            <w:tcW w:w="88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1,351,341</w:t>
            </w:r>
          </w:p>
        </w:tc>
        <w:tc>
          <w:tcPr>
            <w:tcW w:w="0" w:type="dxa"/>
            <w:vAlign w:val="bottom"/>
          </w:tcPr>
          <w:p>
            <w:pPr>
              <w:spacing w:after="0"/>
              <w:rPr>
                <w:sz w:val="1"/>
                <w:szCs w:val="1"/>
                <w:color w:val="auto"/>
              </w:rPr>
            </w:pPr>
          </w:p>
        </w:tc>
      </w:tr>
      <w:tr>
        <w:trPr>
          <w:trHeight w:val="160"/>
        </w:trPr>
        <w:tc>
          <w:tcPr>
            <w:tcW w:w="4720" w:type="dxa"/>
            <w:vAlign w:val="bottom"/>
            <w:tcBorders>
              <w:right w:val="single" w:sz="8" w:color="FCEFEB"/>
            </w:tcBorders>
            <w:gridSpan w:val="2"/>
          </w:tcPr>
          <w:p>
            <w:pPr>
              <w:ind w:left="80"/>
              <w:spacing w:after="0"/>
              <w:rPr>
                <w:sz w:val="20"/>
                <w:szCs w:val="20"/>
                <w:color w:val="auto"/>
              </w:rPr>
            </w:pPr>
            <w:r>
              <w:rPr>
                <w:rFonts w:ascii="Arial" w:cs="Arial" w:eastAsia="Arial" w:hAnsi="Arial"/>
                <w:sz w:val="14"/>
                <w:szCs w:val="14"/>
                <w:color w:val="333333"/>
              </w:rPr>
              <w:t>Former Chief Financial Officer, Vera Bradley, Inc.</w:t>
            </w:r>
          </w:p>
        </w:tc>
        <w:tc>
          <w:tcPr>
            <w:tcW w:w="62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2025</w:t>
            </w:r>
          </w:p>
        </w:tc>
        <w:tc>
          <w:tcPr>
            <w:tcW w:w="78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539,236</w:t>
            </w:r>
          </w:p>
        </w:tc>
        <w:tc>
          <w:tcPr>
            <w:tcW w:w="80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w:t>
            </w:r>
          </w:p>
        </w:tc>
        <w:tc>
          <w:tcPr>
            <w:tcW w:w="880" w:type="dxa"/>
            <w:vAlign w:val="bottom"/>
            <w:shd w:val="clear" w:color="auto" w:fill="FCEFEB"/>
          </w:tcPr>
          <w:p>
            <w:pPr>
              <w:jc w:val="right"/>
              <w:ind w:right="9"/>
              <w:spacing w:after="0"/>
              <w:rPr>
                <w:sz w:val="20"/>
                <w:szCs w:val="20"/>
                <w:color w:val="auto"/>
              </w:rPr>
            </w:pPr>
            <w:r>
              <w:rPr>
                <w:rFonts w:ascii="Arial" w:cs="Arial" w:eastAsia="Arial" w:hAnsi="Arial"/>
                <w:sz w:val="14"/>
                <w:szCs w:val="14"/>
                <w:color w:val="333333"/>
              </w:rPr>
              <w:t>524,999</w:t>
            </w:r>
          </w:p>
        </w:tc>
        <w:tc>
          <w:tcPr>
            <w:tcW w:w="200" w:type="dxa"/>
            <w:vAlign w:val="bottom"/>
            <w:shd w:val="clear" w:color="auto" w:fill="FCEFEB"/>
          </w:tcPr>
          <w:p>
            <w:pPr>
              <w:spacing w:after="0"/>
              <w:rPr>
                <w:sz w:val="13"/>
                <w:szCs w:val="13"/>
                <w:color w:val="auto"/>
              </w:rPr>
            </w:pPr>
          </w:p>
        </w:tc>
        <w:tc>
          <w:tcPr>
            <w:tcW w:w="880" w:type="dxa"/>
            <w:vAlign w:val="bottom"/>
            <w:shd w:val="clear" w:color="auto" w:fill="FCEFEB"/>
          </w:tcPr>
          <w:p>
            <w:pPr>
              <w:jc w:val="right"/>
              <w:ind w:right="9"/>
              <w:spacing w:after="0"/>
              <w:rPr>
                <w:sz w:val="20"/>
                <w:szCs w:val="20"/>
                <w:color w:val="auto"/>
              </w:rPr>
            </w:pPr>
            <w:r>
              <w:rPr>
                <w:rFonts w:ascii="Arial" w:cs="Arial" w:eastAsia="Arial" w:hAnsi="Arial"/>
                <w:sz w:val="14"/>
                <w:szCs w:val="14"/>
                <w:color w:val="333333"/>
              </w:rPr>
              <w:t>26,288</w:t>
            </w:r>
          </w:p>
        </w:tc>
        <w:tc>
          <w:tcPr>
            <w:tcW w:w="200" w:type="dxa"/>
            <w:vAlign w:val="bottom"/>
            <w:shd w:val="clear" w:color="auto" w:fill="FCEFEB"/>
          </w:tcPr>
          <w:p>
            <w:pPr>
              <w:spacing w:after="0"/>
              <w:rPr>
                <w:sz w:val="13"/>
                <w:szCs w:val="13"/>
                <w:color w:val="auto"/>
              </w:rPr>
            </w:pPr>
          </w:p>
        </w:tc>
        <w:tc>
          <w:tcPr>
            <w:tcW w:w="960" w:type="dxa"/>
            <w:vAlign w:val="bottom"/>
            <w:shd w:val="clear" w:color="auto" w:fill="FCEFEB"/>
          </w:tcPr>
          <w:p>
            <w:pPr>
              <w:jc w:val="right"/>
              <w:ind w:right="72"/>
              <w:spacing w:after="0" w:line="161" w:lineRule="exact"/>
              <w:rPr>
                <w:sz w:val="20"/>
                <w:szCs w:val="20"/>
                <w:color w:val="auto"/>
              </w:rPr>
            </w:pPr>
            <w:r>
              <w:rPr>
                <w:rFonts w:ascii="Arial" w:cs="Arial" w:eastAsia="Arial" w:hAnsi="Arial"/>
                <w:sz w:val="12"/>
                <w:szCs w:val="12"/>
                <w:color w:val="333333"/>
              </w:rPr>
              <w:t>43,711</w:t>
            </w:r>
            <w:r>
              <w:rPr>
                <w:rFonts w:ascii="Arial" w:cs="Arial" w:eastAsia="Arial" w:hAnsi="Arial"/>
                <w:sz w:val="18"/>
                <w:szCs w:val="18"/>
                <w:color w:val="333333"/>
                <w:vertAlign w:val="superscript"/>
              </w:rPr>
              <w:t>(9)</w:t>
            </w:r>
          </w:p>
        </w:tc>
        <w:tc>
          <w:tcPr>
            <w:tcW w:w="88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1,134,234</w:t>
            </w:r>
          </w:p>
        </w:tc>
        <w:tc>
          <w:tcPr>
            <w:tcW w:w="0" w:type="dxa"/>
            <w:vAlign w:val="bottom"/>
          </w:tcPr>
          <w:p>
            <w:pPr>
              <w:spacing w:after="0"/>
              <w:rPr>
                <w:sz w:val="1"/>
                <w:szCs w:val="1"/>
                <w:color w:val="auto"/>
              </w:rPr>
            </w:pPr>
          </w:p>
        </w:tc>
      </w:tr>
      <w:tr>
        <w:trPr>
          <w:trHeight w:val="241"/>
        </w:trPr>
        <w:tc>
          <w:tcPr>
            <w:tcW w:w="4640" w:type="dxa"/>
            <w:vAlign w:val="bottom"/>
            <w:tcBorders>
              <w:bottom w:val="single" w:sz="8" w:color="005C5D"/>
            </w:tcBorders>
          </w:tcPr>
          <w:p>
            <w:pPr>
              <w:spacing w:after="0"/>
              <w:rPr>
                <w:sz w:val="20"/>
                <w:szCs w:val="20"/>
                <w:color w:val="auto"/>
              </w:rPr>
            </w:pPr>
          </w:p>
        </w:tc>
        <w:tc>
          <w:tcPr>
            <w:tcW w:w="80" w:type="dxa"/>
            <w:vAlign w:val="bottom"/>
            <w:tcBorders>
              <w:bottom w:val="single" w:sz="8" w:color="005C5D"/>
              <w:right w:val="single" w:sz="8" w:color="FCEFEB"/>
            </w:tcBorders>
          </w:tcPr>
          <w:p>
            <w:pPr>
              <w:spacing w:after="0"/>
              <w:rPr>
                <w:sz w:val="20"/>
                <w:szCs w:val="20"/>
                <w:color w:val="auto"/>
              </w:rPr>
            </w:pPr>
          </w:p>
        </w:tc>
        <w:tc>
          <w:tcPr>
            <w:tcW w:w="62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2024</w:t>
            </w:r>
          </w:p>
        </w:tc>
        <w:tc>
          <w:tcPr>
            <w:tcW w:w="78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393,750</w:t>
            </w:r>
          </w:p>
        </w:tc>
        <w:tc>
          <w:tcPr>
            <w:tcW w:w="80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200,000</w:t>
            </w:r>
          </w:p>
        </w:tc>
        <w:tc>
          <w:tcPr>
            <w:tcW w:w="880" w:type="dxa"/>
            <w:vAlign w:val="bottom"/>
            <w:tcBorders>
              <w:bottom w:val="single" w:sz="8" w:color="005C5D"/>
            </w:tcBorders>
            <w:shd w:val="clear" w:color="auto" w:fill="FCEFEB"/>
          </w:tcPr>
          <w:p>
            <w:pPr>
              <w:jc w:val="right"/>
              <w:ind w:right="9"/>
              <w:spacing w:after="0"/>
              <w:rPr>
                <w:sz w:val="20"/>
                <w:szCs w:val="20"/>
                <w:color w:val="auto"/>
              </w:rPr>
            </w:pPr>
            <w:r>
              <w:rPr>
                <w:rFonts w:ascii="Arial" w:cs="Arial" w:eastAsia="Arial" w:hAnsi="Arial"/>
                <w:sz w:val="14"/>
                <w:szCs w:val="14"/>
                <w:color w:val="333333"/>
              </w:rPr>
              <w:t>899,992</w:t>
            </w:r>
          </w:p>
        </w:tc>
        <w:tc>
          <w:tcPr>
            <w:tcW w:w="200" w:type="dxa"/>
            <w:vAlign w:val="bottom"/>
            <w:tcBorders>
              <w:bottom w:val="single" w:sz="8" w:color="005C5D"/>
            </w:tcBorders>
            <w:shd w:val="clear" w:color="auto" w:fill="FCEFEB"/>
          </w:tcPr>
          <w:p>
            <w:pPr>
              <w:spacing w:after="0"/>
              <w:rPr>
                <w:sz w:val="20"/>
                <w:szCs w:val="20"/>
                <w:color w:val="auto"/>
              </w:rPr>
            </w:pPr>
          </w:p>
        </w:tc>
        <w:tc>
          <w:tcPr>
            <w:tcW w:w="880" w:type="dxa"/>
            <w:vAlign w:val="bottom"/>
            <w:tcBorders>
              <w:bottom w:val="single" w:sz="8" w:color="005C5D"/>
            </w:tcBorders>
            <w:shd w:val="clear" w:color="auto" w:fill="FCEFEB"/>
          </w:tcPr>
          <w:p>
            <w:pPr>
              <w:jc w:val="right"/>
              <w:ind w:right="9"/>
              <w:spacing w:after="0"/>
              <w:rPr>
                <w:sz w:val="20"/>
                <w:szCs w:val="20"/>
                <w:color w:val="auto"/>
              </w:rPr>
            </w:pPr>
            <w:r>
              <w:rPr>
                <w:rFonts w:ascii="Arial" w:cs="Arial" w:eastAsia="Arial" w:hAnsi="Arial"/>
                <w:sz w:val="14"/>
                <w:szCs w:val="14"/>
                <w:color w:val="333333"/>
              </w:rPr>
              <w:t>286,453</w:t>
            </w:r>
          </w:p>
        </w:tc>
        <w:tc>
          <w:tcPr>
            <w:tcW w:w="200" w:type="dxa"/>
            <w:vAlign w:val="bottom"/>
            <w:tcBorders>
              <w:bottom w:val="single" w:sz="8" w:color="005C5D"/>
            </w:tcBorders>
            <w:shd w:val="clear" w:color="auto" w:fill="FCEFEB"/>
          </w:tcPr>
          <w:p>
            <w:pPr>
              <w:spacing w:after="0"/>
              <w:rPr>
                <w:sz w:val="20"/>
                <w:szCs w:val="20"/>
                <w:color w:val="auto"/>
              </w:rPr>
            </w:pPr>
          </w:p>
        </w:tc>
        <w:tc>
          <w:tcPr>
            <w:tcW w:w="960" w:type="dxa"/>
            <w:vAlign w:val="bottom"/>
            <w:tcBorders>
              <w:bottom w:val="single" w:sz="8" w:color="005C5D"/>
            </w:tcBorders>
            <w:shd w:val="clear" w:color="auto" w:fill="FCEFEB"/>
          </w:tcPr>
          <w:p>
            <w:pPr>
              <w:jc w:val="right"/>
              <w:ind w:right="12"/>
              <w:spacing w:after="0"/>
              <w:rPr>
                <w:sz w:val="20"/>
                <w:szCs w:val="20"/>
                <w:color w:val="auto"/>
              </w:rPr>
            </w:pPr>
            <w:r>
              <w:rPr>
                <w:rFonts w:ascii="Arial" w:cs="Arial" w:eastAsia="Arial" w:hAnsi="Arial"/>
                <w:sz w:val="14"/>
                <w:szCs w:val="14"/>
                <w:color w:val="333333"/>
              </w:rPr>
              <w:t>18,220</w:t>
            </w:r>
            <w:r>
              <w:rPr>
                <w:rFonts w:ascii="Arial" w:cs="Arial" w:eastAsia="Arial" w:hAnsi="Arial"/>
                <w:sz w:val="21"/>
                <w:szCs w:val="21"/>
                <w:color w:val="333333"/>
                <w:vertAlign w:val="superscript"/>
              </w:rPr>
              <w:t>(10)</w:t>
            </w:r>
          </w:p>
        </w:tc>
        <w:tc>
          <w:tcPr>
            <w:tcW w:w="88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1,798,415</w:t>
            </w:r>
          </w:p>
        </w:tc>
        <w:tc>
          <w:tcPr>
            <w:tcW w:w="0" w:type="dxa"/>
            <w:vAlign w:val="bottom"/>
          </w:tcPr>
          <w:p>
            <w:pPr>
              <w:spacing w:after="0"/>
              <w:rPr>
                <w:sz w:val="1"/>
                <w:szCs w:val="1"/>
                <w:color w:val="auto"/>
              </w:rPr>
            </w:pPr>
          </w:p>
        </w:tc>
      </w:tr>
      <w:tr>
        <w:trPr>
          <w:trHeight w:val="47"/>
        </w:trPr>
        <w:tc>
          <w:tcPr>
            <w:tcW w:w="4640" w:type="dxa"/>
            <w:vAlign w:val="bottom"/>
            <w:vMerge w:val="restart"/>
          </w:tcPr>
          <w:p>
            <w:pPr>
              <w:ind w:left="80"/>
              <w:spacing w:after="0"/>
              <w:rPr>
                <w:sz w:val="20"/>
                <w:szCs w:val="20"/>
                <w:color w:val="auto"/>
              </w:rPr>
            </w:pPr>
            <w:r>
              <w:rPr>
                <w:rFonts w:ascii="Arial" w:cs="Arial" w:eastAsia="Arial" w:hAnsi="Arial"/>
                <w:sz w:val="14"/>
                <w:szCs w:val="14"/>
                <w:b w:val="1"/>
                <w:bCs w:val="1"/>
                <w:color w:val="005C5D"/>
              </w:rPr>
              <w:t>Mark C. Dely</w:t>
            </w:r>
          </w:p>
        </w:tc>
        <w:tc>
          <w:tcPr>
            <w:tcW w:w="80" w:type="dxa"/>
            <w:vAlign w:val="bottom"/>
            <w:tcBorders>
              <w:right w:val="single" w:sz="8" w:color="FCEFEB"/>
            </w:tcBorders>
          </w:tcPr>
          <w:p>
            <w:pPr>
              <w:spacing w:after="0"/>
              <w:rPr>
                <w:sz w:val="4"/>
                <w:szCs w:val="4"/>
                <w:color w:val="auto"/>
              </w:rPr>
            </w:pPr>
          </w:p>
        </w:tc>
        <w:tc>
          <w:tcPr>
            <w:tcW w:w="620" w:type="dxa"/>
            <w:vAlign w:val="bottom"/>
            <w:vMerge w:val="restart"/>
            <w:shd w:val="clear" w:color="auto" w:fill="FCEFEB"/>
          </w:tcPr>
          <w:p>
            <w:pPr>
              <w:jc w:val="right"/>
              <w:ind w:right="29"/>
              <w:spacing w:after="0"/>
              <w:rPr>
                <w:sz w:val="20"/>
                <w:szCs w:val="20"/>
                <w:color w:val="auto"/>
              </w:rPr>
            </w:pPr>
            <w:r>
              <w:rPr>
                <w:rFonts w:ascii="Arial" w:cs="Arial" w:eastAsia="Arial" w:hAnsi="Arial"/>
                <w:sz w:val="14"/>
                <w:szCs w:val="14"/>
                <w:color w:val="333333"/>
              </w:rPr>
              <w:t>2026</w:t>
            </w:r>
          </w:p>
        </w:tc>
        <w:tc>
          <w:tcPr>
            <w:tcW w:w="780" w:type="dxa"/>
            <w:vAlign w:val="bottom"/>
            <w:vMerge w:val="restart"/>
            <w:shd w:val="clear" w:color="auto" w:fill="FCEFEB"/>
          </w:tcPr>
          <w:p>
            <w:pPr>
              <w:jc w:val="right"/>
              <w:ind w:right="29"/>
              <w:spacing w:after="0"/>
              <w:rPr>
                <w:sz w:val="20"/>
                <w:szCs w:val="20"/>
                <w:color w:val="auto"/>
              </w:rPr>
            </w:pPr>
            <w:r>
              <w:rPr>
                <w:rFonts w:ascii="Arial" w:cs="Arial" w:eastAsia="Arial" w:hAnsi="Arial"/>
                <w:sz w:val="14"/>
                <w:szCs w:val="14"/>
                <w:color w:val="333333"/>
              </w:rPr>
              <w:t>463,500</w:t>
            </w:r>
          </w:p>
        </w:tc>
        <w:tc>
          <w:tcPr>
            <w:tcW w:w="800" w:type="dxa"/>
            <w:vAlign w:val="bottom"/>
            <w:vMerge w:val="restart"/>
            <w:shd w:val="clear" w:color="auto" w:fill="FCEFEB"/>
          </w:tcPr>
          <w:p>
            <w:pPr>
              <w:jc w:val="right"/>
              <w:ind w:right="29"/>
              <w:spacing w:after="0"/>
              <w:rPr>
                <w:sz w:val="20"/>
                <w:szCs w:val="20"/>
                <w:color w:val="auto"/>
              </w:rPr>
            </w:pPr>
            <w:r>
              <w:rPr>
                <w:rFonts w:ascii="Arial" w:cs="Arial" w:eastAsia="Arial" w:hAnsi="Arial"/>
                <w:sz w:val="14"/>
                <w:szCs w:val="14"/>
                <w:color w:val="333333"/>
              </w:rPr>
              <w:t>—</w:t>
            </w:r>
          </w:p>
        </w:tc>
        <w:tc>
          <w:tcPr>
            <w:tcW w:w="880" w:type="dxa"/>
            <w:vAlign w:val="bottom"/>
            <w:vMerge w:val="restart"/>
            <w:shd w:val="clear" w:color="auto" w:fill="FCEFEB"/>
          </w:tcPr>
          <w:p>
            <w:pPr>
              <w:jc w:val="right"/>
              <w:ind w:right="9"/>
              <w:spacing w:after="0"/>
              <w:rPr>
                <w:sz w:val="20"/>
                <w:szCs w:val="20"/>
                <w:color w:val="auto"/>
              </w:rPr>
            </w:pPr>
            <w:r>
              <w:rPr>
                <w:rFonts w:ascii="Arial" w:cs="Arial" w:eastAsia="Arial" w:hAnsi="Arial"/>
                <w:sz w:val="14"/>
                <w:szCs w:val="14"/>
                <w:color w:val="333333"/>
              </w:rPr>
              <w:t>600,001</w:t>
            </w:r>
          </w:p>
        </w:tc>
        <w:tc>
          <w:tcPr>
            <w:tcW w:w="200" w:type="dxa"/>
            <w:vAlign w:val="bottom"/>
            <w:shd w:val="clear" w:color="auto" w:fill="FCEFEB"/>
          </w:tcPr>
          <w:p>
            <w:pPr>
              <w:spacing w:after="0"/>
              <w:rPr>
                <w:sz w:val="4"/>
                <w:szCs w:val="4"/>
                <w:color w:val="auto"/>
              </w:rPr>
            </w:pPr>
          </w:p>
        </w:tc>
        <w:tc>
          <w:tcPr>
            <w:tcW w:w="880" w:type="dxa"/>
            <w:vAlign w:val="bottom"/>
            <w:vMerge w:val="restart"/>
            <w:shd w:val="clear" w:color="auto" w:fill="FCEFEB"/>
          </w:tcPr>
          <w:p>
            <w:pPr>
              <w:jc w:val="right"/>
              <w:ind w:right="9"/>
              <w:spacing w:after="0"/>
              <w:rPr>
                <w:sz w:val="20"/>
                <w:szCs w:val="20"/>
                <w:color w:val="auto"/>
              </w:rPr>
            </w:pPr>
            <w:r>
              <w:rPr>
                <w:rFonts w:ascii="Arial" w:cs="Arial" w:eastAsia="Arial" w:hAnsi="Arial"/>
                <w:sz w:val="14"/>
                <w:szCs w:val="14"/>
                <w:color w:val="333333"/>
              </w:rPr>
              <w:t>45,029</w:t>
            </w:r>
          </w:p>
        </w:tc>
        <w:tc>
          <w:tcPr>
            <w:tcW w:w="200" w:type="dxa"/>
            <w:vAlign w:val="bottom"/>
            <w:shd w:val="clear" w:color="auto" w:fill="FCEFEB"/>
          </w:tcPr>
          <w:p>
            <w:pPr>
              <w:spacing w:after="0"/>
              <w:rPr>
                <w:sz w:val="4"/>
                <w:szCs w:val="4"/>
                <w:color w:val="auto"/>
              </w:rPr>
            </w:pPr>
          </w:p>
        </w:tc>
        <w:tc>
          <w:tcPr>
            <w:tcW w:w="960" w:type="dxa"/>
            <w:vAlign w:val="bottom"/>
            <w:vMerge w:val="restart"/>
            <w:shd w:val="clear" w:color="auto" w:fill="FCEFEB"/>
          </w:tcPr>
          <w:p>
            <w:pPr>
              <w:jc w:val="right"/>
              <w:ind w:right="12"/>
              <w:spacing w:after="0" w:line="194" w:lineRule="exact"/>
              <w:rPr>
                <w:sz w:val="20"/>
                <w:szCs w:val="20"/>
                <w:color w:val="auto"/>
              </w:rPr>
            </w:pPr>
            <w:r>
              <w:rPr>
                <w:rFonts w:ascii="Arial" w:cs="Arial" w:eastAsia="Arial" w:hAnsi="Arial"/>
                <w:sz w:val="14"/>
                <w:szCs w:val="14"/>
                <w:color w:val="333333"/>
              </w:rPr>
              <w:t>14,904</w:t>
            </w:r>
            <w:r>
              <w:rPr>
                <w:rFonts w:ascii="Arial" w:cs="Arial" w:eastAsia="Arial" w:hAnsi="Arial"/>
                <w:sz w:val="21"/>
                <w:szCs w:val="21"/>
                <w:color w:val="333333"/>
                <w:vertAlign w:val="superscript"/>
              </w:rPr>
              <w:t>(11)</w:t>
            </w:r>
          </w:p>
        </w:tc>
        <w:tc>
          <w:tcPr>
            <w:tcW w:w="880" w:type="dxa"/>
            <w:vAlign w:val="bottom"/>
            <w:vMerge w:val="restart"/>
            <w:shd w:val="clear" w:color="auto" w:fill="FCEFEB"/>
          </w:tcPr>
          <w:p>
            <w:pPr>
              <w:jc w:val="right"/>
              <w:ind w:right="29"/>
              <w:spacing w:after="0"/>
              <w:rPr>
                <w:sz w:val="20"/>
                <w:szCs w:val="20"/>
                <w:color w:val="auto"/>
              </w:rPr>
            </w:pPr>
            <w:r>
              <w:rPr>
                <w:rFonts w:ascii="Arial" w:cs="Arial" w:eastAsia="Arial" w:hAnsi="Arial"/>
                <w:sz w:val="14"/>
                <w:szCs w:val="14"/>
                <w:color w:val="333333"/>
              </w:rPr>
              <w:t>1,123,434</w:t>
            </w:r>
          </w:p>
        </w:tc>
        <w:tc>
          <w:tcPr>
            <w:tcW w:w="0" w:type="dxa"/>
            <w:vAlign w:val="bottom"/>
          </w:tcPr>
          <w:p>
            <w:pPr>
              <w:spacing w:after="0"/>
              <w:rPr>
                <w:sz w:val="1"/>
                <w:szCs w:val="1"/>
                <w:color w:val="auto"/>
              </w:rPr>
            </w:pPr>
          </w:p>
        </w:tc>
      </w:tr>
      <w:tr>
        <w:trPr>
          <w:trHeight w:val="147"/>
        </w:trPr>
        <w:tc>
          <w:tcPr>
            <w:tcW w:w="4640" w:type="dxa"/>
            <w:vAlign w:val="bottom"/>
            <w:vMerge w:val="continue"/>
          </w:tcPr>
          <w:p>
            <w:pPr>
              <w:spacing w:after="0"/>
              <w:rPr>
                <w:sz w:val="12"/>
                <w:szCs w:val="12"/>
                <w:color w:val="auto"/>
              </w:rPr>
            </w:pPr>
          </w:p>
        </w:tc>
        <w:tc>
          <w:tcPr>
            <w:tcW w:w="80" w:type="dxa"/>
            <w:vAlign w:val="bottom"/>
            <w:tcBorders>
              <w:right w:val="single" w:sz="8" w:color="FCEFEB"/>
            </w:tcBorders>
            <w:shd w:val="clear" w:color="auto" w:fill="FCEFEB"/>
          </w:tcPr>
          <w:p>
            <w:pPr>
              <w:spacing w:after="0"/>
              <w:rPr>
                <w:sz w:val="12"/>
                <w:szCs w:val="12"/>
                <w:color w:val="auto"/>
              </w:rPr>
            </w:pPr>
          </w:p>
        </w:tc>
        <w:tc>
          <w:tcPr>
            <w:tcW w:w="620" w:type="dxa"/>
            <w:vAlign w:val="bottom"/>
            <w:vMerge w:val="continue"/>
            <w:shd w:val="clear" w:color="auto" w:fill="FCEFEB"/>
          </w:tcPr>
          <w:p>
            <w:pPr>
              <w:spacing w:after="0"/>
              <w:rPr>
                <w:sz w:val="12"/>
                <w:szCs w:val="12"/>
                <w:color w:val="auto"/>
              </w:rPr>
            </w:pPr>
          </w:p>
        </w:tc>
        <w:tc>
          <w:tcPr>
            <w:tcW w:w="780" w:type="dxa"/>
            <w:vAlign w:val="bottom"/>
            <w:vMerge w:val="continue"/>
            <w:shd w:val="clear" w:color="auto" w:fill="FCEFEB"/>
          </w:tcPr>
          <w:p>
            <w:pPr>
              <w:spacing w:after="0"/>
              <w:rPr>
                <w:sz w:val="12"/>
                <w:szCs w:val="12"/>
                <w:color w:val="auto"/>
              </w:rPr>
            </w:pPr>
          </w:p>
        </w:tc>
        <w:tc>
          <w:tcPr>
            <w:tcW w:w="800" w:type="dxa"/>
            <w:vAlign w:val="bottom"/>
            <w:vMerge w:val="continue"/>
            <w:shd w:val="clear" w:color="auto" w:fill="FCEFEB"/>
          </w:tcPr>
          <w:p>
            <w:pPr>
              <w:spacing w:after="0"/>
              <w:rPr>
                <w:sz w:val="12"/>
                <w:szCs w:val="12"/>
                <w:color w:val="auto"/>
              </w:rPr>
            </w:pPr>
          </w:p>
        </w:tc>
        <w:tc>
          <w:tcPr>
            <w:tcW w:w="880" w:type="dxa"/>
            <w:vAlign w:val="bottom"/>
            <w:vMerge w:val="continue"/>
            <w:shd w:val="clear" w:color="auto" w:fill="FCEFEB"/>
          </w:tcPr>
          <w:p>
            <w:pPr>
              <w:spacing w:after="0"/>
              <w:rPr>
                <w:sz w:val="12"/>
                <w:szCs w:val="12"/>
                <w:color w:val="auto"/>
              </w:rPr>
            </w:pPr>
          </w:p>
        </w:tc>
        <w:tc>
          <w:tcPr>
            <w:tcW w:w="200" w:type="dxa"/>
            <w:vAlign w:val="bottom"/>
            <w:shd w:val="clear" w:color="auto" w:fill="FCEFEB"/>
          </w:tcPr>
          <w:p>
            <w:pPr>
              <w:spacing w:after="0"/>
              <w:rPr>
                <w:sz w:val="12"/>
                <w:szCs w:val="12"/>
                <w:color w:val="auto"/>
              </w:rPr>
            </w:pPr>
          </w:p>
        </w:tc>
        <w:tc>
          <w:tcPr>
            <w:tcW w:w="880" w:type="dxa"/>
            <w:vAlign w:val="bottom"/>
            <w:vMerge w:val="continue"/>
            <w:shd w:val="clear" w:color="auto" w:fill="FCEFEB"/>
          </w:tcPr>
          <w:p>
            <w:pPr>
              <w:spacing w:after="0"/>
              <w:rPr>
                <w:sz w:val="12"/>
                <w:szCs w:val="12"/>
                <w:color w:val="auto"/>
              </w:rPr>
            </w:pPr>
          </w:p>
        </w:tc>
        <w:tc>
          <w:tcPr>
            <w:tcW w:w="200" w:type="dxa"/>
            <w:vAlign w:val="bottom"/>
            <w:shd w:val="clear" w:color="auto" w:fill="FCEFEB"/>
          </w:tcPr>
          <w:p>
            <w:pPr>
              <w:spacing w:after="0"/>
              <w:rPr>
                <w:sz w:val="12"/>
                <w:szCs w:val="12"/>
                <w:color w:val="auto"/>
              </w:rPr>
            </w:pPr>
          </w:p>
        </w:tc>
        <w:tc>
          <w:tcPr>
            <w:tcW w:w="960" w:type="dxa"/>
            <w:vAlign w:val="bottom"/>
            <w:vMerge w:val="continue"/>
            <w:shd w:val="clear" w:color="auto" w:fill="FCEFEB"/>
          </w:tcPr>
          <w:p>
            <w:pPr>
              <w:spacing w:after="0"/>
              <w:rPr>
                <w:sz w:val="12"/>
                <w:szCs w:val="12"/>
                <w:color w:val="auto"/>
              </w:rPr>
            </w:pPr>
          </w:p>
        </w:tc>
        <w:tc>
          <w:tcPr>
            <w:tcW w:w="880" w:type="dxa"/>
            <w:vAlign w:val="bottom"/>
            <w:vMerge w:val="continue"/>
            <w:shd w:val="clear" w:color="auto" w:fill="FCEFEB"/>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Chief Administrative &amp; Legal Officer and</w:t>
            </w:r>
          </w:p>
        </w:tc>
        <w:tc>
          <w:tcPr>
            <w:tcW w:w="80" w:type="dxa"/>
            <w:vAlign w:val="bottom"/>
            <w:tcBorders>
              <w:right w:val="single" w:sz="8" w:color="FCEFEB"/>
            </w:tcBorders>
            <w:shd w:val="clear" w:color="auto" w:fill="FCEFEB"/>
          </w:tcPr>
          <w:p>
            <w:pPr>
              <w:spacing w:after="0"/>
              <w:rPr>
                <w:sz w:val="13"/>
                <w:szCs w:val="13"/>
                <w:color w:val="auto"/>
              </w:rPr>
            </w:pPr>
          </w:p>
        </w:tc>
        <w:tc>
          <w:tcPr>
            <w:tcW w:w="62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2025</w:t>
            </w:r>
          </w:p>
        </w:tc>
        <w:tc>
          <w:tcPr>
            <w:tcW w:w="78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462,203</w:t>
            </w:r>
          </w:p>
        </w:tc>
        <w:tc>
          <w:tcPr>
            <w:tcW w:w="80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w:t>
            </w:r>
          </w:p>
        </w:tc>
        <w:tc>
          <w:tcPr>
            <w:tcW w:w="880" w:type="dxa"/>
            <w:vAlign w:val="bottom"/>
            <w:shd w:val="clear" w:color="auto" w:fill="FCEFEB"/>
          </w:tcPr>
          <w:p>
            <w:pPr>
              <w:jc w:val="right"/>
              <w:ind w:right="9"/>
              <w:spacing w:after="0"/>
              <w:rPr>
                <w:sz w:val="20"/>
                <w:szCs w:val="20"/>
                <w:color w:val="auto"/>
              </w:rPr>
            </w:pPr>
            <w:r>
              <w:rPr>
                <w:rFonts w:ascii="Arial" w:cs="Arial" w:eastAsia="Arial" w:hAnsi="Arial"/>
                <w:sz w:val="14"/>
                <w:szCs w:val="14"/>
                <w:color w:val="333333"/>
              </w:rPr>
              <w:t>400,003</w:t>
            </w:r>
          </w:p>
        </w:tc>
        <w:tc>
          <w:tcPr>
            <w:tcW w:w="200" w:type="dxa"/>
            <w:vAlign w:val="bottom"/>
            <w:shd w:val="clear" w:color="auto" w:fill="FCEFEB"/>
          </w:tcPr>
          <w:p>
            <w:pPr>
              <w:spacing w:after="0"/>
              <w:rPr>
                <w:sz w:val="13"/>
                <w:szCs w:val="13"/>
                <w:color w:val="auto"/>
              </w:rPr>
            </w:pPr>
          </w:p>
        </w:tc>
        <w:tc>
          <w:tcPr>
            <w:tcW w:w="880" w:type="dxa"/>
            <w:vAlign w:val="bottom"/>
            <w:shd w:val="clear" w:color="auto" w:fill="FCEFEB"/>
          </w:tcPr>
          <w:p>
            <w:pPr>
              <w:jc w:val="right"/>
              <w:ind w:right="9"/>
              <w:spacing w:after="0"/>
              <w:rPr>
                <w:sz w:val="20"/>
                <w:szCs w:val="20"/>
                <w:color w:val="auto"/>
              </w:rPr>
            </w:pPr>
            <w:r>
              <w:rPr>
                <w:rFonts w:ascii="Arial" w:cs="Arial" w:eastAsia="Arial" w:hAnsi="Arial"/>
                <w:sz w:val="14"/>
                <w:szCs w:val="14"/>
                <w:color w:val="333333"/>
              </w:rPr>
              <w:t>22,532</w:t>
            </w:r>
          </w:p>
        </w:tc>
        <w:tc>
          <w:tcPr>
            <w:tcW w:w="200" w:type="dxa"/>
            <w:vAlign w:val="bottom"/>
            <w:shd w:val="clear" w:color="auto" w:fill="FCEFEB"/>
          </w:tcPr>
          <w:p>
            <w:pPr>
              <w:spacing w:after="0"/>
              <w:rPr>
                <w:sz w:val="13"/>
                <w:szCs w:val="13"/>
                <w:color w:val="auto"/>
              </w:rPr>
            </w:pPr>
          </w:p>
        </w:tc>
        <w:tc>
          <w:tcPr>
            <w:tcW w:w="960" w:type="dxa"/>
            <w:vAlign w:val="bottom"/>
            <w:shd w:val="clear" w:color="auto" w:fill="FCEFEB"/>
          </w:tcPr>
          <w:p>
            <w:pPr>
              <w:jc w:val="right"/>
              <w:ind w:right="12"/>
              <w:spacing w:after="0" w:line="161" w:lineRule="exact"/>
              <w:rPr>
                <w:sz w:val="20"/>
                <w:szCs w:val="20"/>
                <w:color w:val="auto"/>
              </w:rPr>
            </w:pPr>
            <w:r>
              <w:rPr>
                <w:rFonts w:ascii="Arial" w:cs="Arial" w:eastAsia="Arial" w:hAnsi="Arial"/>
                <w:sz w:val="12"/>
                <w:szCs w:val="12"/>
                <w:color w:val="333333"/>
              </w:rPr>
              <w:t>15,347</w:t>
            </w:r>
            <w:r>
              <w:rPr>
                <w:rFonts w:ascii="Arial" w:cs="Arial" w:eastAsia="Arial" w:hAnsi="Arial"/>
                <w:sz w:val="18"/>
                <w:szCs w:val="18"/>
                <w:color w:val="333333"/>
                <w:vertAlign w:val="superscript"/>
              </w:rPr>
              <w:t>(12)</w:t>
            </w:r>
          </w:p>
        </w:tc>
        <w:tc>
          <w:tcPr>
            <w:tcW w:w="88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900,085</w:t>
            </w:r>
          </w:p>
        </w:tc>
        <w:tc>
          <w:tcPr>
            <w:tcW w:w="0" w:type="dxa"/>
            <w:vAlign w:val="bottom"/>
          </w:tcPr>
          <w:p>
            <w:pPr>
              <w:spacing w:after="0"/>
              <w:rPr>
                <w:sz w:val="1"/>
                <w:szCs w:val="1"/>
                <w:color w:val="auto"/>
              </w:rPr>
            </w:pPr>
          </w:p>
        </w:tc>
      </w:tr>
      <w:tr>
        <w:trPr>
          <w:trHeight w:val="241"/>
        </w:trPr>
        <w:tc>
          <w:tcPr>
            <w:tcW w:w="4640" w:type="dxa"/>
            <w:vAlign w:val="bottom"/>
            <w:tcBorders>
              <w:bottom w:val="single" w:sz="8" w:color="005C5D"/>
            </w:tcBorders>
          </w:tcPr>
          <w:p>
            <w:pPr>
              <w:ind w:left="80"/>
              <w:spacing w:after="0"/>
              <w:rPr>
                <w:sz w:val="20"/>
                <w:szCs w:val="20"/>
                <w:color w:val="auto"/>
              </w:rPr>
            </w:pPr>
            <w:r>
              <w:rPr>
                <w:rFonts w:ascii="Arial" w:cs="Arial" w:eastAsia="Arial" w:hAnsi="Arial"/>
                <w:sz w:val="14"/>
                <w:szCs w:val="14"/>
                <w:color w:val="333333"/>
              </w:rPr>
              <w:t>Corporate Secretary, Vera Bradley, Inc.</w:t>
            </w:r>
          </w:p>
        </w:tc>
        <w:tc>
          <w:tcPr>
            <w:tcW w:w="80" w:type="dxa"/>
            <w:vAlign w:val="bottom"/>
            <w:tcBorders>
              <w:bottom w:val="single" w:sz="8" w:color="005C5D"/>
              <w:right w:val="single" w:sz="8" w:color="FCEFEB"/>
            </w:tcBorders>
            <w:shd w:val="clear" w:color="auto" w:fill="FCEFEB"/>
          </w:tcPr>
          <w:p>
            <w:pPr>
              <w:spacing w:after="0"/>
              <w:rPr>
                <w:sz w:val="20"/>
                <w:szCs w:val="20"/>
                <w:color w:val="auto"/>
              </w:rPr>
            </w:pPr>
          </w:p>
        </w:tc>
        <w:tc>
          <w:tcPr>
            <w:tcW w:w="62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2024</w:t>
            </w:r>
          </w:p>
        </w:tc>
        <w:tc>
          <w:tcPr>
            <w:tcW w:w="78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451,850</w:t>
            </w:r>
          </w:p>
        </w:tc>
        <w:tc>
          <w:tcPr>
            <w:tcW w:w="80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250,000</w:t>
            </w:r>
          </w:p>
        </w:tc>
        <w:tc>
          <w:tcPr>
            <w:tcW w:w="880" w:type="dxa"/>
            <w:vAlign w:val="bottom"/>
            <w:tcBorders>
              <w:bottom w:val="single" w:sz="8" w:color="005C5D"/>
            </w:tcBorders>
            <w:shd w:val="clear" w:color="auto" w:fill="FCEFEB"/>
          </w:tcPr>
          <w:p>
            <w:pPr>
              <w:jc w:val="right"/>
              <w:ind w:right="9"/>
              <w:spacing w:after="0"/>
              <w:rPr>
                <w:sz w:val="20"/>
                <w:szCs w:val="20"/>
                <w:color w:val="auto"/>
              </w:rPr>
            </w:pPr>
            <w:r>
              <w:rPr>
                <w:rFonts w:ascii="Arial" w:cs="Arial" w:eastAsia="Arial" w:hAnsi="Arial"/>
                <w:sz w:val="14"/>
                <w:szCs w:val="14"/>
                <w:color w:val="333333"/>
              </w:rPr>
              <w:t>389,998</w:t>
            </w:r>
          </w:p>
        </w:tc>
        <w:tc>
          <w:tcPr>
            <w:tcW w:w="200" w:type="dxa"/>
            <w:vAlign w:val="bottom"/>
            <w:tcBorders>
              <w:bottom w:val="single" w:sz="8" w:color="005C5D"/>
            </w:tcBorders>
            <w:shd w:val="clear" w:color="auto" w:fill="FCEFEB"/>
          </w:tcPr>
          <w:p>
            <w:pPr>
              <w:spacing w:after="0"/>
              <w:rPr>
                <w:sz w:val="20"/>
                <w:szCs w:val="20"/>
                <w:color w:val="auto"/>
              </w:rPr>
            </w:pPr>
          </w:p>
        </w:tc>
        <w:tc>
          <w:tcPr>
            <w:tcW w:w="880" w:type="dxa"/>
            <w:vAlign w:val="bottom"/>
            <w:tcBorders>
              <w:bottom w:val="single" w:sz="8" w:color="005C5D"/>
            </w:tcBorders>
            <w:shd w:val="clear" w:color="auto" w:fill="FCEFEB"/>
          </w:tcPr>
          <w:p>
            <w:pPr>
              <w:jc w:val="right"/>
              <w:ind w:right="9"/>
              <w:spacing w:after="0"/>
              <w:rPr>
                <w:sz w:val="20"/>
                <w:szCs w:val="20"/>
                <w:color w:val="auto"/>
              </w:rPr>
            </w:pPr>
            <w:r>
              <w:rPr>
                <w:rFonts w:ascii="Arial" w:cs="Arial" w:eastAsia="Arial" w:hAnsi="Arial"/>
                <w:sz w:val="14"/>
                <w:szCs w:val="14"/>
                <w:color w:val="333333"/>
              </w:rPr>
              <w:t>328,721</w:t>
            </w:r>
          </w:p>
        </w:tc>
        <w:tc>
          <w:tcPr>
            <w:tcW w:w="200" w:type="dxa"/>
            <w:vAlign w:val="bottom"/>
            <w:tcBorders>
              <w:bottom w:val="single" w:sz="8" w:color="005C5D"/>
            </w:tcBorders>
            <w:shd w:val="clear" w:color="auto" w:fill="FCEFEB"/>
          </w:tcPr>
          <w:p>
            <w:pPr>
              <w:spacing w:after="0"/>
              <w:rPr>
                <w:sz w:val="20"/>
                <w:szCs w:val="20"/>
                <w:color w:val="auto"/>
              </w:rPr>
            </w:pPr>
          </w:p>
        </w:tc>
        <w:tc>
          <w:tcPr>
            <w:tcW w:w="960" w:type="dxa"/>
            <w:vAlign w:val="bottom"/>
            <w:tcBorders>
              <w:bottom w:val="single" w:sz="8" w:color="005C5D"/>
            </w:tcBorders>
            <w:shd w:val="clear" w:color="auto" w:fill="FCEFEB"/>
          </w:tcPr>
          <w:p>
            <w:pPr>
              <w:jc w:val="right"/>
              <w:ind w:right="12"/>
              <w:spacing w:after="0"/>
              <w:rPr>
                <w:sz w:val="20"/>
                <w:szCs w:val="20"/>
                <w:color w:val="auto"/>
              </w:rPr>
            </w:pPr>
            <w:r>
              <w:rPr>
                <w:rFonts w:ascii="Arial" w:cs="Arial" w:eastAsia="Arial" w:hAnsi="Arial"/>
                <w:sz w:val="14"/>
                <w:szCs w:val="14"/>
                <w:color w:val="333333"/>
              </w:rPr>
              <w:t>14,352</w:t>
            </w:r>
            <w:r>
              <w:rPr>
                <w:rFonts w:ascii="Arial" w:cs="Arial" w:eastAsia="Arial" w:hAnsi="Arial"/>
                <w:sz w:val="21"/>
                <w:szCs w:val="21"/>
                <w:color w:val="333333"/>
                <w:vertAlign w:val="superscript"/>
              </w:rPr>
              <w:t>(13)</w:t>
            </w:r>
          </w:p>
        </w:tc>
        <w:tc>
          <w:tcPr>
            <w:tcW w:w="88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1,434,921</w:t>
            </w:r>
          </w:p>
        </w:tc>
        <w:tc>
          <w:tcPr>
            <w:tcW w:w="0" w:type="dxa"/>
            <w:vAlign w:val="bottom"/>
          </w:tcPr>
          <w:p>
            <w:pPr>
              <w:spacing w:after="0"/>
              <w:rPr>
                <w:sz w:val="1"/>
                <w:szCs w:val="1"/>
                <w:color w:val="auto"/>
              </w:rPr>
            </w:pPr>
          </w:p>
        </w:tc>
      </w:tr>
      <w:tr>
        <w:trPr>
          <w:trHeight w:val="194"/>
        </w:trPr>
        <w:tc>
          <w:tcPr>
            <w:tcW w:w="4640" w:type="dxa"/>
            <w:vAlign w:val="bottom"/>
          </w:tcPr>
          <w:p>
            <w:pPr>
              <w:ind w:left="80"/>
              <w:spacing w:after="0"/>
              <w:rPr>
                <w:sz w:val="20"/>
                <w:szCs w:val="20"/>
                <w:color w:val="auto"/>
              </w:rPr>
            </w:pPr>
            <w:r>
              <w:rPr>
                <w:rFonts w:ascii="Arial" w:cs="Arial" w:eastAsia="Arial" w:hAnsi="Arial"/>
                <w:sz w:val="14"/>
                <w:szCs w:val="14"/>
                <w:b w:val="1"/>
                <w:bCs w:val="1"/>
                <w:color w:val="005C5D"/>
              </w:rPr>
              <w:t>Alison Hiatt</w:t>
            </w:r>
          </w:p>
        </w:tc>
        <w:tc>
          <w:tcPr>
            <w:tcW w:w="80" w:type="dxa"/>
            <w:vAlign w:val="bottom"/>
            <w:tcBorders>
              <w:right w:val="single" w:sz="8" w:color="FCEFEB"/>
            </w:tcBorders>
            <w:shd w:val="clear" w:color="auto" w:fill="FCEFEB"/>
          </w:tcPr>
          <w:p>
            <w:pPr>
              <w:spacing w:after="0"/>
              <w:rPr>
                <w:sz w:val="16"/>
                <w:szCs w:val="16"/>
                <w:color w:val="auto"/>
              </w:rPr>
            </w:pPr>
          </w:p>
        </w:tc>
        <w:tc>
          <w:tcPr>
            <w:tcW w:w="62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2026</w:t>
            </w:r>
          </w:p>
        </w:tc>
        <w:tc>
          <w:tcPr>
            <w:tcW w:w="78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283,646</w:t>
            </w:r>
          </w:p>
        </w:tc>
        <w:tc>
          <w:tcPr>
            <w:tcW w:w="80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w:t>
            </w:r>
          </w:p>
        </w:tc>
        <w:tc>
          <w:tcPr>
            <w:tcW w:w="880" w:type="dxa"/>
            <w:vAlign w:val="bottom"/>
            <w:shd w:val="clear" w:color="auto" w:fill="FCEFEB"/>
          </w:tcPr>
          <w:p>
            <w:pPr>
              <w:jc w:val="right"/>
              <w:ind w:right="9"/>
              <w:spacing w:after="0"/>
              <w:rPr>
                <w:sz w:val="20"/>
                <w:szCs w:val="20"/>
                <w:color w:val="auto"/>
              </w:rPr>
            </w:pPr>
            <w:r>
              <w:rPr>
                <w:rFonts w:ascii="Arial" w:cs="Arial" w:eastAsia="Arial" w:hAnsi="Arial"/>
                <w:sz w:val="14"/>
                <w:szCs w:val="14"/>
                <w:color w:val="333333"/>
              </w:rPr>
              <w:t>300,002</w:t>
            </w:r>
          </w:p>
        </w:tc>
        <w:tc>
          <w:tcPr>
            <w:tcW w:w="200" w:type="dxa"/>
            <w:vAlign w:val="bottom"/>
            <w:shd w:val="clear" w:color="auto" w:fill="FCEFEB"/>
          </w:tcPr>
          <w:p>
            <w:pPr>
              <w:spacing w:after="0"/>
              <w:rPr>
                <w:sz w:val="16"/>
                <w:szCs w:val="16"/>
                <w:color w:val="auto"/>
              </w:rPr>
            </w:pPr>
          </w:p>
        </w:tc>
        <w:tc>
          <w:tcPr>
            <w:tcW w:w="880" w:type="dxa"/>
            <w:vAlign w:val="bottom"/>
            <w:shd w:val="clear" w:color="auto" w:fill="FCEFEB"/>
          </w:tcPr>
          <w:p>
            <w:pPr>
              <w:jc w:val="right"/>
              <w:ind w:right="9"/>
              <w:spacing w:after="0"/>
              <w:rPr>
                <w:sz w:val="20"/>
                <w:szCs w:val="20"/>
                <w:color w:val="auto"/>
              </w:rPr>
            </w:pPr>
            <w:r>
              <w:rPr>
                <w:rFonts w:ascii="Arial" w:cs="Arial" w:eastAsia="Arial" w:hAnsi="Arial"/>
                <w:sz w:val="14"/>
                <w:szCs w:val="14"/>
                <w:color w:val="333333"/>
              </w:rPr>
              <w:t>12,764</w:t>
            </w:r>
          </w:p>
        </w:tc>
        <w:tc>
          <w:tcPr>
            <w:tcW w:w="200" w:type="dxa"/>
            <w:vAlign w:val="bottom"/>
            <w:shd w:val="clear" w:color="auto" w:fill="FCEFEB"/>
          </w:tcPr>
          <w:p>
            <w:pPr>
              <w:spacing w:after="0"/>
              <w:rPr>
                <w:sz w:val="16"/>
                <w:szCs w:val="16"/>
                <w:color w:val="auto"/>
              </w:rPr>
            </w:pPr>
          </w:p>
        </w:tc>
        <w:tc>
          <w:tcPr>
            <w:tcW w:w="960" w:type="dxa"/>
            <w:vAlign w:val="bottom"/>
            <w:shd w:val="clear" w:color="auto" w:fill="FCEFEB"/>
          </w:tcPr>
          <w:p>
            <w:pPr>
              <w:jc w:val="right"/>
              <w:ind w:right="12"/>
              <w:spacing w:after="0" w:line="194" w:lineRule="exact"/>
              <w:rPr>
                <w:sz w:val="20"/>
                <w:szCs w:val="20"/>
                <w:color w:val="auto"/>
              </w:rPr>
            </w:pPr>
            <w:r>
              <w:rPr>
                <w:rFonts w:ascii="Arial" w:cs="Arial" w:eastAsia="Arial" w:hAnsi="Arial"/>
                <w:sz w:val="14"/>
                <w:szCs w:val="14"/>
                <w:color w:val="333333"/>
              </w:rPr>
              <w:t>346,108</w:t>
            </w:r>
            <w:r>
              <w:rPr>
                <w:rFonts w:ascii="Arial" w:cs="Arial" w:eastAsia="Arial" w:hAnsi="Arial"/>
                <w:sz w:val="21"/>
                <w:szCs w:val="21"/>
                <w:color w:val="333333"/>
                <w:vertAlign w:val="superscript"/>
              </w:rPr>
              <w:t>(14)</w:t>
            </w:r>
          </w:p>
        </w:tc>
        <w:tc>
          <w:tcPr>
            <w:tcW w:w="88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942,520</w:t>
            </w: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Former Chief Marketing Officer, Vera Bradley, Inc.</w:t>
            </w:r>
          </w:p>
        </w:tc>
        <w:tc>
          <w:tcPr>
            <w:tcW w:w="80" w:type="dxa"/>
            <w:vAlign w:val="bottom"/>
            <w:tcBorders>
              <w:right w:val="single" w:sz="8" w:color="FCEFEB"/>
            </w:tcBorders>
            <w:shd w:val="clear" w:color="auto" w:fill="FCEFEB"/>
          </w:tcPr>
          <w:p>
            <w:pPr>
              <w:spacing w:after="0"/>
              <w:rPr>
                <w:sz w:val="13"/>
                <w:szCs w:val="13"/>
                <w:color w:val="auto"/>
              </w:rPr>
            </w:pPr>
          </w:p>
        </w:tc>
        <w:tc>
          <w:tcPr>
            <w:tcW w:w="62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2025</w:t>
            </w:r>
          </w:p>
        </w:tc>
        <w:tc>
          <w:tcPr>
            <w:tcW w:w="78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410,847</w:t>
            </w:r>
          </w:p>
        </w:tc>
        <w:tc>
          <w:tcPr>
            <w:tcW w:w="80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w:t>
            </w:r>
          </w:p>
        </w:tc>
        <w:tc>
          <w:tcPr>
            <w:tcW w:w="880" w:type="dxa"/>
            <w:vAlign w:val="bottom"/>
            <w:shd w:val="clear" w:color="auto" w:fill="FCEFEB"/>
          </w:tcPr>
          <w:p>
            <w:pPr>
              <w:jc w:val="right"/>
              <w:ind w:right="9"/>
              <w:spacing w:after="0"/>
              <w:rPr>
                <w:sz w:val="20"/>
                <w:szCs w:val="20"/>
                <w:color w:val="auto"/>
              </w:rPr>
            </w:pPr>
            <w:r>
              <w:rPr>
                <w:rFonts w:ascii="Arial" w:cs="Arial" w:eastAsia="Arial" w:hAnsi="Arial"/>
                <w:sz w:val="14"/>
                <w:szCs w:val="14"/>
                <w:color w:val="333333"/>
              </w:rPr>
              <w:t>400,003</w:t>
            </w:r>
          </w:p>
        </w:tc>
        <w:tc>
          <w:tcPr>
            <w:tcW w:w="200" w:type="dxa"/>
            <w:vAlign w:val="bottom"/>
            <w:shd w:val="clear" w:color="auto" w:fill="FCEFEB"/>
          </w:tcPr>
          <w:p>
            <w:pPr>
              <w:spacing w:after="0"/>
              <w:rPr>
                <w:sz w:val="13"/>
                <w:szCs w:val="13"/>
                <w:color w:val="auto"/>
              </w:rPr>
            </w:pPr>
          </w:p>
        </w:tc>
        <w:tc>
          <w:tcPr>
            <w:tcW w:w="880" w:type="dxa"/>
            <w:vAlign w:val="bottom"/>
            <w:shd w:val="clear" w:color="auto" w:fill="FCEFEB"/>
          </w:tcPr>
          <w:p>
            <w:pPr>
              <w:jc w:val="right"/>
              <w:ind w:right="9"/>
              <w:spacing w:after="0"/>
              <w:rPr>
                <w:sz w:val="20"/>
                <w:szCs w:val="20"/>
                <w:color w:val="auto"/>
              </w:rPr>
            </w:pPr>
            <w:r>
              <w:rPr>
                <w:rFonts w:ascii="Arial" w:cs="Arial" w:eastAsia="Arial" w:hAnsi="Arial"/>
                <w:sz w:val="14"/>
                <w:szCs w:val="14"/>
                <w:color w:val="333333"/>
              </w:rPr>
              <w:t>16,691</w:t>
            </w:r>
          </w:p>
        </w:tc>
        <w:tc>
          <w:tcPr>
            <w:tcW w:w="200" w:type="dxa"/>
            <w:vAlign w:val="bottom"/>
            <w:shd w:val="clear" w:color="auto" w:fill="FCEFEB"/>
          </w:tcPr>
          <w:p>
            <w:pPr>
              <w:spacing w:after="0"/>
              <w:rPr>
                <w:sz w:val="13"/>
                <w:szCs w:val="13"/>
                <w:color w:val="auto"/>
              </w:rPr>
            </w:pPr>
          </w:p>
        </w:tc>
        <w:tc>
          <w:tcPr>
            <w:tcW w:w="960" w:type="dxa"/>
            <w:vAlign w:val="bottom"/>
            <w:shd w:val="clear" w:color="auto" w:fill="FCEFEB"/>
          </w:tcPr>
          <w:p>
            <w:pPr>
              <w:jc w:val="right"/>
              <w:ind w:right="12"/>
              <w:spacing w:after="0" w:line="161" w:lineRule="exact"/>
              <w:rPr>
                <w:sz w:val="20"/>
                <w:szCs w:val="20"/>
                <w:color w:val="auto"/>
              </w:rPr>
            </w:pPr>
            <w:r>
              <w:rPr>
                <w:rFonts w:ascii="Arial" w:cs="Arial" w:eastAsia="Arial" w:hAnsi="Arial"/>
                <w:sz w:val="12"/>
                <w:szCs w:val="12"/>
                <w:color w:val="333333"/>
              </w:rPr>
              <w:t>31,233</w:t>
            </w:r>
            <w:r>
              <w:rPr>
                <w:rFonts w:ascii="Arial" w:cs="Arial" w:eastAsia="Arial" w:hAnsi="Arial"/>
                <w:sz w:val="18"/>
                <w:szCs w:val="18"/>
                <w:color w:val="333333"/>
                <w:vertAlign w:val="superscript"/>
              </w:rPr>
              <w:t>(15)</w:t>
            </w:r>
          </w:p>
        </w:tc>
        <w:tc>
          <w:tcPr>
            <w:tcW w:w="88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858,774</w:t>
            </w:r>
          </w:p>
        </w:tc>
        <w:tc>
          <w:tcPr>
            <w:tcW w:w="0" w:type="dxa"/>
            <w:vAlign w:val="bottom"/>
          </w:tcPr>
          <w:p>
            <w:pPr>
              <w:spacing w:after="0"/>
              <w:rPr>
                <w:sz w:val="1"/>
                <w:szCs w:val="1"/>
                <w:color w:val="auto"/>
              </w:rPr>
            </w:pPr>
          </w:p>
        </w:tc>
      </w:tr>
      <w:tr>
        <w:trPr>
          <w:trHeight w:val="241"/>
        </w:trPr>
        <w:tc>
          <w:tcPr>
            <w:tcW w:w="4640" w:type="dxa"/>
            <w:vAlign w:val="bottom"/>
            <w:tcBorders>
              <w:bottom w:val="single" w:sz="8" w:color="005C5D"/>
            </w:tcBorders>
          </w:tcPr>
          <w:p>
            <w:pPr>
              <w:spacing w:after="0"/>
              <w:rPr>
                <w:sz w:val="20"/>
                <w:szCs w:val="20"/>
                <w:color w:val="auto"/>
              </w:rPr>
            </w:pPr>
          </w:p>
        </w:tc>
        <w:tc>
          <w:tcPr>
            <w:tcW w:w="80" w:type="dxa"/>
            <w:vAlign w:val="bottom"/>
            <w:tcBorders>
              <w:bottom w:val="single" w:sz="8" w:color="005C5D"/>
              <w:right w:val="single" w:sz="8" w:color="FCEFEB"/>
            </w:tcBorders>
            <w:shd w:val="clear" w:color="auto" w:fill="FCEFEB"/>
          </w:tcPr>
          <w:p>
            <w:pPr>
              <w:spacing w:after="0"/>
              <w:rPr>
                <w:sz w:val="20"/>
                <w:szCs w:val="20"/>
                <w:color w:val="auto"/>
              </w:rPr>
            </w:pPr>
          </w:p>
        </w:tc>
        <w:tc>
          <w:tcPr>
            <w:tcW w:w="62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2024</w:t>
            </w:r>
          </w:p>
        </w:tc>
        <w:tc>
          <w:tcPr>
            <w:tcW w:w="78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407,693</w:t>
            </w:r>
          </w:p>
        </w:tc>
        <w:tc>
          <w:tcPr>
            <w:tcW w:w="80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w:t>
            </w:r>
          </w:p>
        </w:tc>
        <w:tc>
          <w:tcPr>
            <w:tcW w:w="880" w:type="dxa"/>
            <w:vAlign w:val="bottom"/>
            <w:tcBorders>
              <w:bottom w:val="single" w:sz="8" w:color="005C5D"/>
            </w:tcBorders>
            <w:shd w:val="clear" w:color="auto" w:fill="FCEFEB"/>
          </w:tcPr>
          <w:p>
            <w:pPr>
              <w:jc w:val="right"/>
              <w:ind w:right="9"/>
              <w:spacing w:after="0"/>
              <w:rPr>
                <w:sz w:val="20"/>
                <w:szCs w:val="20"/>
                <w:color w:val="auto"/>
              </w:rPr>
            </w:pPr>
            <w:r>
              <w:rPr>
                <w:rFonts w:ascii="Arial" w:cs="Arial" w:eastAsia="Arial" w:hAnsi="Arial"/>
                <w:sz w:val="14"/>
                <w:szCs w:val="14"/>
                <w:color w:val="333333"/>
              </w:rPr>
              <w:t>249,999</w:t>
            </w:r>
          </w:p>
        </w:tc>
        <w:tc>
          <w:tcPr>
            <w:tcW w:w="200" w:type="dxa"/>
            <w:vAlign w:val="bottom"/>
            <w:tcBorders>
              <w:bottom w:val="single" w:sz="8" w:color="005C5D"/>
            </w:tcBorders>
            <w:shd w:val="clear" w:color="auto" w:fill="FCEFEB"/>
          </w:tcPr>
          <w:p>
            <w:pPr>
              <w:spacing w:after="0"/>
              <w:rPr>
                <w:sz w:val="20"/>
                <w:szCs w:val="20"/>
                <w:color w:val="auto"/>
              </w:rPr>
            </w:pPr>
          </w:p>
        </w:tc>
        <w:tc>
          <w:tcPr>
            <w:tcW w:w="880" w:type="dxa"/>
            <w:vAlign w:val="bottom"/>
            <w:tcBorders>
              <w:bottom w:val="single" w:sz="8" w:color="005C5D"/>
            </w:tcBorders>
            <w:shd w:val="clear" w:color="auto" w:fill="FCEFEB"/>
          </w:tcPr>
          <w:p>
            <w:pPr>
              <w:jc w:val="right"/>
              <w:ind w:right="9"/>
              <w:spacing w:after="0"/>
              <w:rPr>
                <w:sz w:val="20"/>
                <w:szCs w:val="20"/>
                <w:color w:val="auto"/>
              </w:rPr>
            </w:pPr>
            <w:r>
              <w:rPr>
                <w:rFonts w:ascii="Arial" w:cs="Arial" w:eastAsia="Arial" w:hAnsi="Arial"/>
                <w:sz w:val="14"/>
                <w:szCs w:val="14"/>
                <w:color w:val="333333"/>
              </w:rPr>
              <w:t>247,164</w:t>
            </w:r>
          </w:p>
        </w:tc>
        <w:tc>
          <w:tcPr>
            <w:tcW w:w="200" w:type="dxa"/>
            <w:vAlign w:val="bottom"/>
            <w:tcBorders>
              <w:bottom w:val="single" w:sz="8" w:color="005C5D"/>
            </w:tcBorders>
            <w:shd w:val="clear" w:color="auto" w:fill="FCEFEB"/>
          </w:tcPr>
          <w:p>
            <w:pPr>
              <w:spacing w:after="0"/>
              <w:rPr>
                <w:sz w:val="20"/>
                <w:szCs w:val="20"/>
                <w:color w:val="auto"/>
              </w:rPr>
            </w:pPr>
          </w:p>
        </w:tc>
        <w:tc>
          <w:tcPr>
            <w:tcW w:w="960" w:type="dxa"/>
            <w:vAlign w:val="bottom"/>
            <w:tcBorders>
              <w:bottom w:val="single" w:sz="8" w:color="005C5D"/>
            </w:tcBorders>
            <w:shd w:val="clear" w:color="auto" w:fill="FCEFEB"/>
          </w:tcPr>
          <w:p>
            <w:pPr>
              <w:jc w:val="right"/>
              <w:ind w:right="12"/>
              <w:spacing w:after="0"/>
              <w:rPr>
                <w:sz w:val="20"/>
                <w:szCs w:val="20"/>
                <w:color w:val="auto"/>
              </w:rPr>
            </w:pPr>
            <w:r>
              <w:rPr>
                <w:rFonts w:ascii="Arial" w:cs="Arial" w:eastAsia="Arial" w:hAnsi="Arial"/>
                <w:sz w:val="14"/>
                <w:szCs w:val="14"/>
                <w:color w:val="333333"/>
              </w:rPr>
              <w:t>16,119</w:t>
            </w:r>
            <w:r>
              <w:rPr>
                <w:rFonts w:ascii="Arial" w:cs="Arial" w:eastAsia="Arial" w:hAnsi="Arial"/>
                <w:sz w:val="21"/>
                <w:szCs w:val="21"/>
                <w:color w:val="333333"/>
                <w:vertAlign w:val="superscript"/>
              </w:rPr>
              <w:t>(16)</w:t>
            </w:r>
          </w:p>
        </w:tc>
        <w:tc>
          <w:tcPr>
            <w:tcW w:w="880" w:type="dxa"/>
            <w:vAlign w:val="bottom"/>
            <w:tcBorders>
              <w:bottom w:val="single" w:sz="8" w:color="005C5D"/>
            </w:tcBorders>
            <w:shd w:val="clear" w:color="auto" w:fill="FCEFEB"/>
          </w:tcPr>
          <w:p>
            <w:pPr>
              <w:jc w:val="right"/>
              <w:ind w:right="29"/>
              <w:spacing w:after="0"/>
              <w:rPr>
                <w:sz w:val="20"/>
                <w:szCs w:val="20"/>
                <w:color w:val="auto"/>
              </w:rPr>
            </w:pPr>
            <w:r>
              <w:rPr>
                <w:rFonts w:ascii="Arial" w:cs="Arial" w:eastAsia="Arial" w:hAnsi="Arial"/>
                <w:sz w:val="14"/>
                <w:szCs w:val="14"/>
                <w:color w:val="333333"/>
              </w:rPr>
              <w:t>920,974</w:t>
            </w:r>
          </w:p>
        </w:tc>
        <w:tc>
          <w:tcPr>
            <w:tcW w:w="0" w:type="dxa"/>
            <w:vAlign w:val="bottom"/>
          </w:tcPr>
          <w:p>
            <w:pPr>
              <w:spacing w:after="0"/>
              <w:rPr>
                <w:sz w:val="1"/>
                <w:szCs w:val="1"/>
                <w:color w:val="auto"/>
              </w:rPr>
            </w:pPr>
          </w:p>
        </w:tc>
      </w:tr>
      <w:tr>
        <w:trPr>
          <w:trHeight w:val="207"/>
        </w:trPr>
        <w:tc>
          <w:tcPr>
            <w:tcW w:w="4720" w:type="dxa"/>
            <w:vAlign w:val="bottom"/>
            <w:tcBorders>
              <w:right w:val="single" w:sz="8" w:color="FCEFEB"/>
            </w:tcBorders>
            <w:gridSpan w:val="2"/>
          </w:tcPr>
          <w:p>
            <w:pPr>
              <w:ind w:left="80"/>
              <w:spacing w:after="0"/>
              <w:rPr>
                <w:sz w:val="20"/>
                <w:szCs w:val="20"/>
                <w:color w:val="auto"/>
              </w:rPr>
            </w:pPr>
            <w:r>
              <w:rPr>
                <w:rFonts w:ascii="Arial" w:cs="Arial" w:eastAsia="Arial" w:hAnsi="Arial"/>
                <w:sz w:val="14"/>
                <w:szCs w:val="14"/>
                <w:b w:val="1"/>
                <w:bCs w:val="1"/>
                <w:color w:val="005C5D"/>
              </w:rPr>
              <w:t>Melinda Paraie</w:t>
            </w:r>
          </w:p>
        </w:tc>
        <w:tc>
          <w:tcPr>
            <w:tcW w:w="62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2026</w:t>
            </w:r>
          </w:p>
        </w:tc>
        <w:tc>
          <w:tcPr>
            <w:tcW w:w="78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118,750</w:t>
            </w:r>
          </w:p>
        </w:tc>
        <w:tc>
          <w:tcPr>
            <w:tcW w:w="80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150,000</w:t>
            </w:r>
          </w:p>
        </w:tc>
        <w:tc>
          <w:tcPr>
            <w:tcW w:w="880" w:type="dxa"/>
            <w:vAlign w:val="bottom"/>
            <w:shd w:val="clear" w:color="auto" w:fill="FCEFEB"/>
          </w:tcPr>
          <w:p>
            <w:pPr>
              <w:jc w:val="right"/>
              <w:ind w:right="9"/>
              <w:spacing w:after="0"/>
              <w:rPr>
                <w:sz w:val="20"/>
                <w:szCs w:val="20"/>
                <w:color w:val="auto"/>
              </w:rPr>
            </w:pPr>
            <w:r>
              <w:rPr>
                <w:rFonts w:ascii="Arial" w:cs="Arial" w:eastAsia="Arial" w:hAnsi="Arial"/>
                <w:sz w:val="14"/>
                <w:szCs w:val="14"/>
                <w:color w:val="333333"/>
              </w:rPr>
              <w:t>525,000</w:t>
            </w:r>
          </w:p>
        </w:tc>
        <w:tc>
          <w:tcPr>
            <w:tcW w:w="200" w:type="dxa"/>
            <w:vAlign w:val="bottom"/>
            <w:shd w:val="clear" w:color="auto" w:fill="FCEFEB"/>
          </w:tcPr>
          <w:p>
            <w:pPr>
              <w:spacing w:after="0"/>
              <w:rPr>
                <w:sz w:val="18"/>
                <w:szCs w:val="18"/>
                <w:color w:val="auto"/>
              </w:rPr>
            </w:pPr>
          </w:p>
        </w:tc>
        <w:tc>
          <w:tcPr>
            <w:tcW w:w="880" w:type="dxa"/>
            <w:vAlign w:val="bottom"/>
            <w:shd w:val="clear" w:color="auto" w:fill="FCEFEB"/>
          </w:tcPr>
          <w:p>
            <w:pPr>
              <w:jc w:val="right"/>
              <w:ind w:right="9"/>
              <w:spacing w:after="0"/>
              <w:rPr>
                <w:sz w:val="20"/>
                <w:szCs w:val="20"/>
                <w:color w:val="auto"/>
              </w:rPr>
            </w:pPr>
            <w:r>
              <w:rPr>
                <w:rFonts w:ascii="Arial" w:cs="Arial" w:eastAsia="Arial" w:hAnsi="Arial"/>
                <w:sz w:val="14"/>
                <w:szCs w:val="14"/>
                <w:color w:val="333333"/>
              </w:rPr>
              <w:t>31,947</w:t>
            </w:r>
          </w:p>
        </w:tc>
        <w:tc>
          <w:tcPr>
            <w:tcW w:w="200" w:type="dxa"/>
            <w:vAlign w:val="bottom"/>
            <w:shd w:val="clear" w:color="auto" w:fill="FCEFEB"/>
          </w:tcPr>
          <w:p>
            <w:pPr>
              <w:spacing w:after="0"/>
              <w:rPr>
                <w:sz w:val="18"/>
                <w:szCs w:val="18"/>
                <w:color w:val="auto"/>
              </w:rPr>
            </w:pPr>
          </w:p>
        </w:tc>
        <w:tc>
          <w:tcPr>
            <w:tcW w:w="960" w:type="dxa"/>
            <w:vAlign w:val="bottom"/>
            <w:shd w:val="clear" w:color="auto" w:fill="FCEFEB"/>
          </w:tcPr>
          <w:p>
            <w:pPr>
              <w:jc w:val="right"/>
              <w:ind w:right="12"/>
              <w:spacing w:after="0" w:line="207" w:lineRule="exact"/>
              <w:rPr>
                <w:sz w:val="20"/>
                <w:szCs w:val="20"/>
                <w:color w:val="auto"/>
              </w:rPr>
            </w:pPr>
            <w:r>
              <w:rPr>
                <w:rFonts w:ascii="Arial" w:cs="Arial" w:eastAsia="Arial" w:hAnsi="Arial"/>
                <w:sz w:val="24"/>
                <w:szCs w:val="24"/>
                <w:color w:val="333333"/>
                <w:vertAlign w:val="subscript"/>
              </w:rPr>
              <w:t>244</w:t>
            </w:r>
            <w:r>
              <w:rPr>
                <w:rFonts w:ascii="Arial" w:cs="Arial" w:eastAsia="Arial" w:hAnsi="Arial"/>
                <w:sz w:val="10"/>
                <w:szCs w:val="10"/>
                <w:color w:val="333333"/>
              </w:rPr>
              <w:t>(17)</w:t>
            </w:r>
          </w:p>
        </w:tc>
        <w:tc>
          <w:tcPr>
            <w:tcW w:w="880" w:type="dxa"/>
            <w:vAlign w:val="bottom"/>
            <w:shd w:val="clear" w:color="auto" w:fill="FCEFEB"/>
          </w:tcPr>
          <w:p>
            <w:pPr>
              <w:jc w:val="right"/>
              <w:ind w:right="29"/>
              <w:spacing w:after="0"/>
              <w:rPr>
                <w:sz w:val="20"/>
                <w:szCs w:val="20"/>
                <w:color w:val="auto"/>
              </w:rPr>
            </w:pPr>
            <w:r>
              <w:rPr>
                <w:rFonts w:ascii="Arial" w:cs="Arial" w:eastAsia="Arial" w:hAnsi="Arial"/>
                <w:sz w:val="14"/>
                <w:szCs w:val="14"/>
                <w:color w:val="333333"/>
              </w:rPr>
              <w:t>825,941</w:t>
            </w:r>
          </w:p>
        </w:tc>
        <w:tc>
          <w:tcPr>
            <w:tcW w:w="0" w:type="dxa"/>
            <w:vAlign w:val="bottom"/>
          </w:tcPr>
          <w:p>
            <w:pPr>
              <w:spacing w:after="0"/>
              <w:rPr>
                <w:sz w:val="1"/>
                <w:szCs w:val="1"/>
                <w:color w:val="auto"/>
              </w:rPr>
            </w:pPr>
          </w:p>
        </w:tc>
      </w:tr>
      <w:tr>
        <w:trPr>
          <w:trHeight w:val="189"/>
        </w:trPr>
        <w:tc>
          <w:tcPr>
            <w:tcW w:w="4720" w:type="dxa"/>
            <w:vAlign w:val="bottom"/>
            <w:tcBorders>
              <w:right w:val="single" w:sz="8" w:color="FCEFEB"/>
            </w:tcBorders>
            <w:gridSpan w:val="2"/>
          </w:tcPr>
          <w:p>
            <w:pPr>
              <w:ind w:left="80"/>
              <w:spacing w:after="0"/>
              <w:rPr>
                <w:sz w:val="20"/>
                <w:szCs w:val="20"/>
                <w:color w:val="auto"/>
              </w:rPr>
            </w:pPr>
            <w:r>
              <w:rPr>
                <w:rFonts w:ascii="Arial" w:cs="Arial" w:eastAsia="Arial" w:hAnsi="Arial"/>
                <w:sz w:val="14"/>
                <w:szCs w:val="14"/>
                <w:color w:val="333333"/>
              </w:rPr>
              <w:t>Chief Brand Officer, Vera Bradley, Inc.</w:t>
            </w:r>
          </w:p>
        </w:tc>
        <w:tc>
          <w:tcPr>
            <w:tcW w:w="620" w:type="dxa"/>
            <w:vAlign w:val="bottom"/>
            <w:shd w:val="clear" w:color="auto" w:fill="FCEFEB"/>
          </w:tcPr>
          <w:p>
            <w:pPr>
              <w:spacing w:after="0"/>
              <w:rPr>
                <w:sz w:val="16"/>
                <w:szCs w:val="16"/>
                <w:color w:val="auto"/>
              </w:rPr>
            </w:pPr>
          </w:p>
        </w:tc>
        <w:tc>
          <w:tcPr>
            <w:tcW w:w="780" w:type="dxa"/>
            <w:vAlign w:val="bottom"/>
            <w:shd w:val="clear" w:color="auto" w:fill="FCEFEB"/>
          </w:tcPr>
          <w:p>
            <w:pPr>
              <w:spacing w:after="0"/>
              <w:rPr>
                <w:sz w:val="16"/>
                <w:szCs w:val="16"/>
                <w:color w:val="auto"/>
              </w:rPr>
            </w:pPr>
          </w:p>
        </w:tc>
        <w:tc>
          <w:tcPr>
            <w:tcW w:w="800" w:type="dxa"/>
            <w:vAlign w:val="bottom"/>
            <w:shd w:val="clear" w:color="auto" w:fill="FCEFEB"/>
          </w:tcPr>
          <w:p>
            <w:pPr>
              <w:spacing w:after="0"/>
              <w:rPr>
                <w:sz w:val="16"/>
                <w:szCs w:val="16"/>
                <w:color w:val="auto"/>
              </w:rPr>
            </w:pPr>
          </w:p>
        </w:tc>
        <w:tc>
          <w:tcPr>
            <w:tcW w:w="880" w:type="dxa"/>
            <w:vAlign w:val="bottom"/>
            <w:shd w:val="clear" w:color="auto" w:fill="FCEFEB"/>
          </w:tcPr>
          <w:p>
            <w:pPr>
              <w:spacing w:after="0"/>
              <w:rPr>
                <w:sz w:val="16"/>
                <w:szCs w:val="16"/>
                <w:color w:val="auto"/>
              </w:rPr>
            </w:pPr>
          </w:p>
        </w:tc>
        <w:tc>
          <w:tcPr>
            <w:tcW w:w="200" w:type="dxa"/>
            <w:vAlign w:val="bottom"/>
            <w:shd w:val="clear" w:color="auto" w:fill="FCEFEB"/>
          </w:tcPr>
          <w:p>
            <w:pPr>
              <w:spacing w:after="0"/>
              <w:rPr>
                <w:sz w:val="16"/>
                <w:szCs w:val="16"/>
                <w:color w:val="auto"/>
              </w:rPr>
            </w:pPr>
          </w:p>
        </w:tc>
        <w:tc>
          <w:tcPr>
            <w:tcW w:w="880" w:type="dxa"/>
            <w:vAlign w:val="bottom"/>
            <w:shd w:val="clear" w:color="auto" w:fill="FCEFEB"/>
          </w:tcPr>
          <w:p>
            <w:pPr>
              <w:spacing w:after="0"/>
              <w:rPr>
                <w:sz w:val="16"/>
                <w:szCs w:val="16"/>
                <w:color w:val="auto"/>
              </w:rPr>
            </w:pPr>
          </w:p>
        </w:tc>
        <w:tc>
          <w:tcPr>
            <w:tcW w:w="200" w:type="dxa"/>
            <w:vAlign w:val="bottom"/>
            <w:shd w:val="clear" w:color="auto" w:fill="FCEFEB"/>
          </w:tcPr>
          <w:p>
            <w:pPr>
              <w:spacing w:after="0"/>
              <w:rPr>
                <w:sz w:val="16"/>
                <w:szCs w:val="16"/>
                <w:color w:val="auto"/>
              </w:rPr>
            </w:pPr>
          </w:p>
        </w:tc>
        <w:tc>
          <w:tcPr>
            <w:tcW w:w="960" w:type="dxa"/>
            <w:vAlign w:val="bottom"/>
            <w:shd w:val="clear" w:color="auto" w:fill="FCEFEB"/>
          </w:tcPr>
          <w:p>
            <w:pPr>
              <w:spacing w:after="0"/>
              <w:rPr>
                <w:sz w:val="16"/>
                <w:szCs w:val="16"/>
                <w:color w:val="auto"/>
              </w:rPr>
            </w:pPr>
          </w:p>
        </w:tc>
        <w:tc>
          <w:tcPr>
            <w:tcW w:w="880" w:type="dxa"/>
            <w:vAlign w:val="bottom"/>
            <w:shd w:val="clear" w:color="auto" w:fill="FCEFEB"/>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4640" w:type="dxa"/>
            <w:vAlign w:val="bottom"/>
          </w:tcPr>
          <w:p>
            <w:pPr>
              <w:spacing w:after="0"/>
              <w:rPr>
                <w:sz w:val="4"/>
                <w:szCs w:val="4"/>
                <w:color w:val="auto"/>
              </w:rPr>
            </w:pPr>
          </w:p>
        </w:tc>
        <w:tc>
          <w:tcPr>
            <w:tcW w:w="80" w:type="dxa"/>
            <w:vAlign w:val="bottom"/>
            <w:tcBorders>
              <w:right w:val="single" w:sz="8" w:color="FCEFEB"/>
            </w:tcBorders>
          </w:tcPr>
          <w:p>
            <w:pPr>
              <w:spacing w:after="0"/>
              <w:rPr>
                <w:sz w:val="4"/>
                <w:szCs w:val="4"/>
                <w:color w:val="auto"/>
              </w:rPr>
            </w:pPr>
          </w:p>
        </w:tc>
        <w:tc>
          <w:tcPr>
            <w:tcW w:w="620" w:type="dxa"/>
            <w:vAlign w:val="bottom"/>
            <w:shd w:val="clear" w:color="auto" w:fill="FCEFEB"/>
          </w:tcPr>
          <w:p>
            <w:pPr>
              <w:spacing w:after="0"/>
              <w:rPr>
                <w:sz w:val="4"/>
                <w:szCs w:val="4"/>
                <w:color w:val="auto"/>
              </w:rPr>
            </w:pPr>
          </w:p>
        </w:tc>
        <w:tc>
          <w:tcPr>
            <w:tcW w:w="780" w:type="dxa"/>
            <w:vAlign w:val="bottom"/>
            <w:shd w:val="clear" w:color="auto" w:fill="FCEFEB"/>
          </w:tcPr>
          <w:p>
            <w:pPr>
              <w:spacing w:after="0"/>
              <w:rPr>
                <w:sz w:val="4"/>
                <w:szCs w:val="4"/>
                <w:color w:val="auto"/>
              </w:rPr>
            </w:pPr>
          </w:p>
        </w:tc>
        <w:tc>
          <w:tcPr>
            <w:tcW w:w="800" w:type="dxa"/>
            <w:vAlign w:val="bottom"/>
            <w:shd w:val="clear" w:color="auto" w:fill="FCEFEB"/>
          </w:tcPr>
          <w:p>
            <w:pPr>
              <w:spacing w:after="0"/>
              <w:rPr>
                <w:sz w:val="4"/>
                <w:szCs w:val="4"/>
                <w:color w:val="auto"/>
              </w:rPr>
            </w:pPr>
          </w:p>
        </w:tc>
        <w:tc>
          <w:tcPr>
            <w:tcW w:w="880" w:type="dxa"/>
            <w:vAlign w:val="bottom"/>
            <w:shd w:val="clear" w:color="auto" w:fill="FCEFEB"/>
          </w:tcPr>
          <w:p>
            <w:pPr>
              <w:spacing w:after="0"/>
              <w:rPr>
                <w:sz w:val="4"/>
                <w:szCs w:val="4"/>
                <w:color w:val="auto"/>
              </w:rPr>
            </w:pPr>
          </w:p>
        </w:tc>
        <w:tc>
          <w:tcPr>
            <w:tcW w:w="200" w:type="dxa"/>
            <w:vAlign w:val="bottom"/>
            <w:shd w:val="clear" w:color="auto" w:fill="FCEFEB"/>
          </w:tcPr>
          <w:p>
            <w:pPr>
              <w:spacing w:after="0"/>
              <w:rPr>
                <w:sz w:val="4"/>
                <w:szCs w:val="4"/>
                <w:color w:val="auto"/>
              </w:rPr>
            </w:pPr>
          </w:p>
        </w:tc>
        <w:tc>
          <w:tcPr>
            <w:tcW w:w="880" w:type="dxa"/>
            <w:vAlign w:val="bottom"/>
            <w:shd w:val="clear" w:color="auto" w:fill="FCEFEB"/>
          </w:tcPr>
          <w:p>
            <w:pPr>
              <w:spacing w:after="0"/>
              <w:rPr>
                <w:sz w:val="4"/>
                <w:szCs w:val="4"/>
                <w:color w:val="auto"/>
              </w:rPr>
            </w:pPr>
          </w:p>
        </w:tc>
        <w:tc>
          <w:tcPr>
            <w:tcW w:w="200" w:type="dxa"/>
            <w:vAlign w:val="bottom"/>
            <w:shd w:val="clear" w:color="auto" w:fill="FCEFEB"/>
          </w:tcPr>
          <w:p>
            <w:pPr>
              <w:spacing w:after="0"/>
              <w:rPr>
                <w:sz w:val="4"/>
                <w:szCs w:val="4"/>
                <w:color w:val="auto"/>
              </w:rPr>
            </w:pPr>
          </w:p>
        </w:tc>
        <w:tc>
          <w:tcPr>
            <w:tcW w:w="960" w:type="dxa"/>
            <w:vAlign w:val="bottom"/>
            <w:shd w:val="clear" w:color="auto" w:fill="FCEFEB"/>
          </w:tcPr>
          <w:p>
            <w:pPr>
              <w:spacing w:after="0"/>
              <w:rPr>
                <w:sz w:val="4"/>
                <w:szCs w:val="4"/>
                <w:color w:val="auto"/>
              </w:rPr>
            </w:pPr>
          </w:p>
        </w:tc>
        <w:tc>
          <w:tcPr>
            <w:tcW w:w="880" w:type="dxa"/>
            <w:vAlign w:val="bottom"/>
            <w:shd w:val="clear" w:color="auto" w:fill="FCEFEB"/>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wp:posOffset>
            </wp:positionV>
            <wp:extent cx="69297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jc w:val="both"/>
        <w:ind w:left="480" w:hanging="313"/>
        <w:spacing w:after="0" w:line="235" w:lineRule="auto"/>
        <w:tabs>
          <w:tab w:leader="none" w:pos="480" w:val="left"/>
        </w:tabs>
        <w:numPr>
          <w:ilvl w:val="0"/>
          <w:numId w:val="41"/>
        </w:numPr>
        <w:rPr>
          <w:rFonts w:ascii="Arial" w:cs="Arial" w:eastAsia="Arial" w:hAnsi="Arial"/>
          <w:sz w:val="12"/>
          <w:szCs w:val="12"/>
          <w:color w:val="333333"/>
        </w:rPr>
      </w:pPr>
      <w:r>
        <w:rPr>
          <w:rFonts w:ascii="Arial" w:cs="Arial" w:eastAsia="Arial" w:hAnsi="Arial"/>
          <w:sz w:val="12"/>
          <w:szCs w:val="12"/>
          <w:color w:val="333333"/>
        </w:rPr>
        <w:t>Represents the aggregate grant date fair value of RSUs awarded during the fiscal year computed in accordance with FASB ASC Topic 718. The grant date fair value of each individual award of RSUs for fiscal 2026 is set forth in the Fiscal 2026 Grants of Plan-Based Awards table below. Additional information regarding the calculation of these values is included in Notes 2 and 8 to our consolidated financial statements. Performance-based awards are reflected at target. If the maximum level of performance-based awards were to be achieved for the awards granted in fiscal 2026, the aggregate grant date fair value would be $1,499,999 for Mr. Bickley, $1,049,998 for Ms. Ardrey, $1,275,002 for Mr. Layding, $600,002 for Mr. Schwindle, $750,002 for Mr. Dely; $450,003 for Ms. Hiatt; and $525,000 for Ms. Paraie.</w:t>
      </w:r>
    </w:p>
    <w:p>
      <w:pPr>
        <w:ind w:left="480" w:hanging="313"/>
        <w:spacing w:after="0" w:line="232" w:lineRule="auto"/>
        <w:tabs>
          <w:tab w:leader="none" w:pos="480" w:val="left"/>
        </w:tabs>
        <w:numPr>
          <w:ilvl w:val="0"/>
          <w:numId w:val="41"/>
        </w:numPr>
        <w:rPr>
          <w:rFonts w:ascii="Arial" w:cs="Arial" w:eastAsia="Arial" w:hAnsi="Arial"/>
          <w:sz w:val="12"/>
          <w:szCs w:val="12"/>
          <w:color w:val="333333"/>
        </w:rPr>
      </w:pPr>
      <w:r>
        <w:rPr>
          <w:rFonts w:ascii="Arial" w:cs="Arial" w:eastAsia="Arial" w:hAnsi="Arial"/>
          <w:sz w:val="12"/>
          <w:szCs w:val="12"/>
          <w:color w:val="333333"/>
        </w:rPr>
        <w:t>Represents annual incentive compensation earned during the current fiscal year under the Company’s Annual Incentive Bonus Program and paid in the subsequent fiscal year.</w:t>
      </w:r>
    </w:p>
    <w:p>
      <w:pPr>
        <w:ind w:left="480" w:hanging="313"/>
        <w:spacing w:after="0" w:line="232" w:lineRule="auto"/>
        <w:tabs>
          <w:tab w:leader="none" w:pos="480" w:val="left"/>
        </w:tabs>
        <w:numPr>
          <w:ilvl w:val="0"/>
          <w:numId w:val="41"/>
        </w:numPr>
        <w:rPr>
          <w:rFonts w:ascii="Arial" w:cs="Arial" w:eastAsia="Arial" w:hAnsi="Arial"/>
          <w:sz w:val="12"/>
          <w:szCs w:val="12"/>
          <w:color w:val="333333"/>
        </w:rPr>
      </w:pPr>
      <w:r>
        <w:rPr>
          <w:rFonts w:ascii="Arial" w:cs="Arial" w:eastAsia="Arial" w:hAnsi="Arial"/>
          <w:sz w:val="12"/>
          <w:szCs w:val="12"/>
          <w:color w:val="333333"/>
        </w:rPr>
        <w:t>Represents $1,340 in other taxable fringe benefits.</w:t>
      </w:r>
    </w:p>
    <w:p>
      <w:pPr>
        <w:ind w:left="480" w:hanging="313"/>
        <w:spacing w:after="0" w:line="232" w:lineRule="auto"/>
        <w:tabs>
          <w:tab w:leader="none" w:pos="480" w:val="left"/>
        </w:tabs>
        <w:numPr>
          <w:ilvl w:val="0"/>
          <w:numId w:val="41"/>
        </w:numPr>
        <w:rPr>
          <w:rFonts w:ascii="Arial" w:cs="Arial" w:eastAsia="Arial" w:hAnsi="Arial"/>
          <w:sz w:val="12"/>
          <w:szCs w:val="12"/>
          <w:color w:val="333333"/>
        </w:rPr>
      </w:pPr>
      <w:r>
        <w:rPr>
          <w:rFonts w:ascii="Arial" w:cs="Arial" w:eastAsia="Arial" w:hAnsi="Arial"/>
          <w:sz w:val="12"/>
          <w:szCs w:val="12"/>
          <w:color w:val="333333"/>
        </w:rPr>
        <w:t>Represents $2,000,000 in severance, $44,617 in accrued vacation, $9,759 in 401(k) matching contributions made by the Company, and $1,111 in other taxable fringe benefits.</w:t>
      </w:r>
    </w:p>
    <w:p>
      <w:pPr>
        <w:ind w:left="480" w:hanging="313"/>
        <w:spacing w:after="0" w:line="232" w:lineRule="auto"/>
        <w:tabs>
          <w:tab w:leader="none" w:pos="480" w:val="left"/>
        </w:tabs>
        <w:numPr>
          <w:ilvl w:val="0"/>
          <w:numId w:val="41"/>
        </w:numPr>
        <w:rPr>
          <w:rFonts w:ascii="Arial" w:cs="Arial" w:eastAsia="Arial" w:hAnsi="Arial"/>
          <w:sz w:val="12"/>
          <w:szCs w:val="12"/>
          <w:color w:val="333333"/>
        </w:rPr>
      </w:pPr>
      <w:r>
        <w:rPr>
          <w:rFonts w:ascii="Arial" w:cs="Arial" w:eastAsia="Arial" w:hAnsi="Arial"/>
          <w:sz w:val="12"/>
          <w:szCs w:val="12"/>
          <w:color w:val="333333"/>
        </w:rPr>
        <w:t>Represents $13,957 in 401(k) matching contributions made by the Company and $2,064 in other taxable fringe benefits.</w:t>
      </w:r>
    </w:p>
    <w:p>
      <w:pPr>
        <w:ind w:left="480" w:hanging="313"/>
        <w:spacing w:after="0" w:line="232" w:lineRule="auto"/>
        <w:tabs>
          <w:tab w:leader="none" w:pos="480" w:val="left"/>
        </w:tabs>
        <w:numPr>
          <w:ilvl w:val="0"/>
          <w:numId w:val="41"/>
        </w:numPr>
        <w:rPr>
          <w:rFonts w:ascii="Arial" w:cs="Arial" w:eastAsia="Arial" w:hAnsi="Arial"/>
          <w:sz w:val="12"/>
          <w:szCs w:val="12"/>
          <w:color w:val="333333"/>
        </w:rPr>
      </w:pPr>
      <w:r>
        <w:rPr>
          <w:rFonts w:ascii="Arial" w:cs="Arial" w:eastAsia="Arial" w:hAnsi="Arial"/>
          <w:sz w:val="12"/>
          <w:szCs w:val="12"/>
          <w:color w:val="333333"/>
        </w:rPr>
        <w:t>Represents $3,923 in 401(k) matching contributions made by the Company and $1,215 in other taxable fringe benefits.</w:t>
      </w:r>
    </w:p>
    <w:p>
      <w:pPr>
        <w:ind w:left="480" w:hanging="313"/>
        <w:spacing w:after="0" w:line="232" w:lineRule="auto"/>
        <w:tabs>
          <w:tab w:leader="none" w:pos="480" w:val="left"/>
        </w:tabs>
        <w:numPr>
          <w:ilvl w:val="0"/>
          <w:numId w:val="41"/>
        </w:numPr>
        <w:rPr>
          <w:rFonts w:ascii="Arial" w:cs="Arial" w:eastAsia="Arial" w:hAnsi="Arial"/>
          <w:sz w:val="12"/>
          <w:szCs w:val="12"/>
          <w:color w:val="333333"/>
        </w:rPr>
      </w:pPr>
      <w:r>
        <w:rPr>
          <w:rFonts w:ascii="Arial" w:cs="Arial" w:eastAsia="Arial" w:hAnsi="Arial"/>
          <w:sz w:val="12"/>
          <w:szCs w:val="12"/>
          <w:color w:val="333333"/>
        </w:rPr>
        <w:t>Represents $9,120 in travel stipend and $953 in other taxable fringe benefits.</w:t>
      </w:r>
    </w:p>
    <w:p>
      <w:pPr>
        <w:ind w:left="480" w:hanging="313"/>
        <w:spacing w:after="0"/>
        <w:tabs>
          <w:tab w:leader="none" w:pos="480" w:val="left"/>
        </w:tabs>
        <w:numPr>
          <w:ilvl w:val="0"/>
          <w:numId w:val="41"/>
        </w:numPr>
        <w:rPr>
          <w:rFonts w:ascii="Arial" w:cs="Arial" w:eastAsia="Arial" w:hAnsi="Arial"/>
          <w:sz w:val="12"/>
          <w:szCs w:val="12"/>
          <w:color w:val="333333"/>
        </w:rPr>
      </w:pPr>
      <w:r>
        <w:rPr>
          <w:rFonts w:ascii="Arial" w:cs="Arial" w:eastAsia="Arial" w:hAnsi="Arial"/>
          <w:sz w:val="12"/>
          <w:szCs w:val="12"/>
          <w:color w:val="333333"/>
        </w:rPr>
        <w:t>Represents $675,938 in severance, $16,222 in accrued vacation, $15,000 in travel stipend, $10,862 in 401(k) matching contributions made by the Company, and $953 in other taxable fringe benefits.</w:t>
      </w:r>
    </w:p>
    <w:p>
      <w:pPr>
        <w:spacing w:after="0" w:line="129" w:lineRule="exact"/>
        <w:rPr>
          <w:rFonts w:ascii="Arial" w:cs="Arial" w:eastAsia="Arial" w:hAnsi="Arial"/>
          <w:sz w:val="12"/>
          <w:szCs w:val="12"/>
          <w:color w:val="333333"/>
        </w:rPr>
      </w:pPr>
    </w:p>
    <w:p>
      <w:pPr>
        <w:ind w:left="480" w:hanging="313"/>
        <w:spacing w:after="0" w:line="232" w:lineRule="auto"/>
        <w:tabs>
          <w:tab w:leader="none" w:pos="480" w:val="left"/>
        </w:tabs>
        <w:numPr>
          <w:ilvl w:val="0"/>
          <w:numId w:val="41"/>
        </w:numPr>
        <w:rPr>
          <w:rFonts w:ascii="Arial" w:cs="Arial" w:eastAsia="Arial" w:hAnsi="Arial"/>
          <w:sz w:val="12"/>
          <w:szCs w:val="12"/>
          <w:color w:val="333333"/>
        </w:rPr>
      </w:pPr>
      <w:r>
        <w:rPr>
          <w:rFonts w:ascii="Arial" w:cs="Arial" w:eastAsia="Arial" w:hAnsi="Arial"/>
          <w:sz w:val="12"/>
          <w:szCs w:val="12"/>
          <w:color w:val="333333"/>
        </w:rPr>
        <w:t>Represents $30,000 in travel stipend, $11,647 in 401(k) matching contributions made by the Company, and $2,064 in other taxable fringe benefits.</w:t>
      </w:r>
    </w:p>
    <w:p>
      <w:pPr>
        <w:ind w:left="480" w:hanging="313"/>
        <w:spacing w:after="0" w:line="232" w:lineRule="auto"/>
        <w:tabs>
          <w:tab w:leader="none" w:pos="480" w:val="left"/>
        </w:tabs>
        <w:numPr>
          <w:ilvl w:val="0"/>
          <w:numId w:val="41"/>
        </w:numPr>
        <w:rPr>
          <w:rFonts w:ascii="Arial" w:cs="Arial" w:eastAsia="Arial" w:hAnsi="Arial"/>
          <w:sz w:val="12"/>
          <w:szCs w:val="12"/>
          <w:color w:val="333333"/>
        </w:rPr>
      </w:pPr>
      <w:r>
        <w:rPr>
          <w:rFonts w:ascii="Arial" w:cs="Arial" w:eastAsia="Arial" w:hAnsi="Arial"/>
          <w:sz w:val="12"/>
          <w:szCs w:val="12"/>
          <w:color w:val="333333"/>
        </w:rPr>
        <w:t>Represents $17,029 in travel stipend and $1,191 in other taxable fringe benefits.</w:t>
      </w:r>
    </w:p>
    <w:p>
      <w:pPr>
        <w:ind w:left="480" w:hanging="313"/>
        <w:spacing w:after="0" w:line="232" w:lineRule="auto"/>
        <w:tabs>
          <w:tab w:leader="none" w:pos="480" w:val="left"/>
        </w:tabs>
        <w:numPr>
          <w:ilvl w:val="0"/>
          <w:numId w:val="41"/>
        </w:numPr>
        <w:rPr>
          <w:rFonts w:ascii="Arial" w:cs="Arial" w:eastAsia="Arial" w:hAnsi="Arial"/>
          <w:sz w:val="12"/>
          <w:szCs w:val="12"/>
          <w:color w:val="333333"/>
        </w:rPr>
      </w:pPr>
      <w:r>
        <w:rPr>
          <w:rFonts w:ascii="Arial" w:cs="Arial" w:eastAsia="Arial" w:hAnsi="Arial"/>
          <w:sz w:val="12"/>
          <w:szCs w:val="12"/>
          <w:color w:val="333333"/>
        </w:rPr>
        <w:t>Represents $13,800 in 401(k) matching contributions made by the Company, and $1,104 in other taxable fringe benefits.</w:t>
      </w:r>
    </w:p>
    <w:p>
      <w:pPr>
        <w:ind w:left="480" w:hanging="313"/>
        <w:spacing w:after="0" w:line="232" w:lineRule="auto"/>
        <w:tabs>
          <w:tab w:leader="none" w:pos="480" w:val="left"/>
        </w:tabs>
        <w:numPr>
          <w:ilvl w:val="0"/>
          <w:numId w:val="41"/>
        </w:numPr>
        <w:rPr>
          <w:rFonts w:ascii="Arial" w:cs="Arial" w:eastAsia="Arial" w:hAnsi="Arial"/>
          <w:sz w:val="12"/>
          <w:szCs w:val="12"/>
          <w:color w:val="333333"/>
        </w:rPr>
      </w:pPr>
      <w:r>
        <w:rPr>
          <w:rFonts w:ascii="Arial" w:cs="Arial" w:eastAsia="Arial" w:hAnsi="Arial"/>
          <w:sz w:val="12"/>
          <w:szCs w:val="12"/>
          <w:color w:val="333333"/>
        </w:rPr>
        <w:t>Represents $14,575 in 401(k) matching contributions made by the Company and $772 in other taxable fringe benefits.</w:t>
      </w:r>
    </w:p>
    <w:p>
      <w:pPr>
        <w:ind w:left="480" w:hanging="313"/>
        <w:spacing w:after="0" w:line="232" w:lineRule="auto"/>
        <w:tabs>
          <w:tab w:leader="none" w:pos="480" w:val="left"/>
        </w:tabs>
        <w:numPr>
          <w:ilvl w:val="0"/>
          <w:numId w:val="41"/>
        </w:numPr>
        <w:rPr>
          <w:rFonts w:ascii="Arial" w:cs="Arial" w:eastAsia="Arial" w:hAnsi="Arial"/>
          <w:sz w:val="12"/>
          <w:szCs w:val="12"/>
          <w:color w:val="333333"/>
        </w:rPr>
      </w:pPr>
      <w:r>
        <w:rPr>
          <w:rFonts w:ascii="Arial" w:cs="Arial" w:eastAsia="Arial" w:hAnsi="Arial"/>
          <w:sz w:val="12"/>
          <w:szCs w:val="12"/>
          <w:color w:val="333333"/>
        </w:rPr>
        <w:t>Represents $13,632 in 401(k) matching contributions made by the Company and $720 in other taxable fringe benefits.</w:t>
      </w:r>
    </w:p>
    <w:p>
      <w:pPr>
        <w:ind w:left="480" w:hanging="313"/>
        <w:spacing w:after="0" w:line="232" w:lineRule="auto"/>
        <w:tabs>
          <w:tab w:leader="none" w:pos="480" w:val="left"/>
        </w:tabs>
        <w:numPr>
          <w:ilvl w:val="0"/>
          <w:numId w:val="41"/>
        </w:numPr>
        <w:rPr>
          <w:rFonts w:ascii="Arial" w:cs="Arial" w:eastAsia="Arial" w:hAnsi="Arial"/>
          <w:sz w:val="12"/>
          <w:szCs w:val="12"/>
          <w:color w:val="333333"/>
        </w:rPr>
      </w:pPr>
      <w:r>
        <w:rPr>
          <w:rFonts w:ascii="Arial" w:cs="Arial" w:eastAsia="Arial" w:hAnsi="Arial"/>
          <w:sz w:val="12"/>
          <w:szCs w:val="12"/>
          <w:color w:val="333333"/>
        </w:rPr>
        <w:t>Represents $300,000 in severance, $20,600 in accrued vacation, $24,000 in travel stipend, and $1,508 in other taxable fringe benefits.</w:t>
      </w:r>
    </w:p>
    <w:p>
      <w:pPr>
        <w:ind w:left="480" w:hanging="313"/>
        <w:spacing w:after="0" w:line="232" w:lineRule="auto"/>
        <w:tabs>
          <w:tab w:leader="none" w:pos="480" w:val="left"/>
        </w:tabs>
        <w:numPr>
          <w:ilvl w:val="0"/>
          <w:numId w:val="41"/>
        </w:numPr>
        <w:rPr>
          <w:rFonts w:ascii="Arial" w:cs="Arial" w:eastAsia="Arial" w:hAnsi="Arial"/>
          <w:sz w:val="12"/>
          <w:szCs w:val="12"/>
          <w:color w:val="333333"/>
        </w:rPr>
      </w:pPr>
      <w:r>
        <w:rPr>
          <w:rFonts w:ascii="Arial" w:cs="Arial" w:eastAsia="Arial" w:hAnsi="Arial"/>
          <w:sz w:val="12"/>
          <w:szCs w:val="12"/>
          <w:color w:val="333333"/>
        </w:rPr>
        <w:t>Represents $30,000 in travel stipend and $1,233 in other taxable fringe benefits.</w:t>
      </w:r>
    </w:p>
    <w:p>
      <w:pPr>
        <w:ind w:left="480" w:hanging="313"/>
        <w:spacing w:after="0" w:line="232" w:lineRule="auto"/>
        <w:tabs>
          <w:tab w:leader="none" w:pos="480" w:val="left"/>
        </w:tabs>
        <w:numPr>
          <w:ilvl w:val="0"/>
          <w:numId w:val="41"/>
        </w:numPr>
        <w:rPr>
          <w:rFonts w:ascii="Arial" w:cs="Arial" w:eastAsia="Arial" w:hAnsi="Arial"/>
          <w:sz w:val="12"/>
          <w:szCs w:val="12"/>
          <w:color w:val="333333"/>
        </w:rPr>
      </w:pPr>
      <w:r>
        <w:rPr>
          <w:rFonts w:ascii="Arial" w:cs="Arial" w:eastAsia="Arial" w:hAnsi="Arial"/>
          <w:sz w:val="12"/>
          <w:szCs w:val="12"/>
          <w:color w:val="333333"/>
        </w:rPr>
        <w:t>Represents $15,143 in travel stipend and $976 in other taxable fringe benefits.</w:t>
      </w:r>
    </w:p>
    <w:p>
      <w:pPr>
        <w:ind w:left="480" w:hanging="313"/>
        <w:spacing w:after="0"/>
        <w:tabs>
          <w:tab w:leader="none" w:pos="480" w:val="left"/>
        </w:tabs>
        <w:numPr>
          <w:ilvl w:val="0"/>
          <w:numId w:val="41"/>
        </w:numPr>
        <w:rPr>
          <w:rFonts w:ascii="Arial" w:cs="Arial" w:eastAsia="Arial" w:hAnsi="Arial"/>
          <w:sz w:val="12"/>
          <w:szCs w:val="12"/>
          <w:color w:val="333333"/>
        </w:rPr>
      </w:pPr>
      <w:r>
        <w:rPr>
          <w:rFonts w:ascii="Arial" w:cs="Arial" w:eastAsia="Arial" w:hAnsi="Arial"/>
          <w:sz w:val="12"/>
          <w:szCs w:val="12"/>
          <w:color w:val="333333"/>
        </w:rPr>
        <w:t>Represents $244 in other taxable fringe benefits.</w:t>
      </w:r>
    </w:p>
    <w:p>
      <w:pPr>
        <w:spacing w:after="0" w:line="140" w:lineRule="exact"/>
        <w:rPr>
          <w:sz w:val="20"/>
          <w:szCs w:val="20"/>
          <w:color w:val="auto"/>
        </w:rPr>
      </w:pPr>
    </w:p>
    <w:p>
      <w:pPr>
        <w:ind w:left="160"/>
        <w:spacing w:after="0"/>
        <w:tabs>
          <w:tab w:leader="none" w:pos="4920" w:val="left"/>
        </w:tabs>
        <w:rPr>
          <w:sz w:val="20"/>
          <w:szCs w:val="20"/>
          <w:color w:val="auto"/>
        </w:rPr>
      </w:pPr>
      <w:r>
        <w:rPr>
          <w:rFonts w:ascii="Arial" w:cs="Arial" w:eastAsia="Arial" w:hAnsi="Arial"/>
          <w:sz w:val="14"/>
          <w:szCs w:val="14"/>
          <w:color w:val="005C5D"/>
        </w:rPr>
        <w:t xml:space="preserve">32 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1080"/>
          </w:cols>
          <w:pgMar w:left="320" w:top="478"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9500"/>
        <w:spacing w:after="0"/>
        <w:rPr>
          <w:sz w:val="20"/>
          <w:szCs w:val="20"/>
          <w:color w:val="auto"/>
        </w:rPr>
      </w:pPr>
      <w:r>
        <w:rPr>
          <w:rFonts w:ascii="Arial" w:cs="Arial" w:eastAsia="Arial" w:hAnsi="Arial"/>
          <w:sz w:val="14"/>
          <w:szCs w:val="14"/>
          <w:color w:val="005C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9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Fiscal 2026 Grants of Plan-Based Awards</w:t>
      </w:r>
    </w:p>
    <w:p>
      <w:pPr>
        <w:spacing w:after="0" w:line="100"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color w:val="333333"/>
        </w:rPr>
        <w:t>The following table sets forth information regarding grants of plan-based awards in fiscal 2026. In this table “TRSU” stands for time-based restricted stock unit and “PRSU” stands for performance-based restricted stock unit.</w:t>
      </w:r>
    </w:p>
    <w:p>
      <w:pPr>
        <w:spacing w:after="0" w:line="202"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820" w:type="dxa"/>
            <w:vAlign w:val="bottom"/>
            <w:shd w:val="clear" w:color="auto" w:fill="005C5D"/>
          </w:tcPr>
          <w:p>
            <w:pPr>
              <w:spacing w:after="0"/>
              <w:rPr>
                <w:sz w:val="18"/>
                <w:szCs w:val="18"/>
                <w:color w:val="auto"/>
              </w:rPr>
            </w:pPr>
          </w:p>
        </w:tc>
        <w:tc>
          <w:tcPr>
            <w:tcW w:w="620" w:type="dxa"/>
            <w:vAlign w:val="bottom"/>
            <w:shd w:val="clear" w:color="auto" w:fill="005C5D"/>
          </w:tcPr>
          <w:p>
            <w:pPr>
              <w:spacing w:after="0"/>
              <w:rPr>
                <w:sz w:val="18"/>
                <w:szCs w:val="18"/>
                <w:color w:val="auto"/>
              </w:rPr>
            </w:pPr>
          </w:p>
        </w:tc>
        <w:tc>
          <w:tcPr>
            <w:tcW w:w="940" w:type="dxa"/>
            <w:vAlign w:val="bottom"/>
            <w:shd w:val="clear" w:color="auto" w:fill="005C5D"/>
          </w:tcPr>
          <w:p>
            <w:pPr>
              <w:spacing w:after="0"/>
              <w:rPr>
                <w:sz w:val="18"/>
                <w:szCs w:val="18"/>
                <w:color w:val="auto"/>
              </w:rPr>
            </w:pPr>
          </w:p>
        </w:tc>
        <w:tc>
          <w:tcPr>
            <w:tcW w:w="520" w:type="dxa"/>
            <w:vAlign w:val="bottom"/>
            <w:shd w:val="clear" w:color="auto" w:fill="005C5D"/>
          </w:tcPr>
          <w:p>
            <w:pPr>
              <w:spacing w:after="0"/>
              <w:rPr>
                <w:sz w:val="18"/>
                <w:szCs w:val="18"/>
                <w:color w:val="auto"/>
              </w:rPr>
            </w:pPr>
          </w:p>
        </w:tc>
        <w:tc>
          <w:tcPr>
            <w:tcW w:w="2920" w:type="dxa"/>
            <w:vAlign w:val="bottom"/>
            <w:gridSpan w:val="5"/>
            <w:shd w:val="clear" w:color="auto" w:fill="005C5D"/>
          </w:tcPr>
          <w:p>
            <w:pPr>
              <w:jc w:val="center"/>
              <w:ind w:right="389"/>
              <w:spacing w:after="0"/>
              <w:rPr>
                <w:sz w:val="20"/>
                <w:szCs w:val="20"/>
                <w:color w:val="auto"/>
              </w:rPr>
            </w:pPr>
            <w:r>
              <w:rPr>
                <w:rFonts w:ascii="Arial" w:cs="Arial" w:eastAsia="Arial" w:hAnsi="Arial"/>
                <w:sz w:val="14"/>
                <w:szCs w:val="14"/>
                <w:color w:val="FFFFFF"/>
              </w:rPr>
              <w:t>ESTIMATED POSSIBLE PAYOUTS</w:t>
            </w:r>
          </w:p>
        </w:tc>
        <w:tc>
          <w:tcPr>
            <w:tcW w:w="3200" w:type="dxa"/>
            <w:vAlign w:val="bottom"/>
            <w:gridSpan w:val="3"/>
            <w:shd w:val="clear" w:color="auto" w:fill="005C5D"/>
          </w:tcPr>
          <w:p>
            <w:pPr>
              <w:jc w:val="center"/>
              <w:ind w:left="109"/>
              <w:spacing w:after="0"/>
              <w:rPr>
                <w:sz w:val="20"/>
                <w:szCs w:val="20"/>
                <w:color w:val="auto"/>
              </w:rPr>
            </w:pPr>
            <w:r>
              <w:rPr>
                <w:rFonts w:ascii="Arial" w:cs="Arial" w:eastAsia="Arial" w:hAnsi="Arial"/>
                <w:sz w:val="14"/>
                <w:szCs w:val="14"/>
                <w:color w:val="FFFFFF"/>
              </w:rPr>
              <w:t>ESTIMATED FUTURE PAYOUTS</w:t>
            </w:r>
          </w:p>
        </w:tc>
        <w:tc>
          <w:tcPr>
            <w:tcW w:w="820" w:type="dxa"/>
            <w:vAlign w:val="bottom"/>
            <w:shd w:val="clear" w:color="auto" w:fill="005C5D"/>
          </w:tcPr>
          <w:p>
            <w:pPr>
              <w:spacing w:after="0"/>
              <w:rPr>
                <w:sz w:val="18"/>
                <w:szCs w:val="18"/>
                <w:color w:val="auto"/>
              </w:rPr>
            </w:pPr>
          </w:p>
        </w:tc>
        <w:tc>
          <w:tcPr>
            <w:tcW w:w="500" w:type="dxa"/>
            <w:vAlign w:val="bottom"/>
            <w:shd w:val="clear" w:color="auto" w:fill="005C5D"/>
          </w:tcPr>
          <w:p>
            <w:pPr>
              <w:spacing w:after="0"/>
              <w:rPr>
                <w:sz w:val="18"/>
                <w:szCs w:val="18"/>
                <w:color w:val="auto"/>
              </w:rPr>
            </w:pPr>
          </w:p>
        </w:tc>
        <w:tc>
          <w:tcPr>
            <w:tcW w:w="580" w:type="dxa"/>
            <w:vAlign w:val="bottom"/>
            <w:shd w:val="clear" w:color="auto" w:fill="005C5D"/>
          </w:tcPr>
          <w:p>
            <w:pPr>
              <w:spacing w:after="0"/>
              <w:rPr>
                <w:sz w:val="18"/>
                <w:szCs w:val="18"/>
                <w:color w:val="auto"/>
              </w:rPr>
            </w:pPr>
          </w:p>
        </w:tc>
      </w:tr>
      <w:tr>
        <w:trPr>
          <w:trHeight w:val="160"/>
        </w:trPr>
        <w:tc>
          <w:tcPr>
            <w:tcW w:w="820" w:type="dxa"/>
            <w:vAlign w:val="bottom"/>
            <w:shd w:val="clear" w:color="auto" w:fill="005C5D"/>
          </w:tcPr>
          <w:p>
            <w:pPr>
              <w:spacing w:after="0"/>
              <w:rPr>
                <w:sz w:val="13"/>
                <w:szCs w:val="13"/>
                <w:color w:val="auto"/>
              </w:rPr>
            </w:pPr>
          </w:p>
        </w:tc>
        <w:tc>
          <w:tcPr>
            <w:tcW w:w="620" w:type="dxa"/>
            <w:vAlign w:val="bottom"/>
            <w:shd w:val="clear" w:color="auto" w:fill="005C5D"/>
          </w:tcPr>
          <w:p>
            <w:pPr>
              <w:spacing w:after="0"/>
              <w:rPr>
                <w:sz w:val="13"/>
                <w:szCs w:val="13"/>
                <w:color w:val="auto"/>
              </w:rPr>
            </w:pPr>
          </w:p>
        </w:tc>
        <w:tc>
          <w:tcPr>
            <w:tcW w:w="940" w:type="dxa"/>
            <w:vAlign w:val="bottom"/>
            <w:shd w:val="clear" w:color="auto" w:fill="005C5D"/>
          </w:tcPr>
          <w:p>
            <w:pPr>
              <w:spacing w:after="0"/>
              <w:rPr>
                <w:sz w:val="13"/>
                <w:szCs w:val="13"/>
                <w:color w:val="auto"/>
              </w:rPr>
            </w:pPr>
          </w:p>
        </w:tc>
        <w:tc>
          <w:tcPr>
            <w:tcW w:w="520" w:type="dxa"/>
            <w:vAlign w:val="bottom"/>
            <w:shd w:val="clear" w:color="auto" w:fill="005C5D"/>
          </w:tcPr>
          <w:p>
            <w:pPr>
              <w:spacing w:after="0"/>
              <w:rPr>
                <w:sz w:val="13"/>
                <w:szCs w:val="13"/>
                <w:color w:val="auto"/>
              </w:rPr>
            </w:pPr>
          </w:p>
        </w:tc>
        <w:tc>
          <w:tcPr>
            <w:tcW w:w="780" w:type="dxa"/>
            <w:vAlign w:val="bottom"/>
            <w:shd w:val="clear" w:color="auto" w:fill="005C5D"/>
          </w:tcPr>
          <w:p>
            <w:pPr>
              <w:spacing w:after="0"/>
              <w:rPr>
                <w:sz w:val="13"/>
                <w:szCs w:val="13"/>
                <w:color w:val="auto"/>
              </w:rPr>
            </w:pPr>
          </w:p>
        </w:tc>
        <w:tc>
          <w:tcPr>
            <w:tcW w:w="1000" w:type="dxa"/>
            <w:vAlign w:val="bottom"/>
            <w:gridSpan w:val="2"/>
            <w:shd w:val="clear" w:color="auto" w:fill="005C5D"/>
          </w:tcPr>
          <w:p>
            <w:pPr>
              <w:ind w:left="200"/>
              <w:spacing w:after="0"/>
              <w:rPr>
                <w:sz w:val="20"/>
                <w:szCs w:val="20"/>
                <w:color w:val="auto"/>
              </w:rPr>
            </w:pPr>
            <w:r>
              <w:rPr>
                <w:rFonts w:ascii="Arial" w:cs="Arial" w:eastAsia="Arial" w:hAnsi="Arial"/>
                <w:sz w:val="14"/>
                <w:szCs w:val="14"/>
                <w:color w:val="FFFFFF"/>
              </w:rPr>
              <w:t>UNDER</w:t>
            </w:r>
          </w:p>
        </w:tc>
        <w:tc>
          <w:tcPr>
            <w:tcW w:w="320" w:type="dxa"/>
            <w:vAlign w:val="bottom"/>
            <w:shd w:val="clear" w:color="auto" w:fill="005C5D"/>
          </w:tcPr>
          <w:p>
            <w:pPr>
              <w:spacing w:after="0"/>
              <w:rPr>
                <w:sz w:val="13"/>
                <w:szCs w:val="13"/>
                <w:color w:val="auto"/>
              </w:rPr>
            </w:pPr>
          </w:p>
        </w:tc>
        <w:tc>
          <w:tcPr>
            <w:tcW w:w="820" w:type="dxa"/>
            <w:vAlign w:val="bottom"/>
            <w:shd w:val="clear" w:color="auto" w:fill="005C5D"/>
          </w:tcPr>
          <w:p>
            <w:pPr>
              <w:spacing w:after="0"/>
              <w:rPr>
                <w:sz w:val="13"/>
                <w:szCs w:val="13"/>
                <w:color w:val="auto"/>
              </w:rPr>
            </w:pPr>
          </w:p>
        </w:tc>
        <w:tc>
          <w:tcPr>
            <w:tcW w:w="1240" w:type="dxa"/>
            <w:vAlign w:val="bottom"/>
            <w:shd w:val="clear" w:color="auto" w:fill="005C5D"/>
          </w:tcPr>
          <w:p>
            <w:pPr>
              <w:spacing w:after="0"/>
              <w:rPr>
                <w:sz w:val="13"/>
                <w:szCs w:val="13"/>
                <w:color w:val="auto"/>
              </w:rPr>
            </w:pPr>
          </w:p>
        </w:tc>
        <w:tc>
          <w:tcPr>
            <w:tcW w:w="960" w:type="dxa"/>
            <w:vAlign w:val="bottom"/>
            <w:shd w:val="clear" w:color="auto" w:fill="005C5D"/>
          </w:tcPr>
          <w:p>
            <w:pPr>
              <w:jc w:val="center"/>
              <w:spacing w:after="0"/>
              <w:rPr>
                <w:sz w:val="20"/>
                <w:szCs w:val="20"/>
                <w:color w:val="auto"/>
              </w:rPr>
            </w:pPr>
            <w:r>
              <w:rPr>
                <w:rFonts w:ascii="Arial" w:cs="Arial" w:eastAsia="Arial" w:hAnsi="Arial"/>
                <w:sz w:val="14"/>
                <w:szCs w:val="14"/>
                <w:color w:val="FFFFFF"/>
              </w:rPr>
              <w:t>UNDER</w:t>
            </w:r>
          </w:p>
        </w:tc>
        <w:tc>
          <w:tcPr>
            <w:tcW w:w="1000" w:type="dxa"/>
            <w:vAlign w:val="bottom"/>
            <w:shd w:val="clear" w:color="auto" w:fill="005C5D"/>
          </w:tcPr>
          <w:p>
            <w:pPr>
              <w:spacing w:after="0"/>
              <w:rPr>
                <w:sz w:val="13"/>
                <w:szCs w:val="13"/>
                <w:color w:val="auto"/>
              </w:rPr>
            </w:pPr>
          </w:p>
        </w:tc>
        <w:tc>
          <w:tcPr>
            <w:tcW w:w="820" w:type="dxa"/>
            <w:vAlign w:val="bottom"/>
            <w:shd w:val="clear" w:color="auto" w:fill="005C5D"/>
          </w:tcPr>
          <w:p>
            <w:pPr>
              <w:spacing w:after="0"/>
              <w:rPr>
                <w:sz w:val="13"/>
                <w:szCs w:val="13"/>
                <w:color w:val="auto"/>
              </w:rPr>
            </w:pPr>
          </w:p>
        </w:tc>
        <w:tc>
          <w:tcPr>
            <w:tcW w:w="500" w:type="dxa"/>
            <w:vAlign w:val="bottom"/>
            <w:shd w:val="clear" w:color="auto" w:fill="005C5D"/>
          </w:tcPr>
          <w:p>
            <w:pPr>
              <w:spacing w:after="0"/>
              <w:rPr>
                <w:sz w:val="13"/>
                <w:szCs w:val="13"/>
                <w:color w:val="auto"/>
              </w:rPr>
            </w:pPr>
          </w:p>
        </w:tc>
        <w:tc>
          <w:tcPr>
            <w:tcW w:w="580" w:type="dxa"/>
            <w:vAlign w:val="bottom"/>
            <w:shd w:val="clear" w:color="auto" w:fill="005C5D"/>
          </w:tcPr>
          <w:p>
            <w:pPr>
              <w:spacing w:after="0"/>
              <w:rPr>
                <w:sz w:val="13"/>
                <w:szCs w:val="13"/>
                <w:color w:val="auto"/>
              </w:rPr>
            </w:pPr>
          </w:p>
        </w:tc>
      </w:tr>
      <w:tr>
        <w:trPr>
          <w:trHeight w:val="160"/>
        </w:trPr>
        <w:tc>
          <w:tcPr>
            <w:tcW w:w="820" w:type="dxa"/>
            <w:vAlign w:val="bottom"/>
            <w:shd w:val="clear" w:color="auto" w:fill="005C5D"/>
          </w:tcPr>
          <w:p>
            <w:pPr>
              <w:spacing w:after="0"/>
              <w:rPr>
                <w:sz w:val="13"/>
                <w:szCs w:val="13"/>
                <w:color w:val="auto"/>
              </w:rPr>
            </w:pPr>
          </w:p>
        </w:tc>
        <w:tc>
          <w:tcPr>
            <w:tcW w:w="620" w:type="dxa"/>
            <w:vAlign w:val="bottom"/>
            <w:shd w:val="clear" w:color="auto" w:fill="005C5D"/>
          </w:tcPr>
          <w:p>
            <w:pPr>
              <w:spacing w:after="0"/>
              <w:rPr>
                <w:sz w:val="13"/>
                <w:szCs w:val="13"/>
                <w:color w:val="auto"/>
              </w:rPr>
            </w:pPr>
          </w:p>
        </w:tc>
        <w:tc>
          <w:tcPr>
            <w:tcW w:w="940" w:type="dxa"/>
            <w:vAlign w:val="bottom"/>
            <w:shd w:val="clear" w:color="auto" w:fill="005C5D"/>
          </w:tcPr>
          <w:p>
            <w:pPr>
              <w:spacing w:after="0"/>
              <w:rPr>
                <w:sz w:val="13"/>
                <w:szCs w:val="13"/>
                <w:color w:val="auto"/>
              </w:rPr>
            </w:pPr>
          </w:p>
        </w:tc>
        <w:tc>
          <w:tcPr>
            <w:tcW w:w="520" w:type="dxa"/>
            <w:vAlign w:val="bottom"/>
            <w:shd w:val="clear" w:color="auto" w:fill="005C5D"/>
          </w:tcPr>
          <w:p>
            <w:pPr>
              <w:spacing w:after="0"/>
              <w:rPr>
                <w:sz w:val="13"/>
                <w:szCs w:val="13"/>
                <w:color w:val="auto"/>
              </w:rPr>
            </w:pPr>
          </w:p>
        </w:tc>
        <w:tc>
          <w:tcPr>
            <w:tcW w:w="2920" w:type="dxa"/>
            <w:vAlign w:val="bottom"/>
            <w:gridSpan w:val="5"/>
            <w:shd w:val="clear" w:color="auto" w:fill="005C5D"/>
          </w:tcPr>
          <w:p>
            <w:pPr>
              <w:jc w:val="center"/>
              <w:ind w:right="389"/>
              <w:spacing w:after="0"/>
              <w:rPr>
                <w:sz w:val="20"/>
                <w:szCs w:val="20"/>
                <w:color w:val="auto"/>
              </w:rPr>
            </w:pPr>
            <w:r>
              <w:rPr>
                <w:rFonts w:ascii="Arial" w:cs="Arial" w:eastAsia="Arial" w:hAnsi="Arial"/>
                <w:sz w:val="14"/>
                <w:szCs w:val="14"/>
                <w:color w:val="FFFFFF"/>
              </w:rPr>
              <w:t>NON-EQUITY INCENTIVE PLAN</w:t>
            </w:r>
          </w:p>
        </w:tc>
        <w:tc>
          <w:tcPr>
            <w:tcW w:w="3200" w:type="dxa"/>
            <w:vAlign w:val="bottom"/>
            <w:gridSpan w:val="3"/>
            <w:shd w:val="clear" w:color="auto" w:fill="005C5D"/>
          </w:tcPr>
          <w:p>
            <w:pPr>
              <w:jc w:val="center"/>
              <w:ind w:left="109"/>
              <w:spacing w:after="0"/>
              <w:rPr>
                <w:sz w:val="20"/>
                <w:szCs w:val="20"/>
                <w:color w:val="auto"/>
              </w:rPr>
            </w:pPr>
            <w:r>
              <w:rPr>
                <w:rFonts w:ascii="Arial" w:cs="Arial" w:eastAsia="Arial" w:hAnsi="Arial"/>
                <w:sz w:val="14"/>
                <w:szCs w:val="14"/>
                <w:color w:val="FFFFFF"/>
              </w:rPr>
              <w:t>EQUITY INCENTIVE PLAN</w:t>
            </w:r>
          </w:p>
        </w:tc>
        <w:tc>
          <w:tcPr>
            <w:tcW w:w="820" w:type="dxa"/>
            <w:vAlign w:val="bottom"/>
            <w:shd w:val="clear" w:color="auto" w:fill="005C5D"/>
          </w:tcPr>
          <w:p>
            <w:pPr>
              <w:spacing w:after="0"/>
              <w:rPr>
                <w:sz w:val="13"/>
                <w:szCs w:val="13"/>
                <w:color w:val="auto"/>
              </w:rPr>
            </w:pPr>
          </w:p>
        </w:tc>
        <w:tc>
          <w:tcPr>
            <w:tcW w:w="500" w:type="dxa"/>
            <w:vAlign w:val="bottom"/>
            <w:shd w:val="clear" w:color="auto" w:fill="005C5D"/>
          </w:tcPr>
          <w:p>
            <w:pPr>
              <w:spacing w:after="0"/>
              <w:rPr>
                <w:sz w:val="13"/>
                <w:szCs w:val="13"/>
                <w:color w:val="auto"/>
              </w:rPr>
            </w:pPr>
          </w:p>
        </w:tc>
        <w:tc>
          <w:tcPr>
            <w:tcW w:w="580" w:type="dxa"/>
            <w:vAlign w:val="bottom"/>
            <w:shd w:val="clear" w:color="auto" w:fill="005C5D"/>
          </w:tcPr>
          <w:p>
            <w:pPr>
              <w:spacing w:after="0"/>
              <w:rPr>
                <w:sz w:val="13"/>
                <w:szCs w:val="13"/>
                <w:color w:val="auto"/>
              </w:rPr>
            </w:pPr>
          </w:p>
        </w:tc>
      </w:tr>
      <w:tr>
        <w:trPr>
          <w:trHeight w:val="189"/>
        </w:trPr>
        <w:tc>
          <w:tcPr>
            <w:tcW w:w="820" w:type="dxa"/>
            <w:vAlign w:val="bottom"/>
            <w:shd w:val="clear" w:color="auto" w:fill="005C5D"/>
          </w:tcPr>
          <w:p>
            <w:pPr>
              <w:spacing w:after="0"/>
              <w:rPr>
                <w:sz w:val="16"/>
                <w:szCs w:val="16"/>
                <w:color w:val="auto"/>
              </w:rPr>
            </w:pPr>
          </w:p>
        </w:tc>
        <w:tc>
          <w:tcPr>
            <w:tcW w:w="620" w:type="dxa"/>
            <w:vAlign w:val="bottom"/>
            <w:shd w:val="clear" w:color="auto" w:fill="005C5D"/>
          </w:tcPr>
          <w:p>
            <w:pPr>
              <w:spacing w:after="0"/>
              <w:rPr>
                <w:sz w:val="16"/>
                <w:szCs w:val="16"/>
                <w:color w:val="auto"/>
              </w:rPr>
            </w:pPr>
          </w:p>
        </w:tc>
        <w:tc>
          <w:tcPr>
            <w:tcW w:w="940" w:type="dxa"/>
            <w:vAlign w:val="bottom"/>
            <w:shd w:val="clear" w:color="auto" w:fill="005C5D"/>
          </w:tcPr>
          <w:p>
            <w:pPr>
              <w:spacing w:after="0"/>
              <w:rPr>
                <w:sz w:val="16"/>
                <w:szCs w:val="16"/>
                <w:color w:val="auto"/>
              </w:rPr>
            </w:pPr>
          </w:p>
        </w:tc>
        <w:tc>
          <w:tcPr>
            <w:tcW w:w="520" w:type="dxa"/>
            <w:vAlign w:val="bottom"/>
            <w:shd w:val="clear" w:color="auto" w:fill="005C5D"/>
          </w:tcPr>
          <w:p>
            <w:pPr>
              <w:spacing w:after="0"/>
              <w:rPr>
                <w:sz w:val="16"/>
                <w:szCs w:val="16"/>
                <w:color w:val="auto"/>
              </w:rPr>
            </w:pPr>
          </w:p>
        </w:tc>
        <w:tc>
          <w:tcPr>
            <w:tcW w:w="780" w:type="dxa"/>
            <w:vAlign w:val="bottom"/>
            <w:shd w:val="clear" w:color="auto" w:fill="005C5D"/>
          </w:tcPr>
          <w:p>
            <w:pPr>
              <w:spacing w:after="0"/>
              <w:rPr>
                <w:sz w:val="16"/>
                <w:szCs w:val="16"/>
                <w:color w:val="auto"/>
              </w:rPr>
            </w:pPr>
          </w:p>
        </w:tc>
        <w:tc>
          <w:tcPr>
            <w:tcW w:w="1000" w:type="dxa"/>
            <w:vAlign w:val="bottom"/>
            <w:gridSpan w:val="2"/>
            <w:shd w:val="clear" w:color="auto" w:fill="005C5D"/>
          </w:tcPr>
          <w:p>
            <w:pPr>
              <w:jc w:val="center"/>
              <w:ind w:right="29"/>
              <w:spacing w:after="0"/>
              <w:rPr>
                <w:sz w:val="20"/>
                <w:szCs w:val="20"/>
                <w:color w:val="auto"/>
              </w:rPr>
            </w:pPr>
            <w:r>
              <w:rPr>
                <w:rFonts w:ascii="Arial" w:cs="Arial" w:eastAsia="Arial" w:hAnsi="Arial"/>
                <w:sz w:val="14"/>
                <w:szCs w:val="14"/>
                <w:color w:val="FFFFFF"/>
                <w:w w:val="96"/>
              </w:rPr>
              <w:t>AWARDS</w:t>
            </w:r>
            <w:r>
              <w:rPr>
                <w:rFonts w:ascii="Arial" w:cs="Arial" w:eastAsia="Arial" w:hAnsi="Arial"/>
                <w:sz w:val="14"/>
                <w:szCs w:val="14"/>
                <w:color w:val="FFFFFF"/>
                <w:w w:val="96"/>
                <w:vertAlign w:val="superscript"/>
              </w:rPr>
              <w:t>(1)</w:t>
            </w:r>
          </w:p>
        </w:tc>
        <w:tc>
          <w:tcPr>
            <w:tcW w:w="320" w:type="dxa"/>
            <w:vAlign w:val="bottom"/>
            <w:shd w:val="clear" w:color="auto" w:fill="005C5D"/>
          </w:tcPr>
          <w:p>
            <w:pPr>
              <w:spacing w:after="0"/>
              <w:rPr>
                <w:sz w:val="16"/>
                <w:szCs w:val="16"/>
                <w:color w:val="auto"/>
              </w:rPr>
            </w:pPr>
          </w:p>
        </w:tc>
        <w:tc>
          <w:tcPr>
            <w:tcW w:w="820" w:type="dxa"/>
            <w:vAlign w:val="bottom"/>
            <w:shd w:val="clear" w:color="auto" w:fill="005C5D"/>
          </w:tcPr>
          <w:p>
            <w:pPr>
              <w:spacing w:after="0"/>
              <w:rPr>
                <w:sz w:val="16"/>
                <w:szCs w:val="16"/>
                <w:color w:val="auto"/>
              </w:rPr>
            </w:pPr>
          </w:p>
        </w:tc>
        <w:tc>
          <w:tcPr>
            <w:tcW w:w="1240" w:type="dxa"/>
            <w:vAlign w:val="bottom"/>
            <w:shd w:val="clear" w:color="auto" w:fill="005C5D"/>
          </w:tcPr>
          <w:p>
            <w:pPr>
              <w:spacing w:after="0"/>
              <w:rPr>
                <w:sz w:val="16"/>
                <w:szCs w:val="16"/>
                <w:color w:val="auto"/>
              </w:rPr>
            </w:pPr>
          </w:p>
        </w:tc>
        <w:tc>
          <w:tcPr>
            <w:tcW w:w="960" w:type="dxa"/>
            <w:vAlign w:val="bottom"/>
            <w:shd w:val="clear" w:color="auto" w:fill="005C5D"/>
          </w:tcPr>
          <w:p>
            <w:pPr>
              <w:jc w:val="center"/>
              <w:spacing w:after="0"/>
              <w:rPr>
                <w:sz w:val="20"/>
                <w:szCs w:val="20"/>
                <w:color w:val="auto"/>
              </w:rPr>
            </w:pPr>
            <w:r>
              <w:rPr>
                <w:rFonts w:ascii="Arial" w:cs="Arial" w:eastAsia="Arial" w:hAnsi="Arial"/>
                <w:sz w:val="14"/>
                <w:szCs w:val="14"/>
                <w:color w:val="FFFFFF"/>
                <w:w w:val="96"/>
              </w:rPr>
              <w:t>AWARDS</w:t>
            </w:r>
            <w:r>
              <w:rPr>
                <w:rFonts w:ascii="Arial" w:cs="Arial" w:eastAsia="Arial" w:hAnsi="Arial"/>
                <w:sz w:val="14"/>
                <w:szCs w:val="14"/>
                <w:color w:val="FFFFFF"/>
                <w:w w:val="96"/>
                <w:vertAlign w:val="superscript"/>
              </w:rPr>
              <w:t>(2)</w:t>
            </w:r>
          </w:p>
        </w:tc>
        <w:tc>
          <w:tcPr>
            <w:tcW w:w="1000" w:type="dxa"/>
            <w:vAlign w:val="bottom"/>
            <w:shd w:val="clear" w:color="auto" w:fill="005C5D"/>
          </w:tcPr>
          <w:p>
            <w:pPr>
              <w:spacing w:after="0"/>
              <w:rPr>
                <w:sz w:val="16"/>
                <w:szCs w:val="16"/>
                <w:color w:val="auto"/>
              </w:rPr>
            </w:pPr>
          </w:p>
        </w:tc>
        <w:tc>
          <w:tcPr>
            <w:tcW w:w="820" w:type="dxa"/>
            <w:vAlign w:val="bottom"/>
            <w:shd w:val="clear" w:color="auto" w:fill="005C5D"/>
          </w:tcPr>
          <w:p>
            <w:pPr>
              <w:spacing w:after="0"/>
              <w:rPr>
                <w:sz w:val="16"/>
                <w:szCs w:val="16"/>
                <w:color w:val="auto"/>
              </w:rPr>
            </w:pPr>
          </w:p>
        </w:tc>
        <w:tc>
          <w:tcPr>
            <w:tcW w:w="500" w:type="dxa"/>
            <w:vAlign w:val="bottom"/>
            <w:shd w:val="clear" w:color="auto" w:fill="005C5D"/>
          </w:tcPr>
          <w:p>
            <w:pPr>
              <w:spacing w:after="0"/>
              <w:rPr>
                <w:sz w:val="16"/>
                <w:szCs w:val="16"/>
                <w:color w:val="auto"/>
              </w:rPr>
            </w:pPr>
          </w:p>
        </w:tc>
        <w:tc>
          <w:tcPr>
            <w:tcW w:w="580" w:type="dxa"/>
            <w:vAlign w:val="bottom"/>
            <w:shd w:val="clear" w:color="auto" w:fill="005C5D"/>
          </w:tcPr>
          <w:p>
            <w:pPr>
              <w:spacing w:after="0"/>
              <w:rPr>
                <w:sz w:val="16"/>
                <w:szCs w:val="16"/>
                <w:color w:val="auto"/>
              </w:rPr>
            </w:pPr>
          </w:p>
        </w:tc>
      </w:tr>
      <w:tr>
        <w:trPr>
          <w:trHeight w:val="266"/>
        </w:trPr>
        <w:tc>
          <w:tcPr>
            <w:tcW w:w="820" w:type="dxa"/>
            <w:vAlign w:val="bottom"/>
            <w:shd w:val="clear" w:color="auto" w:fill="005C5D"/>
          </w:tcPr>
          <w:p>
            <w:pPr>
              <w:spacing w:after="0"/>
              <w:rPr>
                <w:sz w:val="23"/>
                <w:szCs w:val="23"/>
                <w:color w:val="auto"/>
              </w:rPr>
            </w:pPr>
          </w:p>
        </w:tc>
        <w:tc>
          <w:tcPr>
            <w:tcW w:w="620" w:type="dxa"/>
            <w:vAlign w:val="bottom"/>
            <w:shd w:val="clear" w:color="auto" w:fill="005C5D"/>
          </w:tcPr>
          <w:p>
            <w:pPr>
              <w:spacing w:after="0"/>
              <w:rPr>
                <w:sz w:val="23"/>
                <w:szCs w:val="23"/>
                <w:color w:val="auto"/>
              </w:rPr>
            </w:pPr>
          </w:p>
        </w:tc>
        <w:tc>
          <w:tcPr>
            <w:tcW w:w="940" w:type="dxa"/>
            <w:vAlign w:val="bottom"/>
            <w:shd w:val="clear" w:color="auto" w:fill="005C5D"/>
          </w:tcPr>
          <w:p>
            <w:pPr>
              <w:spacing w:after="0"/>
              <w:rPr>
                <w:sz w:val="23"/>
                <w:szCs w:val="23"/>
                <w:color w:val="auto"/>
              </w:rPr>
            </w:pPr>
          </w:p>
        </w:tc>
        <w:tc>
          <w:tcPr>
            <w:tcW w:w="520" w:type="dxa"/>
            <w:vAlign w:val="bottom"/>
            <w:shd w:val="clear" w:color="auto" w:fill="005C5D"/>
          </w:tcPr>
          <w:p>
            <w:pPr>
              <w:spacing w:after="0"/>
              <w:rPr>
                <w:sz w:val="23"/>
                <w:szCs w:val="23"/>
                <w:color w:val="auto"/>
              </w:rPr>
            </w:pPr>
          </w:p>
        </w:tc>
        <w:tc>
          <w:tcPr>
            <w:tcW w:w="780" w:type="dxa"/>
            <w:vAlign w:val="bottom"/>
            <w:shd w:val="clear" w:color="auto" w:fill="005C5D"/>
          </w:tcPr>
          <w:p>
            <w:pPr>
              <w:spacing w:after="0"/>
              <w:rPr>
                <w:sz w:val="23"/>
                <w:szCs w:val="23"/>
                <w:color w:val="auto"/>
              </w:rPr>
            </w:pPr>
          </w:p>
        </w:tc>
        <w:tc>
          <w:tcPr>
            <w:tcW w:w="300" w:type="dxa"/>
            <w:vAlign w:val="bottom"/>
            <w:shd w:val="clear" w:color="auto" w:fill="005C5D"/>
          </w:tcPr>
          <w:p>
            <w:pPr>
              <w:spacing w:after="0"/>
              <w:rPr>
                <w:sz w:val="23"/>
                <w:szCs w:val="23"/>
                <w:color w:val="auto"/>
              </w:rPr>
            </w:pPr>
          </w:p>
        </w:tc>
        <w:tc>
          <w:tcPr>
            <w:tcW w:w="700" w:type="dxa"/>
            <w:vAlign w:val="bottom"/>
            <w:shd w:val="clear" w:color="auto" w:fill="005C5D"/>
          </w:tcPr>
          <w:p>
            <w:pPr>
              <w:spacing w:after="0"/>
              <w:rPr>
                <w:sz w:val="23"/>
                <w:szCs w:val="23"/>
                <w:color w:val="auto"/>
              </w:rPr>
            </w:pPr>
          </w:p>
        </w:tc>
        <w:tc>
          <w:tcPr>
            <w:tcW w:w="320" w:type="dxa"/>
            <w:vAlign w:val="bottom"/>
            <w:shd w:val="clear" w:color="auto" w:fill="005C5D"/>
          </w:tcPr>
          <w:p>
            <w:pPr>
              <w:spacing w:after="0"/>
              <w:rPr>
                <w:sz w:val="23"/>
                <w:szCs w:val="23"/>
                <w:color w:val="auto"/>
              </w:rPr>
            </w:pPr>
          </w:p>
        </w:tc>
        <w:tc>
          <w:tcPr>
            <w:tcW w:w="820" w:type="dxa"/>
            <w:vAlign w:val="bottom"/>
            <w:shd w:val="clear" w:color="auto" w:fill="005C5D"/>
          </w:tcPr>
          <w:p>
            <w:pPr>
              <w:spacing w:after="0"/>
              <w:rPr>
                <w:sz w:val="23"/>
                <w:szCs w:val="23"/>
                <w:color w:val="auto"/>
              </w:rPr>
            </w:pPr>
          </w:p>
        </w:tc>
        <w:tc>
          <w:tcPr>
            <w:tcW w:w="1240" w:type="dxa"/>
            <w:vAlign w:val="bottom"/>
            <w:shd w:val="clear" w:color="auto" w:fill="005C5D"/>
          </w:tcPr>
          <w:p>
            <w:pPr>
              <w:spacing w:after="0"/>
              <w:rPr>
                <w:sz w:val="23"/>
                <w:szCs w:val="23"/>
                <w:color w:val="auto"/>
              </w:rPr>
            </w:pPr>
          </w:p>
        </w:tc>
        <w:tc>
          <w:tcPr>
            <w:tcW w:w="960" w:type="dxa"/>
            <w:vAlign w:val="bottom"/>
            <w:shd w:val="clear" w:color="auto" w:fill="005C5D"/>
          </w:tcPr>
          <w:p>
            <w:pPr>
              <w:spacing w:after="0"/>
              <w:rPr>
                <w:sz w:val="23"/>
                <w:szCs w:val="23"/>
                <w:color w:val="auto"/>
              </w:rPr>
            </w:pPr>
          </w:p>
        </w:tc>
        <w:tc>
          <w:tcPr>
            <w:tcW w:w="1000" w:type="dxa"/>
            <w:vAlign w:val="bottom"/>
            <w:shd w:val="clear" w:color="auto" w:fill="005C5D"/>
          </w:tcPr>
          <w:p>
            <w:pPr>
              <w:spacing w:after="0"/>
              <w:rPr>
                <w:sz w:val="23"/>
                <w:szCs w:val="23"/>
                <w:color w:val="auto"/>
              </w:rPr>
            </w:pPr>
          </w:p>
        </w:tc>
        <w:tc>
          <w:tcPr>
            <w:tcW w:w="820" w:type="dxa"/>
            <w:vAlign w:val="bottom"/>
            <w:shd w:val="clear" w:color="auto" w:fill="005C5D"/>
          </w:tcPr>
          <w:p>
            <w:pPr>
              <w:jc w:val="center"/>
              <w:ind w:left="49"/>
              <w:spacing w:after="0"/>
              <w:rPr>
                <w:sz w:val="20"/>
                <w:szCs w:val="20"/>
                <w:color w:val="auto"/>
              </w:rPr>
            </w:pPr>
            <w:r>
              <w:rPr>
                <w:rFonts w:ascii="Arial" w:cs="Arial" w:eastAsia="Arial" w:hAnsi="Arial"/>
                <w:sz w:val="14"/>
                <w:szCs w:val="14"/>
                <w:color w:val="FFFFFF"/>
              </w:rPr>
              <w:t>ALL</w:t>
            </w:r>
          </w:p>
        </w:tc>
        <w:tc>
          <w:tcPr>
            <w:tcW w:w="1080" w:type="dxa"/>
            <w:vAlign w:val="bottom"/>
            <w:gridSpan w:val="2"/>
            <w:shd w:val="clear" w:color="auto" w:fill="005C5D"/>
          </w:tcPr>
          <w:p>
            <w:pPr>
              <w:jc w:val="center"/>
              <w:spacing w:after="0"/>
              <w:rPr>
                <w:sz w:val="20"/>
                <w:szCs w:val="20"/>
                <w:color w:val="auto"/>
              </w:rPr>
            </w:pPr>
            <w:r>
              <w:rPr>
                <w:rFonts w:ascii="Arial" w:cs="Arial" w:eastAsia="Arial" w:hAnsi="Arial"/>
                <w:sz w:val="14"/>
                <w:szCs w:val="14"/>
                <w:color w:val="FFFFFF"/>
                <w:w w:val="99"/>
              </w:rPr>
              <w:t>GRANT DATE</w:t>
            </w:r>
          </w:p>
        </w:tc>
      </w:tr>
      <w:tr>
        <w:trPr>
          <w:trHeight w:val="160"/>
        </w:trPr>
        <w:tc>
          <w:tcPr>
            <w:tcW w:w="820" w:type="dxa"/>
            <w:vAlign w:val="bottom"/>
            <w:shd w:val="clear" w:color="auto" w:fill="005C5D"/>
          </w:tcPr>
          <w:p>
            <w:pPr>
              <w:spacing w:after="0"/>
              <w:rPr>
                <w:sz w:val="13"/>
                <w:szCs w:val="13"/>
                <w:color w:val="auto"/>
              </w:rPr>
            </w:pPr>
          </w:p>
        </w:tc>
        <w:tc>
          <w:tcPr>
            <w:tcW w:w="620" w:type="dxa"/>
            <w:vAlign w:val="bottom"/>
            <w:shd w:val="clear" w:color="auto" w:fill="005C5D"/>
          </w:tcPr>
          <w:p>
            <w:pPr>
              <w:jc w:val="center"/>
              <w:spacing w:after="0"/>
              <w:rPr>
                <w:sz w:val="20"/>
                <w:szCs w:val="20"/>
                <w:color w:val="auto"/>
              </w:rPr>
            </w:pPr>
            <w:r>
              <w:rPr>
                <w:rFonts w:ascii="Arial" w:cs="Arial" w:eastAsia="Arial" w:hAnsi="Arial"/>
                <w:sz w:val="14"/>
                <w:szCs w:val="14"/>
                <w:color w:val="FFFFFF"/>
              </w:rPr>
              <w:t>TYPE</w:t>
            </w:r>
          </w:p>
        </w:tc>
        <w:tc>
          <w:tcPr>
            <w:tcW w:w="940" w:type="dxa"/>
            <w:vAlign w:val="bottom"/>
            <w:shd w:val="clear" w:color="auto" w:fill="005C5D"/>
          </w:tcPr>
          <w:p>
            <w:pPr>
              <w:spacing w:after="0"/>
              <w:rPr>
                <w:sz w:val="13"/>
                <w:szCs w:val="13"/>
                <w:color w:val="auto"/>
              </w:rPr>
            </w:pPr>
          </w:p>
        </w:tc>
        <w:tc>
          <w:tcPr>
            <w:tcW w:w="520" w:type="dxa"/>
            <w:vAlign w:val="bottom"/>
            <w:shd w:val="clear" w:color="auto" w:fill="005C5D"/>
          </w:tcPr>
          <w:p>
            <w:pPr>
              <w:spacing w:after="0"/>
              <w:rPr>
                <w:sz w:val="13"/>
                <w:szCs w:val="13"/>
                <w:color w:val="auto"/>
              </w:rPr>
            </w:pPr>
          </w:p>
        </w:tc>
        <w:tc>
          <w:tcPr>
            <w:tcW w:w="780" w:type="dxa"/>
            <w:vAlign w:val="bottom"/>
            <w:shd w:val="clear" w:color="auto" w:fill="005C5D"/>
          </w:tcPr>
          <w:p>
            <w:pPr>
              <w:spacing w:after="0"/>
              <w:rPr>
                <w:sz w:val="13"/>
                <w:szCs w:val="13"/>
                <w:color w:val="auto"/>
              </w:rPr>
            </w:pPr>
          </w:p>
        </w:tc>
        <w:tc>
          <w:tcPr>
            <w:tcW w:w="300" w:type="dxa"/>
            <w:vAlign w:val="bottom"/>
            <w:shd w:val="clear" w:color="auto" w:fill="005C5D"/>
          </w:tcPr>
          <w:p>
            <w:pPr>
              <w:spacing w:after="0"/>
              <w:rPr>
                <w:sz w:val="13"/>
                <w:szCs w:val="13"/>
                <w:color w:val="auto"/>
              </w:rPr>
            </w:pPr>
          </w:p>
        </w:tc>
        <w:tc>
          <w:tcPr>
            <w:tcW w:w="700" w:type="dxa"/>
            <w:vAlign w:val="bottom"/>
            <w:shd w:val="clear" w:color="auto" w:fill="005C5D"/>
          </w:tcPr>
          <w:p>
            <w:pPr>
              <w:spacing w:after="0"/>
              <w:rPr>
                <w:sz w:val="13"/>
                <w:szCs w:val="13"/>
                <w:color w:val="auto"/>
              </w:rPr>
            </w:pPr>
          </w:p>
        </w:tc>
        <w:tc>
          <w:tcPr>
            <w:tcW w:w="320" w:type="dxa"/>
            <w:vAlign w:val="bottom"/>
            <w:shd w:val="clear" w:color="auto" w:fill="005C5D"/>
          </w:tcPr>
          <w:p>
            <w:pPr>
              <w:spacing w:after="0"/>
              <w:rPr>
                <w:sz w:val="13"/>
                <w:szCs w:val="13"/>
                <w:color w:val="auto"/>
              </w:rPr>
            </w:pPr>
          </w:p>
        </w:tc>
        <w:tc>
          <w:tcPr>
            <w:tcW w:w="820" w:type="dxa"/>
            <w:vAlign w:val="bottom"/>
            <w:shd w:val="clear" w:color="auto" w:fill="005C5D"/>
          </w:tcPr>
          <w:p>
            <w:pPr>
              <w:spacing w:after="0"/>
              <w:rPr>
                <w:sz w:val="13"/>
                <w:szCs w:val="13"/>
                <w:color w:val="auto"/>
              </w:rPr>
            </w:pPr>
          </w:p>
        </w:tc>
        <w:tc>
          <w:tcPr>
            <w:tcW w:w="1240" w:type="dxa"/>
            <w:vAlign w:val="bottom"/>
            <w:shd w:val="clear" w:color="auto" w:fill="005C5D"/>
          </w:tcPr>
          <w:p>
            <w:pPr>
              <w:spacing w:after="0"/>
              <w:rPr>
                <w:sz w:val="13"/>
                <w:szCs w:val="13"/>
                <w:color w:val="auto"/>
              </w:rPr>
            </w:pPr>
          </w:p>
        </w:tc>
        <w:tc>
          <w:tcPr>
            <w:tcW w:w="960" w:type="dxa"/>
            <w:vAlign w:val="bottom"/>
            <w:shd w:val="clear" w:color="auto" w:fill="005C5D"/>
          </w:tcPr>
          <w:p>
            <w:pPr>
              <w:spacing w:after="0"/>
              <w:rPr>
                <w:sz w:val="13"/>
                <w:szCs w:val="13"/>
                <w:color w:val="auto"/>
              </w:rPr>
            </w:pPr>
          </w:p>
        </w:tc>
        <w:tc>
          <w:tcPr>
            <w:tcW w:w="1000" w:type="dxa"/>
            <w:vAlign w:val="bottom"/>
            <w:shd w:val="clear" w:color="auto" w:fill="005C5D"/>
          </w:tcPr>
          <w:p>
            <w:pPr>
              <w:spacing w:after="0"/>
              <w:rPr>
                <w:sz w:val="13"/>
                <w:szCs w:val="13"/>
                <w:color w:val="auto"/>
              </w:rPr>
            </w:pPr>
          </w:p>
        </w:tc>
        <w:tc>
          <w:tcPr>
            <w:tcW w:w="820" w:type="dxa"/>
            <w:vAlign w:val="bottom"/>
            <w:shd w:val="clear" w:color="auto" w:fill="005C5D"/>
          </w:tcPr>
          <w:p>
            <w:pPr>
              <w:jc w:val="center"/>
              <w:ind w:left="49"/>
              <w:spacing w:after="0"/>
              <w:rPr>
                <w:sz w:val="20"/>
                <w:szCs w:val="20"/>
                <w:color w:val="auto"/>
              </w:rPr>
            </w:pPr>
            <w:r>
              <w:rPr>
                <w:rFonts w:ascii="Arial" w:cs="Arial" w:eastAsia="Arial" w:hAnsi="Arial"/>
                <w:sz w:val="14"/>
                <w:szCs w:val="14"/>
                <w:color w:val="FFFFFF"/>
              </w:rPr>
              <w:t>OTHER</w:t>
            </w:r>
          </w:p>
        </w:tc>
        <w:tc>
          <w:tcPr>
            <w:tcW w:w="1080" w:type="dxa"/>
            <w:vAlign w:val="bottom"/>
            <w:gridSpan w:val="2"/>
            <w:shd w:val="clear" w:color="auto" w:fill="005C5D"/>
          </w:tcPr>
          <w:p>
            <w:pPr>
              <w:jc w:val="center"/>
              <w:spacing w:after="0"/>
              <w:rPr>
                <w:sz w:val="20"/>
                <w:szCs w:val="20"/>
                <w:color w:val="auto"/>
              </w:rPr>
            </w:pPr>
            <w:r>
              <w:rPr>
                <w:rFonts w:ascii="Arial" w:cs="Arial" w:eastAsia="Arial" w:hAnsi="Arial"/>
                <w:sz w:val="14"/>
                <w:szCs w:val="14"/>
                <w:color w:val="FFFFFF"/>
              </w:rPr>
              <w:t>FAIR VALUE OF</w:t>
            </w:r>
          </w:p>
        </w:tc>
      </w:tr>
      <w:tr>
        <w:trPr>
          <w:trHeight w:val="160"/>
        </w:trPr>
        <w:tc>
          <w:tcPr>
            <w:tcW w:w="820" w:type="dxa"/>
            <w:vAlign w:val="bottom"/>
            <w:shd w:val="clear" w:color="auto" w:fill="005C5D"/>
          </w:tcPr>
          <w:p>
            <w:pPr>
              <w:spacing w:after="0"/>
              <w:rPr>
                <w:sz w:val="13"/>
                <w:szCs w:val="13"/>
                <w:color w:val="auto"/>
              </w:rPr>
            </w:pPr>
          </w:p>
        </w:tc>
        <w:tc>
          <w:tcPr>
            <w:tcW w:w="620" w:type="dxa"/>
            <w:vAlign w:val="bottom"/>
            <w:shd w:val="clear" w:color="auto" w:fill="005C5D"/>
          </w:tcPr>
          <w:p>
            <w:pPr>
              <w:jc w:val="center"/>
              <w:spacing w:after="0"/>
              <w:rPr>
                <w:sz w:val="20"/>
                <w:szCs w:val="20"/>
                <w:color w:val="auto"/>
              </w:rPr>
            </w:pPr>
            <w:r>
              <w:rPr>
                <w:rFonts w:ascii="Arial" w:cs="Arial" w:eastAsia="Arial" w:hAnsi="Arial"/>
                <w:sz w:val="14"/>
                <w:szCs w:val="14"/>
                <w:color w:val="FFFFFF"/>
                <w:w w:val="92"/>
              </w:rPr>
              <w:t>OF</w:t>
            </w:r>
          </w:p>
        </w:tc>
        <w:tc>
          <w:tcPr>
            <w:tcW w:w="940" w:type="dxa"/>
            <w:vAlign w:val="bottom"/>
            <w:shd w:val="clear" w:color="auto" w:fill="005C5D"/>
          </w:tcPr>
          <w:p>
            <w:pPr>
              <w:ind w:left="240"/>
              <w:spacing w:after="0"/>
              <w:rPr>
                <w:sz w:val="20"/>
                <w:szCs w:val="20"/>
                <w:color w:val="auto"/>
              </w:rPr>
            </w:pPr>
            <w:r>
              <w:rPr>
                <w:rFonts w:ascii="Arial" w:cs="Arial" w:eastAsia="Arial" w:hAnsi="Arial"/>
                <w:sz w:val="14"/>
                <w:szCs w:val="14"/>
                <w:color w:val="FFFFFF"/>
              </w:rPr>
              <w:t>GRANT</w:t>
            </w:r>
          </w:p>
        </w:tc>
        <w:tc>
          <w:tcPr>
            <w:tcW w:w="520" w:type="dxa"/>
            <w:vAlign w:val="bottom"/>
            <w:shd w:val="clear" w:color="auto" w:fill="005C5D"/>
          </w:tcPr>
          <w:p>
            <w:pPr>
              <w:spacing w:after="0"/>
              <w:rPr>
                <w:sz w:val="13"/>
                <w:szCs w:val="13"/>
                <w:color w:val="auto"/>
              </w:rPr>
            </w:pPr>
          </w:p>
        </w:tc>
        <w:tc>
          <w:tcPr>
            <w:tcW w:w="780" w:type="dxa"/>
            <w:vAlign w:val="bottom"/>
            <w:shd w:val="clear" w:color="auto" w:fill="005C5D"/>
          </w:tcPr>
          <w:p>
            <w:pPr>
              <w:spacing w:after="0"/>
              <w:rPr>
                <w:sz w:val="13"/>
                <w:szCs w:val="13"/>
                <w:color w:val="auto"/>
              </w:rPr>
            </w:pPr>
          </w:p>
        </w:tc>
        <w:tc>
          <w:tcPr>
            <w:tcW w:w="300" w:type="dxa"/>
            <w:vAlign w:val="bottom"/>
            <w:shd w:val="clear" w:color="auto" w:fill="005C5D"/>
          </w:tcPr>
          <w:p>
            <w:pPr>
              <w:spacing w:after="0"/>
              <w:rPr>
                <w:sz w:val="13"/>
                <w:szCs w:val="13"/>
                <w:color w:val="auto"/>
              </w:rPr>
            </w:pPr>
          </w:p>
        </w:tc>
        <w:tc>
          <w:tcPr>
            <w:tcW w:w="700" w:type="dxa"/>
            <w:vAlign w:val="bottom"/>
            <w:shd w:val="clear" w:color="auto" w:fill="005C5D"/>
          </w:tcPr>
          <w:p>
            <w:pPr>
              <w:spacing w:after="0"/>
              <w:rPr>
                <w:sz w:val="13"/>
                <w:szCs w:val="13"/>
                <w:color w:val="auto"/>
              </w:rPr>
            </w:pPr>
          </w:p>
        </w:tc>
        <w:tc>
          <w:tcPr>
            <w:tcW w:w="320" w:type="dxa"/>
            <w:vAlign w:val="bottom"/>
            <w:shd w:val="clear" w:color="auto" w:fill="005C5D"/>
          </w:tcPr>
          <w:p>
            <w:pPr>
              <w:spacing w:after="0"/>
              <w:rPr>
                <w:sz w:val="13"/>
                <w:szCs w:val="13"/>
                <w:color w:val="auto"/>
              </w:rPr>
            </w:pPr>
          </w:p>
        </w:tc>
        <w:tc>
          <w:tcPr>
            <w:tcW w:w="820" w:type="dxa"/>
            <w:vAlign w:val="bottom"/>
            <w:shd w:val="clear" w:color="auto" w:fill="005C5D"/>
          </w:tcPr>
          <w:p>
            <w:pPr>
              <w:spacing w:after="0"/>
              <w:rPr>
                <w:sz w:val="13"/>
                <w:szCs w:val="13"/>
                <w:color w:val="auto"/>
              </w:rPr>
            </w:pPr>
          </w:p>
        </w:tc>
        <w:tc>
          <w:tcPr>
            <w:tcW w:w="1240" w:type="dxa"/>
            <w:vAlign w:val="bottom"/>
            <w:shd w:val="clear" w:color="auto" w:fill="005C5D"/>
          </w:tcPr>
          <w:p>
            <w:pPr>
              <w:spacing w:after="0"/>
              <w:rPr>
                <w:sz w:val="13"/>
                <w:szCs w:val="13"/>
                <w:color w:val="auto"/>
              </w:rPr>
            </w:pPr>
          </w:p>
        </w:tc>
        <w:tc>
          <w:tcPr>
            <w:tcW w:w="960" w:type="dxa"/>
            <w:vAlign w:val="bottom"/>
            <w:shd w:val="clear" w:color="auto" w:fill="005C5D"/>
          </w:tcPr>
          <w:p>
            <w:pPr>
              <w:spacing w:after="0"/>
              <w:rPr>
                <w:sz w:val="13"/>
                <w:szCs w:val="13"/>
                <w:color w:val="auto"/>
              </w:rPr>
            </w:pPr>
          </w:p>
        </w:tc>
        <w:tc>
          <w:tcPr>
            <w:tcW w:w="1000" w:type="dxa"/>
            <w:vAlign w:val="bottom"/>
            <w:shd w:val="clear" w:color="auto" w:fill="005C5D"/>
          </w:tcPr>
          <w:p>
            <w:pPr>
              <w:spacing w:after="0"/>
              <w:rPr>
                <w:sz w:val="13"/>
                <w:szCs w:val="13"/>
                <w:color w:val="auto"/>
              </w:rPr>
            </w:pPr>
          </w:p>
        </w:tc>
        <w:tc>
          <w:tcPr>
            <w:tcW w:w="820" w:type="dxa"/>
            <w:vAlign w:val="bottom"/>
            <w:shd w:val="clear" w:color="auto" w:fill="005C5D"/>
          </w:tcPr>
          <w:p>
            <w:pPr>
              <w:jc w:val="center"/>
              <w:ind w:left="49"/>
              <w:spacing w:after="0"/>
              <w:rPr>
                <w:sz w:val="20"/>
                <w:szCs w:val="20"/>
                <w:color w:val="auto"/>
              </w:rPr>
            </w:pPr>
            <w:r>
              <w:rPr>
                <w:rFonts w:ascii="Arial" w:cs="Arial" w:eastAsia="Arial" w:hAnsi="Arial"/>
                <w:sz w:val="14"/>
                <w:szCs w:val="14"/>
                <w:color w:val="FFFFFF"/>
              </w:rPr>
              <w:t>STOCK</w:t>
            </w:r>
          </w:p>
        </w:tc>
        <w:tc>
          <w:tcPr>
            <w:tcW w:w="1080" w:type="dxa"/>
            <w:vAlign w:val="bottom"/>
            <w:gridSpan w:val="2"/>
            <w:shd w:val="clear" w:color="auto" w:fill="005C5D"/>
          </w:tcPr>
          <w:p>
            <w:pPr>
              <w:jc w:val="center"/>
              <w:spacing w:after="0"/>
              <w:rPr>
                <w:sz w:val="20"/>
                <w:szCs w:val="20"/>
                <w:color w:val="auto"/>
              </w:rPr>
            </w:pPr>
            <w:r>
              <w:rPr>
                <w:rFonts w:ascii="Arial" w:cs="Arial" w:eastAsia="Arial" w:hAnsi="Arial"/>
                <w:sz w:val="14"/>
                <w:szCs w:val="14"/>
                <w:color w:val="FFFFFF"/>
              </w:rPr>
              <w:t>STOCK</w:t>
            </w:r>
          </w:p>
        </w:tc>
      </w:tr>
      <w:tr>
        <w:trPr>
          <w:trHeight w:val="217"/>
        </w:trPr>
        <w:tc>
          <w:tcPr>
            <w:tcW w:w="820" w:type="dxa"/>
            <w:vAlign w:val="bottom"/>
            <w:tcBorders>
              <w:bottom w:val="single" w:sz="8" w:color="005C5D"/>
            </w:tcBorders>
            <w:shd w:val="clear" w:color="auto" w:fill="005C5D"/>
          </w:tcPr>
          <w:p>
            <w:pPr>
              <w:spacing w:after="0"/>
              <w:rPr>
                <w:sz w:val="18"/>
                <w:szCs w:val="18"/>
                <w:color w:val="auto"/>
              </w:rPr>
            </w:pPr>
          </w:p>
        </w:tc>
        <w:tc>
          <w:tcPr>
            <w:tcW w:w="620" w:type="dxa"/>
            <w:vAlign w:val="bottom"/>
            <w:tcBorders>
              <w:bottom w:val="single" w:sz="8" w:color="005C5D"/>
            </w:tcBorders>
            <w:shd w:val="clear" w:color="auto" w:fill="005C5D"/>
          </w:tcPr>
          <w:p>
            <w:pPr>
              <w:jc w:val="center"/>
              <w:spacing w:after="0"/>
              <w:rPr>
                <w:sz w:val="20"/>
                <w:szCs w:val="20"/>
                <w:color w:val="auto"/>
              </w:rPr>
            </w:pPr>
            <w:r>
              <w:rPr>
                <w:rFonts w:ascii="Arial" w:cs="Arial" w:eastAsia="Arial" w:hAnsi="Arial"/>
                <w:sz w:val="14"/>
                <w:szCs w:val="14"/>
                <w:color w:val="FFFFFF"/>
                <w:w w:val="99"/>
              </w:rPr>
              <w:t>AWARD</w:t>
            </w:r>
          </w:p>
        </w:tc>
        <w:tc>
          <w:tcPr>
            <w:tcW w:w="940" w:type="dxa"/>
            <w:vAlign w:val="bottom"/>
            <w:tcBorders>
              <w:bottom w:val="single" w:sz="8" w:color="005C5D"/>
            </w:tcBorders>
            <w:shd w:val="clear" w:color="auto" w:fill="005C5D"/>
          </w:tcPr>
          <w:p>
            <w:pPr>
              <w:ind w:left="300"/>
              <w:spacing w:after="0"/>
              <w:rPr>
                <w:sz w:val="20"/>
                <w:szCs w:val="20"/>
                <w:color w:val="auto"/>
              </w:rPr>
            </w:pPr>
            <w:r>
              <w:rPr>
                <w:rFonts w:ascii="Arial" w:cs="Arial" w:eastAsia="Arial" w:hAnsi="Arial"/>
                <w:sz w:val="14"/>
                <w:szCs w:val="14"/>
                <w:color w:val="FFFFFF"/>
              </w:rPr>
              <w:t>DATE</w:t>
            </w:r>
          </w:p>
        </w:tc>
        <w:tc>
          <w:tcPr>
            <w:tcW w:w="1300" w:type="dxa"/>
            <w:vAlign w:val="bottom"/>
            <w:tcBorders>
              <w:bottom w:val="single" w:sz="8" w:color="005C5D"/>
            </w:tcBorders>
            <w:gridSpan w:val="2"/>
            <w:shd w:val="clear" w:color="auto" w:fill="005C5D"/>
          </w:tcPr>
          <w:p>
            <w:pPr>
              <w:jc w:val="right"/>
              <w:ind w:right="49"/>
              <w:spacing w:after="0"/>
              <w:rPr>
                <w:sz w:val="20"/>
                <w:szCs w:val="20"/>
                <w:color w:val="auto"/>
              </w:rPr>
            </w:pPr>
            <w:r>
              <w:rPr>
                <w:rFonts w:ascii="Arial" w:cs="Arial" w:eastAsia="Arial" w:hAnsi="Arial"/>
                <w:sz w:val="14"/>
                <w:szCs w:val="14"/>
                <w:color w:val="FFFFFF"/>
              </w:rPr>
              <w:t>THRESHOLD</w:t>
            </w:r>
          </w:p>
        </w:tc>
        <w:tc>
          <w:tcPr>
            <w:tcW w:w="1000" w:type="dxa"/>
            <w:vAlign w:val="bottom"/>
            <w:tcBorders>
              <w:bottom w:val="single" w:sz="8" w:color="005C5D"/>
            </w:tcBorders>
            <w:gridSpan w:val="2"/>
            <w:shd w:val="clear" w:color="auto" w:fill="005C5D"/>
          </w:tcPr>
          <w:p>
            <w:pPr>
              <w:ind w:left="240"/>
              <w:spacing w:after="0"/>
              <w:rPr>
                <w:sz w:val="20"/>
                <w:szCs w:val="20"/>
                <w:color w:val="auto"/>
              </w:rPr>
            </w:pPr>
            <w:r>
              <w:rPr>
                <w:rFonts w:ascii="Arial" w:cs="Arial" w:eastAsia="Arial" w:hAnsi="Arial"/>
                <w:sz w:val="14"/>
                <w:szCs w:val="14"/>
                <w:color w:val="FFFFFF"/>
              </w:rPr>
              <w:t>TARGET</w:t>
            </w:r>
          </w:p>
        </w:tc>
        <w:tc>
          <w:tcPr>
            <w:tcW w:w="1140" w:type="dxa"/>
            <w:vAlign w:val="bottom"/>
            <w:tcBorders>
              <w:bottom w:val="single" w:sz="8" w:color="005C5D"/>
            </w:tcBorders>
            <w:gridSpan w:val="2"/>
            <w:shd w:val="clear" w:color="auto" w:fill="005C5D"/>
          </w:tcPr>
          <w:p>
            <w:pPr>
              <w:jc w:val="right"/>
              <w:ind w:right="189"/>
              <w:spacing w:after="0"/>
              <w:rPr>
                <w:sz w:val="20"/>
                <w:szCs w:val="20"/>
                <w:color w:val="auto"/>
              </w:rPr>
            </w:pPr>
            <w:r>
              <w:rPr>
                <w:rFonts w:ascii="Arial" w:cs="Arial" w:eastAsia="Arial" w:hAnsi="Arial"/>
                <w:sz w:val="14"/>
                <w:szCs w:val="14"/>
                <w:color w:val="FFFFFF"/>
              </w:rPr>
              <w:t>MAXIMUM</w:t>
            </w:r>
          </w:p>
        </w:tc>
        <w:tc>
          <w:tcPr>
            <w:tcW w:w="1240" w:type="dxa"/>
            <w:vAlign w:val="bottom"/>
            <w:tcBorders>
              <w:bottom w:val="single" w:sz="8" w:color="005C5D"/>
            </w:tcBorders>
            <w:shd w:val="clear" w:color="auto" w:fill="005C5D"/>
          </w:tcPr>
          <w:p>
            <w:pPr>
              <w:jc w:val="center"/>
              <w:ind w:left="129"/>
              <w:spacing w:after="0"/>
              <w:rPr>
                <w:sz w:val="20"/>
                <w:szCs w:val="20"/>
                <w:color w:val="auto"/>
              </w:rPr>
            </w:pPr>
            <w:r>
              <w:rPr>
                <w:rFonts w:ascii="Arial" w:cs="Arial" w:eastAsia="Arial" w:hAnsi="Arial"/>
                <w:sz w:val="14"/>
                <w:szCs w:val="14"/>
                <w:color w:val="FFFFFF"/>
              </w:rPr>
              <w:t>THRESHOLD</w:t>
            </w:r>
          </w:p>
        </w:tc>
        <w:tc>
          <w:tcPr>
            <w:tcW w:w="960" w:type="dxa"/>
            <w:vAlign w:val="bottom"/>
            <w:tcBorders>
              <w:bottom w:val="single" w:sz="8" w:color="005C5D"/>
            </w:tcBorders>
            <w:shd w:val="clear" w:color="auto" w:fill="005C5D"/>
          </w:tcPr>
          <w:p>
            <w:pPr>
              <w:jc w:val="right"/>
              <w:ind w:right="129"/>
              <w:spacing w:after="0"/>
              <w:rPr>
                <w:sz w:val="20"/>
                <w:szCs w:val="20"/>
                <w:color w:val="auto"/>
              </w:rPr>
            </w:pPr>
            <w:r>
              <w:rPr>
                <w:rFonts w:ascii="Arial" w:cs="Arial" w:eastAsia="Arial" w:hAnsi="Arial"/>
                <w:sz w:val="14"/>
                <w:szCs w:val="14"/>
                <w:color w:val="FFFFFF"/>
              </w:rPr>
              <w:t>TARGET</w:t>
            </w:r>
          </w:p>
        </w:tc>
        <w:tc>
          <w:tcPr>
            <w:tcW w:w="1000" w:type="dxa"/>
            <w:vAlign w:val="bottom"/>
            <w:tcBorders>
              <w:bottom w:val="single" w:sz="8" w:color="005C5D"/>
            </w:tcBorders>
            <w:shd w:val="clear" w:color="auto" w:fill="005C5D"/>
          </w:tcPr>
          <w:p>
            <w:pPr>
              <w:jc w:val="center"/>
              <w:spacing w:after="0"/>
              <w:rPr>
                <w:sz w:val="20"/>
                <w:szCs w:val="20"/>
                <w:color w:val="auto"/>
              </w:rPr>
            </w:pPr>
            <w:r>
              <w:rPr>
                <w:rFonts w:ascii="Arial" w:cs="Arial" w:eastAsia="Arial" w:hAnsi="Arial"/>
                <w:sz w:val="14"/>
                <w:szCs w:val="14"/>
                <w:color w:val="FFFFFF"/>
              </w:rPr>
              <w:t>MAXIMUM</w:t>
            </w:r>
          </w:p>
        </w:tc>
        <w:tc>
          <w:tcPr>
            <w:tcW w:w="820" w:type="dxa"/>
            <w:vAlign w:val="bottom"/>
            <w:tcBorders>
              <w:bottom w:val="single" w:sz="8" w:color="005C5D"/>
            </w:tcBorders>
            <w:shd w:val="clear" w:color="auto" w:fill="005C5D"/>
          </w:tcPr>
          <w:p>
            <w:pPr>
              <w:jc w:val="center"/>
              <w:ind w:left="49"/>
              <w:spacing w:after="0"/>
              <w:rPr>
                <w:sz w:val="20"/>
                <w:szCs w:val="20"/>
                <w:color w:val="auto"/>
              </w:rPr>
            </w:pPr>
            <w:r>
              <w:rPr>
                <w:rFonts w:ascii="Arial" w:cs="Arial" w:eastAsia="Arial" w:hAnsi="Arial"/>
                <w:sz w:val="14"/>
                <w:szCs w:val="14"/>
                <w:color w:val="FFFFFF"/>
              </w:rPr>
              <w:t>AWARDS</w:t>
            </w:r>
          </w:p>
        </w:tc>
        <w:tc>
          <w:tcPr>
            <w:tcW w:w="1080" w:type="dxa"/>
            <w:vAlign w:val="bottom"/>
            <w:tcBorders>
              <w:bottom w:val="single" w:sz="8" w:color="005C5D"/>
            </w:tcBorders>
            <w:gridSpan w:val="2"/>
            <w:shd w:val="clear" w:color="auto" w:fill="005C5D"/>
          </w:tcPr>
          <w:p>
            <w:pPr>
              <w:jc w:val="center"/>
              <w:spacing w:after="0"/>
              <w:rPr>
                <w:sz w:val="20"/>
                <w:szCs w:val="20"/>
                <w:color w:val="auto"/>
              </w:rPr>
            </w:pPr>
            <w:r>
              <w:rPr>
                <w:rFonts w:ascii="Arial" w:cs="Arial" w:eastAsia="Arial" w:hAnsi="Arial"/>
                <w:sz w:val="14"/>
                <w:szCs w:val="14"/>
                <w:color w:val="FFFFFF"/>
                <w:w w:val="96"/>
              </w:rPr>
              <w:t>AWARDS</w:t>
            </w:r>
            <w:r>
              <w:rPr>
                <w:rFonts w:ascii="Arial" w:cs="Arial" w:eastAsia="Arial" w:hAnsi="Arial"/>
                <w:sz w:val="14"/>
                <w:szCs w:val="14"/>
                <w:color w:val="FFFFFF"/>
                <w:w w:val="96"/>
                <w:vertAlign w:val="superscript"/>
              </w:rPr>
              <w:t>(3)</w:t>
            </w:r>
          </w:p>
        </w:tc>
      </w:tr>
      <w:tr>
        <w:trPr>
          <w:trHeight w:val="218"/>
        </w:trPr>
        <w:tc>
          <w:tcPr>
            <w:tcW w:w="820" w:type="dxa"/>
            <w:vAlign w:val="bottom"/>
          </w:tcPr>
          <w:p>
            <w:pPr>
              <w:ind w:left="80"/>
              <w:spacing w:after="0"/>
              <w:rPr>
                <w:sz w:val="20"/>
                <w:szCs w:val="20"/>
                <w:color w:val="auto"/>
              </w:rPr>
            </w:pPr>
            <w:r>
              <w:rPr>
                <w:rFonts w:ascii="Arial" w:cs="Arial" w:eastAsia="Arial" w:hAnsi="Arial"/>
                <w:sz w:val="14"/>
                <w:szCs w:val="14"/>
                <w:b w:val="1"/>
                <w:bCs w:val="1"/>
                <w:color w:val="005C5D"/>
                <w:w w:val="98"/>
              </w:rPr>
              <w:t>Ian Bickley</w:t>
            </w:r>
          </w:p>
        </w:tc>
        <w:tc>
          <w:tcPr>
            <w:tcW w:w="620" w:type="dxa"/>
            <w:vAlign w:val="bottom"/>
            <w:shd w:val="clear" w:color="auto" w:fill="FCEFEB"/>
          </w:tcPr>
          <w:p>
            <w:pPr>
              <w:ind w:left="40"/>
              <w:spacing w:after="0"/>
              <w:rPr>
                <w:sz w:val="20"/>
                <w:szCs w:val="20"/>
                <w:color w:val="auto"/>
              </w:rPr>
            </w:pPr>
            <w:r>
              <w:rPr>
                <w:rFonts w:ascii="Arial" w:cs="Arial" w:eastAsia="Arial" w:hAnsi="Arial"/>
                <w:sz w:val="14"/>
                <w:szCs w:val="14"/>
                <w:color w:val="333333"/>
              </w:rPr>
              <w:t>Annual</w:t>
            </w:r>
          </w:p>
        </w:tc>
        <w:tc>
          <w:tcPr>
            <w:tcW w:w="940" w:type="dxa"/>
            <w:vAlign w:val="bottom"/>
            <w:shd w:val="clear" w:color="auto" w:fill="FCEFEB"/>
          </w:tcPr>
          <w:p>
            <w:pPr>
              <w:spacing w:after="0"/>
              <w:rPr>
                <w:sz w:val="18"/>
                <w:szCs w:val="18"/>
                <w:color w:val="auto"/>
              </w:rPr>
            </w:pPr>
          </w:p>
        </w:tc>
        <w:tc>
          <w:tcPr>
            <w:tcW w:w="52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780" w:type="dxa"/>
            <w:vAlign w:val="bottom"/>
            <w:shd w:val="clear" w:color="auto" w:fill="FCEFEB"/>
          </w:tcPr>
          <w:p>
            <w:pPr>
              <w:jc w:val="right"/>
              <w:ind w:right="189"/>
              <w:spacing w:after="0"/>
              <w:rPr>
                <w:sz w:val="20"/>
                <w:szCs w:val="20"/>
                <w:color w:val="auto"/>
              </w:rPr>
            </w:pPr>
            <w:r>
              <w:rPr>
                <w:rFonts w:ascii="Arial" w:cs="Arial" w:eastAsia="Arial" w:hAnsi="Arial"/>
                <w:sz w:val="14"/>
                <w:szCs w:val="14"/>
                <w:color w:val="333333"/>
              </w:rPr>
              <w:t>—</w:t>
            </w:r>
          </w:p>
        </w:tc>
        <w:tc>
          <w:tcPr>
            <w:tcW w:w="300" w:type="dxa"/>
            <w:vAlign w:val="bottom"/>
            <w:shd w:val="clear" w:color="auto" w:fill="FCEFEB"/>
          </w:tcPr>
          <w:p>
            <w:pPr>
              <w:ind w:left="220"/>
              <w:spacing w:after="0"/>
              <w:rPr>
                <w:sz w:val="20"/>
                <w:szCs w:val="20"/>
                <w:color w:val="auto"/>
              </w:rPr>
            </w:pPr>
            <w:r>
              <w:rPr>
                <w:rFonts w:ascii="Arial" w:cs="Arial" w:eastAsia="Arial" w:hAnsi="Arial"/>
                <w:sz w:val="14"/>
                <w:szCs w:val="14"/>
                <w:color w:val="333333"/>
                <w:w w:val="76"/>
              </w:rPr>
              <w:t>$</w:t>
            </w:r>
          </w:p>
        </w:tc>
        <w:tc>
          <w:tcPr>
            <w:tcW w:w="7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w:t>
            </w:r>
          </w:p>
        </w:tc>
        <w:tc>
          <w:tcPr>
            <w:tcW w:w="32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820" w:type="dxa"/>
            <w:vAlign w:val="bottom"/>
            <w:shd w:val="clear" w:color="auto" w:fill="FCEFEB"/>
          </w:tcPr>
          <w:p>
            <w:pPr>
              <w:jc w:val="right"/>
              <w:ind w:right="229"/>
              <w:spacing w:after="0"/>
              <w:rPr>
                <w:sz w:val="20"/>
                <w:szCs w:val="20"/>
                <w:color w:val="auto"/>
              </w:rPr>
            </w:pPr>
            <w:r>
              <w:rPr>
                <w:rFonts w:ascii="Arial" w:cs="Arial" w:eastAsia="Arial" w:hAnsi="Arial"/>
                <w:sz w:val="14"/>
                <w:szCs w:val="14"/>
                <w:color w:val="333333"/>
              </w:rPr>
              <w:t>—</w:t>
            </w:r>
          </w:p>
        </w:tc>
        <w:tc>
          <w:tcPr>
            <w:tcW w:w="1240" w:type="dxa"/>
            <w:vAlign w:val="bottom"/>
            <w:shd w:val="clear" w:color="auto" w:fill="FCEFEB"/>
          </w:tcPr>
          <w:p>
            <w:pPr>
              <w:spacing w:after="0"/>
              <w:rPr>
                <w:sz w:val="18"/>
                <w:szCs w:val="18"/>
                <w:color w:val="auto"/>
              </w:rPr>
            </w:pPr>
          </w:p>
        </w:tc>
        <w:tc>
          <w:tcPr>
            <w:tcW w:w="960" w:type="dxa"/>
            <w:vAlign w:val="bottom"/>
            <w:shd w:val="clear" w:color="auto" w:fill="FCEFEB"/>
          </w:tcPr>
          <w:p>
            <w:pPr>
              <w:spacing w:after="0"/>
              <w:rPr>
                <w:sz w:val="18"/>
                <w:szCs w:val="18"/>
                <w:color w:val="auto"/>
              </w:rPr>
            </w:pPr>
          </w:p>
        </w:tc>
        <w:tc>
          <w:tcPr>
            <w:tcW w:w="1000" w:type="dxa"/>
            <w:vAlign w:val="bottom"/>
            <w:shd w:val="clear" w:color="auto" w:fill="FCEFEB"/>
          </w:tcPr>
          <w:p>
            <w:pPr>
              <w:spacing w:after="0"/>
              <w:rPr>
                <w:sz w:val="18"/>
                <w:szCs w:val="18"/>
                <w:color w:val="auto"/>
              </w:rPr>
            </w:pPr>
          </w:p>
        </w:tc>
        <w:tc>
          <w:tcPr>
            <w:tcW w:w="820" w:type="dxa"/>
            <w:vAlign w:val="bottom"/>
            <w:shd w:val="clear" w:color="auto" w:fill="FCEFEB"/>
          </w:tcPr>
          <w:p>
            <w:pPr>
              <w:spacing w:after="0"/>
              <w:rPr>
                <w:sz w:val="18"/>
                <w:szCs w:val="18"/>
                <w:color w:val="auto"/>
              </w:rPr>
            </w:pPr>
          </w:p>
        </w:tc>
        <w:tc>
          <w:tcPr>
            <w:tcW w:w="500" w:type="dxa"/>
            <w:vAlign w:val="bottom"/>
            <w:shd w:val="clear" w:color="auto" w:fill="FCEFEB"/>
          </w:tcPr>
          <w:p>
            <w:pPr>
              <w:spacing w:after="0"/>
              <w:rPr>
                <w:sz w:val="18"/>
                <w:szCs w:val="18"/>
                <w:color w:val="auto"/>
              </w:rPr>
            </w:pPr>
          </w:p>
        </w:tc>
        <w:tc>
          <w:tcPr>
            <w:tcW w:w="580" w:type="dxa"/>
            <w:vAlign w:val="bottom"/>
            <w:shd w:val="clear" w:color="auto" w:fill="FCEFEB"/>
          </w:tcPr>
          <w:p>
            <w:pPr>
              <w:spacing w:after="0"/>
              <w:rPr>
                <w:sz w:val="18"/>
                <w:szCs w:val="18"/>
                <w:color w:val="auto"/>
              </w:rPr>
            </w:pPr>
          </w:p>
        </w:tc>
      </w:tr>
      <w:tr>
        <w:trPr>
          <w:trHeight w:val="170"/>
        </w:trPr>
        <w:tc>
          <w:tcPr>
            <w:tcW w:w="820" w:type="dxa"/>
            <w:vAlign w:val="bottom"/>
          </w:tcPr>
          <w:p>
            <w:pPr>
              <w:spacing w:after="0"/>
              <w:rPr>
                <w:sz w:val="14"/>
                <w:szCs w:val="14"/>
                <w:color w:val="auto"/>
              </w:rPr>
            </w:pPr>
          </w:p>
        </w:tc>
        <w:tc>
          <w:tcPr>
            <w:tcW w:w="620" w:type="dxa"/>
            <w:vAlign w:val="bottom"/>
            <w:shd w:val="clear" w:color="auto" w:fill="FCEFEB"/>
          </w:tcPr>
          <w:p>
            <w:pPr>
              <w:ind w:left="40"/>
              <w:spacing w:after="0"/>
              <w:rPr>
                <w:sz w:val="20"/>
                <w:szCs w:val="20"/>
                <w:color w:val="auto"/>
              </w:rPr>
            </w:pPr>
            <w:r>
              <w:rPr>
                <w:rFonts w:ascii="Arial" w:cs="Arial" w:eastAsia="Arial" w:hAnsi="Arial"/>
                <w:sz w:val="14"/>
                <w:szCs w:val="14"/>
                <w:color w:val="333333"/>
                <w:w w:val="99"/>
              </w:rPr>
              <w:t>Incentive</w:t>
            </w:r>
          </w:p>
        </w:tc>
        <w:tc>
          <w:tcPr>
            <w:tcW w:w="940" w:type="dxa"/>
            <w:vAlign w:val="bottom"/>
            <w:shd w:val="clear" w:color="auto" w:fill="FCEFEB"/>
          </w:tcPr>
          <w:p>
            <w:pPr>
              <w:spacing w:after="0"/>
              <w:rPr>
                <w:sz w:val="14"/>
                <w:szCs w:val="14"/>
                <w:color w:val="auto"/>
              </w:rPr>
            </w:pPr>
          </w:p>
        </w:tc>
        <w:tc>
          <w:tcPr>
            <w:tcW w:w="520" w:type="dxa"/>
            <w:vAlign w:val="bottom"/>
            <w:shd w:val="clear" w:color="auto" w:fill="FCEFEB"/>
          </w:tcPr>
          <w:p>
            <w:pPr>
              <w:spacing w:after="0"/>
              <w:rPr>
                <w:sz w:val="14"/>
                <w:szCs w:val="14"/>
                <w:color w:val="auto"/>
              </w:rPr>
            </w:pPr>
          </w:p>
        </w:tc>
        <w:tc>
          <w:tcPr>
            <w:tcW w:w="780" w:type="dxa"/>
            <w:vAlign w:val="bottom"/>
            <w:shd w:val="clear" w:color="auto" w:fill="FCEFEB"/>
          </w:tcPr>
          <w:p>
            <w:pPr>
              <w:spacing w:after="0"/>
              <w:rPr>
                <w:sz w:val="14"/>
                <w:szCs w:val="14"/>
                <w:color w:val="auto"/>
              </w:rPr>
            </w:pPr>
          </w:p>
        </w:tc>
        <w:tc>
          <w:tcPr>
            <w:tcW w:w="300" w:type="dxa"/>
            <w:vAlign w:val="bottom"/>
            <w:shd w:val="clear" w:color="auto" w:fill="FCEFEB"/>
          </w:tcPr>
          <w:p>
            <w:pPr>
              <w:spacing w:after="0"/>
              <w:rPr>
                <w:sz w:val="14"/>
                <w:szCs w:val="14"/>
                <w:color w:val="auto"/>
              </w:rPr>
            </w:pPr>
          </w:p>
        </w:tc>
        <w:tc>
          <w:tcPr>
            <w:tcW w:w="700" w:type="dxa"/>
            <w:vAlign w:val="bottom"/>
            <w:shd w:val="clear" w:color="auto" w:fill="FCEFEB"/>
          </w:tcPr>
          <w:p>
            <w:pPr>
              <w:spacing w:after="0"/>
              <w:rPr>
                <w:sz w:val="14"/>
                <w:szCs w:val="14"/>
                <w:color w:val="auto"/>
              </w:rPr>
            </w:pPr>
          </w:p>
        </w:tc>
        <w:tc>
          <w:tcPr>
            <w:tcW w:w="320" w:type="dxa"/>
            <w:vAlign w:val="bottom"/>
            <w:shd w:val="clear" w:color="auto" w:fill="FCEFEB"/>
          </w:tcPr>
          <w:p>
            <w:pPr>
              <w:spacing w:after="0"/>
              <w:rPr>
                <w:sz w:val="14"/>
                <w:szCs w:val="14"/>
                <w:color w:val="auto"/>
              </w:rPr>
            </w:pPr>
          </w:p>
        </w:tc>
        <w:tc>
          <w:tcPr>
            <w:tcW w:w="820" w:type="dxa"/>
            <w:vAlign w:val="bottom"/>
            <w:shd w:val="clear" w:color="auto" w:fill="FCEFEB"/>
          </w:tcPr>
          <w:p>
            <w:pPr>
              <w:spacing w:after="0"/>
              <w:rPr>
                <w:sz w:val="14"/>
                <w:szCs w:val="14"/>
                <w:color w:val="auto"/>
              </w:rPr>
            </w:pPr>
          </w:p>
        </w:tc>
        <w:tc>
          <w:tcPr>
            <w:tcW w:w="1240" w:type="dxa"/>
            <w:vAlign w:val="bottom"/>
            <w:shd w:val="clear" w:color="auto" w:fill="FCEFEB"/>
          </w:tcPr>
          <w:p>
            <w:pPr>
              <w:spacing w:after="0"/>
              <w:rPr>
                <w:sz w:val="14"/>
                <w:szCs w:val="14"/>
                <w:color w:val="auto"/>
              </w:rPr>
            </w:pPr>
          </w:p>
        </w:tc>
        <w:tc>
          <w:tcPr>
            <w:tcW w:w="960" w:type="dxa"/>
            <w:vAlign w:val="bottom"/>
            <w:shd w:val="clear" w:color="auto" w:fill="FCEFEB"/>
          </w:tcPr>
          <w:p>
            <w:pPr>
              <w:spacing w:after="0"/>
              <w:rPr>
                <w:sz w:val="14"/>
                <w:szCs w:val="14"/>
                <w:color w:val="auto"/>
              </w:rPr>
            </w:pPr>
          </w:p>
        </w:tc>
        <w:tc>
          <w:tcPr>
            <w:tcW w:w="1000" w:type="dxa"/>
            <w:vAlign w:val="bottom"/>
            <w:shd w:val="clear" w:color="auto" w:fill="FCEFEB"/>
          </w:tcPr>
          <w:p>
            <w:pPr>
              <w:spacing w:after="0"/>
              <w:rPr>
                <w:sz w:val="14"/>
                <w:szCs w:val="14"/>
                <w:color w:val="auto"/>
              </w:rPr>
            </w:pPr>
          </w:p>
        </w:tc>
        <w:tc>
          <w:tcPr>
            <w:tcW w:w="820" w:type="dxa"/>
            <w:vAlign w:val="bottom"/>
            <w:shd w:val="clear" w:color="auto" w:fill="FCEFEB"/>
          </w:tcPr>
          <w:p>
            <w:pPr>
              <w:spacing w:after="0"/>
              <w:rPr>
                <w:sz w:val="14"/>
                <w:szCs w:val="14"/>
                <w:color w:val="auto"/>
              </w:rPr>
            </w:pPr>
          </w:p>
        </w:tc>
        <w:tc>
          <w:tcPr>
            <w:tcW w:w="500" w:type="dxa"/>
            <w:vAlign w:val="bottom"/>
            <w:shd w:val="clear" w:color="auto" w:fill="FCEFEB"/>
          </w:tcPr>
          <w:p>
            <w:pPr>
              <w:spacing w:after="0"/>
              <w:rPr>
                <w:sz w:val="14"/>
                <w:szCs w:val="14"/>
                <w:color w:val="auto"/>
              </w:rPr>
            </w:pPr>
          </w:p>
        </w:tc>
        <w:tc>
          <w:tcPr>
            <w:tcW w:w="580" w:type="dxa"/>
            <w:vAlign w:val="bottom"/>
            <w:shd w:val="clear" w:color="auto" w:fill="FCEFEB"/>
          </w:tcPr>
          <w:p>
            <w:pPr>
              <w:spacing w:after="0"/>
              <w:rPr>
                <w:sz w:val="14"/>
                <w:szCs w:val="14"/>
                <w:color w:val="auto"/>
              </w:rPr>
            </w:pPr>
          </w:p>
        </w:tc>
      </w:tr>
      <w:tr>
        <w:trPr>
          <w:trHeight w:val="147"/>
        </w:trPr>
        <w:tc>
          <w:tcPr>
            <w:tcW w:w="820" w:type="dxa"/>
            <w:vAlign w:val="bottom"/>
          </w:tcPr>
          <w:p>
            <w:pPr>
              <w:spacing w:after="0"/>
              <w:rPr>
                <w:sz w:val="12"/>
                <w:szCs w:val="12"/>
                <w:color w:val="auto"/>
              </w:rPr>
            </w:pPr>
          </w:p>
        </w:tc>
        <w:tc>
          <w:tcPr>
            <w:tcW w:w="620" w:type="dxa"/>
            <w:vAlign w:val="bottom"/>
            <w:shd w:val="clear" w:color="auto" w:fill="FCEFEB"/>
          </w:tcPr>
          <w:p>
            <w:pPr>
              <w:ind w:left="40"/>
              <w:spacing w:after="0" w:line="147" w:lineRule="exact"/>
              <w:rPr>
                <w:sz w:val="20"/>
                <w:szCs w:val="20"/>
                <w:color w:val="auto"/>
              </w:rPr>
            </w:pPr>
            <w:r>
              <w:rPr>
                <w:rFonts w:ascii="Arial" w:cs="Arial" w:eastAsia="Arial" w:hAnsi="Arial"/>
                <w:sz w:val="14"/>
                <w:szCs w:val="14"/>
                <w:color w:val="333333"/>
              </w:rPr>
              <w:t>TRSUs</w:t>
            </w:r>
          </w:p>
        </w:tc>
        <w:tc>
          <w:tcPr>
            <w:tcW w:w="940" w:type="dxa"/>
            <w:vAlign w:val="bottom"/>
            <w:shd w:val="clear" w:color="auto" w:fill="FCEFEB"/>
          </w:tcPr>
          <w:p>
            <w:pPr>
              <w:ind w:left="40"/>
              <w:spacing w:after="0" w:line="147" w:lineRule="exact"/>
              <w:rPr>
                <w:sz w:val="20"/>
                <w:szCs w:val="20"/>
                <w:color w:val="auto"/>
              </w:rPr>
            </w:pPr>
            <w:r>
              <w:rPr>
                <w:rFonts w:ascii="Arial" w:cs="Arial" w:eastAsia="Arial" w:hAnsi="Arial"/>
                <w:sz w:val="14"/>
                <w:szCs w:val="14"/>
                <w:color w:val="333333"/>
              </w:rPr>
              <w:t>April 4,</w:t>
            </w:r>
          </w:p>
        </w:tc>
        <w:tc>
          <w:tcPr>
            <w:tcW w:w="520" w:type="dxa"/>
            <w:vAlign w:val="bottom"/>
            <w:shd w:val="clear" w:color="auto" w:fill="FCEFEB"/>
          </w:tcPr>
          <w:p>
            <w:pPr>
              <w:spacing w:after="0"/>
              <w:rPr>
                <w:sz w:val="12"/>
                <w:szCs w:val="12"/>
                <w:color w:val="auto"/>
              </w:rPr>
            </w:pPr>
          </w:p>
        </w:tc>
        <w:tc>
          <w:tcPr>
            <w:tcW w:w="780" w:type="dxa"/>
            <w:vAlign w:val="bottom"/>
            <w:shd w:val="clear" w:color="auto" w:fill="FCEFEB"/>
          </w:tcPr>
          <w:p>
            <w:pPr>
              <w:spacing w:after="0"/>
              <w:rPr>
                <w:sz w:val="12"/>
                <w:szCs w:val="12"/>
                <w:color w:val="auto"/>
              </w:rPr>
            </w:pPr>
          </w:p>
        </w:tc>
        <w:tc>
          <w:tcPr>
            <w:tcW w:w="300" w:type="dxa"/>
            <w:vAlign w:val="bottom"/>
            <w:shd w:val="clear" w:color="auto" w:fill="FCEFEB"/>
          </w:tcPr>
          <w:p>
            <w:pPr>
              <w:spacing w:after="0"/>
              <w:rPr>
                <w:sz w:val="12"/>
                <w:szCs w:val="12"/>
                <w:color w:val="auto"/>
              </w:rPr>
            </w:pPr>
          </w:p>
        </w:tc>
        <w:tc>
          <w:tcPr>
            <w:tcW w:w="700" w:type="dxa"/>
            <w:vAlign w:val="bottom"/>
            <w:shd w:val="clear" w:color="auto" w:fill="FCEFEB"/>
          </w:tcPr>
          <w:p>
            <w:pPr>
              <w:spacing w:after="0"/>
              <w:rPr>
                <w:sz w:val="12"/>
                <w:szCs w:val="12"/>
                <w:color w:val="auto"/>
              </w:rPr>
            </w:pPr>
          </w:p>
        </w:tc>
        <w:tc>
          <w:tcPr>
            <w:tcW w:w="320" w:type="dxa"/>
            <w:vAlign w:val="bottom"/>
            <w:shd w:val="clear" w:color="auto" w:fill="FCEFEB"/>
          </w:tcPr>
          <w:p>
            <w:pPr>
              <w:spacing w:after="0"/>
              <w:rPr>
                <w:sz w:val="12"/>
                <w:szCs w:val="12"/>
                <w:color w:val="auto"/>
              </w:rPr>
            </w:pPr>
          </w:p>
        </w:tc>
        <w:tc>
          <w:tcPr>
            <w:tcW w:w="820" w:type="dxa"/>
            <w:vAlign w:val="bottom"/>
            <w:shd w:val="clear" w:color="auto" w:fill="FCEFEB"/>
          </w:tcPr>
          <w:p>
            <w:pPr>
              <w:spacing w:after="0"/>
              <w:rPr>
                <w:sz w:val="12"/>
                <w:szCs w:val="12"/>
                <w:color w:val="auto"/>
              </w:rPr>
            </w:pPr>
          </w:p>
        </w:tc>
        <w:tc>
          <w:tcPr>
            <w:tcW w:w="1240" w:type="dxa"/>
            <w:vAlign w:val="bottom"/>
            <w:shd w:val="clear" w:color="auto" w:fill="FCEFEB"/>
          </w:tcPr>
          <w:p>
            <w:pPr>
              <w:spacing w:after="0"/>
              <w:rPr>
                <w:sz w:val="12"/>
                <w:szCs w:val="12"/>
                <w:color w:val="auto"/>
              </w:rPr>
            </w:pPr>
          </w:p>
        </w:tc>
        <w:tc>
          <w:tcPr>
            <w:tcW w:w="960" w:type="dxa"/>
            <w:vAlign w:val="bottom"/>
            <w:shd w:val="clear" w:color="auto" w:fill="FCEFEB"/>
          </w:tcPr>
          <w:p>
            <w:pPr>
              <w:spacing w:after="0"/>
              <w:rPr>
                <w:sz w:val="12"/>
                <w:szCs w:val="12"/>
                <w:color w:val="auto"/>
              </w:rPr>
            </w:pPr>
          </w:p>
        </w:tc>
        <w:tc>
          <w:tcPr>
            <w:tcW w:w="1000" w:type="dxa"/>
            <w:vAlign w:val="bottom"/>
            <w:shd w:val="clear" w:color="auto" w:fill="FCEFEB"/>
          </w:tcPr>
          <w:p>
            <w:pPr>
              <w:spacing w:after="0"/>
              <w:rPr>
                <w:sz w:val="12"/>
                <w:szCs w:val="12"/>
                <w:color w:val="auto"/>
              </w:rPr>
            </w:pPr>
          </w:p>
        </w:tc>
        <w:tc>
          <w:tcPr>
            <w:tcW w:w="820" w:type="dxa"/>
            <w:vAlign w:val="bottom"/>
            <w:shd w:val="clear" w:color="auto" w:fill="FCEFEB"/>
          </w:tcPr>
          <w:p>
            <w:pPr>
              <w:jc w:val="right"/>
              <w:spacing w:after="0" w:line="147" w:lineRule="exact"/>
              <w:rPr>
                <w:sz w:val="20"/>
                <w:szCs w:val="20"/>
                <w:color w:val="auto"/>
              </w:rPr>
            </w:pPr>
            <w:r>
              <w:rPr>
                <w:rFonts w:ascii="Arial" w:cs="Arial" w:eastAsia="Arial" w:hAnsi="Arial"/>
                <w:sz w:val="14"/>
                <w:szCs w:val="14"/>
                <w:color w:val="333333"/>
              </w:rPr>
              <w:t>39,906</w:t>
            </w:r>
          </w:p>
        </w:tc>
        <w:tc>
          <w:tcPr>
            <w:tcW w:w="500" w:type="dxa"/>
            <w:vAlign w:val="bottom"/>
            <w:shd w:val="clear" w:color="auto" w:fill="FCEFEB"/>
          </w:tcPr>
          <w:p>
            <w:pPr>
              <w:jc w:val="right"/>
              <w:spacing w:after="0" w:line="147" w:lineRule="exact"/>
              <w:rPr>
                <w:sz w:val="20"/>
                <w:szCs w:val="20"/>
                <w:color w:val="auto"/>
              </w:rPr>
            </w:pPr>
            <w:r>
              <w:rPr>
                <w:rFonts w:ascii="Arial" w:cs="Arial" w:eastAsia="Arial" w:hAnsi="Arial"/>
                <w:sz w:val="14"/>
                <w:szCs w:val="14"/>
                <w:color w:val="333333"/>
              </w:rPr>
              <w:t>$</w:t>
            </w:r>
          </w:p>
        </w:tc>
        <w:tc>
          <w:tcPr>
            <w:tcW w:w="580" w:type="dxa"/>
            <w:vAlign w:val="bottom"/>
            <w:shd w:val="clear" w:color="auto" w:fill="FCEFEB"/>
          </w:tcPr>
          <w:p>
            <w:pPr>
              <w:jc w:val="right"/>
              <w:spacing w:after="0" w:line="147" w:lineRule="exact"/>
              <w:rPr>
                <w:sz w:val="20"/>
                <w:szCs w:val="20"/>
                <w:color w:val="auto"/>
              </w:rPr>
            </w:pPr>
            <w:r>
              <w:rPr>
                <w:rFonts w:ascii="Arial" w:cs="Arial" w:eastAsia="Arial" w:hAnsi="Arial"/>
                <w:sz w:val="14"/>
                <w:szCs w:val="14"/>
                <w:color w:val="333333"/>
              </w:rPr>
              <w:t>85,000</w:t>
            </w:r>
          </w:p>
        </w:tc>
      </w:tr>
      <w:tr>
        <w:trPr>
          <w:trHeight w:val="174"/>
        </w:trPr>
        <w:tc>
          <w:tcPr>
            <w:tcW w:w="820" w:type="dxa"/>
            <w:vAlign w:val="bottom"/>
          </w:tcPr>
          <w:p>
            <w:pPr>
              <w:spacing w:after="0"/>
              <w:rPr>
                <w:sz w:val="15"/>
                <w:szCs w:val="15"/>
                <w:color w:val="auto"/>
              </w:rPr>
            </w:pPr>
          </w:p>
        </w:tc>
        <w:tc>
          <w:tcPr>
            <w:tcW w:w="620" w:type="dxa"/>
            <w:vAlign w:val="bottom"/>
            <w:shd w:val="clear" w:color="auto" w:fill="FCEFEB"/>
          </w:tcPr>
          <w:p>
            <w:pPr>
              <w:spacing w:after="0"/>
              <w:rPr>
                <w:sz w:val="15"/>
                <w:szCs w:val="15"/>
                <w:color w:val="auto"/>
              </w:rPr>
            </w:pPr>
          </w:p>
        </w:tc>
        <w:tc>
          <w:tcPr>
            <w:tcW w:w="940" w:type="dxa"/>
            <w:vAlign w:val="bottom"/>
            <w:shd w:val="clear" w:color="auto" w:fill="FCEFEB"/>
          </w:tcPr>
          <w:p>
            <w:pPr>
              <w:ind w:left="40"/>
              <w:spacing w:after="0" w:line="174" w:lineRule="exact"/>
              <w:rPr>
                <w:sz w:val="20"/>
                <w:szCs w:val="20"/>
                <w:color w:val="auto"/>
              </w:rPr>
            </w:pPr>
            <w:r>
              <w:rPr>
                <w:rFonts w:ascii="Arial" w:cs="Arial" w:eastAsia="Arial" w:hAnsi="Arial"/>
                <w:sz w:val="14"/>
                <w:szCs w:val="14"/>
                <w:color w:val="333333"/>
              </w:rPr>
              <w:t>2025</w:t>
            </w:r>
            <w:r>
              <w:rPr>
                <w:rFonts w:ascii="Arial" w:cs="Arial" w:eastAsia="Arial" w:hAnsi="Arial"/>
                <w:sz w:val="20"/>
                <w:szCs w:val="20"/>
                <w:color w:val="333333"/>
                <w:vertAlign w:val="superscript"/>
              </w:rPr>
              <w:t>(4)</w:t>
            </w:r>
          </w:p>
        </w:tc>
        <w:tc>
          <w:tcPr>
            <w:tcW w:w="520" w:type="dxa"/>
            <w:vAlign w:val="bottom"/>
            <w:shd w:val="clear" w:color="auto" w:fill="FCEFEB"/>
          </w:tcPr>
          <w:p>
            <w:pPr>
              <w:spacing w:after="0"/>
              <w:rPr>
                <w:sz w:val="15"/>
                <w:szCs w:val="15"/>
                <w:color w:val="auto"/>
              </w:rPr>
            </w:pPr>
          </w:p>
        </w:tc>
        <w:tc>
          <w:tcPr>
            <w:tcW w:w="780" w:type="dxa"/>
            <w:vAlign w:val="bottom"/>
            <w:shd w:val="clear" w:color="auto" w:fill="FCEFEB"/>
          </w:tcPr>
          <w:p>
            <w:pPr>
              <w:spacing w:after="0"/>
              <w:rPr>
                <w:sz w:val="15"/>
                <w:szCs w:val="15"/>
                <w:color w:val="auto"/>
              </w:rPr>
            </w:pPr>
          </w:p>
        </w:tc>
        <w:tc>
          <w:tcPr>
            <w:tcW w:w="300" w:type="dxa"/>
            <w:vAlign w:val="bottom"/>
            <w:shd w:val="clear" w:color="auto" w:fill="FCEFEB"/>
          </w:tcPr>
          <w:p>
            <w:pPr>
              <w:spacing w:after="0"/>
              <w:rPr>
                <w:sz w:val="15"/>
                <w:szCs w:val="15"/>
                <w:color w:val="auto"/>
              </w:rPr>
            </w:pPr>
          </w:p>
        </w:tc>
        <w:tc>
          <w:tcPr>
            <w:tcW w:w="700" w:type="dxa"/>
            <w:vAlign w:val="bottom"/>
            <w:shd w:val="clear" w:color="auto" w:fill="FCEFEB"/>
          </w:tcPr>
          <w:p>
            <w:pPr>
              <w:spacing w:after="0"/>
              <w:rPr>
                <w:sz w:val="15"/>
                <w:szCs w:val="15"/>
                <w:color w:val="auto"/>
              </w:rPr>
            </w:pPr>
          </w:p>
        </w:tc>
        <w:tc>
          <w:tcPr>
            <w:tcW w:w="320" w:type="dxa"/>
            <w:vAlign w:val="bottom"/>
            <w:shd w:val="clear" w:color="auto" w:fill="FCEFEB"/>
          </w:tcPr>
          <w:p>
            <w:pPr>
              <w:spacing w:after="0"/>
              <w:rPr>
                <w:sz w:val="15"/>
                <w:szCs w:val="15"/>
                <w:color w:val="auto"/>
              </w:rPr>
            </w:pPr>
          </w:p>
        </w:tc>
        <w:tc>
          <w:tcPr>
            <w:tcW w:w="820" w:type="dxa"/>
            <w:vAlign w:val="bottom"/>
            <w:shd w:val="clear" w:color="auto" w:fill="FCEFEB"/>
          </w:tcPr>
          <w:p>
            <w:pPr>
              <w:spacing w:after="0"/>
              <w:rPr>
                <w:sz w:val="15"/>
                <w:szCs w:val="15"/>
                <w:color w:val="auto"/>
              </w:rPr>
            </w:pPr>
          </w:p>
        </w:tc>
        <w:tc>
          <w:tcPr>
            <w:tcW w:w="1240" w:type="dxa"/>
            <w:vAlign w:val="bottom"/>
            <w:shd w:val="clear" w:color="auto" w:fill="FCEFEB"/>
          </w:tcPr>
          <w:p>
            <w:pPr>
              <w:spacing w:after="0"/>
              <w:rPr>
                <w:sz w:val="15"/>
                <w:szCs w:val="15"/>
                <w:color w:val="auto"/>
              </w:rPr>
            </w:pPr>
          </w:p>
        </w:tc>
        <w:tc>
          <w:tcPr>
            <w:tcW w:w="960" w:type="dxa"/>
            <w:vAlign w:val="bottom"/>
            <w:shd w:val="clear" w:color="auto" w:fill="FCEFEB"/>
          </w:tcPr>
          <w:p>
            <w:pPr>
              <w:spacing w:after="0"/>
              <w:rPr>
                <w:sz w:val="15"/>
                <w:szCs w:val="15"/>
                <w:color w:val="auto"/>
              </w:rPr>
            </w:pPr>
          </w:p>
        </w:tc>
        <w:tc>
          <w:tcPr>
            <w:tcW w:w="1000" w:type="dxa"/>
            <w:vAlign w:val="bottom"/>
            <w:shd w:val="clear" w:color="auto" w:fill="FCEFEB"/>
          </w:tcPr>
          <w:p>
            <w:pPr>
              <w:spacing w:after="0"/>
              <w:rPr>
                <w:sz w:val="15"/>
                <w:szCs w:val="15"/>
                <w:color w:val="auto"/>
              </w:rPr>
            </w:pPr>
          </w:p>
        </w:tc>
        <w:tc>
          <w:tcPr>
            <w:tcW w:w="820" w:type="dxa"/>
            <w:vAlign w:val="bottom"/>
            <w:shd w:val="clear" w:color="auto" w:fill="FCEFEB"/>
          </w:tcPr>
          <w:p>
            <w:pPr>
              <w:spacing w:after="0"/>
              <w:rPr>
                <w:sz w:val="15"/>
                <w:szCs w:val="15"/>
                <w:color w:val="auto"/>
              </w:rPr>
            </w:pPr>
          </w:p>
        </w:tc>
        <w:tc>
          <w:tcPr>
            <w:tcW w:w="500" w:type="dxa"/>
            <w:vAlign w:val="bottom"/>
            <w:shd w:val="clear" w:color="auto" w:fill="FCEFEB"/>
          </w:tcPr>
          <w:p>
            <w:pPr>
              <w:spacing w:after="0"/>
              <w:rPr>
                <w:sz w:val="15"/>
                <w:szCs w:val="15"/>
                <w:color w:val="auto"/>
              </w:rPr>
            </w:pPr>
          </w:p>
        </w:tc>
        <w:tc>
          <w:tcPr>
            <w:tcW w:w="580" w:type="dxa"/>
            <w:vAlign w:val="bottom"/>
            <w:shd w:val="clear" w:color="auto" w:fill="FCEFEB"/>
          </w:tcPr>
          <w:p>
            <w:pPr>
              <w:spacing w:after="0"/>
              <w:rPr>
                <w:sz w:val="15"/>
                <w:szCs w:val="15"/>
                <w:color w:val="auto"/>
              </w:rPr>
            </w:pPr>
          </w:p>
        </w:tc>
      </w:tr>
      <w:tr>
        <w:trPr>
          <w:trHeight w:val="160"/>
        </w:trPr>
        <w:tc>
          <w:tcPr>
            <w:tcW w:w="820" w:type="dxa"/>
            <w:vAlign w:val="bottom"/>
          </w:tcPr>
          <w:p>
            <w:pPr>
              <w:spacing w:after="0"/>
              <w:rPr>
                <w:sz w:val="13"/>
                <w:szCs w:val="13"/>
                <w:color w:val="auto"/>
              </w:rPr>
            </w:pPr>
          </w:p>
        </w:tc>
        <w:tc>
          <w:tcPr>
            <w:tcW w:w="620" w:type="dxa"/>
            <w:vAlign w:val="bottom"/>
            <w:shd w:val="clear" w:color="auto" w:fill="FCEFEB"/>
          </w:tcPr>
          <w:p>
            <w:pPr>
              <w:ind w:left="40"/>
              <w:spacing w:after="0"/>
              <w:rPr>
                <w:sz w:val="20"/>
                <w:szCs w:val="20"/>
                <w:color w:val="auto"/>
              </w:rPr>
            </w:pPr>
            <w:r>
              <w:rPr>
                <w:rFonts w:ascii="Arial" w:cs="Arial" w:eastAsia="Arial" w:hAnsi="Arial"/>
                <w:sz w:val="14"/>
                <w:szCs w:val="14"/>
                <w:color w:val="333333"/>
              </w:rPr>
              <w:t>TRSUs</w:t>
            </w:r>
          </w:p>
        </w:tc>
        <w:tc>
          <w:tcPr>
            <w:tcW w:w="940" w:type="dxa"/>
            <w:vAlign w:val="bottom"/>
            <w:shd w:val="clear" w:color="auto" w:fill="FCEFEB"/>
          </w:tcPr>
          <w:p>
            <w:pPr>
              <w:ind w:left="40"/>
              <w:spacing w:after="0"/>
              <w:rPr>
                <w:sz w:val="20"/>
                <w:szCs w:val="20"/>
                <w:color w:val="auto"/>
              </w:rPr>
            </w:pPr>
            <w:r>
              <w:rPr>
                <w:rFonts w:ascii="Arial" w:cs="Arial" w:eastAsia="Arial" w:hAnsi="Arial"/>
                <w:sz w:val="14"/>
                <w:szCs w:val="14"/>
                <w:color w:val="333333"/>
              </w:rPr>
              <w:t>July 3, 2025</w:t>
            </w:r>
          </w:p>
        </w:tc>
        <w:tc>
          <w:tcPr>
            <w:tcW w:w="520" w:type="dxa"/>
            <w:vAlign w:val="bottom"/>
            <w:shd w:val="clear" w:color="auto" w:fill="FCEFEB"/>
          </w:tcPr>
          <w:p>
            <w:pPr>
              <w:spacing w:after="0"/>
              <w:rPr>
                <w:sz w:val="13"/>
                <w:szCs w:val="13"/>
                <w:color w:val="auto"/>
              </w:rPr>
            </w:pPr>
          </w:p>
        </w:tc>
        <w:tc>
          <w:tcPr>
            <w:tcW w:w="780" w:type="dxa"/>
            <w:vAlign w:val="bottom"/>
            <w:shd w:val="clear" w:color="auto" w:fill="FCEFEB"/>
          </w:tcPr>
          <w:p>
            <w:pPr>
              <w:spacing w:after="0"/>
              <w:rPr>
                <w:sz w:val="13"/>
                <w:szCs w:val="13"/>
                <w:color w:val="auto"/>
              </w:rPr>
            </w:pPr>
          </w:p>
        </w:tc>
        <w:tc>
          <w:tcPr>
            <w:tcW w:w="300" w:type="dxa"/>
            <w:vAlign w:val="bottom"/>
            <w:shd w:val="clear" w:color="auto" w:fill="FCEFEB"/>
          </w:tcPr>
          <w:p>
            <w:pPr>
              <w:spacing w:after="0"/>
              <w:rPr>
                <w:sz w:val="13"/>
                <w:szCs w:val="13"/>
                <w:color w:val="auto"/>
              </w:rPr>
            </w:pPr>
          </w:p>
        </w:tc>
        <w:tc>
          <w:tcPr>
            <w:tcW w:w="700" w:type="dxa"/>
            <w:vAlign w:val="bottom"/>
            <w:shd w:val="clear" w:color="auto" w:fill="FCEFEB"/>
          </w:tcPr>
          <w:p>
            <w:pPr>
              <w:spacing w:after="0"/>
              <w:rPr>
                <w:sz w:val="13"/>
                <w:szCs w:val="13"/>
                <w:color w:val="auto"/>
              </w:rPr>
            </w:pPr>
          </w:p>
        </w:tc>
        <w:tc>
          <w:tcPr>
            <w:tcW w:w="320" w:type="dxa"/>
            <w:vAlign w:val="bottom"/>
            <w:shd w:val="clear" w:color="auto" w:fill="FCEFEB"/>
          </w:tcPr>
          <w:p>
            <w:pPr>
              <w:spacing w:after="0"/>
              <w:rPr>
                <w:sz w:val="13"/>
                <w:szCs w:val="13"/>
                <w:color w:val="auto"/>
              </w:rPr>
            </w:pPr>
          </w:p>
        </w:tc>
        <w:tc>
          <w:tcPr>
            <w:tcW w:w="820" w:type="dxa"/>
            <w:vAlign w:val="bottom"/>
            <w:shd w:val="clear" w:color="auto" w:fill="FCEFEB"/>
          </w:tcPr>
          <w:p>
            <w:pPr>
              <w:spacing w:after="0"/>
              <w:rPr>
                <w:sz w:val="13"/>
                <w:szCs w:val="13"/>
                <w:color w:val="auto"/>
              </w:rPr>
            </w:pPr>
          </w:p>
        </w:tc>
        <w:tc>
          <w:tcPr>
            <w:tcW w:w="1240" w:type="dxa"/>
            <w:vAlign w:val="bottom"/>
            <w:shd w:val="clear" w:color="auto" w:fill="FCEFEB"/>
          </w:tcPr>
          <w:p>
            <w:pPr>
              <w:spacing w:after="0"/>
              <w:rPr>
                <w:sz w:val="13"/>
                <w:szCs w:val="13"/>
                <w:color w:val="auto"/>
              </w:rPr>
            </w:pPr>
          </w:p>
        </w:tc>
        <w:tc>
          <w:tcPr>
            <w:tcW w:w="960" w:type="dxa"/>
            <w:vAlign w:val="bottom"/>
            <w:shd w:val="clear" w:color="auto" w:fill="FCEFEB"/>
          </w:tcPr>
          <w:p>
            <w:pPr>
              <w:spacing w:after="0"/>
              <w:rPr>
                <w:sz w:val="13"/>
                <w:szCs w:val="13"/>
                <w:color w:val="auto"/>
              </w:rPr>
            </w:pPr>
          </w:p>
        </w:tc>
        <w:tc>
          <w:tcPr>
            <w:tcW w:w="1000" w:type="dxa"/>
            <w:vAlign w:val="bottom"/>
            <w:shd w:val="clear" w:color="auto" w:fill="FCEFEB"/>
          </w:tcPr>
          <w:p>
            <w:pPr>
              <w:spacing w:after="0"/>
              <w:rPr>
                <w:sz w:val="13"/>
                <w:szCs w:val="13"/>
                <w:color w:val="auto"/>
              </w:rPr>
            </w:pPr>
          </w:p>
        </w:tc>
        <w:tc>
          <w:tcPr>
            <w:tcW w:w="82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233,463</w:t>
            </w:r>
          </w:p>
        </w:tc>
        <w:tc>
          <w:tcPr>
            <w:tcW w:w="500" w:type="dxa"/>
            <w:vAlign w:val="bottom"/>
            <w:shd w:val="clear" w:color="auto" w:fill="FCEFEB"/>
          </w:tcPr>
          <w:p>
            <w:pPr>
              <w:spacing w:after="0"/>
              <w:rPr>
                <w:sz w:val="13"/>
                <w:szCs w:val="13"/>
                <w:color w:val="auto"/>
              </w:rPr>
            </w:pPr>
          </w:p>
        </w:tc>
        <w:tc>
          <w:tcPr>
            <w:tcW w:w="580" w:type="dxa"/>
            <w:vAlign w:val="bottom"/>
            <w:shd w:val="clear" w:color="auto" w:fill="FCEFEB"/>
          </w:tcPr>
          <w:p>
            <w:pPr>
              <w:jc w:val="right"/>
              <w:spacing w:after="0"/>
              <w:rPr>
                <w:sz w:val="20"/>
                <w:szCs w:val="20"/>
                <w:color w:val="auto"/>
              </w:rPr>
            </w:pPr>
            <w:r>
              <w:rPr>
                <w:rFonts w:ascii="Arial" w:cs="Arial" w:eastAsia="Arial" w:hAnsi="Arial"/>
                <w:sz w:val="14"/>
                <w:szCs w:val="14"/>
                <w:color w:val="333333"/>
                <w:w w:val="98"/>
              </w:rPr>
              <w:t>600,000</w:t>
            </w:r>
          </w:p>
        </w:tc>
      </w:tr>
      <w:tr>
        <w:trPr>
          <w:trHeight w:val="151"/>
        </w:trPr>
        <w:tc>
          <w:tcPr>
            <w:tcW w:w="820" w:type="dxa"/>
            <w:vAlign w:val="bottom"/>
          </w:tcPr>
          <w:p>
            <w:pPr>
              <w:spacing w:after="0"/>
              <w:rPr>
                <w:sz w:val="13"/>
                <w:szCs w:val="13"/>
                <w:color w:val="auto"/>
              </w:rPr>
            </w:pPr>
          </w:p>
        </w:tc>
        <w:tc>
          <w:tcPr>
            <w:tcW w:w="620" w:type="dxa"/>
            <w:vAlign w:val="bottom"/>
            <w:shd w:val="clear" w:color="auto" w:fill="FCEFEB"/>
          </w:tcPr>
          <w:p>
            <w:pPr>
              <w:ind w:left="40"/>
              <w:spacing w:after="0" w:line="151" w:lineRule="exact"/>
              <w:rPr>
                <w:sz w:val="20"/>
                <w:szCs w:val="20"/>
                <w:color w:val="auto"/>
              </w:rPr>
            </w:pPr>
            <w:r>
              <w:rPr>
                <w:rFonts w:ascii="Arial" w:cs="Arial" w:eastAsia="Arial" w:hAnsi="Arial"/>
                <w:sz w:val="14"/>
                <w:szCs w:val="14"/>
                <w:color w:val="333333"/>
              </w:rPr>
              <w:t>TRSUs</w:t>
            </w:r>
          </w:p>
        </w:tc>
        <w:tc>
          <w:tcPr>
            <w:tcW w:w="940" w:type="dxa"/>
            <w:vAlign w:val="bottom"/>
            <w:shd w:val="clear" w:color="auto" w:fill="FCEFEB"/>
          </w:tcPr>
          <w:p>
            <w:pPr>
              <w:ind w:left="40"/>
              <w:spacing w:after="0" w:line="151" w:lineRule="exact"/>
              <w:rPr>
                <w:sz w:val="20"/>
                <w:szCs w:val="20"/>
                <w:color w:val="auto"/>
              </w:rPr>
            </w:pPr>
            <w:r>
              <w:rPr>
                <w:rFonts w:ascii="Arial" w:cs="Arial" w:eastAsia="Arial" w:hAnsi="Arial"/>
                <w:sz w:val="14"/>
                <w:szCs w:val="14"/>
                <w:color w:val="333333"/>
              </w:rPr>
              <w:t>December 12,</w:t>
            </w:r>
          </w:p>
        </w:tc>
        <w:tc>
          <w:tcPr>
            <w:tcW w:w="520" w:type="dxa"/>
            <w:vAlign w:val="bottom"/>
            <w:shd w:val="clear" w:color="auto" w:fill="FCEFEB"/>
          </w:tcPr>
          <w:p>
            <w:pPr>
              <w:spacing w:after="0"/>
              <w:rPr>
                <w:sz w:val="13"/>
                <w:szCs w:val="13"/>
                <w:color w:val="auto"/>
              </w:rPr>
            </w:pPr>
          </w:p>
        </w:tc>
        <w:tc>
          <w:tcPr>
            <w:tcW w:w="780" w:type="dxa"/>
            <w:vAlign w:val="bottom"/>
            <w:shd w:val="clear" w:color="auto" w:fill="FCEFEB"/>
          </w:tcPr>
          <w:p>
            <w:pPr>
              <w:spacing w:after="0"/>
              <w:rPr>
                <w:sz w:val="13"/>
                <w:szCs w:val="13"/>
                <w:color w:val="auto"/>
              </w:rPr>
            </w:pPr>
          </w:p>
        </w:tc>
        <w:tc>
          <w:tcPr>
            <w:tcW w:w="300" w:type="dxa"/>
            <w:vAlign w:val="bottom"/>
            <w:shd w:val="clear" w:color="auto" w:fill="FCEFEB"/>
          </w:tcPr>
          <w:p>
            <w:pPr>
              <w:spacing w:after="0"/>
              <w:rPr>
                <w:sz w:val="13"/>
                <w:szCs w:val="13"/>
                <w:color w:val="auto"/>
              </w:rPr>
            </w:pPr>
          </w:p>
        </w:tc>
        <w:tc>
          <w:tcPr>
            <w:tcW w:w="700" w:type="dxa"/>
            <w:vAlign w:val="bottom"/>
            <w:shd w:val="clear" w:color="auto" w:fill="FCEFEB"/>
          </w:tcPr>
          <w:p>
            <w:pPr>
              <w:spacing w:after="0"/>
              <w:rPr>
                <w:sz w:val="13"/>
                <w:szCs w:val="13"/>
                <w:color w:val="auto"/>
              </w:rPr>
            </w:pPr>
          </w:p>
        </w:tc>
        <w:tc>
          <w:tcPr>
            <w:tcW w:w="320" w:type="dxa"/>
            <w:vAlign w:val="bottom"/>
            <w:shd w:val="clear" w:color="auto" w:fill="FCEFEB"/>
          </w:tcPr>
          <w:p>
            <w:pPr>
              <w:spacing w:after="0"/>
              <w:rPr>
                <w:sz w:val="13"/>
                <w:szCs w:val="13"/>
                <w:color w:val="auto"/>
              </w:rPr>
            </w:pPr>
          </w:p>
        </w:tc>
        <w:tc>
          <w:tcPr>
            <w:tcW w:w="820" w:type="dxa"/>
            <w:vAlign w:val="bottom"/>
            <w:shd w:val="clear" w:color="auto" w:fill="FCEFEB"/>
          </w:tcPr>
          <w:p>
            <w:pPr>
              <w:spacing w:after="0"/>
              <w:rPr>
                <w:sz w:val="13"/>
                <w:szCs w:val="13"/>
                <w:color w:val="auto"/>
              </w:rPr>
            </w:pPr>
          </w:p>
        </w:tc>
        <w:tc>
          <w:tcPr>
            <w:tcW w:w="1240" w:type="dxa"/>
            <w:vAlign w:val="bottom"/>
            <w:shd w:val="clear" w:color="auto" w:fill="FCEFEB"/>
          </w:tcPr>
          <w:p>
            <w:pPr>
              <w:spacing w:after="0"/>
              <w:rPr>
                <w:sz w:val="13"/>
                <w:szCs w:val="13"/>
                <w:color w:val="auto"/>
              </w:rPr>
            </w:pPr>
          </w:p>
        </w:tc>
        <w:tc>
          <w:tcPr>
            <w:tcW w:w="960" w:type="dxa"/>
            <w:vAlign w:val="bottom"/>
            <w:shd w:val="clear" w:color="auto" w:fill="FCEFEB"/>
          </w:tcPr>
          <w:p>
            <w:pPr>
              <w:spacing w:after="0"/>
              <w:rPr>
                <w:sz w:val="13"/>
                <w:szCs w:val="13"/>
                <w:color w:val="auto"/>
              </w:rPr>
            </w:pPr>
          </w:p>
        </w:tc>
        <w:tc>
          <w:tcPr>
            <w:tcW w:w="1000" w:type="dxa"/>
            <w:vAlign w:val="bottom"/>
            <w:shd w:val="clear" w:color="auto" w:fill="FCEFEB"/>
          </w:tcPr>
          <w:p>
            <w:pPr>
              <w:spacing w:after="0"/>
              <w:rPr>
                <w:sz w:val="13"/>
                <w:szCs w:val="13"/>
                <w:color w:val="auto"/>
              </w:rPr>
            </w:pPr>
          </w:p>
        </w:tc>
        <w:tc>
          <w:tcPr>
            <w:tcW w:w="820" w:type="dxa"/>
            <w:vAlign w:val="bottom"/>
            <w:shd w:val="clear" w:color="auto" w:fill="FCEFEB"/>
          </w:tcPr>
          <w:p>
            <w:pPr>
              <w:jc w:val="right"/>
              <w:spacing w:after="0" w:line="151" w:lineRule="exact"/>
              <w:rPr>
                <w:sz w:val="20"/>
                <w:szCs w:val="20"/>
                <w:color w:val="auto"/>
              </w:rPr>
            </w:pPr>
            <w:r>
              <w:rPr>
                <w:rFonts w:ascii="Arial" w:cs="Arial" w:eastAsia="Arial" w:hAnsi="Arial"/>
                <w:sz w:val="14"/>
                <w:szCs w:val="14"/>
                <w:color w:val="333333"/>
              </w:rPr>
              <w:t>461,538</w:t>
            </w:r>
          </w:p>
        </w:tc>
        <w:tc>
          <w:tcPr>
            <w:tcW w:w="500" w:type="dxa"/>
            <w:vAlign w:val="bottom"/>
            <w:shd w:val="clear" w:color="auto" w:fill="FCEFEB"/>
          </w:tcPr>
          <w:p>
            <w:pPr>
              <w:spacing w:after="0"/>
              <w:rPr>
                <w:sz w:val="13"/>
                <w:szCs w:val="13"/>
                <w:color w:val="auto"/>
              </w:rPr>
            </w:pPr>
          </w:p>
        </w:tc>
        <w:tc>
          <w:tcPr>
            <w:tcW w:w="580" w:type="dxa"/>
            <w:vAlign w:val="bottom"/>
            <w:shd w:val="clear" w:color="auto" w:fill="FCEFEB"/>
          </w:tcPr>
          <w:p>
            <w:pPr>
              <w:jc w:val="right"/>
              <w:spacing w:after="0" w:line="151" w:lineRule="exact"/>
              <w:rPr>
                <w:sz w:val="20"/>
                <w:szCs w:val="20"/>
                <w:color w:val="auto"/>
              </w:rPr>
            </w:pPr>
            <w:r>
              <w:rPr>
                <w:rFonts w:ascii="Arial" w:cs="Arial" w:eastAsia="Arial" w:hAnsi="Arial"/>
                <w:sz w:val="14"/>
                <w:szCs w:val="14"/>
                <w:color w:val="333333"/>
                <w:w w:val="98"/>
              </w:rPr>
              <w:t>899,999</w:t>
            </w:r>
          </w:p>
        </w:tc>
      </w:tr>
      <w:tr>
        <w:trPr>
          <w:trHeight w:val="193"/>
        </w:trPr>
        <w:tc>
          <w:tcPr>
            <w:tcW w:w="820" w:type="dxa"/>
            <w:vAlign w:val="bottom"/>
            <w:tcBorders>
              <w:bottom w:val="single" w:sz="8" w:color="005C5D"/>
            </w:tcBorders>
          </w:tcPr>
          <w:p>
            <w:pPr>
              <w:spacing w:after="0"/>
              <w:rPr>
                <w:sz w:val="16"/>
                <w:szCs w:val="16"/>
                <w:color w:val="auto"/>
              </w:rPr>
            </w:pPr>
          </w:p>
        </w:tc>
        <w:tc>
          <w:tcPr>
            <w:tcW w:w="620" w:type="dxa"/>
            <w:vAlign w:val="bottom"/>
            <w:tcBorders>
              <w:bottom w:val="single" w:sz="8" w:color="005C5D"/>
            </w:tcBorders>
            <w:shd w:val="clear" w:color="auto" w:fill="FCEFEB"/>
          </w:tcPr>
          <w:p>
            <w:pPr>
              <w:spacing w:after="0"/>
              <w:rPr>
                <w:sz w:val="16"/>
                <w:szCs w:val="16"/>
                <w:color w:val="auto"/>
              </w:rPr>
            </w:pPr>
          </w:p>
        </w:tc>
        <w:tc>
          <w:tcPr>
            <w:tcW w:w="940" w:type="dxa"/>
            <w:vAlign w:val="bottom"/>
            <w:tcBorders>
              <w:bottom w:val="single" w:sz="8" w:color="005C5D"/>
            </w:tcBorders>
            <w:shd w:val="clear" w:color="auto" w:fill="FCEFEB"/>
          </w:tcPr>
          <w:p>
            <w:pPr>
              <w:ind w:left="40"/>
              <w:spacing w:after="0"/>
              <w:rPr>
                <w:sz w:val="20"/>
                <w:szCs w:val="20"/>
                <w:color w:val="auto"/>
              </w:rPr>
            </w:pPr>
            <w:r>
              <w:rPr>
                <w:rFonts w:ascii="Arial" w:cs="Arial" w:eastAsia="Arial" w:hAnsi="Arial"/>
                <w:sz w:val="14"/>
                <w:szCs w:val="14"/>
                <w:color w:val="333333"/>
              </w:rPr>
              <w:t>2025</w:t>
            </w:r>
          </w:p>
        </w:tc>
        <w:tc>
          <w:tcPr>
            <w:tcW w:w="520" w:type="dxa"/>
            <w:vAlign w:val="bottom"/>
            <w:tcBorders>
              <w:bottom w:val="single" w:sz="8" w:color="005C5D"/>
            </w:tcBorders>
            <w:shd w:val="clear" w:color="auto" w:fill="FCEFEB"/>
          </w:tcPr>
          <w:p>
            <w:pPr>
              <w:spacing w:after="0"/>
              <w:rPr>
                <w:sz w:val="16"/>
                <w:szCs w:val="16"/>
                <w:color w:val="auto"/>
              </w:rPr>
            </w:pPr>
          </w:p>
        </w:tc>
        <w:tc>
          <w:tcPr>
            <w:tcW w:w="780" w:type="dxa"/>
            <w:vAlign w:val="bottom"/>
            <w:tcBorders>
              <w:bottom w:val="single" w:sz="8" w:color="005C5D"/>
            </w:tcBorders>
            <w:shd w:val="clear" w:color="auto" w:fill="FCEFEB"/>
          </w:tcPr>
          <w:p>
            <w:pPr>
              <w:spacing w:after="0"/>
              <w:rPr>
                <w:sz w:val="16"/>
                <w:szCs w:val="16"/>
                <w:color w:val="auto"/>
              </w:rPr>
            </w:pPr>
          </w:p>
        </w:tc>
        <w:tc>
          <w:tcPr>
            <w:tcW w:w="300" w:type="dxa"/>
            <w:vAlign w:val="bottom"/>
            <w:tcBorders>
              <w:bottom w:val="single" w:sz="8" w:color="005C5D"/>
            </w:tcBorders>
            <w:shd w:val="clear" w:color="auto" w:fill="FCEFEB"/>
          </w:tcPr>
          <w:p>
            <w:pPr>
              <w:spacing w:after="0"/>
              <w:rPr>
                <w:sz w:val="16"/>
                <w:szCs w:val="16"/>
                <w:color w:val="auto"/>
              </w:rPr>
            </w:pPr>
          </w:p>
        </w:tc>
        <w:tc>
          <w:tcPr>
            <w:tcW w:w="700" w:type="dxa"/>
            <w:vAlign w:val="bottom"/>
            <w:tcBorders>
              <w:bottom w:val="single" w:sz="8" w:color="005C5D"/>
            </w:tcBorders>
            <w:shd w:val="clear" w:color="auto" w:fill="FCEFEB"/>
          </w:tcPr>
          <w:p>
            <w:pPr>
              <w:spacing w:after="0"/>
              <w:rPr>
                <w:sz w:val="16"/>
                <w:szCs w:val="16"/>
                <w:color w:val="auto"/>
              </w:rPr>
            </w:pPr>
          </w:p>
        </w:tc>
        <w:tc>
          <w:tcPr>
            <w:tcW w:w="320" w:type="dxa"/>
            <w:vAlign w:val="bottom"/>
            <w:tcBorders>
              <w:bottom w:val="single" w:sz="8" w:color="005C5D"/>
            </w:tcBorders>
            <w:shd w:val="clear" w:color="auto" w:fill="FCEFEB"/>
          </w:tcPr>
          <w:p>
            <w:pPr>
              <w:spacing w:after="0"/>
              <w:rPr>
                <w:sz w:val="16"/>
                <w:szCs w:val="16"/>
                <w:color w:val="auto"/>
              </w:rPr>
            </w:pPr>
          </w:p>
        </w:tc>
        <w:tc>
          <w:tcPr>
            <w:tcW w:w="820" w:type="dxa"/>
            <w:vAlign w:val="bottom"/>
            <w:tcBorders>
              <w:bottom w:val="single" w:sz="8" w:color="005C5D"/>
            </w:tcBorders>
            <w:shd w:val="clear" w:color="auto" w:fill="FCEFEB"/>
          </w:tcPr>
          <w:p>
            <w:pPr>
              <w:spacing w:after="0"/>
              <w:rPr>
                <w:sz w:val="16"/>
                <w:szCs w:val="16"/>
                <w:color w:val="auto"/>
              </w:rPr>
            </w:pPr>
          </w:p>
        </w:tc>
        <w:tc>
          <w:tcPr>
            <w:tcW w:w="1240" w:type="dxa"/>
            <w:vAlign w:val="bottom"/>
            <w:tcBorders>
              <w:bottom w:val="single" w:sz="8" w:color="005C5D"/>
            </w:tcBorders>
            <w:shd w:val="clear" w:color="auto" w:fill="FCEFEB"/>
          </w:tcPr>
          <w:p>
            <w:pPr>
              <w:spacing w:after="0"/>
              <w:rPr>
                <w:sz w:val="16"/>
                <w:szCs w:val="16"/>
                <w:color w:val="auto"/>
              </w:rPr>
            </w:pPr>
          </w:p>
        </w:tc>
        <w:tc>
          <w:tcPr>
            <w:tcW w:w="960" w:type="dxa"/>
            <w:vAlign w:val="bottom"/>
            <w:tcBorders>
              <w:bottom w:val="single" w:sz="8" w:color="005C5D"/>
            </w:tcBorders>
            <w:shd w:val="clear" w:color="auto" w:fill="FCEFEB"/>
          </w:tcPr>
          <w:p>
            <w:pPr>
              <w:spacing w:after="0"/>
              <w:rPr>
                <w:sz w:val="16"/>
                <w:szCs w:val="16"/>
                <w:color w:val="auto"/>
              </w:rPr>
            </w:pPr>
          </w:p>
        </w:tc>
        <w:tc>
          <w:tcPr>
            <w:tcW w:w="1000" w:type="dxa"/>
            <w:vAlign w:val="bottom"/>
            <w:tcBorders>
              <w:bottom w:val="single" w:sz="8" w:color="005C5D"/>
            </w:tcBorders>
            <w:shd w:val="clear" w:color="auto" w:fill="FCEFEB"/>
          </w:tcPr>
          <w:p>
            <w:pPr>
              <w:spacing w:after="0"/>
              <w:rPr>
                <w:sz w:val="16"/>
                <w:szCs w:val="16"/>
                <w:color w:val="auto"/>
              </w:rPr>
            </w:pPr>
          </w:p>
        </w:tc>
        <w:tc>
          <w:tcPr>
            <w:tcW w:w="820" w:type="dxa"/>
            <w:vAlign w:val="bottom"/>
            <w:tcBorders>
              <w:bottom w:val="single" w:sz="8" w:color="005C5D"/>
            </w:tcBorders>
            <w:shd w:val="clear" w:color="auto" w:fill="FCEFEB"/>
          </w:tcPr>
          <w:p>
            <w:pPr>
              <w:spacing w:after="0"/>
              <w:rPr>
                <w:sz w:val="16"/>
                <w:szCs w:val="16"/>
                <w:color w:val="auto"/>
              </w:rPr>
            </w:pPr>
          </w:p>
        </w:tc>
        <w:tc>
          <w:tcPr>
            <w:tcW w:w="500" w:type="dxa"/>
            <w:vAlign w:val="bottom"/>
            <w:tcBorders>
              <w:bottom w:val="single" w:sz="8" w:color="005C5D"/>
            </w:tcBorders>
            <w:shd w:val="clear" w:color="auto" w:fill="FCEFEB"/>
          </w:tcPr>
          <w:p>
            <w:pPr>
              <w:spacing w:after="0"/>
              <w:rPr>
                <w:sz w:val="16"/>
                <w:szCs w:val="16"/>
                <w:color w:val="auto"/>
              </w:rPr>
            </w:pPr>
          </w:p>
        </w:tc>
        <w:tc>
          <w:tcPr>
            <w:tcW w:w="580" w:type="dxa"/>
            <w:vAlign w:val="bottom"/>
            <w:tcBorders>
              <w:bottom w:val="single" w:sz="8" w:color="005C5D"/>
            </w:tcBorders>
            <w:shd w:val="clear" w:color="auto" w:fill="FCEFEB"/>
          </w:tcPr>
          <w:p>
            <w:pPr>
              <w:spacing w:after="0"/>
              <w:rPr>
                <w:sz w:val="16"/>
                <w:szCs w:val="16"/>
                <w:color w:val="auto"/>
              </w:rPr>
            </w:pPr>
          </w:p>
        </w:tc>
      </w:tr>
      <w:tr>
        <w:trPr>
          <w:trHeight w:val="202"/>
        </w:trPr>
        <w:tc>
          <w:tcPr>
            <w:tcW w:w="820" w:type="dxa"/>
            <w:vAlign w:val="bottom"/>
          </w:tcPr>
          <w:p>
            <w:pPr>
              <w:ind w:left="80"/>
              <w:spacing w:after="0"/>
              <w:rPr>
                <w:sz w:val="20"/>
                <w:szCs w:val="20"/>
                <w:color w:val="auto"/>
              </w:rPr>
            </w:pPr>
            <w:r>
              <w:rPr>
                <w:rFonts w:ascii="Arial" w:cs="Arial" w:eastAsia="Arial" w:hAnsi="Arial"/>
                <w:sz w:val="14"/>
                <w:szCs w:val="14"/>
                <w:b w:val="1"/>
                <w:bCs w:val="1"/>
                <w:color w:val="005C5D"/>
                <w:w w:val="99"/>
              </w:rPr>
              <w:t>Jacqueline</w:t>
            </w:r>
          </w:p>
        </w:tc>
        <w:tc>
          <w:tcPr>
            <w:tcW w:w="620" w:type="dxa"/>
            <w:vAlign w:val="bottom"/>
            <w:shd w:val="clear" w:color="auto" w:fill="FCEFEB"/>
          </w:tcPr>
          <w:p>
            <w:pPr>
              <w:ind w:left="40"/>
              <w:spacing w:after="0"/>
              <w:rPr>
                <w:sz w:val="20"/>
                <w:szCs w:val="20"/>
                <w:color w:val="auto"/>
              </w:rPr>
            </w:pPr>
            <w:r>
              <w:rPr>
                <w:rFonts w:ascii="Arial" w:cs="Arial" w:eastAsia="Arial" w:hAnsi="Arial"/>
                <w:sz w:val="14"/>
                <w:szCs w:val="14"/>
                <w:color w:val="333333"/>
              </w:rPr>
              <w:t>Annual</w:t>
            </w:r>
          </w:p>
        </w:tc>
        <w:tc>
          <w:tcPr>
            <w:tcW w:w="940" w:type="dxa"/>
            <w:vAlign w:val="bottom"/>
            <w:shd w:val="clear" w:color="auto" w:fill="FCEFEB"/>
          </w:tcPr>
          <w:p>
            <w:pPr>
              <w:spacing w:after="0"/>
              <w:rPr>
                <w:sz w:val="17"/>
                <w:szCs w:val="17"/>
                <w:color w:val="auto"/>
              </w:rPr>
            </w:pPr>
          </w:p>
        </w:tc>
        <w:tc>
          <w:tcPr>
            <w:tcW w:w="52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780" w:type="dxa"/>
            <w:vAlign w:val="bottom"/>
            <w:shd w:val="clear" w:color="auto" w:fill="FCEFEB"/>
          </w:tcPr>
          <w:p>
            <w:pPr>
              <w:jc w:val="right"/>
              <w:ind w:right="189"/>
              <w:spacing w:after="0"/>
              <w:rPr>
                <w:sz w:val="20"/>
                <w:szCs w:val="20"/>
                <w:color w:val="auto"/>
              </w:rPr>
            </w:pPr>
            <w:r>
              <w:rPr>
                <w:rFonts w:ascii="Arial" w:cs="Arial" w:eastAsia="Arial" w:hAnsi="Arial"/>
                <w:sz w:val="14"/>
                <w:szCs w:val="14"/>
                <w:color w:val="333333"/>
                <w:w w:val="98"/>
              </w:rPr>
              <w:t>108,596</w:t>
            </w:r>
          </w:p>
        </w:tc>
        <w:tc>
          <w:tcPr>
            <w:tcW w:w="300" w:type="dxa"/>
            <w:vAlign w:val="bottom"/>
            <w:shd w:val="clear" w:color="auto" w:fill="FCEFEB"/>
          </w:tcPr>
          <w:p>
            <w:pPr>
              <w:ind w:left="220"/>
              <w:spacing w:after="0"/>
              <w:rPr>
                <w:sz w:val="20"/>
                <w:szCs w:val="20"/>
                <w:color w:val="auto"/>
              </w:rPr>
            </w:pPr>
            <w:r>
              <w:rPr>
                <w:rFonts w:ascii="Arial" w:cs="Arial" w:eastAsia="Arial" w:hAnsi="Arial"/>
                <w:sz w:val="14"/>
                <w:szCs w:val="14"/>
                <w:color w:val="333333"/>
                <w:w w:val="76"/>
              </w:rPr>
              <w:t>$</w:t>
            </w:r>
          </w:p>
        </w:tc>
        <w:tc>
          <w:tcPr>
            <w:tcW w:w="7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w w:val="98"/>
              </w:rPr>
              <w:t>434,383</w:t>
            </w:r>
          </w:p>
        </w:tc>
        <w:tc>
          <w:tcPr>
            <w:tcW w:w="32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820" w:type="dxa"/>
            <w:vAlign w:val="bottom"/>
            <w:shd w:val="clear" w:color="auto" w:fill="FCEFEB"/>
          </w:tcPr>
          <w:p>
            <w:pPr>
              <w:jc w:val="right"/>
              <w:ind w:right="229"/>
              <w:spacing w:after="0"/>
              <w:rPr>
                <w:sz w:val="20"/>
                <w:szCs w:val="20"/>
                <w:color w:val="auto"/>
              </w:rPr>
            </w:pPr>
            <w:r>
              <w:rPr>
                <w:rFonts w:ascii="Arial" w:cs="Arial" w:eastAsia="Arial" w:hAnsi="Arial"/>
                <w:sz w:val="14"/>
                <w:szCs w:val="14"/>
                <w:color w:val="333333"/>
                <w:w w:val="98"/>
              </w:rPr>
              <w:t>868,765</w:t>
            </w:r>
          </w:p>
        </w:tc>
        <w:tc>
          <w:tcPr>
            <w:tcW w:w="1240" w:type="dxa"/>
            <w:vAlign w:val="bottom"/>
            <w:shd w:val="clear" w:color="auto" w:fill="FCEFEB"/>
          </w:tcPr>
          <w:p>
            <w:pPr>
              <w:spacing w:after="0"/>
              <w:rPr>
                <w:sz w:val="17"/>
                <w:szCs w:val="17"/>
                <w:color w:val="auto"/>
              </w:rPr>
            </w:pPr>
          </w:p>
        </w:tc>
        <w:tc>
          <w:tcPr>
            <w:tcW w:w="960" w:type="dxa"/>
            <w:vAlign w:val="bottom"/>
            <w:shd w:val="clear" w:color="auto" w:fill="FCEFEB"/>
          </w:tcPr>
          <w:p>
            <w:pPr>
              <w:spacing w:after="0"/>
              <w:rPr>
                <w:sz w:val="17"/>
                <w:szCs w:val="17"/>
                <w:color w:val="auto"/>
              </w:rPr>
            </w:pPr>
          </w:p>
        </w:tc>
        <w:tc>
          <w:tcPr>
            <w:tcW w:w="1000" w:type="dxa"/>
            <w:vAlign w:val="bottom"/>
            <w:shd w:val="clear" w:color="auto" w:fill="FCEFEB"/>
          </w:tcPr>
          <w:p>
            <w:pPr>
              <w:spacing w:after="0"/>
              <w:rPr>
                <w:sz w:val="17"/>
                <w:szCs w:val="17"/>
                <w:color w:val="auto"/>
              </w:rPr>
            </w:pPr>
          </w:p>
        </w:tc>
        <w:tc>
          <w:tcPr>
            <w:tcW w:w="820" w:type="dxa"/>
            <w:vAlign w:val="bottom"/>
            <w:shd w:val="clear" w:color="auto" w:fill="FCEFEB"/>
          </w:tcPr>
          <w:p>
            <w:pPr>
              <w:spacing w:after="0"/>
              <w:rPr>
                <w:sz w:val="17"/>
                <w:szCs w:val="17"/>
                <w:color w:val="auto"/>
              </w:rPr>
            </w:pPr>
          </w:p>
        </w:tc>
        <w:tc>
          <w:tcPr>
            <w:tcW w:w="500" w:type="dxa"/>
            <w:vAlign w:val="bottom"/>
            <w:shd w:val="clear" w:color="auto" w:fill="FCEFEB"/>
          </w:tcPr>
          <w:p>
            <w:pPr>
              <w:spacing w:after="0"/>
              <w:rPr>
                <w:sz w:val="17"/>
                <w:szCs w:val="17"/>
                <w:color w:val="auto"/>
              </w:rPr>
            </w:pPr>
          </w:p>
        </w:tc>
        <w:tc>
          <w:tcPr>
            <w:tcW w:w="580" w:type="dxa"/>
            <w:vAlign w:val="bottom"/>
            <w:shd w:val="clear" w:color="auto" w:fill="FCEFEB"/>
          </w:tcPr>
          <w:p>
            <w:pPr>
              <w:spacing w:after="0"/>
              <w:rPr>
                <w:sz w:val="17"/>
                <w:szCs w:val="17"/>
                <w:color w:val="auto"/>
              </w:rPr>
            </w:pPr>
          </w:p>
        </w:tc>
      </w:tr>
      <w:tr>
        <w:trPr>
          <w:trHeight w:val="170"/>
        </w:trPr>
        <w:tc>
          <w:tcPr>
            <w:tcW w:w="820" w:type="dxa"/>
            <w:vAlign w:val="bottom"/>
          </w:tcPr>
          <w:p>
            <w:pPr>
              <w:ind w:left="80"/>
              <w:spacing w:after="0"/>
              <w:rPr>
                <w:sz w:val="20"/>
                <w:szCs w:val="20"/>
                <w:color w:val="auto"/>
              </w:rPr>
            </w:pPr>
            <w:r>
              <w:rPr>
                <w:rFonts w:ascii="Arial" w:cs="Arial" w:eastAsia="Arial" w:hAnsi="Arial"/>
                <w:sz w:val="14"/>
                <w:szCs w:val="14"/>
                <w:b w:val="1"/>
                <w:bCs w:val="1"/>
                <w:color w:val="005C5D"/>
              </w:rPr>
              <w:t>Ardrey</w:t>
            </w:r>
          </w:p>
        </w:tc>
        <w:tc>
          <w:tcPr>
            <w:tcW w:w="620" w:type="dxa"/>
            <w:vAlign w:val="bottom"/>
            <w:shd w:val="clear" w:color="auto" w:fill="FCEFEB"/>
          </w:tcPr>
          <w:p>
            <w:pPr>
              <w:ind w:left="40"/>
              <w:spacing w:after="0"/>
              <w:rPr>
                <w:sz w:val="20"/>
                <w:szCs w:val="20"/>
                <w:color w:val="auto"/>
              </w:rPr>
            </w:pPr>
            <w:r>
              <w:rPr>
                <w:rFonts w:ascii="Arial" w:cs="Arial" w:eastAsia="Arial" w:hAnsi="Arial"/>
                <w:sz w:val="14"/>
                <w:szCs w:val="14"/>
                <w:color w:val="333333"/>
                <w:w w:val="99"/>
              </w:rPr>
              <w:t>Incentive</w:t>
            </w:r>
          </w:p>
        </w:tc>
        <w:tc>
          <w:tcPr>
            <w:tcW w:w="940" w:type="dxa"/>
            <w:vAlign w:val="bottom"/>
            <w:shd w:val="clear" w:color="auto" w:fill="FCEFEB"/>
          </w:tcPr>
          <w:p>
            <w:pPr>
              <w:spacing w:after="0"/>
              <w:rPr>
                <w:sz w:val="14"/>
                <w:szCs w:val="14"/>
                <w:color w:val="auto"/>
              </w:rPr>
            </w:pPr>
          </w:p>
        </w:tc>
        <w:tc>
          <w:tcPr>
            <w:tcW w:w="520" w:type="dxa"/>
            <w:vAlign w:val="bottom"/>
            <w:shd w:val="clear" w:color="auto" w:fill="FCEFEB"/>
          </w:tcPr>
          <w:p>
            <w:pPr>
              <w:spacing w:after="0"/>
              <w:rPr>
                <w:sz w:val="14"/>
                <w:szCs w:val="14"/>
                <w:color w:val="auto"/>
              </w:rPr>
            </w:pPr>
          </w:p>
        </w:tc>
        <w:tc>
          <w:tcPr>
            <w:tcW w:w="780" w:type="dxa"/>
            <w:vAlign w:val="bottom"/>
            <w:shd w:val="clear" w:color="auto" w:fill="FCEFEB"/>
          </w:tcPr>
          <w:p>
            <w:pPr>
              <w:spacing w:after="0"/>
              <w:rPr>
                <w:sz w:val="14"/>
                <w:szCs w:val="14"/>
                <w:color w:val="auto"/>
              </w:rPr>
            </w:pPr>
          </w:p>
        </w:tc>
        <w:tc>
          <w:tcPr>
            <w:tcW w:w="300" w:type="dxa"/>
            <w:vAlign w:val="bottom"/>
            <w:shd w:val="clear" w:color="auto" w:fill="FCEFEB"/>
          </w:tcPr>
          <w:p>
            <w:pPr>
              <w:spacing w:after="0"/>
              <w:rPr>
                <w:sz w:val="14"/>
                <w:szCs w:val="14"/>
                <w:color w:val="auto"/>
              </w:rPr>
            </w:pPr>
          </w:p>
        </w:tc>
        <w:tc>
          <w:tcPr>
            <w:tcW w:w="700" w:type="dxa"/>
            <w:vAlign w:val="bottom"/>
            <w:shd w:val="clear" w:color="auto" w:fill="FCEFEB"/>
          </w:tcPr>
          <w:p>
            <w:pPr>
              <w:spacing w:after="0"/>
              <w:rPr>
                <w:sz w:val="14"/>
                <w:szCs w:val="14"/>
                <w:color w:val="auto"/>
              </w:rPr>
            </w:pPr>
          </w:p>
        </w:tc>
        <w:tc>
          <w:tcPr>
            <w:tcW w:w="320" w:type="dxa"/>
            <w:vAlign w:val="bottom"/>
            <w:shd w:val="clear" w:color="auto" w:fill="FCEFEB"/>
          </w:tcPr>
          <w:p>
            <w:pPr>
              <w:spacing w:after="0"/>
              <w:rPr>
                <w:sz w:val="14"/>
                <w:szCs w:val="14"/>
                <w:color w:val="auto"/>
              </w:rPr>
            </w:pPr>
          </w:p>
        </w:tc>
        <w:tc>
          <w:tcPr>
            <w:tcW w:w="820" w:type="dxa"/>
            <w:vAlign w:val="bottom"/>
            <w:shd w:val="clear" w:color="auto" w:fill="FCEFEB"/>
          </w:tcPr>
          <w:p>
            <w:pPr>
              <w:spacing w:after="0"/>
              <w:rPr>
                <w:sz w:val="14"/>
                <w:szCs w:val="14"/>
                <w:color w:val="auto"/>
              </w:rPr>
            </w:pPr>
          </w:p>
        </w:tc>
        <w:tc>
          <w:tcPr>
            <w:tcW w:w="1240" w:type="dxa"/>
            <w:vAlign w:val="bottom"/>
            <w:shd w:val="clear" w:color="auto" w:fill="FCEFEB"/>
          </w:tcPr>
          <w:p>
            <w:pPr>
              <w:spacing w:after="0"/>
              <w:rPr>
                <w:sz w:val="14"/>
                <w:szCs w:val="14"/>
                <w:color w:val="auto"/>
              </w:rPr>
            </w:pPr>
          </w:p>
        </w:tc>
        <w:tc>
          <w:tcPr>
            <w:tcW w:w="960" w:type="dxa"/>
            <w:vAlign w:val="bottom"/>
            <w:shd w:val="clear" w:color="auto" w:fill="FCEFEB"/>
          </w:tcPr>
          <w:p>
            <w:pPr>
              <w:spacing w:after="0"/>
              <w:rPr>
                <w:sz w:val="14"/>
                <w:szCs w:val="14"/>
                <w:color w:val="auto"/>
              </w:rPr>
            </w:pPr>
          </w:p>
        </w:tc>
        <w:tc>
          <w:tcPr>
            <w:tcW w:w="1000" w:type="dxa"/>
            <w:vAlign w:val="bottom"/>
            <w:shd w:val="clear" w:color="auto" w:fill="FCEFEB"/>
          </w:tcPr>
          <w:p>
            <w:pPr>
              <w:spacing w:after="0"/>
              <w:rPr>
                <w:sz w:val="14"/>
                <w:szCs w:val="14"/>
                <w:color w:val="auto"/>
              </w:rPr>
            </w:pPr>
          </w:p>
        </w:tc>
        <w:tc>
          <w:tcPr>
            <w:tcW w:w="820" w:type="dxa"/>
            <w:vAlign w:val="bottom"/>
            <w:shd w:val="clear" w:color="auto" w:fill="FCEFEB"/>
          </w:tcPr>
          <w:p>
            <w:pPr>
              <w:spacing w:after="0"/>
              <w:rPr>
                <w:sz w:val="14"/>
                <w:szCs w:val="14"/>
                <w:color w:val="auto"/>
              </w:rPr>
            </w:pPr>
          </w:p>
        </w:tc>
        <w:tc>
          <w:tcPr>
            <w:tcW w:w="500" w:type="dxa"/>
            <w:vAlign w:val="bottom"/>
            <w:shd w:val="clear" w:color="auto" w:fill="FCEFEB"/>
          </w:tcPr>
          <w:p>
            <w:pPr>
              <w:spacing w:after="0"/>
              <w:rPr>
                <w:sz w:val="14"/>
                <w:szCs w:val="14"/>
                <w:color w:val="auto"/>
              </w:rPr>
            </w:pPr>
          </w:p>
        </w:tc>
        <w:tc>
          <w:tcPr>
            <w:tcW w:w="580" w:type="dxa"/>
            <w:vAlign w:val="bottom"/>
            <w:shd w:val="clear" w:color="auto" w:fill="FCEFEB"/>
          </w:tcPr>
          <w:p>
            <w:pPr>
              <w:spacing w:after="0"/>
              <w:rPr>
                <w:sz w:val="14"/>
                <w:szCs w:val="14"/>
                <w:color w:val="auto"/>
              </w:rPr>
            </w:pPr>
          </w:p>
        </w:tc>
      </w:tr>
      <w:tr>
        <w:trPr>
          <w:trHeight w:val="160"/>
        </w:trPr>
        <w:tc>
          <w:tcPr>
            <w:tcW w:w="820" w:type="dxa"/>
            <w:vAlign w:val="bottom"/>
          </w:tcPr>
          <w:p>
            <w:pPr>
              <w:spacing w:after="0"/>
              <w:rPr>
                <w:sz w:val="13"/>
                <w:szCs w:val="13"/>
                <w:color w:val="auto"/>
              </w:rPr>
            </w:pPr>
          </w:p>
        </w:tc>
        <w:tc>
          <w:tcPr>
            <w:tcW w:w="620" w:type="dxa"/>
            <w:vAlign w:val="bottom"/>
            <w:shd w:val="clear" w:color="auto" w:fill="FCEFEB"/>
          </w:tcPr>
          <w:p>
            <w:pPr>
              <w:ind w:left="40"/>
              <w:spacing w:after="0"/>
              <w:rPr>
                <w:sz w:val="20"/>
                <w:szCs w:val="20"/>
                <w:color w:val="auto"/>
              </w:rPr>
            </w:pPr>
            <w:r>
              <w:rPr>
                <w:rFonts w:ascii="Arial" w:cs="Arial" w:eastAsia="Arial" w:hAnsi="Arial"/>
                <w:sz w:val="14"/>
                <w:szCs w:val="14"/>
                <w:color w:val="333333"/>
              </w:rPr>
              <w:t>TRSUs</w:t>
            </w:r>
          </w:p>
        </w:tc>
        <w:tc>
          <w:tcPr>
            <w:tcW w:w="940" w:type="dxa"/>
            <w:vAlign w:val="bottom"/>
            <w:shd w:val="clear" w:color="auto" w:fill="FCEFEB"/>
          </w:tcPr>
          <w:p>
            <w:pPr>
              <w:ind w:left="40"/>
              <w:spacing w:after="0"/>
              <w:rPr>
                <w:sz w:val="20"/>
                <w:szCs w:val="20"/>
                <w:color w:val="auto"/>
              </w:rPr>
            </w:pPr>
            <w:r>
              <w:rPr>
                <w:rFonts w:ascii="Arial" w:cs="Arial" w:eastAsia="Arial" w:hAnsi="Arial"/>
                <w:sz w:val="14"/>
                <w:szCs w:val="14"/>
                <w:color w:val="333333"/>
              </w:rPr>
              <w:t>April 4, 2025</w:t>
            </w:r>
          </w:p>
        </w:tc>
        <w:tc>
          <w:tcPr>
            <w:tcW w:w="520" w:type="dxa"/>
            <w:vAlign w:val="bottom"/>
            <w:shd w:val="clear" w:color="auto" w:fill="FCEFEB"/>
          </w:tcPr>
          <w:p>
            <w:pPr>
              <w:spacing w:after="0"/>
              <w:rPr>
                <w:sz w:val="13"/>
                <w:szCs w:val="13"/>
                <w:color w:val="auto"/>
              </w:rPr>
            </w:pPr>
          </w:p>
        </w:tc>
        <w:tc>
          <w:tcPr>
            <w:tcW w:w="780" w:type="dxa"/>
            <w:vAlign w:val="bottom"/>
            <w:shd w:val="clear" w:color="auto" w:fill="FCEFEB"/>
          </w:tcPr>
          <w:p>
            <w:pPr>
              <w:spacing w:after="0"/>
              <w:rPr>
                <w:sz w:val="13"/>
                <w:szCs w:val="13"/>
                <w:color w:val="auto"/>
              </w:rPr>
            </w:pPr>
          </w:p>
        </w:tc>
        <w:tc>
          <w:tcPr>
            <w:tcW w:w="300" w:type="dxa"/>
            <w:vAlign w:val="bottom"/>
            <w:shd w:val="clear" w:color="auto" w:fill="FCEFEB"/>
          </w:tcPr>
          <w:p>
            <w:pPr>
              <w:spacing w:after="0"/>
              <w:rPr>
                <w:sz w:val="13"/>
                <w:szCs w:val="13"/>
                <w:color w:val="auto"/>
              </w:rPr>
            </w:pPr>
          </w:p>
        </w:tc>
        <w:tc>
          <w:tcPr>
            <w:tcW w:w="700" w:type="dxa"/>
            <w:vAlign w:val="bottom"/>
            <w:shd w:val="clear" w:color="auto" w:fill="FCEFEB"/>
          </w:tcPr>
          <w:p>
            <w:pPr>
              <w:spacing w:after="0"/>
              <w:rPr>
                <w:sz w:val="13"/>
                <w:szCs w:val="13"/>
                <w:color w:val="auto"/>
              </w:rPr>
            </w:pPr>
          </w:p>
        </w:tc>
        <w:tc>
          <w:tcPr>
            <w:tcW w:w="320" w:type="dxa"/>
            <w:vAlign w:val="bottom"/>
            <w:shd w:val="clear" w:color="auto" w:fill="FCEFEB"/>
          </w:tcPr>
          <w:p>
            <w:pPr>
              <w:spacing w:after="0"/>
              <w:rPr>
                <w:sz w:val="13"/>
                <w:szCs w:val="13"/>
                <w:color w:val="auto"/>
              </w:rPr>
            </w:pPr>
          </w:p>
        </w:tc>
        <w:tc>
          <w:tcPr>
            <w:tcW w:w="820" w:type="dxa"/>
            <w:vAlign w:val="bottom"/>
            <w:shd w:val="clear" w:color="auto" w:fill="FCEFEB"/>
          </w:tcPr>
          <w:p>
            <w:pPr>
              <w:spacing w:after="0"/>
              <w:rPr>
                <w:sz w:val="13"/>
                <w:szCs w:val="13"/>
                <w:color w:val="auto"/>
              </w:rPr>
            </w:pPr>
          </w:p>
        </w:tc>
        <w:tc>
          <w:tcPr>
            <w:tcW w:w="1240" w:type="dxa"/>
            <w:vAlign w:val="bottom"/>
            <w:shd w:val="clear" w:color="auto" w:fill="FCEFEB"/>
          </w:tcPr>
          <w:p>
            <w:pPr>
              <w:spacing w:after="0"/>
              <w:rPr>
                <w:sz w:val="13"/>
                <w:szCs w:val="13"/>
                <w:color w:val="auto"/>
              </w:rPr>
            </w:pPr>
          </w:p>
        </w:tc>
        <w:tc>
          <w:tcPr>
            <w:tcW w:w="960" w:type="dxa"/>
            <w:vAlign w:val="bottom"/>
            <w:shd w:val="clear" w:color="auto" w:fill="FCEFEB"/>
          </w:tcPr>
          <w:p>
            <w:pPr>
              <w:spacing w:after="0"/>
              <w:rPr>
                <w:sz w:val="13"/>
                <w:szCs w:val="13"/>
                <w:color w:val="auto"/>
              </w:rPr>
            </w:pPr>
          </w:p>
        </w:tc>
        <w:tc>
          <w:tcPr>
            <w:tcW w:w="1000" w:type="dxa"/>
            <w:vAlign w:val="bottom"/>
            <w:shd w:val="clear" w:color="auto" w:fill="FCEFEB"/>
          </w:tcPr>
          <w:p>
            <w:pPr>
              <w:spacing w:after="0"/>
              <w:rPr>
                <w:sz w:val="13"/>
                <w:szCs w:val="13"/>
                <w:color w:val="auto"/>
              </w:rPr>
            </w:pPr>
          </w:p>
        </w:tc>
        <w:tc>
          <w:tcPr>
            <w:tcW w:w="82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164,319</w:t>
            </w:r>
          </w:p>
        </w:tc>
        <w:tc>
          <w:tcPr>
            <w:tcW w:w="50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580" w:type="dxa"/>
            <w:vAlign w:val="bottom"/>
            <w:shd w:val="clear" w:color="auto" w:fill="FCEFEB"/>
          </w:tcPr>
          <w:p>
            <w:pPr>
              <w:jc w:val="right"/>
              <w:spacing w:after="0"/>
              <w:rPr>
                <w:sz w:val="20"/>
                <w:szCs w:val="20"/>
                <w:color w:val="auto"/>
              </w:rPr>
            </w:pPr>
            <w:r>
              <w:rPr>
                <w:rFonts w:ascii="Arial" w:cs="Arial" w:eastAsia="Arial" w:hAnsi="Arial"/>
                <w:sz w:val="14"/>
                <w:szCs w:val="14"/>
                <w:color w:val="333333"/>
                <w:w w:val="98"/>
              </w:rPr>
              <w:t>349,999</w:t>
            </w:r>
          </w:p>
        </w:tc>
      </w:tr>
      <w:tr>
        <w:trPr>
          <w:trHeight w:val="195"/>
        </w:trPr>
        <w:tc>
          <w:tcPr>
            <w:tcW w:w="820" w:type="dxa"/>
            <w:vAlign w:val="bottom"/>
            <w:tcBorders>
              <w:bottom w:val="single" w:sz="8" w:color="005C5D"/>
            </w:tcBorders>
          </w:tcPr>
          <w:p>
            <w:pPr>
              <w:spacing w:after="0"/>
              <w:rPr>
                <w:sz w:val="16"/>
                <w:szCs w:val="16"/>
                <w:color w:val="auto"/>
              </w:rPr>
            </w:pPr>
          </w:p>
        </w:tc>
        <w:tc>
          <w:tcPr>
            <w:tcW w:w="620" w:type="dxa"/>
            <w:vAlign w:val="bottom"/>
            <w:tcBorders>
              <w:bottom w:val="single" w:sz="8" w:color="005C5D"/>
            </w:tcBorders>
            <w:shd w:val="clear" w:color="auto" w:fill="FCEFEB"/>
          </w:tcPr>
          <w:p>
            <w:pPr>
              <w:ind w:left="40"/>
              <w:spacing w:after="0"/>
              <w:rPr>
                <w:sz w:val="20"/>
                <w:szCs w:val="20"/>
                <w:color w:val="auto"/>
              </w:rPr>
            </w:pPr>
            <w:r>
              <w:rPr>
                <w:rFonts w:ascii="Arial" w:cs="Arial" w:eastAsia="Arial" w:hAnsi="Arial"/>
                <w:sz w:val="14"/>
                <w:szCs w:val="14"/>
                <w:color w:val="333333"/>
              </w:rPr>
              <w:t>PRSUs</w:t>
            </w:r>
          </w:p>
        </w:tc>
        <w:tc>
          <w:tcPr>
            <w:tcW w:w="940" w:type="dxa"/>
            <w:vAlign w:val="bottom"/>
            <w:tcBorders>
              <w:bottom w:val="single" w:sz="8" w:color="005C5D"/>
            </w:tcBorders>
            <w:shd w:val="clear" w:color="auto" w:fill="FCEFEB"/>
          </w:tcPr>
          <w:p>
            <w:pPr>
              <w:ind w:left="40"/>
              <w:spacing w:after="0"/>
              <w:rPr>
                <w:sz w:val="20"/>
                <w:szCs w:val="20"/>
                <w:color w:val="auto"/>
              </w:rPr>
            </w:pPr>
            <w:r>
              <w:rPr>
                <w:rFonts w:ascii="Arial" w:cs="Arial" w:eastAsia="Arial" w:hAnsi="Arial"/>
                <w:sz w:val="14"/>
                <w:szCs w:val="14"/>
                <w:color w:val="333333"/>
              </w:rPr>
              <w:t>April 4, 2025</w:t>
            </w:r>
          </w:p>
        </w:tc>
        <w:tc>
          <w:tcPr>
            <w:tcW w:w="520" w:type="dxa"/>
            <w:vAlign w:val="bottom"/>
            <w:tcBorders>
              <w:bottom w:val="single" w:sz="8" w:color="005C5D"/>
            </w:tcBorders>
            <w:shd w:val="clear" w:color="auto" w:fill="FCEFEB"/>
          </w:tcPr>
          <w:p>
            <w:pPr>
              <w:spacing w:after="0"/>
              <w:rPr>
                <w:sz w:val="16"/>
                <w:szCs w:val="16"/>
                <w:color w:val="auto"/>
              </w:rPr>
            </w:pPr>
          </w:p>
        </w:tc>
        <w:tc>
          <w:tcPr>
            <w:tcW w:w="780" w:type="dxa"/>
            <w:vAlign w:val="bottom"/>
            <w:tcBorders>
              <w:bottom w:val="single" w:sz="8" w:color="005C5D"/>
            </w:tcBorders>
            <w:shd w:val="clear" w:color="auto" w:fill="FCEFEB"/>
          </w:tcPr>
          <w:p>
            <w:pPr>
              <w:spacing w:after="0"/>
              <w:rPr>
                <w:sz w:val="16"/>
                <w:szCs w:val="16"/>
                <w:color w:val="auto"/>
              </w:rPr>
            </w:pPr>
          </w:p>
        </w:tc>
        <w:tc>
          <w:tcPr>
            <w:tcW w:w="300" w:type="dxa"/>
            <w:vAlign w:val="bottom"/>
            <w:tcBorders>
              <w:bottom w:val="single" w:sz="8" w:color="005C5D"/>
            </w:tcBorders>
            <w:shd w:val="clear" w:color="auto" w:fill="FCEFEB"/>
          </w:tcPr>
          <w:p>
            <w:pPr>
              <w:spacing w:after="0"/>
              <w:rPr>
                <w:sz w:val="16"/>
                <w:szCs w:val="16"/>
                <w:color w:val="auto"/>
              </w:rPr>
            </w:pPr>
          </w:p>
        </w:tc>
        <w:tc>
          <w:tcPr>
            <w:tcW w:w="700" w:type="dxa"/>
            <w:vAlign w:val="bottom"/>
            <w:tcBorders>
              <w:bottom w:val="single" w:sz="8" w:color="005C5D"/>
            </w:tcBorders>
            <w:shd w:val="clear" w:color="auto" w:fill="FCEFEB"/>
          </w:tcPr>
          <w:p>
            <w:pPr>
              <w:spacing w:after="0"/>
              <w:rPr>
                <w:sz w:val="16"/>
                <w:szCs w:val="16"/>
                <w:color w:val="auto"/>
              </w:rPr>
            </w:pPr>
          </w:p>
        </w:tc>
        <w:tc>
          <w:tcPr>
            <w:tcW w:w="320" w:type="dxa"/>
            <w:vAlign w:val="bottom"/>
            <w:tcBorders>
              <w:bottom w:val="single" w:sz="8" w:color="005C5D"/>
            </w:tcBorders>
            <w:shd w:val="clear" w:color="auto" w:fill="FCEFEB"/>
          </w:tcPr>
          <w:p>
            <w:pPr>
              <w:spacing w:after="0"/>
              <w:rPr>
                <w:sz w:val="16"/>
                <w:szCs w:val="16"/>
                <w:color w:val="auto"/>
              </w:rPr>
            </w:pPr>
          </w:p>
        </w:tc>
        <w:tc>
          <w:tcPr>
            <w:tcW w:w="820" w:type="dxa"/>
            <w:vAlign w:val="bottom"/>
            <w:tcBorders>
              <w:bottom w:val="single" w:sz="8" w:color="005C5D"/>
            </w:tcBorders>
            <w:shd w:val="clear" w:color="auto" w:fill="FCEFEB"/>
          </w:tcPr>
          <w:p>
            <w:pPr>
              <w:spacing w:after="0"/>
              <w:rPr>
                <w:sz w:val="16"/>
                <w:szCs w:val="16"/>
                <w:color w:val="auto"/>
              </w:rPr>
            </w:pPr>
          </w:p>
        </w:tc>
        <w:tc>
          <w:tcPr>
            <w:tcW w:w="1240" w:type="dxa"/>
            <w:vAlign w:val="bottom"/>
            <w:tcBorders>
              <w:bottom w:val="single" w:sz="8" w:color="005C5D"/>
            </w:tcBorders>
            <w:shd w:val="clear" w:color="auto" w:fill="FCEFEB"/>
          </w:tcPr>
          <w:p>
            <w:pPr>
              <w:jc w:val="center"/>
              <w:ind w:left="169"/>
              <w:spacing w:after="0"/>
              <w:rPr>
                <w:sz w:val="20"/>
                <w:szCs w:val="20"/>
                <w:color w:val="auto"/>
              </w:rPr>
            </w:pPr>
            <w:r>
              <w:rPr>
                <w:rFonts w:ascii="Arial" w:cs="Arial" w:eastAsia="Arial" w:hAnsi="Arial"/>
                <w:sz w:val="14"/>
                <w:szCs w:val="14"/>
                <w:color w:val="333333"/>
              </w:rPr>
              <w:t>41,080</w:t>
            </w:r>
          </w:p>
        </w:tc>
        <w:tc>
          <w:tcPr>
            <w:tcW w:w="960" w:type="dxa"/>
            <w:vAlign w:val="bottom"/>
            <w:tcBorders>
              <w:bottom w:val="single" w:sz="8" w:color="005C5D"/>
            </w:tcBorders>
            <w:shd w:val="clear" w:color="auto" w:fill="FCEFEB"/>
          </w:tcPr>
          <w:p>
            <w:pPr>
              <w:jc w:val="right"/>
              <w:ind w:right="129"/>
              <w:spacing w:after="0"/>
              <w:rPr>
                <w:sz w:val="20"/>
                <w:szCs w:val="20"/>
                <w:color w:val="auto"/>
              </w:rPr>
            </w:pPr>
            <w:r>
              <w:rPr>
                <w:rFonts w:ascii="Arial" w:cs="Arial" w:eastAsia="Arial" w:hAnsi="Arial"/>
                <w:sz w:val="14"/>
                <w:szCs w:val="14"/>
                <w:color w:val="333333"/>
              </w:rPr>
              <w:t>164,319</w:t>
            </w:r>
          </w:p>
        </w:tc>
        <w:tc>
          <w:tcPr>
            <w:tcW w:w="1000" w:type="dxa"/>
            <w:vAlign w:val="bottom"/>
            <w:tcBorders>
              <w:bottom w:val="single" w:sz="8" w:color="005C5D"/>
            </w:tcBorders>
            <w:shd w:val="clear" w:color="auto" w:fill="FCEFEB"/>
          </w:tcPr>
          <w:p>
            <w:pPr>
              <w:jc w:val="center"/>
              <w:spacing w:after="0"/>
              <w:rPr>
                <w:sz w:val="20"/>
                <w:szCs w:val="20"/>
                <w:color w:val="auto"/>
              </w:rPr>
            </w:pPr>
            <w:r>
              <w:rPr>
                <w:rFonts w:ascii="Arial" w:cs="Arial" w:eastAsia="Arial" w:hAnsi="Arial"/>
                <w:sz w:val="14"/>
                <w:szCs w:val="14"/>
                <w:color w:val="333333"/>
              </w:rPr>
              <w:t>328,638</w:t>
            </w:r>
          </w:p>
        </w:tc>
        <w:tc>
          <w:tcPr>
            <w:tcW w:w="820" w:type="dxa"/>
            <w:vAlign w:val="bottom"/>
            <w:tcBorders>
              <w:bottom w:val="single" w:sz="8" w:color="005C5D"/>
            </w:tcBorders>
            <w:shd w:val="clear" w:color="auto" w:fill="FCEFEB"/>
          </w:tcPr>
          <w:p>
            <w:pPr>
              <w:spacing w:after="0"/>
              <w:rPr>
                <w:sz w:val="16"/>
                <w:szCs w:val="16"/>
                <w:color w:val="auto"/>
              </w:rPr>
            </w:pPr>
          </w:p>
        </w:tc>
        <w:tc>
          <w:tcPr>
            <w:tcW w:w="500" w:type="dxa"/>
            <w:vAlign w:val="bottom"/>
            <w:tcBorders>
              <w:bottom w:val="single" w:sz="8" w:color="005C5D"/>
            </w:tcBorders>
            <w:shd w:val="clear" w:color="auto" w:fill="FCEFEB"/>
          </w:tcPr>
          <w:p>
            <w:pPr>
              <w:spacing w:after="0"/>
              <w:rPr>
                <w:sz w:val="16"/>
                <w:szCs w:val="16"/>
                <w:color w:val="auto"/>
              </w:rPr>
            </w:pPr>
          </w:p>
        </w:tc>
        <w:tc>
          <w:tcPr>
            <w:tcW w:w="580" w:type="dxa"/>
            <w:vAlign w:val="bottom"/>
            <w:tcBorders>
              <w:bottom w:val="single" w:sz="8" w:color="005C5D"/>
            </w:tcBorders>
            <w:shd w:val="clear" w:color="auto" w:fill="FCEFEB"/>
          </w:tcPr>
          <w:p>
            <w:pPr>
              <w:jc w:val="right"/>
              <w:spacing w:after="0"/>
              <w:rPr>
                <w:sz w:val="20"/>
                <w:szCs w:val="20"/>
                <w:color w:val="auto"/>
              </w:rPr>
            </w:pPr>
            <w:r>
              <w:rPr>
                <w:rFonts w:ascii="Arial" w:cs="Arial" w:eastAsia="Arial" w:hAnsi="Arial"/>
                <w:sz w:val="14"/>
                <w:szCs w:val="14"/>
                <w:color w:val="333333"/>
                <w:w w:val="98"/>
              </w:rPr>
              <w:t>349,999</w:t>
            </w:r>
          </w:p>
        </w:tc>
      </w:tr>
      <w:tr>
        <w:trPr>
          <w:trHeight w:val="204"/>
        </w:trPr>
        <w:tc>
          <w:tcPr>
            <w:tcW w:w="820" w:type="dxa"/>
            <w:vAlign w:val="bottom"/>
          </w:tcPr>
          <w:p>
            <w:pPr>
              <w:ind w:left="80"/>
              <w:spacing w:after="0"/>
              <w:rPr>
                <w:sz w:val="20"/>
                <w:szCs w:val="20"/>
                <w:color w:val="auto"/>
              </w:rPr>
            </w:pPr>
            <w:r>
              <w:rPr>
                <w:rFonts w:ascii="Arial" w:cs="Arial" w:eastAsia="Arial" w:hAnsi="Arial"/>
                <w:sz w:val="14"/>
                <w:szCs w:val="14"/>
                <w:b w:val="1"/>
                <w:bCs w:val="1"/>
                <w:color w:val="005C5D"/>
              </w:rPr>
              <w:t>Martin</w:t>
            </w:r>
          </w:p>
        </w:tc>
        <w:tc>
          <w:tcPr>
            <w:tcW w:w="620" w:type="dxa"/>
            <w:vAlign w:val="bottom"/>
            <w:shd w:val="clear" w:color="auto" w:fill="FCEFEB"/>
          </w:tcPr>
          <w:p>
            <w:pPr>
              <w:ind w:left="40"/>
              <w:spacing w:after="0"/>
              <w:rPr>
                <w:sz w:val="20"/>
                <w:szCs w:val="20"/>
                <w:color w:val="auto"/>
              </w:rPr>
            </w:pPr>
            <w:r>
              <w:rPr>
                <w:rFonts w:ascii="Arial" w:cs="Arial" w:eastAsia="Arial" w:hAnsi="Arial"/>
                <w:sz w:val="14"/>
                <w:szCs w:val="14"/>
                <w:color w:val="333333"/>
              </w:rPr>
              <w:t>Annual</w:t>
            </w:r>
          </w:p>
        </w:tc>
        <w:tc>
          <w:tcPr>
            <w:tcW w:w="940" w:type="dxa"/>
            <w:vAlign w:val="bottom"/>
            <w:shd w:val="clear" w:color="auto" w:fill="FCEFEB"/>
          </w:tcPr>
          <w:p>
            <w:pPr>
              <w:spacing w:after="0"/>
              <w:rPr>
                <w:sz w:val="17"/>
                <w:szCs w:val="17"/>
                <w:color w:val="auto"/>
              </w:rPr>
            </w:pPr>
          </w:p>
        </w:tc>
        <w:tc>
          <w:tcPr>
            <w:tcW w:w="52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780" w:type="dxa"/>
            <w:vAlign w:val="bottom"/>
            <w:shd w:val="clear" w:color="auto" w:fill="FCEFEB"/>
          </w:tcPr>
          <w:p>
            <w:pPr>
              <w:jc w:val="right"/>
              <w:ind w:right="189"/>
              <w:spacing w:after="0"/>
              <w:rPr>
                <w:sz w:val="20"/>
                <w:szCs w:val="20"/>
                <w:color w:val="auto"/>
              </w:rPr>
            </w:pPr>
            <w:r>
              <w:rPr>
                <w:rFonts w:ascii="Arial" w:cs="Arial" w:eastAsia="Arial" w:hAnsi="Arial"/>
                <w:sz w:val="14"/>
                <w:szCs w:val="14"/>
                <w:color w:val="333333"/>
              </w:rPr>
              <w:t>49,875</w:t>
            </w:r>
          </w:p>
        </w:tc>
        <w:tc>
          <w:tcPr>
            <w:tcW w:w="300" w:type="dxa"/>
            <w:vAlign w:val="bottom"/>
            <w:shd w:val="clear" w:color="auto" w:fill="FCEFEB"/>
          </w:tcPr>
          <w:p>
            <w:pPr>
              <w:ind w:left="220"/>
              <w:spacing w:after="0"/>
              <w:rPr>
                <w:sz w:val="20"/>
                <w:szCs w:val="20"/>
                <w:color w:val="auto"/>
              </w:rPr>
            </w:pPr>
            <w:r>
              <w:rPr>
                <w:rFonts w:ascii="Arial" w:cs="Arial" w:eastAsia="Arial" w:hAnsi="Arial"/>
                <w:sz w:val="14"/>
                <w:szCs w:val="14"/>
                <w:color w:val="333333"/>
                <w:w w:val="76"/>
              </w:rPr>
              <w:t>$</w:t>
            </w:r>
          </w:p>
        </w:tc>
        <w:tc>
          <w:tcPr>
            <w:tcW w:w="7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w w:val="98"/>
              </w:rPr>
              <w:t>199,500</w:t>
            </w:r>
          </w:p>
        </w:tc>
        <w:tc>
          <w:tcPr>
            <w:tcW w:w="32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820" w:type="dxa"/>
            <w:vAlign w:val="bottom"/>
            <w:shd w:val="clear" w:color="auto" w:fill="FCEFEB"/>
          </w:tcPr>
          <w:p>
            <w:pPr>
              <w:jc w:val="right"/>
              <w:ind w:right="229"/>
              <w:spacing w:after="0"/>
              <w:rPr>
                <w:sz w:val="20"/>
                <w:szCs w:val="20"/>
                <w:color w:val="auto"/>
              </w:rPr>
            </w:pPr>
            <w:r>
              <w:rPr>
                <w:rFonts w:ascii="Arial" w:cs="Arial" w:eastAsia="Arial" w:hAnsi="Arial"/>
                <w:sz w:val="14"/>
                <w:szCs w:val="14"/>
                <w:color w:val="333333"/>
                <w:w w:val="98"/>
              </w:rPr>
              <w:t>399,000</w:t>
            </w:r>
          </w:p>
        </w:tc>
        <w:tc>
          <w:tcPr>
            <w:tcW w:w="1240" w:type="dxa"/>
            <w:vAlign w:val="bottom"/>
            <w:shd w:val="clear" w:color="auto" w:fill="FCEFEB"/>
          </w:tcPr>
          <w:p>
            <w:pPr>
              <w:spacing w:after="0"/>
              <w:rPr>
                <w:sz w:val="17"/>
                <w:szCs w:val="17"/>
                <w:color w:val="auto"/>
              </w:rPr>
            </w:pPr>
          </w:p>
        </w:tc>
        <w:tc>
          <w:tcPr>
            <w:tcW w:w="960" w:type="dxa"/>
            <w:vAlign w:val="bottom"/>
            <w:shd w:val="clear" w:color="auto" w:fill="FCEFEB"/>
          </w:tcPr>
          <w:p>
            <w:pPr>
              <w:spacing w:after="0"/>
              <w:rPr>
                <w:sz w:val="17"/>
                <w:szCs w:val="17"/>
                <w:color w:val="auto"/>
              </w:rPr>
            </w:pPr>
          </w:p>
        </w:tc>
        <w:tc>
          <w:tcPr>
            <w:tcW w:w="1000" w:type="dxa"/>
            <w:vAlign w:val="bottom"/>
            <w:shd w:val="clear" w:color="auto" w:fill="FCEFEB"/>
          </w:tcPr>
          <w:p>
            <w:pPr>
              <w:spacing w:after="0"/>
              <w:rPr>
                <w:sz w:val="17"/>
                <w:szCs w:val="17"/>
                <w:color w:val="auto"/>
              </w:rPr>
            </w:pPr>
          </w:p>
        </w:tc>
        <w:tc>
          <w:tcPr>
            <w:tcW w:w="820" w:type="dxa"/>
            <w:vAlign w:val="bottom"/>
            <w:shd w:val="clear" w:color="auto" w:fill="FCEFEB"/>
          </w:tcPr>
          <w:p>
            <w:pPr>
              <w:spacing w:after="0"/>
              <w:rPr>
                <w:sz w:val="17"/>
                <w:szCs w:val="17"/>
                <w:color w:val="auto"/>
              </w:rPr>
            </w:pPr>
          </w:p>
        </w:tc>
        <w:tc>
          <w:tcPr>
            <w:tcW w:w="500" w:type="dxa"/>
            <w:vAlign w:val="bottom"/>
            <w:shd w:val="clear" w:color="auto" w:fill="FCEFEB"/>
          </w:tcPr>
          <w:p>
            <w:pPr>
              <w:spacing w:after="0"/>
              <w:rPr>
                <w:sz w:val="17"/>
                <w:szCs w:val="17"/>
                <w:color w:val="auto"/>
              </w:rPr>
            </w:pPr>
          </w:p>
        </w:tc>
        <w:tc>
          <w:tcPr>
            <w:tcW w:w="580" w:type="dxa"/>
            <w:vAlign w:val="bottom"/>
            <w:shd w:val="clear" w:color="auto" w:fill="FCEFEB"/>
          </w:tcPr>
          <w:p>
            <w:pPr>
              <w:spacing w:after="0"/>
              <w:rPr>
                <w:sz w:val="17"/>
                <w:szCs w:val="17"/>
                <w:color w:val="auto"/>
              </w:rPr>
            </w:pPr>
          </w:p>
        </w:tc>
      </w:tr>
      <w:tr>
        <w:trPr>
          <w:trHeight w:val="170"/>
        </w:trPr>
        <w:tc>
          <w:tcPr>
            <w:tcW w:w="820" w:type="dxa"/>
            <w:vAlign w:val="bottom"/>
          </w:tcPr>
          <w:p>
            <w:pPr>
              <w:ind w:left="80"/>
              <w:spacing w:after="0"/>
              <w:rPr>
                <w:sz w:val="20"/>
                <w:szCs w:val="20"/>
                <w:color w:val="auto"/>
              </w:rPr>
            </w:pPr>
            <w:r>
              <w:rPr>
                <w:rFonts w:ascii="Arial" w:cs="Arial" w:eastAsia="Arial" w:hAnsi="Arial"/>
                <w:sz w:val="14"/>
                <w:szCs w:val="14"/>
                <w:b w:val="1"/>
                <w:bCs w:val="1"/>
                <w:color w:val="005C5D"/>
              </w:rPr>
              <w:t>Layding</w:t>
            </w:r>
          </w:p>
        </w:tc>
        <w:tc>
          <w:tcPr>
            <w:tcW w:w="620" w:type="dxa"/>
            <w:vAlign w:val="bottom"/>
            <w:shd w:val="clear" w:color="auto" w:fill="FCEFEB"/>
          </w:tcPr>
          <w:p>
            <w:pPr>
              <w:ind w:left="40"/>
              <w:spacing w:after="0"/>
              <w:rPr>
                <w:sz w:val="20"/>
                <w:szCs w:val="20"/>
                <w:color w:val="auto"/>
              </w:rPr>
            </w:pPr>
            <w:r>
              <w:rPr>
                <w:rFonts w:ascii="Arial" w:cs="Arial" w:eastAsia="Arial" w:hAnsi="Arial"/>
                <w:sz w:val="14"/>
                <w:szCs w:val="14"/>
                <w:color w:val="333333"/>
                <w:w w:val="99"/>
              </w:rPr>
              <w:t>Incentive</w:t>
            </w:r>
          </w:p>
        </w:tc>
        <w:tc>
          <w:tcPr>
            <w:tcW w:w="940" w:type="dxa"/>
            <w:vAlign w:val="bottom"/>
            <w:shd w:val="clear" w:color="auto" w:fill="FCEFEB"/>
          </w:tcPr>
          <w:p>
            <w:pPr>
              <w:spacing w:after="0"/>
              <w:rPr>
                <w:sz w:val="14"/>
                <w:szCs w:val="14"/>
                <w:color w:val="auto"/>
              </w:rPr>
            </w:pPr>
          </w:p>
        </w:tc>
        <w:tc>
          <w:tcPr>
            <w:tcW w:w="520" w:type="dxa"/>
            <w:vAlign w:val="bottom"/>
            <w:shd w:val="clear" w:color="auto" w:fill="FCEFEB"/>
          </w:tcPr>
          <w:p>
            <w:pPr>
              <w:spacing w:after="0"/>
              <w:rPr>
                <w:sz w:val="14"/>
                <w:szCs w:val="14"/>
                <w:color w:val="auto"/>
              </w:rPr>
            </w:pPr>
          </w:p>
        </w:tc>
        <w:tc>
          <w:tcPr>
            <w:tcW w:w="780" w:type="dxa"/>
            <w:vAlign w:val="bottom"/>
            <w:shd w:val="clear" w:color="auto" w:fill="FCEFEB"/>
          </w:tcPr>
          <w:p>
            <w:pPr>
              <w:spacing w:after="0"/>
              <w:rPr>
                <w:sz w:val="14"/>
                <w:szCs w:val="14"/>
                <w:color w:val="auto"/>
              </w:rPr>
            </w:pPr>
          </w:p>
        </w:tc>
        <w:tc>
          <w:tcPr>
            <w:tcW w:w="300" w:type="dxa"/>
            <w:vAlign w:val="bottom"/>
            <w:shd w:val="clear" w:color="auto" w:fill="FCEFEB"/>
          </w:tcPr>
          <w:p>
            <w:pPr>
              <w:spacing w:after="0"/>
              <w:rPr>
                <w:sz w:val="14"/>
                <w:szCs w:val="14"/>
                <w:color w:val="auto"/>
              </w:rPr>
            </w:pPr>
          </w:p>
        </w:tc>
        <w:tc>
          <w:tcPr>
            <w:tcW w:w="700" w:type="dxa"/>
            <w:vAlign w:val="bottom"/>
            <w:shd w:val="clear" w:color="auto" w:fill="FCEFEB"/>
          </w:tcPr>
          <w:p>
            <w:pPr>
              <w:spacing w:after="0"/>
              <w:rPr>
                <w:sz w:val="14"/>
                <w:szCs w:val="14"/>
                <w:color w:val="auto"/>
              </w:rPr>
            </w:pPr>
          </w:p>
        </w:tc>
        <w:tc>
          <w:tcPr>
            <w:tcW w:w="320" w:type="dxa"/>
            <w:vAlign w:val="bottom"/>
            <w:shd w:val="clear" w:color="auto" w:fill="FCEFEB"/>
          </w:tcPr>
          <w:p>
            <w:pPr>
              <w:spacing w:after="0"/>
              <w:rPr>
                <w:sz w:val="14"/>
                <w:szCs w:val="14"/>
                <w:color w:val="auto"/>
              </w:rPr>
            </w:pPr>
          </w:p>
        </w:tc>
        <w:tc>
          <w:tcPr>
            <w:tcW w:w="820" w:type="dxa"/>
            <w:vAlign w:val="bottom"/>
            <w:shd w:val="clear" w:color="auto" w:fill="FCEFEB"/>
          </w:tcPr>
          <w:p>
            <w:pPr>
              <w:spacing w:after="0"/>
              <w:rPr>
                <w:sz w:val="14"/>
                <w:szCs w:val="14"/>
                <w:color w:val="auto"/>
              </w:rPr>
            </w:pPr>
          </w:p>
        </w:tc>
        <w:tc>
          <w:tcPr>
            <w:tcW w:w="1240" w:type="dxa"/>
            <w:vAlign w:val="bottom"/>
            <w:shd w:val="clear" w:color="auto" w:fill="FCEFEB"/>
          </w:tcPr>
          <w:p>
            <w:pPr>
              <w:spacing w:after="0"/>
              <w:rPr>
                <w:sz w:val="14"/>
                <w:szCs w:val="14"/>
                <w:color w:val="auto"/>
              </w:rPr>
            </w:pPr>
          </w:p>
        </w:tc>
        <w:tc>
          <w:tcPr>
            <w:tcW w:w="960" w:type="dxa"/>
            <w:vAlign w:val="bottom"/>
            <w:shd w:val="clear" w:color="auto" w:fill="FCEFEB"/>
          </w:tcPr>
          <w:p>
            <w:pPr>
              <w:spacing w:after="0"/>
              <w:rPr>
                <w:sz w:val="14"/>
                <w:szCs w:val="14"/>
                <w:color w:val="auto"/>
              </w:rPr>
            </w:pPr>
          </w:p>
        </w:tc>
        <w:tc>
          <w:tcPr>
            <w:tcW w:w="1000" w:type="dxa"/>
            <w:vAlign w:val="bottom"/>
            <w:shd w:val="clear" w:color="auto" w:fill="FCEFEB"/>
          </w:tcPr>
          <w:p>
            <w:pPr>
              <w:spacing w:after="0"/>
              <w:rPr>
                <w:sz w:val="14"/>
                <w:szCs w:val="14"/>
                <w:color w:val="auto"/>
              </w:rPr>
            </w:pPr>
          </w:p>
        </w:tc>
        <w:tc>
          <w:tcPr>
            <w:tcW w:w="820" w:type="dxa"/>
            <w:vAlign w:val="bottom"/>
            <w:shd w:val="clear" w:color="auto" w:fill="FCEFEB"/>
          </w:tcPr>
          <w:p>
            <w:pPr>
              <w:spacing w:after="0"/>
              <w:rPr>
                <w:sz w:val="14"/>
                <w:szCs w:val="14"/>
                <w:color w:val="auto"/>
              </w:rPr>
            </w:pPr>
          </w:p>
        </w:tc>
        <w:tc>
          <w:tcPr>
            <w:tcW w:w="500" w:type="dxa"/>
            <w:vAlign w:val="bottom"/>
            <w:shd w:val="clear" w:color="auto" w:fill="FCEFEB"/>
          </w:tcPr>
          <w:p>
            <w:pPr>
              <w:spacing w:after="0"/>
              <w:rPr>
                <w:sz w:val="14"/>
                <w:szCs w:val="14"/>
                <w:color w:val="auto"/>
              </w:rPr>
            </w:pPr>
          </w:p>
        </w:tc>
        <w:tc>
          <w:tcPr>
            <w:tcW w:w="580" w:type="dxa"/>
            <w:vAlign w:val="bottom"/>
            <w:shd w:val="clear" w:color="auto" w:fill="FCEFEB"/>
          </w:tcPr>
          <w:p>
            <w:pPr>
              <w:spacing w:after="0"/>
              <w:rPr>
                <w:sz w:val="14"/>
                <w:szCs w:val="14"/>
                <w:color w:val="auto"/>
              </w:rPr>
            </w:pPr>
          </w:p>
        </w:tc>
      </w:tr>
      <w:tr>
        <w:trPr>
          <w:trHeight w:val="151"/>
        </w:trPr>
        <w:tc>
          <w:tcPr>
            <w:tcW w:w="820" w:type="dxa"/>
            <w:vAlign w:val="bottom"/>
          </w:tcPr>
          <w:p>
            <w:pPr>
              <w:spacing w:after="0"/>
              <w:rPr>
                <w:sz w:val="13"/>
                <w:szCs w:val="13"/>
                <w:color w:val="auto"/>
              </w:rPr>
            </w:pPr>
          </w:p>
        </w:tc>
        <w:tc>
          <w:tcPr>
            <w:tcW w:w="620" w:type="dxa"/>
            <w:vAlign w:val="bottom"/>
            <w:shd w:val="clear" w:color="auto" w:fill="FCEFEB"/>
          </w:tcPr>
          <w:p>
            <w:pPr>
              <w:ind w:left="40"/>
              <w:spacing w:after="0" w:line="151" w:lineRule="exact"/>
              <w:rPr>
                <w:sz w:val="20"/>
                <w:szCs w:val="20"/>
                <w:color w:val="auto"/>
              </w:rPr>
            </w:pPr>
            <w:r>
              <w:rPr>
                <w:rFonts w:ascii="Arial" w:cs="Arial" w:eastAsia="Arial" w:hAnsi="Arial"/>
                <w:sz w:val="14"/>
                <w:szCs w:val="14"/>
                <w:color w:val="333333"/>
              </w:rPr>
              <w:t>TRSUs</w:t>
            </w:r>
          </w:p>
        </w:tc>
        <w:tc>
          <w:tcPr>
            <w:tcW w:w="940" w:type="dxa"/>
            <w:vAlign w:val="bottom"/>
            <w:shd w:val="clear" w:color="auto" w:fill="FCEFEB"/>
          </w:tcPr>
          <w:p>
            <w:pPr>
              <w:ind w:left="40"/>
              <w:spacing w:after="0" w:line="151" w:lineRule="exact"/>
              <w:rPr>
                <w:sz w:val="20"/>
                <w:szCs w:val="20"/>
                <w:color w:val="auto"/>
              </w:rPr>
            </w:pPr>
            <w:r>
              <w:rPr>
                <w:rFonts w:ascii="Arial" w:cs="Arial" w:eastAsia="Arial" w:hAnsi="Arial"/>
                <w:sz w:val="14"/>
                <w:szCs w:val="14"/>
                <w:color w:val="333333"/>
              </w:rPr>
              <w:t>June 12,</w:t>
            </w:r>
          </w:p>
        </w:tc>
        <w:tc>
          <w:tcPr>
            <w:tcW w:w="520" w:type="dxa"/>
            <w:vAlign w:val="bottom"/>
            <w:shd w:val="clear" w:color="auto" w:fill="FCEFEB"/>
          </w:tcPr>
          <w:p>
            <w:pPr>
              <w:spacing w:after="0"/>
              <w:rPr>
                <w:sz w:val="13"/>
                <w:szCs w:val="13"/>
                <w:color w:val="auto"/>
              </w:rPr>
            </w:pPr>
          </w:p>
        </w:tc>
        <w:tc>
          <w:tcPr>
            <w:tcW w:w="780" w:type="dxa"/>
            <w:vAlign w:val="bottom"/>
            <w:shd w:val="clear" w:color="auto" w:fill="FCEFEB"/>
          </w:tcPr>
          <w:p>
            <w:pPr>
              <w:spacing w:after="0"/>
              <w:rPr>
                <w:sz w:val="13"/>
                <w:szCs w:val="13"/>
                <w:color w:val="auto"/>
              </w:rPr>
            </w:pPr>
          </w:p>
        </w:tc>
        <w:tc>
          <w:tcPr>
            <w:tcW w:w="300" w:type="dxa"/>
            <w:vAlign w:val="bottom"/>
            <w:shd w:val="clear" w:color="auto" w:fill="FCEFEB"/>
          </w:tcPr>
          <w:p>
            <w:pPr>
              <w:spacing w:after="0"/>
              <w:rPr>
                <w:sz w:val="13"/>
                <w:szCs w:val="13"/>
                <w:color w:val="auto"/>
              </w:rPr>
            </w:pPr>
          </w:p>
        </w:tc>
        <w:tc>
          <w:tcPr>
            <w:tcW w:w="700" w:type="dxa"/>
            <w:vAlign w:val="bottom"/>
            <w:shd w:val="clear" w:color="auto" w:fill="FCEFEB"/>
          </w:tcPr>
          <w:p>
            <w:pPr>
              <w:spacing w:after="0"/>
              <w:rPr>
                <w:sz w:val="13"/>
                <w:szCs w:val="13"/>
                <w:color w:val="auto"/>
              </w:rPr>
            </w:pPr>
          </w:p>
        </w:tc>
        <w:tc>
          <w:tcPr>
            <w:tcW w:w="320" w:type="dxa"/>
            <w:vAlign w:val="bottom"/>
            <w:shd w:val="clear" w:color="auto" w:fill="FCEFEB"/>
          </w:tcPr>
          <w:p>
            <w:pPr>
              <w:spacing w:after="0"/>
              <w:rPr>
                <w:sz w:val="13"/>
                <w:szCs w:val="13"/>
                <w:color w:val="auto"/>
              </w:rPr>
            </w:pPr>
          </w:p>
        </w:tc>
        <w:tc>
          <w:tcPr>
            <w:tcW w:w="820" w:type="dxa"/>
            <w:vAlign w:val="bottom"/>
            <w:shd w:val="clear" w:color="auto" w:fill="FCEFEB"/>
          </w:tcPr>
          <w:p>
            <w:pPr>
              <w:spacing w:after="0"/>
              <w:rPr>
                <w:sz w:val="13"/>
                <w:szCs w:val="13"/>
                <w:color w:val="auto"/>
              </w:rPr>
            </w:pPr>
          </w:p>
        </w:tc>
        <w:tc>
          <w:tcPr>
            <w:tcW w:w="1240" w:type="dxa"/>
            <w:vAlign w:val="bottom"/>
            <w:shd w:val="clear" w:color="auto" w:fill="FCEFEB"/>
          </w:tcPr>
          <w:p>
            <w:pPr>
              <w:spacing w:after="0"/>
              <w:rPr>
                <w:sz w:val="13"/>
                <w:szCs w:val="13"/>
                <w:color w:val="auto"/>
              </w:rPr>
            </w:pPr>
          </w:p>
        </w:tc>
        <w:tc>
          <w:tcPr>
            <w:tcW w:w="960" w:type="dxa"/>
            <w:vAlign w:val="bottom"/>
            <w:shd w:val="clear" w:color="auto" w:fill="FCEFEB"/>
          </w:tcPr>
          <w:p>
            <w:pPr>
              <w:spacing w:after="0"/>
              <w:rPr>
                <w:sz w:val="13"/>
                <w:szCs w:val="13"/>
                <w:color w:val="auto"/>
              </w:rPr>
            </w:pPr>
          </w:p>
        </w:tc>
        <w:tc>
          <w:tcPr>
            <w:tcW w:w="1000" w:type="dxa"/>
            <w:vAlign w:val="bottom"/>
            <w:shd w:val="clear" w:color="auto" w:fill="FCEFEB"/>
          </w:tcPr>
          <w:p>
            <w:pPr>
              <w:spacing w:after="0"/>
              <w:rPr>
                <w:sz w:val="13"/>
                <w:szCs w:val="13"/>
                <w:color w:val="auto"/>
              </w:rPr>
            </w:pPr>
          </w:p>
        </w:tc>
        <w:tc>
          <w:tcPr>
            <w:tcW w:w="820" w:type="dxa"/>
            <w:vAlign w:val="bottom"/>
            <w:shd w:val="clear" w:color="auto" w:fill="FCEFEB"/>
          </w:tcPr>
          <w:p>
            <w:pPr>
              <w:jc w:val="right"/>
              <w:spacing w:after="0" w:line="151" w:lineRule="exact"/>
              <w:rPr>
                <w:sz w:val="20"/>
                <w:szCs w:val="20"/>
                <w:color w:val="auto"/>
              </w:rPr>
            </w:pPr>
            <w:r>
              <w:rPr>
                <w:rFonts w:ascii="Arial" w:cs="Arial" w:eastAsia="Arial" w:hAnsi="Arial"/>
                <w:sz w:val="14"/>
                <w:szCs w:val="14"/>
                <w:color w:val="333333"/>
              </w:rPr>
              <w:t>414,439</w:t>
            </w:r>
          </w:p>
        </w:tc>
        <w:tc>
          <w:tcPr>
            <w:tcW w:w="500" w:type="dxa"/>
            <w:vAlign w:val="bottom"/>
            <w:shd w:val="clear" w:color="auto" w:fill="FCEFEB"/>
          </w:tcPr>
          <w:p>
            <w:pPr>
              <w:jc w:val="right"/>
              <w:spacing w:after="0" w:line="151" w:lineRule="exact"/>
              <w:rPr>
                <w:sz w:val="20"/>
                <w:szCs w:val="20"/>
                <w:color w:val="auto"/>
              </w:rPr>
            </w:pPr>
            <w:r>
              <w:rPr>
                <w:rFonts w:ascii="Arial" w:cs="Arial" w:eastAsia="Arial" w:hAnsi="Arial"/>
                <w:sz w:val="14"/>
                <w:szCs w:val="14"/>
                <w:color w:val="333333"/>
              </w:rPr>
              <w:t>$</w:t>
            </w:r>
          </w:p>
        </w:tc>
        <w:tc>
          <w:tcPr>
            <w:tcW w:w="580" w:type="dxa"/>
            <w:vAlign w:val="bottom"/>
            <w:shd w:val="clear" w:color="auto" w:fill="FCEFEB"/>
          </w:tcPr>
          <w:p>
            <w:pPr>
              <w:jc w:val="right"/>
              <w:spacing w:after="0" w:line="151" w:lineRule="exact"/>
              <w:rPr>
                <w:sz w:val="20"/>
                <w:szCs w:val="20"/>
                <w:color w:val="auto"/>
              </w:rPr>
            </w:pPr>
            <w:r>
              <w:rPr>
                <w:rFonts w:ascii="Arial" w:cs="Arial" w:eastAsia="Arial" w:hAnsi="Arial"/>
                <w:sz w:val="14"/>
                <w:szCs w:val="14"/>
                <w:color w:val="333333"/>
                <w:w w:val="98"/>
              </w:rPr>
              <w:t>775,001</w:t>
            </w:r>
          </w:p>
        </w:tc>
      </w:tr>
      <w:tr>
        <w:trPr>
          <w:trHeight w:val="170"/>
        </w:trPr>
        <w:tc>
          <w:tcPr>
            <w:tcW w:w="820" w:type="dxa"/>
            <w:vAlign w:val="bottom"/>
          </w:tcPr>
          <w:p>
            <w:pPr>
              <w:spacing w:after="0"/>
              <w:rPr>
                <w:sz w:val="14"/>
                <w:szCs w:val="14"/>
                <w:color w:val="auto"/>
              </w:rPr>
            </w:pPr>
          </w:p>
        </w:tc>
        <w:tc>
          <w:tcPr>
            <w:tcW w:w="620" w:type="dxa"/>
            <w:vAlign w:val="bottom"/>
            <w:shd w:val="clear" w:color="auto" w:fill="FCEFEB"/>
          </w:tcPr>
          <w:p>
            <w:pPr>
              <w:spacing w:after="0"/>
              <w:rPr>
                <w:sz w:val="14"/>
                <w:szCs w:val="14"/>
                <w:color w:val="auto"/>
              </w:rPr>
            </w:pPr>
          </w:p>
        </w:tc>
        <w:tc>
          <w:tcPr>
            <w:tcW w:w="940" w:type="dxa"/>
            <w:vAlign w:val="bottom"/>
            <w:shd w:val="clear" w:color="auto" w:fill="FCEFEB"/>
          </w:tcPr>
          <w:p>
            <w:pPr>
              <w:ind w:left="40"/>
              <w:spacing w:after="0"/>
              <w:rPr>
                <w:sz w:val="20"/>
                <w:szCs w:val="20"/>
                <w:color w:val="auto"/>
              </w:rPr>
            </w:pPr>
            <w:r>
              <w:rPr>
                <w:rFonts w:ascii="Arial" w:cs="Arial" w:eastAsia="Arial" w:hAnsi="Arial"/>
                <w:sz w:val="14"/>
                <w:szCs w:val="14"/>
                <w:color w:val="333333"/>
              </w:rPr>
              <w:t>2025</w:t>
            </w:r>
          </w:p>
        </w:tc>
        <w:tc>
          <w:tcPr>
            <w:tcW w:w="520" w:type="dxa"/>
            <w:vAlign w:val="bottom"/>
            <w:shd w:val="clear" w:color="auto" w:fill="FCEFEB"/>
          </w:tcPr>
          <w:p>
            <w:pPr>
              <w:spacing w:after="0"/>
              <w:rPr>
                <w:sz w:val="14"/>
                <w:szCs w:val="14"/>
                <w:color w:val="auto"/>
              </w:rPr>
            </w:pPr>
          </w:p>
        </w:tc>
        <w:tc>
          <w:tcPr>
            <w:tcW w:w="780" w:type="dxa"/>
            <w:vAlign w:val="bottom"/>
            <w:shd w:val="clear" w:color="auto" w:fill="FCEFEB"/>
          </w:tcPr>
          <w:p>
            <w:pPr>
              <w:spacing w:after="0"/>
              <w:rPr>
                <w:sz w:val="14"/>
                <w:szCs w:val="14"/>
                <w:color w:val="auto"/>
              </w:rPr>
            </w:pPr>
          </w:p>
        </w:tc>
        <w:tc>
          <w:tcPr>
            <w:tcW w:w="300" w:type="dxa"/>
            <w:vAlign w:val="bottom"/>
            <w:shd w:val="clear" w:color="auto" w:fill="FCEFEB"/>
          </w:tcPr>
          <w:p>
            <w:pPr>
              <w:spacing w:after="0"/>
              <w:rPr>
                <w:sz w:val="14"/>
                <w:szCs w:val="14"/>
                <w:color w:val="auto"/>
              </w:rPr>
            </w:pPr>
          </w:p>
        </w:tc>
        <w:tc>
          <w:tcPr>
            <w:tcW w:w="700" w:type="dxa"/>
            <w:vAlign w:val="bottom"/>
            <w:shd w:val="clear" w:color="auto" w:fill="FCEFEB"/>
          </w:tcPr>
          <w:p>
            <w:pPr>
              <w:spacing w:after="0"/>
              <w:rPr>
                <w:sz w:val="14"/>
                <w:szCs w:val="14"/>
                <w:color w:val="auto"/>
              </w:rPr>
            </w:pPr>
          </w:p>
        </w:tc>
        <w:tc>
          <w:tcPr>
            <w:tcW w:w="320" w:type="dxa"/>
            <w:vAlign w:val="bottom"/>
            <w:shd w:val="clear" w:color="auto" w:fill="FCEFEB"/>
          </w:tcPr>
          <w:p>
            <w:pPr>
              <w:spacing w:after="0"/>
              <w:rPr>
                <w:sz w:val="14"/>
                <w:szCs w:val="14"/>
                <w:color w:val="auto"/>
              </w:rPr>
            </w:pPr>
          </w:p>
        </w:tc>
        <w:tc>
          <w:tcPr>
            <w:tcW w:w="820" w:type="dxa"/>
            <w:vAlign w:val="bottom"/>
            <w:shd w:val="clear" w:color="auto" w:fill="FCEFEB"/>
          </w:tcPr>
          <w:p>
            <w:pPr>
              <w:spacing w:after="0"/>
              <w:rPr>
                <w:sz w:val="14"/>
                <w:szCs w:val="14"/>
                <w:color w:val="auto"/>
              </w:rPr>
            </w:pPr>
          </w:p>
        </w:tc>
        <w:tc>
          <w:tcPr>
            <w:tcW w:w="1240" w:type="dxa"/>
            <w:vAlign w:val="bottom"/>
            <w:shd w:val="clear" w:color="auto" w:fill="FCEFEB"/>
          </w:tcPr>
          <w:p>
            <w:pPr>
              <w:spacing w:after="0"/>
              <w:rPr>
                <w:sz w:val="14"/>
                <w:szCs w:val="14"/>
                <w:color w:val="auto"/>
              </w:rPr>
            </w:pPr>
          </w:p>
        </w:tc>
        <w:tc>
          <w:tcPr>
            <w:tcW w:w="960" w:type="dxa"/>
            <w:vAlign w:val="bottom"/>
            <w:shd w:val="clear" w:color="auto" w:fill="FCEFEB"/>
          </w:tcPr>
          <w:p>
            <w:pPr>
              <w:spacing w:after="0"/>
              <w:rPr>
                <w:sz w:val="14"/>
                <w:szCs w:val="14"/>
                <w:color w:val="auto"/>
              </w:rPr>
            </w:pPr>
          </w:p>
        </w:tc>
        <w:tc>
          <w:tcPr>
            <w:tcW w:w="1000" w:type="dxa"/>
            <w:vAlign w:val="bottom"/>
            <w:shd w:val="clear" w:color="auto" w:fill="FCEFEB"/>
          </w:tcPr>
          <w:p>
            <w:pPr>
              <w:spacing w:after="0"/>
              <w:rPr>
                <w:sz w:val="14"/>
                <w:szCs w:val="14"/>
                <w:color w:val="auto"/>
              </w:rPr>
            </w:pPr>
          </w:p>
        </w:tc>
        <w:tc>
          <w:tcPr>
            <w:tcW w:w="820" w:type="dxa"/>
            <w:vAlign w:val="bottom"/>
            <w:shd w:val="clear" w:color="auto" w:fill="FCEFEB"/>
          </w:tcPr>
          <w:p>
            <w:pPr>
              <w:spacing w:after="0"/>
              <w:rPr>
                <w:sz w:val="14"/>
                <w:szCs w:val="14"/>
                <w:color w:val="auto"/>
              </w:rPr>
            </w:pPr>
          </w:p>
        </w:tc>
        <w:tc>
          <w:tcPr>
            <w:tcW w:w="500" w:type="dxa"/>
            <w:vAlign w:val="bottom"/>
            <w:shd w:val="clear" w:color="auto" w:fill="FCEFEB"/>
          </w:tcPr>
          <w:p>
            <w:pPr>
              <w:spacing w:after="0"/>
              <w:rPr>
                <w:sz w:val="14"/>
                <w:szCs w:val="14"/>
                <w:color w:val="auto"/>
              </w:rPr>
            </w:pPr>
          </w:p>
        </w:tc>
        <w:tc>
          <w:tcPr>
            <w:tcW w:w="580" w:type="dxa"/>
            <w:vAlign w:val="bottom"/>
            <w:shd w:val="clear" w:color="auto" w:fill="FCEFEB"/>
          </w:tcPr>
          <w:p>
            <w:pPr>
              <w:spacing w:after="0"/>
              <w:rPr>
                <w:sz w:val="14"/>
                <w:szCs w:val="14"/>
                <w:color w:val="auto"/>
              </w:rPr>
            </w:pPr>
          </w:p>
        </w:tc>
      </w:tr>
      <w:tr>
        <w:trPr>
          <w:trHeight w:val="151"/>
        </w:trPr>
        <w:tc>
          <w:tcPr>
            <w:tcW w:w="820" w:type="dxa"/>
            <w:vAlign w:val="bottom"/>
          </w:tcPr>
          <w:p>
            <w:pPr>
              <w:spacing w:after="0"/>
              <w:rPr>
                <w:sz w:val="13"/>
                <w:szCs w:val="13"/>
                <w:color w:val="auto"/>
              </w:rPr>
            </w:pPr>
          </w:p>
        </w:tc>
        <w:tc>
          <w:tcPr>
            <w:tcW w:w="620" w:type="dxa"/>
            <w:vAlign w:val="bottom"/>
            <w:shd w:val="clear" w:color="auto" w:fill="FCEFEB"/>
          </w:tcPr>
          <w:p>
            <w:pPr>
              <w:ind w:left="40"/>
              <w:spacing w:after="0" w:line="151" w:lineRule="exact"/>
              <w:rPr>
                <w:sz w:val="20"/>
                <w:szCs w:val="20"/>
                <w:color w:val="auto"/>
              </w:rPr>
            </w:pPr>
            <w:r>
              <w:rPr>
                <w:rFonts w:ascii="Arial" w:cs="Arial" w:eastAsia="Arial" w:hAnsi="Arial"/>
                <w:sz w:val="14"/>
                <w:szCs w:val="14"/>
                <w:color w:val="333333"/>
              </w:rPr>
              <w:t>PRSUs</w:t>
            </w:r>
          </w:p>
        </w:tc>
        <w:tc>
          <w:tcPr>
            <w:tcW w:w="940" w:type="dxa"/>
            <w:vAlign w:val="bottom"/>
            <w:shd w:val="clear" w:color="auto" w:fill="FCEFEB"/>
          </w:tcPr>
          <w:p>
            <w:pPr>
              <w:ind w:left="40"/>
              <w:spacing w:after="0" w:line="151" w:lineRule="exact"/>
              <w:rPr>
                <w:sz w:val="20"/>
                <w:szCs w:val="20"/>
                <w:color w:val="auto"/>
              </w:rPr>
            </w:pPr>
            <w:r>
              <w:rPr>
                <w:rFonts w:ascii="Arial" w:cs="Arial" w:eastAsia="Arial" w:hAnsi="Arial"/>
                <w:sz w:val="14"/>
                <w:szCs w:val="14"/>
                <w:color w:val="333333"/>
              </w:rPr>
              <w:t>June 12,</w:t>
            </w:r>
          </w:p>
        </w:tc>
        <w:tc>
          <w:tcPr>
            <w:tcW w:w="520" w:type="dxa"/>
            <w:vAlign w:val="bottom"/>
            <w:shd w:val="clear" w:color="auto" w:fill="FCEFEB"/>
          </w:tcPr>
          <w:p>
            <w:pPr>
              <w:spacing w:after="0"/>
              <w:rPr>
                <w:sz w:val="13"/>
                <w:szCs w:val="13"/>
                <w:color w:val="auto"/>
              </w:rPr>
            </w:pPr>
          </w:p>
        </w:tc>
        <w:tc>
          <w:tcPr>
            <w:tcW w:w="780" w:type="dxa"/>
            <w:vAlign w:val="bottom"/>
            <w:shd w:val="clear" w:color="auto" w:fill="FCEFEB"/>
          </w:tcPr>
          <w:p>
            <w:pPr>
              <w:spacing w:after="0"/>
              <w:rPr>
                <w:sz w:val="13"/>
                <w:szCs w:val="13"/>
                <w:color w:val="auto"/>
              </w:rPr>
            </w:pPr>
          </w:p>
        </w:tc>
        <w:tc>
          <w:tcPr>
            <w:tcW w:w="300" w:type="dxa"/>
            <w:vAlign w:val="bottom"/>
            <w:shd w:val="clear" w:color="auto" w:fill="FCEFEB"/>
          </w:tcPr>
          <w:p>
            <w:pPr>
              <w:spacing w:after="0"/>
              <w:rPr>
                <w:sz w:val="13"/>
                <w:szCs w:val="13"/>
                <w:color w:val="auto"/>
              </w:rPr>
            </w:pPr>
          </w:p>
        </w:tc>
        <w:tc>
          <w:tcPr>
            <w:tcW w:w="700" w:type="dxa"/>
            <w:vAlign w:val="bottom"/>
            <w:shd w:val="clear" w:color="auto" w:fill="FCEFEB"/>
          </w:tcPr>
          <w:p>
            <w:pPr>
              <w:spacing w:after="0"/>
              <w:rPr>
                <w:sz w:val="13"/>
                <w:szCs w:val="13"/>
                <w:color w:val="auto"/>
              </w:rPr>
            </w:pPr>
          </w:p>
        </w:tc>
        <w:tc>
          <w:tcPr>
            <w:tcW w:w="320" w:type="dxa"/>
            <w:vAlign w:val="bottom"/>
            <w:shd w:val="clear" w:color="auto" w:fill="FCEFEB"/>
          </w:tcPr>
          <w:p>
            <w:pPr>
              <w:spacing w:after="0"/>
              <w:rPr>
                <w:sz w:val="13"/>
                <w:szCs w:val="13"/>
                <w:color w:val="auto"/>
              </w:rPr>
            </w:pPr>
          </w:p>
        </w:tc>
        <w:tc>
          <w:tcPr>
            <w:tcW w:w="820" w:type="dxa"/>
            <w:vAlign w:val="bottom"/>
            <w:shd w:val="clear" w:color="auto" w:fill="FCEFEB"/>
          </w:tcPr>
          <w:p>
            <w:pPr>
              <w:spacing w:after="0"/>
              <w:rPr>
                <w:sz w:val="13"/>
                <w:szCs w:val="13"/>
                <w:color w:val="auto"/>
              </w:rPr>
            </w:pPr>
          </w:p>
        </w:tc>
        <w:tc>
          <w:tcPr>
            <w:tcW w:w="1240" w:type="dxa"/>
            <w:vAlign w:val="bottom"/>
            <w:shd w:val="clear" w:color="auto" w:fill="FCEFEB"/>
          </w:tcPr>
          <w:p>
            <w:pPr>
              <w:jc w:val="center"/>
              <w:ind w:left="169"/>
              <w:spacing w:after="0" w:line="151" w:lineRule="exact"/>
              <w:rPr>
                <w:sz w:val="20"/>
                <w:szCs w:val="20"/>
                <w:color w:val="auto"/>
              </w:rPr>
            </w:pPr>
            <w:r>
              <w:rPr>
                <w:rFonts w:ascii="Arial" w:cs="Arial" w:eastAsia="Arial" w:hAnsi="Arial"/>
                <w:sz w:val="14"/>
                <w:szCs w:val="14"/>
                <w:color w:val="333333"/>
              </w:rPr>
              <w:t>33,423</w:t>
            </w:r>
          </w:p>
        </w:tc>
        <w:tc>
          <w:tcPr>
            <w:tcW w:w="960" w:type="dxa"/>
            <w:vAlign w:val="bottom"/>
            <w:shd w:val="clear" w:color="auto" w:fill="FCEFEB"/>
          </w:tcPr>
          <w:p>
            <w:pPr>
              <w:jc w:val="right"/>
              <w:ind w:right="129"/>
              <w:spacing w:after="0" w:line="151" w:lineRule="exact"/>
              <w:rPr>
                <w:sz w:val="20"/>
                <w:szCs w:val="20"/>
                <w:color w:val="auto"/>
              </w:rPr>
            </w:pPr>
            <w:r>
              <w:rPr>
                <w:rFonts w:ascii="Arial" w:cs="Arial" w:eastAsia="Arial" w:hAnsi="Arial"/>
                <w:sz w:val="14"/>
                <w:szCs w:val="14"/>
                <w:color w:val="333333"/>
              </w:rPr>
              <w:t>133,690</w:t>
            </w:r>
          </w:p>
        </w:tc>
        <w:tc>
          <w:tcPr>
            <w:tcW w:w="1000" w:type="dxa"/>
            <w:vAlign w:val="bottom"/>
            <w:shd w:val="clear" w:color="auto" w:fill="FCEFEB"/>
          </w:tcPr>
          <w:p>
            <w:pPr>
              <w:jc w:val="center"/>
              <w:spacing w:after="0" w:line="151" w:lineRule="exact"/>
              <w:rPr>
                <w:sz w:val="20"/>
                <w:szCs w:val="20"/>
                <w:color w:val="auto"/>
              </w:rPr>
            </w:pPr>
            <w:r>
              <w:rPr>
                <w:rFonts w:ascii="Arial" w:cs="Arial" w:eastAsia="Arial" w:hAnsi="Arial"/>
                <w:sz w:val="14"/>
                <w:szCs w:val="14"/>
                <w:color w:val="333333"/>
              </w:rPr>
              <w:t>267,380</w:t>
            </w:r>
          </w:p>
        </w:tc>
        <w:tc>
          <w:tcPr>
            <w:tcW w:w="820" w:type="dxa"/>
            <w:vAlign w:val="bottom"/>
            <w:shd w:val="clear" w:color="auto" w:fill="FCEFEB"/>
          </w:tcPr>
          <w:p>
            <w:pPr>
              <w:spacing w:after="0"/>
              <w:rPr>
                <w:sz w:val="13"/>
                <w:szCs w:val="13"/>
                <w:color w:val="auto"/>
              </w:rPr>
            </w:pPr>
          </w:p>
        </w:tc>
        <w:tc>
          <w:tcPr>
            <w:tcW w:w="500" w:type="dxa"/>
            <w:vAlign w:val="bottom"/>
            <w:shd w:val="clear" w:color="auto" w:fill="FCEFEB"/>
          </w:tcPr>
          <w:p>
            <w:pPr>
              <w:spacing w:after="0"/>
              <w:rPr>
                <w:sz w:val="13"/>
                <w:szCs w:val="13"/>
                <w:color w:val="auto"/>
              </w:rPr>
            </w:pPr>
          </w:p>
        </w:tc>
        <w:tc>
          <w:tcPr>
            <w:tcW w:w="580" w:type="dxa"/>
            <w:vAlign w:val="bottom"/>
            <w:shd w:val="clear" w:color="auto" w:fill="FCEFEB"/>
          </w:tcPr>
          <w:p>
            <w:pPr>
              <w:jc w:val="right"/>
              <w:spacing w:after="0" w:line="151" w:lineRule="exact"/>
              <w:rPr>
                <w:sz w:val="20"/>
                <w:szCs w:val="20"/>
                <w:color w:val="auto"/>
              </w:rPr>
            </w:pPr>
            <w:r>
              <w:rPr>
                <w:rFonts w:ascii="Arial" w:cs="Arial" w:eastAsia="Arial" w:hAnsi="Arial"/>
                <w:sz w:val="14"/>
                <w:szCs w:val="14"/>
                <w:color w:val="333333"/>
                <w:w w:val="98"/>
              </w:rPr>
              <w:t>250,000</w:t>
            </w:r>
          </w:p>
        </w:tc>
      </w:tr>
      <w:tr>
        <w:trPr>
          <w:trHeight w:val="193"/>
        </w:trPr>
        <w:tc>
          <w:tcPr>
            <w:tcW w:w="820" w:type="dxa"/>
            <w:vAlign w:val="bottom"/>
            <w:tcBorders>
              <w:bottom w:val="single" w:sz="8" w:color="005C5D"/>
            </w:tcBorders>
          </w:tcPr>
          <w:p>
            <w:pPr>
              <w:spacing w:after="0"/>
              <w:rPr>
                <w:sz w:val="16"/>
                <w:szCs w:val="16"/>
                <w:color w:val="auto"/>
              </w:rPr>
            </w:pPr>
          </w:p>
        </w:tc>
        <w:tc>
          <w:tcPr>
            <w:tcW w:w="620" w:type="dxa"/>
            <w:vAlign w:val="bottom"/>
            <w:tcBorders>
              <w:bottom w:val="single" w:sz="8" w:color="005C5D"/>
            </w:tcBorders>
            <w:shd w:val="clear" w:color="auto" w:fill="FCEFEB"/>
          </w:tcPr>
          <w:p>
            <w:pPr>
              <w:spacing w:after="0"/>
              <w:rPr>
                <w:sz w:val="16"/>
                <w:szCs w:val="16"/>
                <w:color w:val="auto"/>
              </w:rPr>
            </w:pPr>
          </w:p>
        </w:tc>
        <w:tc>
          <w:tcPr>
            <w:tcW w:w="940" w:type="dxa"/>
            <w:vAlign w:val="bottom"/>
            <w:tcBorders>
              <w:bottom w:val="single" w:sz="8" w:color="005C5D"/>
            </w:tcBorders>
            <w:shd w:val="clear" w:color="auto" w:fill="FCEFEB"/>
          </w:tcPr>
          <w:p>
            <w:pPr>
              <w:ind w:left="40"/>
              <w:spacing w:after="0"/>
              <w:rPr>
                <w:sz w:val="20"/>
                <w:szCs w:val="20"/>
                <w:color w:val="auto"/>
              </w:rPr>
            </w:pPr>
            <w:r>
              <w:rPr>
                <w:rFonts w:ascii="Arial" w:cs="Arial" w:eastAsia="Arial" w:hAnsi="Arial"/>
                <w:sz w:val="14"/>
                <w:szCs w:val="14"/>
                <w:color w:val="333333"/>
              </w:rPr>
              <w:t>2025</w:t>
            </w:r>
          </w:p>
        </w:tc>
        <w:tc>
          <w:tcPr>
            <w:tcW w:w="520" w:type="dxa"/>
            <w:vAlign w:val="bottom"/>
            <w:tcBorders>
              <w:bottom w:val="single" w:sz="8" w:color="005C5D"/>
            </w:tcBorders>
            <w:shd w:val="clear" w:color="auto" w:fill="FCEFEB"/>
          </w:tcPr>
          <w:p>
            <w:pPr>
              <w:spacing w:after="0"/>
              <w:rPr>
                <w:sz w:val="16"/>
                <w:szCs w:val="16"/>
                <w:color w:val="auto"/>
              </w:rPr>
            </w:pPr>
          </w:p>
        </w:tc>
        <w:tc>
          <w:tcPr>
            <w:tcW w:w="780" w:type="dxa"/>
            <w:vAlign w:val="bottom"/>
            <w:tcBorders>
              <w:bottom w:val="single" w:sz="8" w:color="005C5D"/>
            </w:tcBorders>
            <w:shd w:val="clear" w:color="auto" w:fill="FCEFEB"/>
          </w:tcPr>
          <w:p>
            <w:pPr>
              <w:spacing w:after="0"/>
              <w:rPr>
                <w:sz w:val="16"/>
                <w:szCs w:val="16"/>
                <w:color w:val="auto"/>
              </w:rPr>
            </w:pPr>
          </w:p>
        </w:tc>
        <w:tc>
          <w:tcPr>
            <w:tcW w:w="300" w:type="dxa"/>
            <w:vAlign w:val="bottom"/>
            <w:tcBorders>
              <w:bottom w:val="single" w:sz="8" w:color="005C5D"/>
            </w:tcBorders>
            <w:shd w:val="clear" w:color="auto" w:fill="FCEFEB"/>
          </w:tcPr>
          <w:p>
            <w:pPr>
              <w:spacing w:after="0"/>
              <w:rPr>
                <w:sz w:val="16"/>
                <w:szCs w:val="16"/>
                <w:color w:val="auto"/>
              </w:rPr>
            </w:pPr>
          </w:p>
        </w:tc>
        <w:tc>
          <w:tcPr>
            <w:tcW w:w="700" w:type="dxa"/>
            <w:vAlign w:val="bottom"/>
            <w:tcBorders>
              <w:bottom w:val="single" w:sz="8" w:color="005C5D"/>
            </w:tcBorders>
            <w:shd w:val="clear" w:color="auto" w:fill="FCEFEB"/>
          </w:tcPr>
          <w:p>
            <w:pPr>
              <w:spacing w:after="0"/>
              <w:rPr>
                <w:sz w:val="16"/>
                <w:szCs w:val="16"/>
                <w:color w:val="auto"/>
              </w:rPr>
            </w:pPr>
          </w:p>
        </w:tc>
        <w:tc>
          <w:tcPr>
            <w:tcW w:w="320" w:type="dxa"/>
            <w:vAlign w:val="bottom"/>
            <w:tcBorders>
              <w:bottom w:val="single" w:sz="8" w:color="005C5D"/>
            </w:tcBorders>
            <w:shd w:val="clear" w:color="auto" w:fill="FCEFEB"/>
          </w:tcPr>
          <w:p>
            <w:pPr>
              <w:spacing w:after="0"/>
              <w:rPr>
                <w:sz w:val="16"/>
                <w:szCs w:val="16"/>
                <w:color w:val="auto"/>
              </w:rPr>
            </w:pPr>
          </w:p>
        </w:tc>
        <w:tc>
          <w:tcPr>
            <w:tcW w:w="820" w:type="dxa"/>
            <w:vAlign w:val="bottom"/>
            <w:tcBorders>
              <w:bottom w:val="single" w:sz="8" w:color="005C5D"/>
            </w:tcBorders>
            <w:shd w:val="clear" w:color="auto" w:fill="FCEFEB"/>
          </w:tcPr>
          <w:p>
            <w:pPr>
              <w:spacing w:after="0"/>
              <w:rPr>
                <w:sz w:val="16"/>
                <w:szCs w:val="16"/>
                <w:color w:val="auto"/>
              </w:rPr>
            </w:pPr>
          </w:p>
        </w:tc>
        <w:tc>
          <w:tcPr>
            <w:tcW w:w="1240" w:type="dxa"/>
            <w:vAlign w:val="bottom"/>
            <w:tcBorders>
              <w:bottom w:val="single" w:sz="8" w:color="005C5D"/>
            </w:tcBorders>
            <w:shd w:val="clear" w:color="auto" w:fill="FCEFEB"/>
          </w:tcPr>
          <w:p>
            <w:pPr>
              <w:spacing w:after="0"/>
              <w:rPr>
                <w:sz w:val="16"/>
                <w:szCs w:val="16"/>
                <w:color w:val="auto"/>
              </w:rPr>
            </w:pPr>
          </w:p>
        </w:tc>
        <w:tc>
          <w:tcPr>
            <w:tcW w:w="960" w:type="dxa"/>
            <w:vAlign w:val="bottom"/>
            <w:tcBorders>
              <w:bottom w:val="single" w:sz="8" w:color="005C5D"/>
            </w:tcBorders>
            <w:shd w:val="clear" w:color="auto" w:fill="FCEFEB"/>
          </w:tcPr>
          <w:p>
            <w:pPr>
              <w:spacing w:after="0"/>
              <w:rPr>
                <w:sz w:val="16"/>
                <w:szCs w:val="16"/>
                <w:color w:val="auto"/>
              </w:rPr>
            </w:pPr>
          </w:p>
        </w:tc>
        <w:tc>
          <w:tcPr>
            <w:tcW w:w="1000" w:type="dxa"/>
            <w:vAlign w:val="bottom"/>
            <w:tcBorders>
              <w:bottom w:val="single" w:sz="8" w:color="005C5D"/>
            </w:tcBorders>
            <w:shd w:val="clear" w:color="auto" w:fill="FCEFEB"/>
          </w:tcPr>
          <w:p>
            <w:pPr>
              <w:spacing w:after="0"/>
              <w:rPr>
                <w:sz w:val="16"/>
                <w:szCs w:val="16"/>
                <w:color w:val="auto"/>
              </w:rPr>
            </w:pPr>
          </w:p>
        </w:tc>
        <w:tc>
          <w:tcPr>
            <w:tcW w:w="820" w:type="dxa"/>
            <w:vAlign w:val="bottom"/>
            <w:tcBorders>
              <w:bottom w:val="single" w:sz="8" w:color="005C5D"/>
            </w:tcBorders>
            <w:shd w:val="clear" w:color="auto" w:fill="FCEFEB"/>
          </w:tcPr>
          <w:p>
            <w:pPr>
              <w:spacing w:after="0"/>
              <w:rPr>
                <w:sz w:val="16"/>
                <w:szCs w:val="16"/>
                <w:color w:val="auto"/>
              </w:rPr>
            </w:pPr>
          </w:p>
        </w:tc>
        <w:tc>
          <w:tcPr>
            <w:tcW w:w="500" w:type="dxa"/>
            <w:vAlign w:val="bottom"/>
            <w:tcBorders>
              <w:bottom w:val="single" w:sz="8" w:color="005C5D"/>
            </w:tcBorders>
            <w:shd w:val="clear" w:color="auto" w:fill="FCEFEB"/>
          </w:tcPr>
          <w:p>
            <w:pPr>
              <w:spacing w:after="0"/>
              <w:rPr>
                <w:sz w:val="16"/>
                <w:szCs w:val="16"/>
                <w:color w:val="auto"/>
              </w:rPr>
            </w:pPr>
          </w:p>
        </w:tc>
        <w:tc>
          <w:tcPr>
            <w:tcW w:w="580" w:type="dxa"/>
            <w:vAlign w:val="bottom"/>
            <w:tcBorders>
              <w:bottom w:val="single" w:sz="8" w:color="005C5D"/>
            </w:tcBorders>
            <w:shd w:val="clear" w:color="auto" w:fill="FCEFEB"/>
          </w:tcPr>
          <w:p>
            <w:pPr>
              <w:spacing w:after="0"/>
              <w:rPr>
                <w:sz w:val="16"/>
                <w:szCs w:val="16"/>
                <w:color w:val="auto"/>
              </w:rPr>
            </w:pPr>
          </w:p>
        </w:tc>
      </w:tr>
      <w:tr>
        <w:trPr>
          <w:trHeight w:val="202"/>
        </w:trPr>
        <w:tc>
          <w:tcPr>
            <w:tcW w:w="820" w:type="dxa"/>
            <w:vAlign w:val="bottom"/>
          </w:tcPr>
          <w:p>
            <w:pPr>
              <w:ind w:left="80"/>
              <w:spacing w:after="0"/>
              <w:rPr>
                <w:sz w:val="20"/>
                <w:szCs w:val="20"/>
                <w:color w:val="auto"/>
              </w:rPr>
            </w:pPr>
            <w:r>
              <w:rPr>
                <w:rFonts w:ascii="Arial" w:cs="Arial" w:eastAsia="Arial" w:hAnsi="Arial"/>
                <w:sz w:val="14"/>
                <w:szCs w:val="14"/>
                <w:b w:val="1"/>
                <w:bCs w:val="1"/>
                <w:color w:val="005C5D"/>
              </w:rPr>
              <w:t>Michael</w:t>
            </w:r>
          </w:p>
        </w:tc>
        <w:tc>
          <w:tcPr>
            <w:tcW w:w="620" w:type="dxa"/>
            <w:vAlign w:val="bottom"/>
            <w:shd w:val="clear" w:color="auto" w:fill="FCEFEB"/>
          </w:tcPr>
          <w:p>
            <w:pPr>
              <w:ind w:left="40"/>
              <w:spacing w:after="0"/>
              <w:rPr>
                <w:sz w:val="20"/>
                <w:szCs w:val="20"/>
                <w:color w:val="auto"/>
              </w:rPr>
            </w:pPr>
            <w:r>
              <w:rPr>
                <w:rFonts w:ascii="Arial" w:cs="Arial" w:eastAsia="Arial" w:hAnsi="Arial"/>
                <w:sz w:val="14"/>
                <w:szCs w:val="14"/>
                <w:color w:val="333333"/>
              </w:rPr>
              <w:t>Annual</w:t>
            </w:r>
          </w:p>
        </w:tc>
        <w:tc>
          <w:tcPr>
            <w:tcW w:w="940" w:type="dxa"/>
            <w:vAlign w:val="bottom"/>
            <w:shd w:val="clear" w:color="auto" w:fill="FCEFEB"/>
          </w:tcPr>
          <w:p>
            <w:pPr>
              <w:spacing w:after="0"/>
              <w:rPr>
                <w:sz w:val="17"/>
                <w:szCs w:val="17"/>
                <w:color w:val="auto"/>
              </w:rPr>
            </w:pPr>
          </w:p>
        </w:tc>
        <w:tc>
          <w:tcPr>
            <w:tcW w:w="52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780" w:type="dxa"/>
            <w:vAlign w:val="bottom"/>
            <w:shd w:val="clear" w:color="auto" w:fill="FCEFEB"/>
          </w:tcPr>
          <w:p>
            <w:pPr>
              <w:jc w:val="right"/>
              <w:ind w:right="189"/>
              <w:spacing w:after="0"/>
              <w:rPr>
                <w:sz w:val="20"/>
                <w:szCs w:val="20"/>
                <w:color w:val="auto"/>
              </w:rPr>
            </w:pPr>
            <w:r>
              <w:rPr>
                <w:rFonts w:ascii="Arial" w:cs="Arial" w:eastAsia="Arial" w:hAnsi="Arial"/>
                <w:sz w:val="14"/>
                <w:szCs w:val="14"/>
                <w:color w:val="333333"/>
              </w:rPr>
              <w:t>33,069</w:t>
            </w:r>
          </w:p>
        </w:tc>
        <w:tc>
          <w:tcPr>
            <w:tcW w:w="300" w:type="dxa"/>
            <w:vAlign w:val="bottom"/>
            <w:shd w:val="clear" w:color="auto" w:fill="FCEFEB"/>
          </w:tcPr>
          <w:p>
            <w:pPr>
              <w:ind w:left="220"/>
              <w:spacing w:after="0"/>
              <w:rPr>
                <w:sz w:val="20"/>
                <w:szCs w:val="20"/>
                <w:color w:val="auto"/>
              </w:rPr>
            </w:pPr>
            <w:r>
              <w:rPr>
                <w:rFonts w:ascii="Arial" w:cs="Arial" w:eastAsia="Arial" w:hAnsi="Arial"/>
                <w:sz w:val="14"/>
                <w:szCs w:val="14"/>
                <w:color w:val="333333"/>
                <w:w w:val="76"/>
              </w:rPr>
              <w:t>$</w:t>
            </w:r>
          </w:p>
        </w:tc>
        <w:tc>
          <w:tcPr>
            <w:tcW w:w="7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w w:val="98"/>
              </w:rPr>
              <w:t>132,276</w:t>
            </w:r>
          </w:p>
        </w:tc>
        <w:tc>
          <w:tcPr>
            <w:tcW w:w="32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820" w:type="dxa"/>
            <w:vAlign w:val="bottom"/>
            <w:shd w:val="clear" w:color="auto" w:fill="FCEFEB"/>
          </w:tcPr>
          <w:p>
            <w:pPr>
              <w:jc w:val="right"/>
              <w:ind w:right="229"/>
              <w:spacing w:after="0"/>
              <w:rPr>
                <w:sz w:val="20"/>
                <w:szCs w:val="20"/>
                <w:color w:val="auto"/>
              </w:rPr>
            </w:pPr>
            <w:r>
              <w:rPr>
                <w:rFonts w:ascii="Arial" w:cs="Arial" w:eastAsia="Arial" w:hAnsi="Arial"/>
                <w:sz w:val="14"/>
                <w:szCs w:val="14"/>
                <w:color w:val="333333"/>
                <w:w w:val="98"/>
              </w:rPr>
              <w:t>264,551</w:t>
            </w:r>
          </w:p>
        </w:tc>
        <w:tc>
          <w:tcPr>
            <w:tcW w:w="1240" w:type="dxa"/>
            <w:vAlign w:val="bottom"/>
            <w:shd w:val="clear" w:color="auto" w:fill="FCEFEB"/>
          </w:tcPr>
          <w:p>
            <w:pPr>
              <w:spacing w:after="0"/>
              <w:rPr>
                <w:sz w:val="17"/>
                <w:szCs w:val="17"/>
                <w:color w:val="auto"/>
              </w:rPr>
            </w:pPr>
          </w:p>
        </w:tc>
        <w:tc>
          <w:tcPr>
            <w:tcW w:w="960" w:type="dxa"/>
            <w:vAlign w:val="bottom"/>
            <w:shd w:val="clear" w:color="auto" w:fill="FCEFEB"/>
          </w:tcPr>
          <w:p>
            <w:pPr>
              <w:spacing w:after="0"/>
              <w:rPr>
                <w:sz w:val="17"/>
                <w:szCs w:val="17"/>
                <w:color w:val="auto"/>
              </w:rPr>
            </w:pPr>
          </w:p>
        </w:tc>
        <w:tc>
          <w:tcPr>
            <w:tcW w:w="1000" w:type="dxa"/>
            <w:vAlign w:val="bottom"/>
            <w:shd w:val="clear" w:color="auto" w:fill="FCEFEB"/>
          </w:tcPr>
          <w:p>
            <w:pPr>
              <w:spacing w:after="0"/>
              <w:rPr>
                <w:sz w:val="17"/>
                <w:szCs w:val="17"/>
                <w:color w:val="auto"/>
              </w:rPr>
            </w:pPr>
          </w:p>
        </w:tc>
        <w:tc>
          <w:tcPr>
            <w:tcW w:w="820" w:type="dxa"/>
            <w:vAlign w:val="bottom"/>
            <w:shd w:val="clear" w:color="auto" w:fill="FCEFEB"/>
          </w:tcPr>
          <w:p>
            <w:pPr>
              <w:spacing w:after="0"/>
              <w:rPr>
                <w:sz w:val="17"/>
                <w:szCs w:val="17"/>
                <w:color w:val="auto"/>
              </w:rPr>
            </w:pPr>
          </w:p>
        </w:tc>
        <w:tc>
          <w:tcPr>
            <w:tcW w:w="500" w:type="dxa"/>
            <w:vAlign w:val="bottom"/>
            <w:shd w:val="clear" w:color="auto" w:fill="FCEFEB"/>
          </w:tcPr>
          <w:p>
            <w:pPr>
              <w:spacing w:after="0"/>
              <w:rPr>
                <w:sz w:val="17"/>
                <w:szCs w:val="17"/>
                <w:color w:val="auto"/>
              </w:rPr>
            </w:pPr>
          </w:p>
        </w:tc>
        <w:tc>
          <w:tcPr>
            <w:tcW w:w="580" w:type="dxa"/>
            <w:vAlign w:val="bottom"/>
            <w:shd w:val="clear" w:color="auto" w:fill="FCEFEB"/>
          </w:tcPr>
          <w:p>
            <w:pPr>
              <w:spacing w:after="0"/>
              <w:rPr>
                <w:sz w:val="17"/>
                <w:szCs w:val="17"/>
                <w:color w:val="auto"/>
              </w:rPr>
            </w:pPr>
          </w:p>
        </w:tc>
      </w:tr>
      <w:tr>
        <w:trPr>
          <w:trHeight w:val="170"/>
        </w:trPr>
        <w:tc>
          <w:tcPr>
            <w:tcW w:w="820" w:type="dxa"/>
            <w:vAlign w:val="bottom"/>
          </w:tcPr>
          <w:p>
            <w:pPr>
              <w:ind w:left="80"/>
              <w:spacing w:after="0"/>
              <w:rPr>
                <w:sz w:val="20"/>
                <w:szCs w:val="20"/>
                <w:color w:val="auto"/>
              </w:rPr>
            </w:pPr>
            <w:r>
              <w:rPr>
                <w:rFonts w:ascii="Arial" w:cs="Arial" w:eastAsia="Arial" w:hAnsi="Arial"/>
                <w:sz w:val="14"/>
                <w:szCs w:val="14"/>
                <w:b w:val="1"/>
                <w:bCs w:val="1"/>
                <w:color w:val="005C5D"/>
              </w:rPr>
              <w:t>Schwindle</w:t>
            </w:r>
          </w:p>
        </w:tc>
        <w:tc>
          <w:tcPr>
            <w:tcW w:w="620" w:type="dxa"/>
            <w:vAlign w:val="bottom"/>
            <w:shd w:val="clear" w:color="auto" w:fill="FCEFEB"/>
          </w:tcPr>
          <w:p>
            <w:pPr>
              <w:ind w:left="40"/>
              <w:spacing w:after="0"/>
              <w:rPr>
                <w:sz w:val="20"/>
                <w:szCs w:val="20"/>
                <w:color w:val="auto"/>
              </w:rPr>
            </w:pPr>
            <w:r>
              <w:rPr>
                <w:rFonts w:ascii="Arial" w:cs="Arial" w:eastAsia="Arial" w:hAnsi="Arial"/>
                <w:sz w:val="14"/>
                <w:szCs w:val="14"/>
                <w:color w:val="333333"/>
                <w:w w:val="99"/>
              </w:rPr>
              <w:t>Incentive</w:t>
            </w:r>
          </w:p>
        </w:tc>
        <w:tc>
          <w:tcPr>
            <w:tcW w:w="940" w:type="dxa"/>
            <w:vAlign w:val="bottom"/>
            <w:shd w:val="clear" w:color="auto" w:fill="FCEFEB"/>
          </w:tcPr>
          <w:p>
            <w:pPr>
              <w:spacing w:after="0"/>
              <w:rPr>
                <w:sz w:val="14"/>
                <w:szCs w:val="14"/>
                <w:color w:val="auto"/>
              </w:rPr>
            </w:pPr>
          </w:p>
        </w:tc>
        <w:tc>
          <w:tcPr>
            <w:tcW w:w="520" w:type="dxa"/>
            <w:vAlign w:val="bottom"/>
            <w:shd w:val="clear" w:color="auto" w:fill="FCEFEB"/>
          </w:tcPr>
          <w:p>
            <w:pPr>
              <w:spacing w:after="0"/>
              <w:rPr>
                <w:sz w:val="14"/>
                <w:szCs w:val="14"/>
                <w:color w:val="auto"/>
              </w:rPr>
            </w:pPr>
          </w:p>
        </w:tc>
        <w:tc>
          <w:tcPr>
            <w:tcW w:w="780" w:type="dxa"/>
            <w:vAlign w:val="bottom"/>
            <w:shd w:val="clear" w:color="auto" w:fill="FCEFEB"/>
          </w:tcPr>
          <w:p>
            <w:pPr>
              <w:spacing w:after="0"/>
              <w:rPr>
                <w:sz w:val="14"/>
                <w:szCs w:val="14"/>
                <w:color w:val="auto"/>
              </w:rPr>
            </w:pPr>
          </w:p>
        </w:tc>
        <w:tc>
          <w:tcPr>
            <w:tcW w:w="300" w:type="dxa"/>
            <w:vAlign w:val="bottom"/>
            <w:shd w:val="clear" w:color="auto" w:fill="FCEFEB"/>
          </w:tcPr>
          <w:p>
            <w:pPr>
              <w:spacing w:after="0"/>
              <w:rPr>
                <w:sz w:val="14"/>
                <w:szCs w:val="14"/>
                <w:color w:val="auto"/>
              </w:rPr>
            </w:pPr>
          </w:p>
        </w:tc>
        <w:tc>
          <w:tcPr>
            <w:tcW w:w="700" w:type="dxa"/>
            <w:vAlign w:val="bottom"/>
            <w:shd w:val="clear" w:color="auto" w:fill="FCEFEB"/>
          </w:tcPr>
          <w:p>
            <w:pPr>
              <w:spacing w:after="0"/>
              <w:rPr>
                <w:sz w:val="14"/>
                <w:szCs w:val="14"/>
                <w:color w:val="auto"/>
              </w:rPr>
            </w:pPr>
          </w:p>
        </w:tc>
        <w:tc>
          <w:tcPr>
            <w:tcW w:w="320" w:type="dxa"/>
            <w:vAlign w:val="bottom"/>
            <w:shd w:val="clear" w:color="auto" w:fill="FCEFEB"/>
          </w:tcPr>
          <w:p>
            <w:pPr>
              <w:spacing w:after="0"/>
              <w:rPr>
                <w:sz w:val="14"/>
                <w:szCs w:val="14"/>
                <w:color w:val="auto"/>
              </w:rPr>
            </w:pPr>
          </w:p>
        </w:tc>
        <w:tc>
          <w:tcPr>
            <w:tcW w:w="820" w:type="dxa"/>
            <w:vAlign w:val="bottom"/>
            <w:shd w:val="clear" w:color="auto" w:fill="FCEFEB"/>
          </w:tcPr>
          <w:p>
            <w:pPr>
              <w:spacing w:after="0"/>
              <w:rPr>
                <w:sz w:val="14"/>
                <w:szCs w:val="14"/>
                <w:color w:val="auto"/>
              </w:rPr>
            </w:pPr>
          </w:p>
        </w:tc>
        <w:tc>
          <w:tcPr>
            <w:tcW w:w="1240" w:type="dxa"/>
            <w:vAlign w:val="bottom"/>
            <w:shd w:val="clear" w:color="auto" w:fill="FCEFEB"/>
          </w:tcPr>
          <w:p>
            <w:pPr>
              <w:spacing w:after="0"/>
              <w:rPr>
                <w:sz w:val="14"/>
                <w:szCs w:val="14"/>
                <w:color w:val="auto"/>
              </w:rPr>
            </w:pPr>
          </w:p>
        </w:tc>
        <w:tc>
          <w:tcPr>
            <w:tcW w:w="960" w:type="dxa"/>
            <w:vAlign w:val="bottom"/>
            <w:shd w:val="clear" w:color="auto" w:fill="FCEFEB"/>
          </w:tcPr>
          <w:p>
            <w:pPr>
              <w:spacing w:after="0"/>
              <w:rPr>
                <w:sz w:val="14"/>
                <w:szCs w:val="14"/>
                <w:color w:val="auto"/>
              </w:rPr>
            </w:pPr>
          </w:p>
        </w:tc>
        <w:tc>
          <w:tcPr>
            <w:tcW w:w="1000" w:type="dxa"/>
            <w:vAlign w:val="bottom"/>
            <w:shd w:val="clear" w:color="auto" w:fill="FCEFEB"/>
          </w:tcPr>
          <w:p>
            <w:pPr>
              <w:spacing w:after="0"/>
              <w:rPr>
                <w:sz w:val="14"/>
                <w:szCs w:val="14"/>
                <w:color w:val="auto"/>
              </w:rPr>
            </w:pPr>
          </w:p>
        </w:tc>
        <w:tc>
          <w:tcPr>
            <w:tcW w:w="820" w:type="dxa"/>
            <w:vAlign w:val="bottom"/>
            <w:shd w:val="clear" w:color="auto" w:fill="FCEFEB"/>
          </w:tcPr>
          <w:p>
            <w:pPr>
              <w:spacing w:after="0"/>
              <w:rPr>
                <w:sz w:val="14"/>
                <w:szCs w:val="14"/>
                <w:color w:val="auto"/>
              </w:rPr>
            </w:pPr>
          </w:p>
        </w:tc>
        <w:tc>
          <w:tcPr>
            <w:tcW w:w="500" w:type="dxa"/>
            <w:vAlign w:val="bottom"/>
            <w:shd w:val="clear" w:color="auto" w:fill="FCEFEB"/>
          </w:tcPr>
          <w:p>
            <w:pPr>
              <w:spacing w:after="0"/>
              <w:rPr>
                <w:sz w:val="14"/>
                <w:szCs w:val="14"/>
                <w:color w:val="auto"/>
              </w:rPr>
            </w:pPr>
          </w:p>
        </w:tc>
        <w:tc>
          <w:tcPr>
            <w:tcW w:w="580" w:type="dxa"/>
            <w:vAlign w:val="bottom"/>
            <w:shd w:val="clear" w:color="auto" w:fill="FCEFEB"/>
          </w:tcPr>
          <w:p>
            <w:pPr>
              <w:spacing w:after="0"/>
              <w:rPr>
                <w:sz w:val="14"/>
                <w:szCs w:val="14"/>
                <w:color w:val="auto"/>
              </w:rPr>
            </w:pPr>
          </w:p>
        </w:tc>
      </w:tr>
      <w:tr>
        <w:trPr>
          <w:trHeight w:val="160"/>
        </w:trPr>
        <w:tc>
          <w:tcPr>
            <w:tcW w:w="820" w:type="dxa"/>
            <w:vAlign w:val="bottom"/>
          </w:tcPr>
          <w:p>
            <w:pPr>
              <w:spacing w:after="0"/>
              <w:rPr>
                <w:sz w:val="13"/>
                <w:szCs w:val="13"/>
                <w:color w:val="auto"/>
              </w:rPr>
            </w:pPr>
          </w:p>
        </w:tc>
        <w:tc>
          <w:tcPr>
            <w:tcW w:w="620" w:type="dxa"/>
            <w:vAlign w:val="bottom"/>
            <w:shd w:val="clear" w:color="auto" w:fill="FCEFEB"/>
          </w:tcPr>
          <w:p>
            <w:pPr>
              <w:ind w:left="40"/>
              <w:spacing w:after="0"/>
              <w:rPr>
                <w:sz w:val="20"/>
                <w:szCs w:val="20"/>
                <w:color w:val="auto"/>
              </w:rPr>
            </w:pPr>
            <w:r>
              <w:rPr>
                <w:rFonts w:ascii="Arial" w:cs="Arial" w:eastAsia="Arial" w:hAnsi="Arial"/>
                <w:sz w:val="14"/>
                <w:szCs w:val="14"/>
                <w:color w:val="333333"/>
              </w:rPr>
              <w:t>TRSUs</w:t>
            </w:r>
          </w:p>
        </w:tc>
        <w:tc>
          <w:tcPr>
            <w:tcW w:w="940" w:type="dxa"/>
            <w:vAlign w:val="bottom"/>
            <w:shd w:val="clear" w:color="auto" w:fill="FCEFEB"/>
          </w:tcPr>
          <w:p>
            <w:pPr>
              <w:ind w:left="40"/>
              <w:spacing w:after="0"/>
              <w:rPr>
                <w:sz w:val="20"/>
                <w:szCs w:val="20"/>
                <w:color w:val="auto"/>
              </w:rPr>
            </w:pPr>
            <w:r>
              <w:rPr>
                <w:rFonts w:ascii="Arial" w:cs="Arial" w:eastAsia="Arial" w:hAnsi="Arial"/>
                <w:sz w:val="14"/>
                <w:szCs w:val="14"/>
                <w:color w:val="333333"/>
              </w:rPr>
              <w:t>April 4, 2025</w:t>
            </w:r>
          </w:p>
        </w:tc>
        <w:tc>
          <w:tcPr>
            <w:tcW w:w="520" w:type="dxa"/>
            <w:vAlign w:val="bottom"/>
            <w:shd w:val="clear" w:color="auto" w:fill="FCEFEB"/>
          </w:tcPr>
          <w:p>
            <w:pPr>
              <w:spacing w:after="0"/>
              <w:rPr>
                <w:sz w:val="13"/>
                <w:szCs w:val="13"/>
                <w:color w:val="auto"/>
              </w:rPr>
            </w:pPr>
          </w:p>
        </w:tc>
        <w:tc>
          <w:tcPr>
            <w:tcW w:w="780" w:type="dxa"/>
            <w:vAlign w:val="bottom"/>
            <w:shd w:val="clear" w:color="auto" w:fill="FCEFEB"/>
          </w:tcPr>
          <w:p>
            <w:pPr>
              <w:spacing w:after="0"/>
              <w:rPr>
                <w:sz w:val="13"/>
                <w:szCs w:val="13"/>
                <w:color w:val="auto"/>
              </w:rPr>
            </w:pPr>
          </w:p>
        </w:tc>
        <w:tc>
          <w:tcPr>
            <w:tcW w:w="300" w:type="dxa"/>
            <w:vAlign w:val="bottom"/>
            <w:shd w:val="clear" w:color="auto" w:fill="FCEFEB"/>
          </w:tcPr>
          <w:p>
            <w:pPr>
              <w:spacing w:after="0"/>
              <w:rPr>
                <w:sz w:val="13"/>
                <w:szCs w:val="13"/>
                <w:color w:val="auto"/>
              </w:rPr>
            </w:pPr>
          </w:p>
        </w:tc>
        <w:tc>
          <w:tcPr>
            <w:tcW w:w="700" w:type="dxa"/>
            <w:vAlign w:val="bottom"/>
            <w:shd w:val="clear" w:color="auto" w:fill="FCEFEB"/>
          </w:tcPr>
          <w:p>
            <w:pPr>
              <w:spacing w:after="0"/>
              <w:rPr>
                <w:sz w:val="13"/>
                <w:szCs w:val="13"/>
                <w:color w:val="auto"/>
              </w:rPr>
            </w:pPr>
          </w:p>
        </w:tc>
        <w:tc>
          <w:tcPr>
            <w:tcW w:w="320" w:type="dxa"/>
            <w:vAlign w:val="bottom"/>
            <w:shd w:val="clear" w:color="auto" w:fill="FCEFEB"/>
          </w:tcPr>
          <w:p>
            <w:pPr>
              <w:spacing w:after="0"/>
              <w:rPr>
                <w:sz w:val="13"/>
                <w:szCs w:val="13"/>
                <w:color w:val="auto"/>
              </w:rPr>
            </w:pPr>
          </w:p>
        </w:tc>
        <w:tc>
          <w:tcPr>
            <w:tcW w:w="820" w:type="dxa"/>
            <w:vAlign w:val="bottom"/>
            <w:shd w:val="clear" w:color="auto" w:fill="FCEFEB"/>
          </w:tcPr>
          <w:p>
            <w:pPr>
              <w:spacing w:after="0"/>
              <w:rPr>
                <w:sz w:val="13"/>
                <w:szCs w:val="13"/>
                <w:color w:val="auto"/>
              </w:rPr>
            </w:pPr>
          </w:p>
        </w:tc>
        <w:tc>
          <w:tcPr>
            <w:tcW w:w="1240" w:type="dxa"/>
            <w:vAlign w:val="bottom"/>
            <w:shd w:val="clear" w:color="auto" w:fill="FCEFEB"/>
          </w:tcPr>
          <w:p>
            <w:pPr>
              <w:spacing w:after="0"/>
              <w:rPr>
                <w:sz w:val="13"/>
                <w:szCs w:val="13"/>
                <w:color w:val="auto"/>
              </w:rPr>
            </w:pPr>
          </w:p>
        </w:tc>
        <w:tc>
          <w:tcPr>
            <w:tcW w:w="960" w:type="dxa"/>
            <w:vAlign w:val="bottom"/>
            <w:shd w:val="clear" w:color="auto" w:fill="FCEFEB"/>
          </w:tcPr>
          <w:p>
            <w:pPr>
              <w:spacing w:after="0"/>
              <w:rPr>
                <w:sz w:val="13"/>
                <w:szCs w:val="13"/>
                <w:color w:val="auto"/>
              </w:rPr>
            </w:pPr>
          </w:p>
        </w:tc>
        <w:tc>
          <w:tcPr>
            <w:tcW w:w="1000" w:type="dxa"/>
            <w:vAlign w:val="bottom"/>
            <w:shd w:val="clear" w:color="auto" w:fill="FCEFEB"/>
          </w:tcPr>
          <w:p>
            <w:pPr>
              <w:spacing w:after="0"/>
              <w:rPr>
                <w:sz w:val="13"/>
                <w:szCs w:val="13"/>
                <w:color w:val="auto"/>
              </w:rPr>
            </w:pPr>
          </w:p>
        </w:tc>
        <w:tc>
          <w:tcPr>
            <w:tcW w:w="82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93,897</w:t>
            </w:r>
          </w:p>
        </w:tc>
        <w:tc>
          <w:tcPr>
            <w:tcW w:w="50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580" w:type="dxa"/>
            <w:vAlign w:val="bottom"/>
            <w:shd w:val="clear" w:color="auto" w:fill="FCEFEB"/>
          </w:tcPr>
          <w:p>
            <w:pPr>
              <w:jc w:val="right"/>
              <w:spacing w:after="0"/>
              <w:rPr>
                <w:sz w:val="20"/>
                <w:szCs w:val="20"/>
                <w:color w:val="auto"/>
              </w:rPr>
            </w:pPr>
            <w:r>
              <w:rPr>
                <w:rFonts w:ascii="Arial" w:cs="Arial" w:eastAsia="Arial" w:hAnsi="Arial"/>
                <w:sz w:val="14"/>
                <w:szCs w:val="14"/>
                <w:color w:val="333333"/>
                <w:w w:val="98"/>
              </w:rPr>
              <w:t>200,001</w:t>
            </w:r>
          </w:p>
        </w:tc>
      </w:tr>
      <w:tr>
        <w:trPr>
          <w:trHeight w:val="195"/>
        </w:trPr>
        <w:tc>
          <w:tcPr>
            <w:tcW w:w="820" w:type="dxa"/>
            <w:vAlign w:val="bottom"/>
            <w:tcBorders>
              <w:bottom w:val="single" w:sz="8" w:color="005C5D"/>
            </w:tcBorders>
          </w:tcPr>
          <w:p>
            <w:pPr>
              <w:spacing w:after="0"/>
              <w:rPr>
                <w:sz w:val="16"/>
                <w:szCs w:val="16"/>
                <w:color w:val="auto"/>
              </w:rPr>
            </w:pPr>
          </w:p>
        </w:tc>
        <w:tc>
          <w:tcPr>
            <w:tcW w:w="620" w:type="dxa"/>
            <w:vAlign w:val="bottom"/>
            <w:tcBorders>
              <w:bottom w:val="single" w:sz="8" w:color="005C5D"/>
            </w:tcBorders>
            <w:shd w:val="clear" w:color="auto" w:fill="FCEFEB"/>
          </w:tcPr>
          <w:p>
            <w:pPr>
              <w:ind w:left="40"/>
              <w:spacing w:after="0"/>
              <w:rPr>
                <w:sz w:val="20"/>
                <w:szCs w:val="20"/>
                <w:color w:val="auto"/>
              </w:rPr>
            </w:pPr>
            <w:r>
              <w:rPr>
                <w:rFonts w:ascii="Arial" w:cs="Arial" w:eastAsia="Arial" w:hAnsi="Arial"/>
                <w:sz w:val="14"/>
                <w:szCs w:val="14"/>
                <w:color w:val="333333"/>
              </w:rPr>
              <w:t>PRSUs</w:t>
            </w:r>
          </w:p>
        </w:tc>
        <w:tc>
          <w:tcPr>
            <w:tcW w:w="940" w:type="dxa"/>
            <w:vAlign w:val="bottom"/>
            <w:tcBorders>
              <w:bottom w:val="single" w:sz="8" w:color="005C5D"/>
            </w:tcBorders>
            <w:shd w:val="clear" w:color="auto" w:fill="FCEFEB"/>
          </w:tcPr>
          <w:p>
            <w:pPr>
              <w:ind w:left="40"/>
              <w:spacing w:after="0"/>
              <w:rPr>
                <w:sz w:val="20"/>
                <w:szCs w:val="20"/>
                <w:color w:val="auto"/>
              </w:rPr>
            </w:pPr>
            <w:r>
              <w:rPr>
                <w:rFonts w:ascii="Arial" w:cs="Arial" w:eastAsia="Arial" w:hAnsi="Arial"/>
                <w:sz w:val="14"/>
                <w:szCs w:val="14"/>
                <w:color w:val="333333"/>
              </w:rPr>
              <w:t>April 4, 2025</w:t>
            </w:r>
          </w:p>
        </w:tc>
        <w:tc>
          <w:tcPr>
            <w:tcW w:w="520" w:type="dxa"/>
            <w:vAlign w:val="bottom"/>
            <w:tcBorders>
              <w:bottom w:val="single" w:sz="8" w:color="005C5D"/>
            </w:tcBorders>
            <w:shd w:val="clear" w:color="auto" w:fill="FCEFEB"/>
          </w:tcPr>
          <w:p>
            <w:pPr>
              <w:spacing w:after="0"/>
              <w:rPr>
                <w:sz w:val="16"/>
                <w:szCs w:val="16"/>
                <w:color w:val="auto"/>
              </w:rPr>
            </w:pPr>
          </w:p>
        </w:tc>
        <w:tc>
          <w:tcPr>
            <w:tcW w:w="780" w:type="dxa"/>
            <w:vAlign w:val="bottom"/>
            <w:tcBorders>
              <w:bottom w:val="single" w:sz="8" w:color="005C5D"/>
            </w:tcBorders>
            <w:shd w:val="clear" w:color="auto" w:fill="FCEFEB"/>
          </w:tcPr>
          <w:p>
            <w:pPr>
              <w:spacing w:after="0"/>
              <w:rPr>
                <w:sz w:val="16"/>
                <w:szCs w:val="16"/>
                <w:color w:val="auto"/>
              </w:rPr>
            </w:pPr>
          </w:p>
        </w:tc>
        <w:tc>
          <w:tcPr>
            <w:tcW w:w="300" w:type="dxa"/>
            <w:vAlign w:val="bottom"/>
            <w:tcBorders>
              <w:bottom w:val="single" w:sz="8" w:color="005C5D"/>
            </w:tcBorders>
            <w:shd w:val="clear" w:color="auto" w:fill="FCEFEB"/>
          </w:tcPr>
          <w:p>
            <w:pPr>
              <w:spacing w:after="0"/>
              <w:rPr>
                <w:sz w:val="16"/>
                <w:szCs w:val="16"/>
                <w:color w:val="auto"/>
              </w:rPr>
            </w:pPr>
          </w:p>
        </w:tc>
        <w:tc>
          <w:tcPr>
            <w:tcW w:w="700" w:type="dxa"/>
            <w:vAlign w:val="bottom"/>
            <w:tcBorders>
              <w:bottom w:val="single" w:sz="8" w:color="005C5D"/>
            </w:tcBorders>
            <w:shd w:val="clear" w:color="auto" w:fill="FCEFEB"/>
          </w:tcPr>
          <w:p>
            <w:pPr>
              <w:spacing w:after="0"/>
              <w:rPr>
                <w:sz w:val="16"/>
                <w:szCs w:val="16"/>
                <w:color w:val="auto"/>
              </w:rPr>
            </w:pPr>
          </w:p>
        </w:tc>
        <w:tc>
          <w:tcPr>
            <w:tcW w:w="320" w:type="dxa"/>
            <w:vAlign w:val="bottom"/>
            <w:tcBorders>
              <w:bottom w:val="single" w:sz="8" w:color="005C5D"/>
            </w:tcBorders>
            <w:shd w:val="clear" w:color="auto" w:fill="FCEFEB"/>
          </w:tcPr>
          <w:p>
            <w:pPr>
              <w:spacing w:after="0"/>
              <w:rPr>
                <w:sz w:val="16"/>
                <w:szCs w:val="16"/>
                <w:color w:val="auto"/>
              </w:rPr>
            </w:pPr>
          </w:p>
        </w:tc>
        <w:tc>
          <w:tcPr>
            <w:tcW w:w="820" w:type="dxa"/>
            <w:vAlign w:val="bottom"/>
            <w:tcBorders>
              <w:bottom w:val="single" w:sz="8" w:color="005C5D"/>
            </w:tcBorders>
            <w:shd w:val="clear" w:color="auto" w:fill="FCEFEB"/>
          </w:tcPr>
          <w:p>
            <w:pPr>
              <w:spacing w:after="0"/>
              <w:rPr>
                <w:sz w:val="16"/>
                <w:szCs w:val="16"/>
                <w:color w:val="auto"/>
              </w:rPr>
            </w:pPr>
          </w:p>
        </w:tc>
        <w:tc>
          <w:tcPr>
            <w:tcW w:w="1240" w:type="dxa"/>
            <w:vAlign w:val="bottom"/>
            <w:tcBorders>
              <w:bottom w:val="single" w:sz="8" w:color="005C5D"/>
            </w:tcBorders>
            <w:shd w:val="clear" w:color="auto" w:fill="FCEFEB"/>
          </w:tcPr>
          <w:p>
            <w:pPr>
              <w:jc w:val="center"/>
              <w:ind w:left="169"/>
              <w:spacing w:after="0"/>
              <w:rPr>
                <w:sz w:val="20"/>
                <w:szCs w:val="20"/>
                <w:color w:val="auto"/>
              </w:rPr>
            </w:pPr>
            <w:r>
              <w:rPr>
                <w:rFonts w:ascii="Arial" w:cs="Arial" w:eastAsia="Arial" w:hAnsi="Arial"/>
                <w:sz w:val="14"/>
                <w:szCs w:val="14"/>
                <w:color w:val="333333"/>
              </w:rPr>
              <w:t>23,474</w:t>
            </w:r>
          </w:p>
        </w:tc>
        <w:tc>
          <w:tcPr>
            <w:tcW w:w="960" w:type="dxa"/>
            <w:vAlign w:val="bottom"/>
            <w:tcBorders>
              <w:bottom w:val="single" w:sz="8" w:color="005C5D"/>
            </w:tcBorders>
            <w:shd w:val="clear" w:color="auto" w:fill="FCEFEB"/>
          </w:tcPr>
          <w:p>
            <w:pPr>
              <w:jc w:val="right"/>
              <w:ind w:right="129"/>
              <w:spacing w:after="0"/>
              <w:rPr>
                <w:sz w:val="20"/>
                <w:szCs w:val="20"/>
                <w:color w:val="auto"/>
              </w:rPr>
            </w:pPr>
            <w:r>
              <w:rPr>
                <w:rFonts w:ascii="Arial" w:cs="Arial" w:eastAsia="Arial" w:hAnsi="Arial"/>
                <w:sz w:val="14"/>
                <w:szCs w:val="14"/>
                <w:color w:val="333333"/>
              </w:rPr>
              <w:t>93,897</w:t>
            </w:r>
          </w:p>
        </w:tc>
        <w:tc>
          <w:tcPr>
            <w:tcW w:w="1000" w:type="dxa"/>
            <w:vAlign w:val="bottom"/>
            <w:tcBorders>
              <w:bottom w:val="single" w:sz="8" w:color="005C5D"/>
            </w:tcBorders>
            <w:shd w:val="clear" w:color="auto" w:fill="FCEFEB"/>
          </w:tcPr>
          <w:p>
            <w:pPr>
              <w:jc w:val="center"/>
              <w:spacing w:after="0"/>
              <w:rPr>
                <w:sz w:val="20"/>
                <w:szCs w:val="20"/>
                <w:color w:val="auto"/>
              </w:rPr>
            </w:pPr>
            <w:r>
              <w:rPr>
                <w:rFonts w:ascii="Arial" w:cs="Arial" w:eastAsia="Arial" w:hAnsi="Arial"/>
                <w:sz w:val="14"/>
                <w:szCs w:val="14"/>
                <w:color w:val="333333"/>
              </w:rPr>
              <w:t>187,794</w:t>
            </w:r>
          </w:p>
        </w:tc>
        <w:tc>
          <w:tcPr>
            <w:tcW w:w="820" w:type="dxa"/>
            <w:vAlign w:val="bottom"/>
            <w:tcBorders>
              <w:bottom w:val="single" w:sz="8" w:color="005C5D"/>
            </w:tcBorders>
            <w:shd w:val="clear" w:color="auto" w:fill="FCEFEB"/>
          </w:tcPr>
          <w:p>
            <w:pPr>
              <w:spacing w:after="0"/>
              <w:rPr>
                <w:sz w:val="16"/>
                <w:szCs w:val="16"/>
                <w:color w:val="auto"/>
              </w:rPr>
            </w:pPr>
          </w:p>
        </w:tc>
        <w:tc>
          <w:tcPr>
            <w:tcW w:w="500" w:type="dxa"/>
            <w:vAlign w:val="bottom"/>
            <w:tcBorders>
              <w:bottom w:val="single" w:sz="8" w:color="005C5D"/>
            </w:tcBorders>
            <w:shd w:val="clear" w:color="auto" w:fill="FCEFEB"/>
          </w:tcPr>
          <w:p>
            <w:pPr>
              <w:spacing w:after="0"/>
              <w:rPr>
                <w:sz w:val="16"/>
                <w:szCs w:val="16"/>
                <w:color w:val="auto"/>
              </w:rPr>
            </w:pPr>
          </w:p>
        </w:tc>
        <w:tc>
          <w:tcPr>
            <w:tcW w:w="580" w:type="dxa"/>
            <w:vAlign w:val="bottom"/>
            <w:tcBorders>
              <w:bottom w:val="single" w:sz="8" w:color="005C5D"/>
            </w:tcBorders>
            <w:shd w:val="clear" w:color="auto" w:fill="FCEFEB"/>
          </w:tcPr>
          <w:p>
            <w:pPr>
              <w:jc w:val="right"/>
              <w:spacing w:after="0"/>
              <w:rPr>
                <w:sz w:val="20"/>
                <w:szCs w:val="20"/>
                <w:color w:val="auto"/>
              </w:rPr>
            </w:pPr>
            <w:r>
              <w:rPr>
                <w:rFonts w:ascii="Arial" w:cs="Arial" w:eastAsia="Arial" w:hAnsi="Arial"/>
                <w:sz w:val="14"/>
                <w:szCs w:val="14"/>
                <w:color w:val="333333"/>
                <w:w w:val="98"/>
              </w:rPr>
              <w:t>200,001</w:t>
            </w:r>
          </w:p>
        </w:tc>
      </w:tr>
      <w:tr>
        <w:trPr>
          <w:trHeight w:val="204"/>
        </w:trPr>
        <w:tc>
          <w:tcPr>
            <w:tcW w:w="820" w:type="dxa"/>
            <w:vAlign w:val="bottom"/>
          </w:tcPr>
          <w:p>
            <w:pPr>
              <w:ind w:left="80"/>
              <w:spacing w:after="0"/>
              <w:rPr>
                <w:sz w:val="20"/>
                <w:szCs w:val="20"/>
                <w:color w:val="auto"/>
              </w:rPr>
            </w:pPr>
            <w:r>
              <w:rPr>
                <w:rFonts w:ascii="Arial" w:cs="Arial" w:eastAsia="Arial" w:hAnsi="Arial"/>
                <w:sz w:val="14"/>
                <w:szCs w:val="14"/>
                <w:b w:val="1"/>
                <w:bCs w:val="1"/>
                <w:color w:val="005C5D"/>
              </w:rPr>
              <w:t>Mark C.</w:t>
            </w:r>
          </w:p>
        </w:tc>
        <w:tc>
          <w:tcPr>
            <w:tcW w:w="620" w:type="dxa"/>
            <w:vAlign w:val="bottom"/>
            <w:shd w:val="clear" w:color="auto" w:fill="FCEFEB"/>
          </w:tcPr>
          <w:p>
            <w:pPr>
              <w:ind w:left="40"/>
              <w:spacing w:after="0"/>
              <w:rPr>
                <w:sz w:val="20"/>
                <w:szCs w:val="20"/>
                <w:color w:val="auto"/>
              </w:rPr>
            </w:pPr>
            <w:r>
              <w:rPr>
                <w:rFonts w:ascii="Arial" w:cs="Arial" w:eastAsia="Arial" w:hAnsi="Arial"/>
                <w:sz w:val="14"/>
                <w:szCs w:val="14"/>
                <w:color w:val="333333"/>
              </w:rPr>
              <w:t>Annual</w:t>
            </w:r>
          </w:p>
        </w:tc>
        <w:tc>
          <w:tcPr>
            <w:tcW w:w="940" w:type="dxa"/>
            <w:vAlign w:val="bottom"/>
            <w:shd w:val="clear" w:color="auto" w:fill="FCEFEB"/>
          </w:tcPr>
          <w:p>
            <w:pPr>
              <w:spacing w:after="0"/>
              <w:rPr>
                <w:sz w:val="17"/>
                <w:szCs w:val="17"/>
                <w:color w:val="auto"/>
              </w:rPr>
            </w:pPr>
          </w:p>
        </w:tc>
        <w:tc>
          <w:tcPr>
            <w:tcW w:w="52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780" w:type="dxa"/>
            <w:vAlign w:val="bottom"/>
            <w:shd w:val="clear" w:color="auto" w:fill="FCEFEB"/>
          </w:tcPr>
          <w:p>
            <w:pPr>
              <w:jc w:val="right"/>
              <w:ind w:right="189"/>
              <w:spacing w:after="0"/>
              <w:rPr>
                <w:sz w:val="20"/>
                <w:szCs w:val="20"/>
                <w:color w:val="auto"/>
              </w:rPr>
            </w:pPr>
            <w:r>
              <w:rPr>
                <w:rFonts w:ascii="Arial" w:cs="Arial" w:eastAsia="Arial" w:hAnsi="Arial"/>
                <w:sz w:val="14"/>
                <w:szCs w:val="14"/>
                <w:color w:val="333333"/>
              </w:rPr>
              <w:t>69,525</w:t>
            </w:r>
          </w:p>
        </w:tc>
        <w:tc>
          <w:tcPr>
            <w:tcW w:w="300" w:type="dxa"/>
            <w:vAlign w:val="bottom"/>
            <w:shd w:val="clear" w:color="auto" w:fill="FCEFEB"/>
          </w:tcPr>
          <w:p>
            <w:pPr>
              <w:ind w:left="220"/>
              <w:spacing w:after="0"/>
              <w:rPr>
                <w:sz w:val="20"/>
                <w:szCs w:val="20"/>
                <w:color w:val="auto"/>
              </w:rPr>
            </w:pPr>
            <w:r>
              <w:rPr>
                <w:rFonts w:ascii="Arial" w:cs="Arial" w:eastAsia="Arial" w:hAnsi="Arial"/>
                <w:sz w:val="14"/>
                <w:szCs w:val="14"/>
                <w:color w:val="333333"/>
                <w:w w:val="76"/>
              </w:rPr>
              <w:t>$</w:t>
            </w:r>
          </w:p>
        </w:tc>
        <w:tc>
          <w:tcPr>
            <w:tcW w:w="7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w w:val="98"/>
              </w:rPr>
              <w:t>278,100</w:t>
            </w:r>
          </w:p>
        </w:tc>
        <w:tc>
          <w:tcPr>
            <w:tcW w:w="32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820" w:type="dxa"/>
            <w:vAlign w:val="bottom"/>
            <w:shd w:val="clear" w:color="auto" w:fill="FCEFEB"/>
          </w:tcPr>
          <w:p>
            <w:pPr>
              <w:jc w:val="right"/>
              <w:ind w:right="229"/>
              <w:spacing w:after="0"/>
              <w:rPr>
                <w:sz w:val="20"/>
                <w:szCs w:val="20"/>
                <w:color w:val="auto"/>
              </w:rPr>
            </w:pPr>
            <w:r>
              <w:rPr>
                <w:rFonts w:ascii="Arial" w:cs="Arial" w:eastAsia="Arial" w:hAnsi="Arial"/>
                <w:sz w:val="14"/>
                <w:szCs w:val="14"/>
                <w:color w:val="333333"/>
                <w:w w:val="98"/>
              </w:rPr>
              <w:t>556,200</w:t>
            </w:r>
          </w:p>
        </w:tc>
        <w:tc>
          <w:tcPr>
            <w:tcW w:w="1240" w:type="dxa"/>
            <w:vAlign w:val="bottom"/>
            <w:shd w:val="clear" w:color="auto" w:fill="FCEFEB"/>
          </w:tcPr>
          <w:p>
            <w:pPr>
              <w:spacing w:after="0"/>
              <w:rPr>
                <w:sz w:val="17"/>
                <w:szCs w:val="17"/>
                <w:color w:val="auto"/>
              </w:rPr>
            </w:pPr>
          </w:p>
        </w:tc>
        <w:tc>
          <w:tcPr>
            <w:tcW w:w="960" w:type="dxa"/>
            <w:vAlign w:val="bottom"/>
            <w:shd w:val="clear" w:color="auto" w:fill="FCEFEB"/>
          </w:tcPr>
          <w:p>
            <w:pPr>
              <w:spacing w:after="0"/>
              <w:rPr>
                <w:sz w:val="17"/>
                <w:szCs w:val="17"/>
                <w:color w:val="auto"/>
              </w:rPr>
            </w:pPr>
          </w:p>
        </w:tc>
        <w:tc>
          <w:tcPr>
            <w:tcW w:w="1000" w:type="dxa"/>
            <w:vAlign w:val="bottom"/>
            <w:shd w:val="clear" w:color="auto" w:fill="FCEFEB"/>
          </w:tcPr>
          <w:p>
            <w:pPr>
              <w:spacing w:after="0"/>
              <w:rPr>
                <w:sz w:val="17"/>
                <w:szCs w:val="17"/>
                <w:color w:val="auto"/>
              </w:rPr>
            </w:pPr>
          </w:p>
        </w:tc>
        <w:tc>
          <w:tcPr>
            <w:tcW w:w="820" w:type="dxa"/>
            <w:vAlign w:val="bottom"/>
            <w:shd w:val="clear" w:color="auto" w:fill="FCEFEB"/>
          </w:tcPr>
          <w:p>
            <w:pPr>
              <w:spacing w:after="0"/>
              <w:rPr>
                <w:sz w:val="17"/>
                <w:szCs w:val="17"/>
                <w:color w:val="auto"/>
              </w:rPr>
            </w:pPr>
          </w:p>
        </w:tc>
        <w:tc>
          <w:tcPr>
            <w:tcW w:w="500" w:type="dxa"/>
            <w:vAlign w:val="bottom"/>
            <w:shd w:val="clear" w:color="auto" w:fill="FCEFEB"/>
          </w:tcPr>
          <w:p>
            <w:pPr>
              <w:spacing w:after="0"/>
              <w:rPr>
                <w:sz w:val="17"/>
                <w:szCs w:val="17"/>
                <w:color w:val="auto"/>
              </w:rPr>
            </w:pPr>
          </w:p>
        </w:tc>
        <w:tc>
          <w:tcPr>
            <w:tcW w:w="580" w:type="dxa"/>
            <w:vAlign w:val="bottom"/>
            <w:shd w:val="clear" w:color="auto" w:fill="FCEFEB"/>
          </w:tcPr>
          <w:p>
            <w:pPr>
              <w:spacing w:after="0"/>
              <w:rPr>
                <w:sz w:val="17"/>
                <w:szCs w:val="17"/>
                <w:color w:val="auto"/>
              </w:rPr>
            </w:pPr>
          </w:p>
        </w:tc>
      </w:tr>
      <w:tr>
        <w:trPr>
          <w:trHeight w:val="170"/>
        </w:trPr>
        <w:tc>
          <w:tcPr>
            <w:tcW w:w="820" w:type="dxa"/>
            <w:vAlign w:val="bottom"/>
          </w:tcPr>
          <w:p>
            <w:pPr>
              <w:ind w:left="80"/>
              <w:spacing w:after="0"/>
              <w:rPr>
                <w:sz w:val="20"/>
                <w:szCs w:val="20"/>
                <w:color w:val="auto"/>
              </w:rPr>
            </w:pPr>
            <w:r>
              <w:rPr>
                <w:rFonts w:ascii="Arial" w:cs="Arial" w:eastAsia="Arial" w:hAnsi="Arial"/>
                <w:sz w:val="14"/>
                <w:szCs w:val="14"/>
                <w:b w:val="1"/>
                <w:bCs w:val="1"/>
                <w:color w:val="005C5D"/>
              </w:rPr>
              <w:t>Dely</w:t>
            </w:r>
          </w:p>
        </w:tc>
        <w:tc>
          <w:tcPr>
            <w:tcW w:w="620" w:type="dxa"/>
            <w:vAlign w:val="bottom"/>
            <w:shd w:val="clear" w:color="auto" w:fill="FCEFEB"/>
          </w:tcPr>
          <w:p>
            <w:pPr>
              <w:ind w:left="40"/>
              <w:spacing w:after="0"/>
              <w:rPr>
                <w:sz w:val="20"/>
                <w:szCs w:val="20"/>
                <w:color w:val="auto"/>
              </w:rPr>
            </w:pPr>
            <w:r>
              <w:rPr>
                <w:rFonts w:ascii="Arial" w:cs="Arial" w:eastAsia="Arial" w:hAnsi="Arial"/>
                <w:sz w:val="14"/>
                <w:szCs w:val="14"/>
                <w:color w:val="333333"/>
                <w:w w:val="99"/>
              </w:rPr>
              <w:t>Incentive</w:t>
            </w:r>
          </w:p>
        </w:tc>
        <w:tc>
          <w:tcPr>
            <w:tcW w:w="940" w:type="dxa"/>
            <w:vAlign w:val="bottom"/>
            <w:shd w:val="clear" w:color="auto" w:fill="FCEFEB"/>
          </w:tcPr>
          <w:p>
            <w:pPr>
              <w:spacing w:after="0"/>
              <w:rPr>
                <w:sz w:val="14"/>
                <w:szCs w:val="14"/>
                <w:color w:val="auto"/>
              </w:rPr>
            </w:pPr>
          </w:p>
        </w:tc>
        <w:tc>
          <w:tcPr>
            <w:tcW w:w="520" w:type="dxa"/>
            <w:vAlign w:val="bottom"/>
            <w:shd w:val="clear" w:color="auto" w:fill="FCEFEB"/>
          </w:tcPr>
          <w:p>
            <w:pPr>
              <w:spacing w:after="0"/>
              <w:rPr>
                <w:sz w:val="14"/>
                <w:szCs w:val="14"/>
                <w:color w:val="auto"/>
              </w:rPr>
            </w:pPr>
          </w:p>
        </w:tc>
        <w:tc>
          <w:tcPr>
            <w:tcW w:w="780" w:type="dxa"/>
            <w:vAlign w:val="bottom"/>
            <w:shd w:val="clear" w:color="auto" w:fill="FCEFEB"/>
          </w:tcPr>
          <w:p>
            <w:pPr>
              <w:spacing w:after="0"/>
              <w:rPr>
                <w:sz w:val="14"/>
                <w:szCs w:val="14"/>
                <w:color w:val="auto"/>
              </w:rPr>
            </w:pPr>
          </w:p>
        </w:tc>
        <w:tc>
          <w:tcPr>
            <w:tcW w:w="300" w:type="dxa"/>
            <w:vAlign w:val="bottom"/>
            <w:shd w:val="clear" w:color="auto" w:fill="FCEFEB"/>
          </w:tcPr>
          <w:p>
            <w:pPr>
              <w:spacing w:after="0"/>
              <w:rPr>
                <w:sz w:val="14"/>
                <w:szCs w:val="14"/>
                <w:color w:val="auto"/>
              </w:rPr>
            </w:pPr>
          </w:p>
        </w:tc>
        <w:tc>
          <w:tcPr>
            <w:tcW w:w="700" w:type="dxa"/>
            <w:vAlign w:val="bottom"/>
            <w:shd w:val="clear" w:color="auto" w:fill="FCEFEB"/>
          </w:tcPr>
          <w:p>
            <w:pPr>
              <w:spacing w:after="0"/>
              <w:rPr>
                <w:sz w:val="14"/>
                <w:szCs w:val="14"/>
                <w:color w:val="auto"/>
              </w:rPr>
            </w:pPr>
          </w:p>
        </w:tc>
        <w:tc>
          <w:tcPr>
            <w:tcW w:w="320" w:type="dxa"/>
            <w:vAlign w:val="bottom"/>
            <w:shd w:val="clear" w:color="auto" w:fill="FCEFEB"/>
          </w:tcPr>
          <w:p>
            <w:pPr>
              <w:spacing w:after="0"/>
              <w:rPr>
                <w:sz w:val="14"/>
                <w:szCs w:val="14"/>
                <w:color w:val="auto"/>
              </w:rPr>
            </w:pPr>
          </w:p>
        </w:tc>
        <w:tc>
          <w:tcPr>
            <w:tcW w:w="820" w:type="dxa"/>
            <w:vAlign w:val="bottom"/>
            <w:shd w:val="clear" w:color="auto" w:fill="FCEFEB"/>
          </w:tcPr>
          <w:p>
            <w:pPr>
              <w:spacing w:after="0"/>
              <w:rPr>
                <w:sz w:val="14"/>
                <w:szCs w:val="14"/>
                <w:color w:val="auto"/>
              </w:rPr>
            </w:pPr>
          </w:p>
        </w:tc>
        <w:tc>
          <w:tcPr>
            <w:tcW w:w="1240" w:type="dxa"/>
            <w:vAlign w:val="bottom"/>
            <w:shd w:val="clear" w:color="auto" w:fill="FCEFEB"/>
          </w:tcPr>
          <w:p>
            <w:pPr>
              <w:spacing w:after="0"/>
              <w:rPr>
                <w:sz w:val="14"/>
                <w:szCs w:val="14"/>
                <w:color w:val="auto"/>
              </w:rPr>
            </w:pPr>
          </w:p>
        </w:tc>
        <w:tc>
          <w:tcPr>
            <w:tcW w:w="960" w:type="dxa"/>
            <w:vAlign w:val="bottom"/>
            <w:shd w:val="clear" w:color="auto" w:fill="FCEFEB"/>
          </w:tcPr>
          <w:p>
            <w:pPr>
              <w:spacing w:after="0"/>
              <w:rPr>
                <w:sz w:val="14"/>
                <w:szCs w:val="14"/>
                <w:color w:val="auto"/>
              </w:rPr>
            </w:pPr>
          </w:p>
        </w:tc>
        <w:tc>
          <w:tcPr>
            <w:tcW w:w="1000" w:type="dxa"/>
            <w:vAlign w:val="bottom"/>
            <w:shd w:val="clear" w:color="auto" w:fill="FCEFEB"/>
          </w:tcPr>
          <w:p>
            <w:pPr>
              <w:spacing w:after="0"/>
              <w:rPr>
                <w:sz w:val="14"/>
                <w:szCs w:val="14"/>
                <w:color w:val="auto"/>
              </w:rPr>
            </w:pPr>
          </w:p>
        </w:tc>
        <w:tc>
          <w:tcPr>
            <w:tcW w:w="820" w:type="dxa"/>
            <w:vAlign w:val="bottom"/>
            <w:shd w:val="clear" w:color="auto" w:fill="FCEFEB"/>
          </w:tcPr>
          <w:p>
            <w:pPr>
              <w:spacing w:after="0"/>
              <w:rPr>
                <w:sz w:val="14"/>
                <w:szCs w:val="14"/>
                <w:color w:val="auto"/>
              </w:rPr>
            </w:pPr>
          </w:p>
        </w:tc>
        <w:tc>
          <w:tcPr>
            <w:tcW w:w="500" w:type="dxa"/>
            <w:vAlign w:val="bottom"/>
            <w:shd w:val="clear" w:color="auto" w:fill="FCEFEB"/>
          </w:tcPr>
          <w:p>
            <w:pPr>
              <w:spacing w:after="0"/>
              <w:rPr>
                <w:sz w:val="14"/>
                <w:szCs w:val="14"/>
                <w:color w:val="auto"/>
              </w:rPr>
            </w:pPr>
          </w:p>
        </w:tc>
        <w:tc>
          <w:tcPr>
            <w:tcW w:w="580" w:type="dxa"/>
            <w:vAlign w:val="bottom"/>
            <w:shd w:val="clear" w:color="auto" w:fill="FCEFEB"/>
          </w:tcPr>
          <w:p>
            <w:pPr>
              <w:spacing w:after="0"/>
              <w:rPr>
                <w:sz w:val="14"/>
                <w:szCs w:val="14"/>
                <w:color w:val="auto"/>
              </w:rPr>
            </w:pPr>
          </w:p>
        </w:tc>
      </w:tr>
      <w:tr>
        <w:trPr>
          <w:trHeight w:val="160"/>
        </w:trPr>
        <w:tc>
          <w:tcPr>
            <w:tcW w:w="820" w:type="dxa"/>
            <w:vAlign w:val="bottom"/>
          </w:tcPr>
          <w:p>
            <w:pPr>
              <w:spacing w:after="0"/>
              <w:rPr>
                <w:sz w:val="13"/>
                <w:szCs w:val="13"/>
                <w:color w:val="auto"/>
              </w:rPr>
            </w:pPr>
          </w:p>
        </w:tc>
        <w:tc>
          <w:tcPr>
            <w:tcW w:w="620" w:type="dxa"/>
            <w:vAlign w:val="bottom"/>
            <w:shd w:val="clear" w:color="auto" w:fill="FCEFEB"/>
          </w:tcPr>
          <w:p>
            <w:pPr>
              <w:ind w:left="40"/>
              <w:spacing w:after="0"/>
              <w:rPr>
                <w:sz w:val="20"/>
                <w:szCs w:val="20"/>
                <w:color w:val="auto"/>
              </w:rPr>
            </w:pPr>
            <w:r>
              <w:rPr>
                <w:rFonts w:ascii="Arial" w:cs="Arial" w:eastAsia="Arial" w:hAnsi="Arial"/>
                <w:sz w:val="14"/>
                <w:szCs w:val="14"/>
                <w:color w:val="333333"/>
              </w:rPr>
              <w:t>TRSUs</w:t>
            </w:r>
          </w:p>
        </w:tc>
        <w:tc>
          <w:tcPr>
            <w:tcW w:w="940" w:type="dxa"/>
            <w:vAlign w:val="bottom"/>
            <w:shd w:val="clear" w:color="auto" w:fill="FCEFEB"/>
          </w:tcPr>
          <w:p>
            <w:pPr>
              <w:ind w:left="40"/>
              <w:spacing w:after="0"/>
              <w:rPr>
                <w:sz w:val="20"/>
                <w:szCs w:val="20"/>
                <w:color w:val="auto"/>
              </w:rPr>
            </w:pPr>
            <w:r>
              <w:rPr>
                <w:rFonts w:ascii="Arial" w:cs="Arial" w:eastAsia="Arial" w:hAnsi="Arial"/>
                <w:sz w:val="14"/>
                <w:szCs w:val="14"/>
                <w:color w:val="333333"/>
              </w:rPr>
              <w:t>April 4, 2025</w:t>
            </w:r>
          </w:p>
        </w:tc>
        <w:tc>
          <w:tcPr>
            <w:tcW w:w="520" w:type="dxa"/>
            <w:vAlign w:val="bottom"/>
            <w:shd w:val="clear" w:color="auto" w:fill="FCEFEB"/>
          </w:tcPr>
          <w:p>
            <w:pPr>
              <w:spacing w:after="0"/>
              <w:rPr>
                <w:sz w:val="13"/>
                <w:szCs w:val="13"/>
                <w:color w:val="auto"/>
              </w:rPr>
            </w:pPr>
          </w:p>
        </w:tc>
        <w:tc>
          <w:tcPr>
            <w:tcW w:w="780" w:type="dxa"/>
            <w:vAlign w:val="bottom"/>
            <w:shd w:val="clear" w:color="auto" w:fill="FCEFEB"/>
          </w:tcPr>
          <w:p>
            <w:pPr>
              <w:spacing w:after="0"/>
              <w:rPr>
                <w:sz w:val="13"/>
                <w:szCs w:val="13"/>
                <w:color w:val="auto"/>
              </w:rPr>
            </w:pPr>
          </w:p>
        </w:tc>
        <w:tc>
          <w:tcPr>
            <w:tcW w:w="300" w:type="dxa"/>
            <w:vAlign w:val="bottom"/>
            <w:shd w:val="clear" w:color="auto" w:fill="FCEFEB"/>
          </w:tcPr>
          <w:p>
            <w:pPr>
              <w:spacing w:after="0"/>
              <w:rPr>
                <w:sz w:val="13"/>
                <w:szCs w:val="13"/>
                <w:color w:val="auto"/>
              </w:rPr>
            </w:pPr>
          </w:p>
        </w:tc>
        <w:tc>
          <w:tcPr>
            <w:tcW w:w="700" w:type="dxa"/>
            <w:vAlign w:val="bottom"/>
            <w:shd w:val="clear" w:color="auto" w:fill="FCEFEB"/>
          </w:tcPr>
          <w:p>
            <w:pPr>
              <w:spacing w:after="0"/>
              <w:rPr>
                <w:sz w:val="13"/>
                <w:szCs w:val="13"/>
                <w:color w:val="auto"/>
              </w:rPr>
            </w:pPr>
          </w:p>
        </w:tc>
        <w:tc>
          <w:tcPr>
            <w:tcW w:w="320" w:type="dxa"/>
            <w:vAlign w:val="bottom"/>
            <w:shd w:val="clear" w:color="auto" w:fill="FCEFEB"/>
          </w:tcPr>
          <w:p>
            <w:pPr>
              <w:spacing w:after="0"/>
              <w:rPr>
                <w:sz w:val="13"/>
                <w:szCs w:val="13"/>
                <w:color w:val="auto"/>
              </w:rPr>
            </w:pPr>
          </w:p>
        </w:tc>
        <w:tc>
          <w:tcPr>
            <w:tcW w:w="820" w:type="dxa"/>
            <w:vAlign w:val="bottom"/>
            <w:shd w:val="clear" w:color="auto" w:fill="FCEFEB"/>
          </w:tcPr>
          <w:p>
            <w:pPr>
              <w:spacing w:after="0"/>
              <w:rPr>
                <w:sz w:val="13"/>
                <w:szCs w:val="13"/>
                <w:color w:val="auto"/>
              </w:rPr>
            </w:pPr>
          </w:p>
        </w:tc>
        <w:tc>
          <w:tcPr>
            <w:tcW w:w="1240" w:type="dxa"/>
            <w:vAlign w:val="bottom"/>
            <w:shd w:val="clear" w:color="auto" w:fill="FCEFEB"/>
          </w:tcPr>
          <w:p>
            <w:pPr>
              <w:spacing w:after="0"/>
              <w:rPr>
                <w:sz w:val="13"/>
                <w:szCs w:val="13"/>
                <w:color w:val="auto"/>
              </w:rPr>
            </w:pPr>
          </w:p>
        </w:tc>
        <w:tc>
          <w:tcPr>
            <w:tcW w:w="960" w:type="dxa"/>
            <w:vAlign w:val="bottom"/>
            <w:shd w:val="clear" w:color="auto" w:fill="FCEFEB"/>
          </w:tcPr>
          <w:p>
            <w:pPr>
              <w:spacing w:after="0"/>
              <w:rPr>
                <w:sz w:val="13"/>
                <w:szCs w:val="13"/>
                <w:color w:val="auto"/>
              </w:rPr>
            </w:pPr>
          </w:p>
        </w:tc>
        <w:tc>
          <w:tcPr>
            <w:tcW w:w="1000" w:type="dxa"/>
            <w:vAlign w:val="bottom"/>
            <w:shd w:val="clear" w:color="auto" w:fill="FCEFEB"/>
          </w:tcPr>
          <w:p>
            <w:pPr>
              <w:spacing w:after="0"/>
              <w:rPr>
                <w:sz w:val="13"/>
                <w:szCs w:val="13"/>
                <w:color w:val="auto"/>
              </w:rPr>
            </w:pPr>
          </w:p>
        </w:tc>
        <w:tc>
          <w:tcPr>
            <w:tcW w:w="82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70,423</w:t>
            </w:r>
          </w:p>
        </w:tc>
        <w:tc>
          <w:tcPr>
            <w:tcW w:w="50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580" w:type="dxa"/>
            <w:vAlign w:val="bottom"/>
            <w:shd w:val="clear" w:color="auto" w:fill="FCEFEB"/>
          </w:tcPr>
          <w:p>
            <w:pPr>
              <w:jc w:val="right"/>
              <w:spacing w:after="0"/>
              <w:rPr>
                <w:sz w:val="20"/>
                <w:szCs w:val="20"/>
                <w:color w:val="auto"/>
              </w:rPr>
            </w:pPr>
            <w:r>
              <w:rPr>
                <w:rFonts w:ascii="Arial" w:cs="Arial" w:eastAsia="Arial" w:hAnsi="Arial"/>
                <w:sz w:val="14"/>
                <w:szCs w:val="14"/>
                <w:color w:val="333333"/>
                <w:w w:val="98"/>
              </w:rPr>
              <w:t>150,001</w:t>
            </w:r>
          </w:p>
        </w:tc>
      </w:tr>
      <w:tr>
        <w:trPr>
          <w:trHeight w:val="151"/>
        </w:trPr>
        <w:tc>
          <w:tcPr>
            <w:tcW w:w="820" w:type="dxa"/>
            <w:vAlign w:val="bottom"/>
          </w:tcPr>
          <w:p>
            <w:pPr>
              <w:spacing w:after="0"/>
              <w:rPr>
                <w:sz w:val="13"/>
                <w:szCs w:val="13"/>
                <w:color w:val="auto"/>
              </w:rPr>
            </w:pPr>
          </w:p>
        </w:tc>
        <w:tc>
          <w:tcPr>
            <w:tcW w:w="620" w:type="dxa"/>
            <w:vAlign w:val="bottom"/>
            <w:shd w:val="clear" w:color="auto" w:fill="FCEFEB"/>
          </w:tcPr>
          <w:p>
            <w:pPr>
              <w:ind w:left="40"/>
              <w:spacing w:after="0" w:line="151" w:lineRule="exact"/>
              <w:rPr>
                <w:sz w:val="20"/>
                <w:szCs w:val="20"/>
                <w:color w:val="auto"/>
              </w:rPr>
            </w:pPr>
            <w:r>
              <w:rPr>
                <w:rFonts w:ascii="Arial" w:cs="Arial" w:eastAsia="Arial" w:hAnsi="Arial"/>
                <w:sz w:val="14"/>
                <w:szCs w:val="14"/>
                <w:color w:val="333333"/>
              </w:rPr>
              <w:t>TRSUs</w:t>
            </w:r>
          </w:p>
        </w:tc>
        <w:tc>
          <w:tcPr>
            <w:tcW w:w="940" w:type="dxa"/>
            <w:vAlign w:val="bottom"/>
            <w:shd w:val="clear" w:color="auto" w:fill="FCEFEB"/>
          </w:tcPr>
          <w:p>
            <w:pPr>
              <w:ind w:left="40"/>
              <w:spacing w:after="0" w:line="151" w:lineRule="exact"/>
              <w:rPr>
                <w:sz w:val="20"/>
                <w:szCs w:val="20"/>
                <w:color w:val="auto"/>
              </w:rPr>
            </w:pPr>
            <w:r>
              <w:rPr>
                <w:rFonts w:ascii="Arial" w:cs="Arial" w:eastAsia="Arial" w:hAnsi="Arial"/>
                <w:sz w:val="14"/>
                <w:szCs w:val="14"/>
                <w:color w:val="333333"/>
              </w:rPr>
              <w:t>June 24,</w:t>
            </w:r>
          </w:p>
        </w:tc>
        <w:tc>
          <w:tcPr>
            <w:tcW w:w="520" w:type="dxa"/>
            <w:vAlign w:val="bottom"/>
            <w:shd w:val="clear" w:color="auto" w:fill="FCEFEB"/>
          </w:tcPr>
          <w:p>
            <w:pPr>
              <w:spacing w:after="0"/>
              <w:rPr>
                <w:sz w:val="13"/>
                <w:szCs w:val="13"/>
                <w:color w:val="auto"/>
              </w:rPr>
            </w:pPr>
          </w:p>
        </w:tc>
        <w:tc>
          <w:tcPr>
            <w:tcW w:w="780" w:type="dxa"/>
            <w:vAlign w:val="bottom"/>
            <w:shd w:val="clear" w:color="auto" w:fill="FCEFEB"/>
          </w:tcPr>
          <w:p>
            <w:pPr>
              <w:spacing w:after="0"/>
              <w:rPr>
                <w:sz w:val="13"/>
                <w:szCs w:val="13"/>
                <w:color w:val="auto"/>
              </w:rPr>
            </w:pPr>
          </w:p>
        </w:tc>
        <w:tc>
          <w:tcPr>
            <w:tcW w:w="300" w:type="dxa"/>
            <w:vAlign w:val="bottom"/>
            <w:shd w:val="clear" w:color="auto" w:fill="FCEFEB"/>
          </w:tcPr>
          <w:p>
            <w:pPr>
              <w:spacing w:after="0"/>
              <w:rPr>
                <w:sz w:val="13"/>
                <w:szCs w:val="13"/>
                <w:color w:val="auto"/>
              </w:rPr>
            </w:pPr>
          </w:p>
        </w:tc>
        <w:tc>
          <w:tcPr>
            <w:tcW w:w="700" w:type="dxa"/>
            <w:vAlign w:val="bottom"/>
            <w:shd w:val="clear" w:color="auto" w:fill="FCEFEB"/>
          </w:tcPr>
          <w:p>
            <w:pPr>
              <w:spacing w:after="0"/>
              <w:rPr>
                <w:sz w:val="13"/>
                <w:szCs w:val="13"/>
                <w:color w:val="auto"/>
              </w:rPr>
            </w:pPr>
          </w:p>
        </w:tc>
        <w:tc>
          <w:tcPr>
            <w:tcW w:w="320" w:type="dxa"/>
            <w:vAlign w:val="bottom"/>
            <w:shd w:val="clear" w:color="auto" w:fill="FCEFEB"/>
          </w:tcPr>
          <w:p>
            <w:pPr>
              <w:spacing w:after="0"/>
              <w:rPr>
                <w:sz w:val="13"/>
                <w:szCs w:val="13"/>
                <w:color w:val="auto"/>
              </w:rPr>
            </w:pPr>
          </w:p>
        </w:tc>
        <w:tc>
          <w:tcPr>
            <w:tcW w:w="820" w:type="dxa"/>
            <w:vAlign w:val="bottom"/>
            <w:shd w:val="clear" w:color="auto" w:fill="FCEFEB"/>
          </w:tcPr>
          <w:p>
            <w:pPr>
              <w:spacing w:after="0"/>
              <w:rPr>
                <w:sz w:val="13"/>
                <w:szCs w:val="13"/>
                <w:color w:val="auto"/>
              </w:rPr>
            </w:pPr>
          </w:p>
        </w:tc>
        <w:tc>
          <w:tcPr>
            <w:tcW w:w="1240" w:type="dxa"/>
            <w:vAlign w:val="bottom"/>
            <w:shd w:val="clear" w:color="auto" w:fill="FCEFEB"/>
          </w:tcPr>
          <w:p>
            <w:pPr>
              <w:spacing w:after="0"/>
              <w:rPr>
                <w:sz w:val="13"/>
                <w:szCs w:val="13"/>
                <w:color w:val="auto"/>
              </w:rPr>
            </w:pPr>
          </w:p>
        </w:tc>
        <w:tc>
          <w:tcPr>
            <w:tcW w:w="960" w:type="dxa"/>
            <w:vAlign w:val="bottom"/>
            <w:shd w:val="clear" w:color="auto" w:fill="FCEFEB"/>
          </w:tcPr>
          <w:p>
            <w:pPr>
              <w:spacing w:after="0"/>
              <w:rPr>
                <w:sz w:val="13"/>
                <w:szCs w:val="13"/>
                <w:color w:val="auto"/>
              </w:rPr>
            </w:pPr>
          </w:p>
        </w:tc>
        <w:tc>
          <w:tcPr>
            <w:tcW w:w="1000" w:type="dxa"/>
            <w:vAlign w:val="bottom"/>
            <w:shd w:val="clear" w:color="auto" w:fill="FCEFEB"/>
          </w:tcPr>
          <w:p>
            <w:pPr>
              <w:spacing w:after="0"/>
              <w:rPr>
                <w:sz w:val="13"/>
                <w:szCs w:val="13"/>
                <w:color w:val="auto"/>
              </w:rPr>
            </w:pPr>
          </w:p>
        </w:tc>
        <w:tc>
          <w:tcPr>
            <w:tcW w:w="820" w:type="dxa"/>
            <w:vAlign w:val="bottom"/>
            <w:shd w:val="clear" w:color="auto" w:fill="FCEFEB"/>
          </w:tcPr>
          <w:p>
            <w:pPr>
              <w:jc w:val="right"/>
              <w:spacing w:after="0" w:line="151" w:lineRule="exact"/>
              <w:rPr>
                <w:sz w:val="20"/>
                <w:szCs w:val="20"/>
                <w:color w:val="auto"/>
              </w:rPr>
            </w:pPr>
            <w:r>
              <w:rPr>
                <w:rFonts w:ascii="Arial" w:cs="Arial" w:eastAsia="Arial" w:hAnsi="Arial"/>
                <w:sz w:val="14"/>
                <w:szCs w:val="14"/>
                <w:color w:val="333333"/>
              </w:rPr>
              <w:t>128,755</w:t>
            </w:r>
          </w:p>
        </w:tc>
        <w:tc>
          <w:tcPr>
            <w:tcW w:w="500" w:type="dxa"/>
            <w:vAlign w:val="bottom"/>
            <w:shd w:val="clear" w:color="auto" w:fill="FCEFEB"/>
          </w:tcPr>
          <w:p>
            <w:pPr>
              <w:spacing w:after="0"/>
              <w:rPr>
                <w:sz w:val="13"/>
                <w:szCs w:val="13"/>
                <w:color w:val="auto"/>
              </w:rPr>
            </w:pPr>
          </w:p>
        </w:tc>
        <w:tc>
          <w:tcPr>
            <w:tcW w:w="580" w:type="dxa"/>
            <w:vAlign w:val="bottom"/>
            <w:shd w:val="clear" w:color="auto" w:fill="FCEFEB"/>
          </w:tcPr>
          <w:p>
            <w:pPr>
              <w:jc w:val="right"/>
              <w:spacing w:after="0" w:line="151" w:lineRule="exact"/>
              <w:rPr>
                <w:sz w:val="20"/>
                <w:szCs w:val="20"/>
                <w:color w:val="auto"/>
              </w:rPr>
            </w:pPr>
            <w:r>
              <w:rPr>
                <w:rFonts w:ascii="Arial" w:cs="Arial" w:eastAsia="Arial" w:hAnsi="Arial"/>
                <w:sz w:val="14"/>
                <w:szCs w:val="14"/>
                <w:color w:val="333333"/>
                <w:w w:val="98"/>
              </w:rPr>
              <w:t>299,999</w:t>
            </w:r>
          </w:p>
        </w:tc>
      </w:tr>
      <w:tr>
        <w:trPr>
          <w:trHeight w:val="170"/>
        </w:trPr>
        <w:tc>
          <w:tcPr>
            <w:tcW w:w="820" w:type="dxa"/>
            <w:vAlign w:val="bottom"/>
          </w:tcPr>
          <w:p>
            <w:pPr>
              <w:spacing w:after="0"/>
              <w:rPr>
                <w:sz w:val="14"/>
                <w:szCs w:val="14"/>
                <w:color w:val="auto"/>
              </w:rPr>
            </w:pPr>
          </w:p>
        </w:tc>
        <w:tc>
          <w:tcPr>
            <w:tcW w:w="620" w:type="dxa"/>
            <w:vAlign w:val="bottom"/>
            <w:shd w:val="clear" w:color="auto" w:fill="FCEFEB"/>
          </w:tcPr>
          <w:p>
            <w:pPr>
              <w:spacing w:after="0"/>
              <w:rPr>
                <w:sz w:val="14"/>
                <w:szCs w:val="14"/>
                <w:color w:val="auto"/>
              </w:rPr>
            </w:pPr>
          </w:p>
        </w:tc>
        <w:tc>
          <w:tcPr>
            <w:tcW w:w="940" w:type="dxa"/>
            <w:vAlign w:val="bottom"/>
            <w:shd w:val="clear" w:color="auto" w:fill="FCEFEB"/>
          </w:tcPr>
          <w:p>
            <w:pPr>
              <w:ind w:left="40"/>
              <w:spacing w:after="0"/>
              <w:rPr>
                <w:sz w:val="20"/>
                <w:szCs w:val="20"/>
                <w:color w:val="auto"/>
              </w:rPr>
            </w:pPr>
            <w:r>
              <w:rPr>
                <w:rFonts w:ascii="Arial" w:cs="Arial" w:eastAsia="Arial" w:hAnsi="Arial"/>
                <w:sz w:val="14"/>
                <w:szCs w:val="14"/>
                <w:color w:val="333333"/>
              </w:rPr>
              <w:t>2025</w:t>
            </w:r>
          </w:p>
        </w:tc>
        <w:tc>
          <w:tcPr>
            <w:tcW w:w="520" w:type="dxa"/>
            <w:vAlign w:val="bottom"/>
            <w:shd w:val="clear" w:color="auto" w:fill="FCEFEB"/>
          </w:tcPr>
          <w:p>
            <w:pPr>
              <w:spacing w:after="0"/>
              <w:rPr>
                <w:sz w:val="14"/>
                <w:szCs w:val="14"/>
                <w:color w:val="auto"/>
              </w:rPr>
            </w:pPr>
          </w:p>
        </w:tc>
        <w:tc>
          <w:tcPr>
            <w:tcW w:w="780" w:type="dxa"/>
            <w:vAlign w:val="bottom"/>
            <w:shd w:val="clear" w:color="auto" w:fill="FCEFEB"/>
          </w:tcPr>
          <w:p>
            <w:pPr>
              <w:spacing w:after="0"/>
              <w:rPr>
                <w:sz w:val="14"/>
                <w:szCs w:val="14"/>
                <w:color w:val="auto"/>
              </w:rPr>
            </w:pPr>
          </w:p>
        </w:tc>
        <w:tc>
          <w:tcPr>
            <w:tcW w:w="300" w:type="dxa"/>
            <w:vAlign w:val="bottom"/>
            <w:shd w:val="clear" w:color="auto" w:fill="FCEFEB"/>
          </w:tcPr>
          <w:p>
            <w:pPr>
              <w:spacing w:after="0"/>
              <w:rPr>
                <w:sz w:val="14"/>
                <w:szCs w:val="14"/>
                <w:color w:val="auto"/>
              </w:rPr>
            </w:pPr>
          </w:p>
        </w:tc>
        <w:tc>
          <w:tcPr>
            <w:tcW w:w="700" w:type="dxa"/>
            <w:vAlign w:val="bottom"/>
            <w:shd w:val="clear" w:color="auto" w:fill="FCEFEB"/>
          </w:tcPr>
          <w:p>
            <w:pPr>
              <w:spacing w:after="0"/>
              <w:rPr>
                <w:sz w:val="14"/>
                <w:szCs w:val="14"/>
                <w:color w:val="auto"/>
              </w:rPr>
            </w:pPr>
          </w:p>
        </w:tc>
        <w:tc>
          <w:tcPr>
            <w:tcW w:w="320" w:type="dxa"/>
            <w:vAlign w:val="bottom"/>
            <w:shd w:val="clear" w:color="auto" w:fill="FCEFEB"/>
          </w:tcPr>
          <w:p>
            <w:pPr>
              <w:spacing w:after="0"/>
              <w:rPr>
                <w:sz w:val="14"/>
                <w:szCs w:val="14"/>
                <w:color w:val="auto"/>
              </w:rPr>
            </w:pPr>
          </w:p>
        </w:tc>
        <w:tc>
          <w:tcPr>
            <w:tcW w:w="820" w:type="dxa"/>
            <w:vAlign w:val="bottom"/>
            <w:shd w:val="clear" w:color="auto" w:fill="FCEFEB"/>
          </w:tcPr>
          <w:p>
            <w:pPr>
              <w:spacing w:after="0"/>
              <w:rPr>
                <w:sz w:val="14"/>
                <w:szCs w:val="14"/>
                <w:color w:val="auto"/>
              </w:rPr>
            </w:pPr>
          </w:p>
        </w:tc>
        <w:tc>
          <w:tcPr>
            <w:tcW w:w="1240" w:type="dxa"/>
            <w:vAlign w:val="bottom"/>
            <w:shd w:val="clear" w:color="auto" w:fill="FCEFEB"/>
          </w:tcPr>
          <w:p>
            <w:pPr>
              <w:spacing w:after="0"/>
              <w:rPr>
                <w:sz w:val="14"/>
                <w:szCs w:val="14"/>
                <w:color w:val="auto"/>
              </w:rPr>
            </w:pPr>
          </w:p>
        </w:tc>
        <w:tc>
          <w:tcPr>
            <w:tcW w:w="960" w:type="dxa"/>
            <w:vAlign w:val="bottom"/>
            <w:shd w:val="clear" w:color="auto" w:fill="FCEFEB"/>
          </w:tcPr>
          <w:p>
            <w:pPr>
              <w:spacing w:after="0"/>
              <w:rPr>
                <w:sz w:val="14"/>
                <w:szCs w:val="14"/>
                <w:color w:val="auto"/>
              </w:rPr>
            </w:pPr>
          </w:p>
        </w:tc>
        <w:tc>
          <w:tcPr>
            <w:tcW w:w="1000" w:type="dxa"/>
            <w:vAlign w:val="bottom"/>
            <w:shd w:val="clear" w:color="auto" w:fill="FCEFEB"/>
          </w:tcPr>
          <w:p>
            <w:pPr>
              <w:spacing w:after="0"/>
              <w:rPr>
                <w:sz w:val="14"/>
                <w:szCs w:val="14"/>
                <w:color w:val="auto"/>
              </w:rPr>
            </w:pPr>
          </w:p>
        </w:tc>
        <w:tc>
          <w:tcPr>
            <w:tcW w:w="820" w:type="dxa"/>
            <w:vAlign w:val="bottom"/>
            <w:shd w:val="clear" w:color="auto" w:fill="FCEFEB"/>
          </w:tcPr>
          <w:p>
            <w:pPr>
              <w:spacing w:after="0"/>
              <w:rPr>
                <w:sz w:val="14"/>
                <w:szCs w:val="14"/>
                <w:color w:val="auto"/>
              </w:rPr>
            </w:pPr>
          </w:p>
        </w:tc>
        <w:tc>
          <w:tcPr>
            <w:tcW w:w="500" w:type="dxa"/>
            <w:vAlign w:val="bottom"/>
            <w:shd w:val="clear" w:color="auto" w:fill="FCEFEB"/>
          </w:tcPr>
          <w:p>
            <w:pPr>
              <w:spacing w:after="0"/>
              <w:rPr>
                <w:sz w:val="14"/>
                <w:szCs w:val="14"/>
                <w:color w:val="auto"/>
              </w:rPr>
            </w:pPr>
          </w:p>
        </w:tc>
        <w:tc>
          <w:tcPr>
            <w:tcW w:w="580" w:type="dxa"/>
            <w:vAlign w:val="bottom"/>
            <w:shd w:val="clear" w:color="auto" w:fill="FCEFEB"/>
          </w:tcPr>
          <w:p>
            <w:pPr>
              <w:spacing w:after="0"/>
              <w:rPr>
                <w:sz w:val="14"/>
                <w:szCs w:val="14"/>
                <w:color w:val="auto"/>
              </w:rPr>
            </w:pPr>
          </w:p>
        </w:tc>
      </w:tr>
      <w:tr>
        <w:trPr>
          <w:trHeight w:val="195"/>
        </w:trPr>
        <w:tc>
          <w:tcPr>
            <w:tcW w:w="820" w:type="dxa"/>
            <w:vAlign w:val="bottom"/>
            <w:tcBorders>
              <w:bottom w:val="single" w:sz="8" w:color="005C5D"/>
            </w:tcBorders>
          </w:tcPr>
          <w:p>
            <w:pPr>
              <w:spacing w:after="0"/>
              <w:rPr>
                <w:sz w:val="16"/>
                <w:szCs w:val="16"/>
                <w:color w:val="auto"/>
              </w:rPr>
            </w:pPr>
          </w:p>
        </w:tc>
        <w:tc>
          <w:tcPr>
            <w:tcW w:w="620" w:type="dxa"/>
            <w:vAlign w:val="bottom"/>
            <w:tcBorders>
              <w:bottom w:val="single" w:sz="8" w:color="005C5D"/>
            </w:tcBorders>
            <w:shd w:val="clear" w:color="auto" w:fill="FCEFEB"/>
          </w:tcPr>
          <w:p>
            <w:pPr>
              <w:ind w:left="40"/>
              <w:spacing w:after="0"/>
              <w:rPr>
                <w:sz w:val="20"/>
                <w:szCs w:val="20"/>
                <w:color w:val="auto"/>
              </w:rPr>
            </w:pPr>
            <w:r>
              <w:rPr>
                <w:rFonts w:ascii="Arial" w:cs="Arial" w:eastAsia="Arial" w:hAnsi="Arial"/>
                <w:sz w:val="14"/>
                <w:szCs w:val="14"/>
                <w:color w:val="333333"/>
              </w:rPr>
              <w:t>PRSUs</w:t>
            </w:r>
          </w:p>
        </w:tc>
        <w:tc>
          <w:tcPr>
            <w:tcW w:w="940" w:type="dxa"/>
            <w:vAlign w:val="bottom"/>
            <w:tcBorders>
              <w:bottom w:val="single" w:sz="8" w:color="005C5D"/>
            </w:tcBorders>
            <w:shd w:val="clear" w:color="auto" w:fill="FCEFEB"/>
          </w:tcPr>
          <w:p>
            <w:pPr>
              <w:ind w:left="40"/>
              <w:spacing w:after="0"/>
              <w:rPr>
                <w:sz w:val="20"/>
                <w:szCs w:val="20"/>
                <w:color w:val="auto"/>
              </w:rPr>
            </w:pPr>
            <w:r>
              <w:rPr>
                <w:rFonts w:ascii="Arial" w:cs="Arial" w:eastAsia="Arial" w:hAnsi="Arial"/>
                <w:sz w:val="14"/>
                <w:szCs w:val="14"/>
                <w:color w:val="333333"/>
              </w:rPr>
              <w:t>April 4, 2025</w:t>
            </w:r>
          </w:p>
        </w:tc>
        <w:tc>
          <w:tcPr>
            <w:tcW w:w="520" w:type="dxa"/>
            <w:vAlign w:val="bottom"/>
            <w:tcBorders>
              <w:bottom w:val="single" w:sz="8" w:color="005C5D"/>
            </w:tcBorders>
            <w:shd w:val="clear" w:color="auto" w:fill="FCEFEB"/>
          </w:tcPr>
          <w:p>
            <w:pPr>
              <w:spacing w:after="0"/>
              <w:rPr>
                <w:sz w:val="16"/>
                <w:szCs w:val="16"/>
                <w:color w:val="auto"/>
              </w:rPr>
            </w:pPr>
          </w:p>
        </w:tc>
        <w:tc>
          <w:tcPr>
            <w:tcW w:w="780" w:type="dxa"/>
            <w:vAlign w:val="bottom"/>
            <w:tcBorders>
              <w:bottom w:val="single" w:sz="8" w:color="005C5D"/>
            </w:tcBorders>
            <w:shd w:val="clear" w:color="auto" w:fill="FCEFEB"/>
          </w:tcPr>
          <w:p>
            <w:pPr>
              <w:spacing w:after="0"/>
              <w:rPr>
                <w:sz w:val="16"/>
                <w:szCs w:val="16"/>
                <w:color w:val="auto"/>
              </w:rPr>
            </w:pPr>
          </w:p>
        </w:tc>
        <w:tc>
          <w:tcPr>
            <w:tcW w:w="300" w:type="dxa"/>
            <w:vAlign w:val="bottom"/>
            <w:tcBorders>
              <w:bottom w:val="single" w:sz="8" w:color="005C5D"/>
            </w:tcBorders>
            <w:shd w:val="clear" w:color="auto" w:fill="FCEFEB"/>
          </w:tcPr>
          <w:p>
            <w:pPr>
              <w:spacing w:after="0"/>
              <w:rPr>
                <w:sz w:val="16"/>
                <w:szCs w:val="16"/>
                <w:color w:val="auto"/>
              </w:rPr>
            </w:pPr>
          </w:p>
        </w:tc>
        <w:tc>
          <w:tcPr>
            <w:tcW w:w="700" w:type="dxa"/>
            <w:vAlign w:val="bottom"/>
            <w:tcBorders>
              <w:bottom w:val="single" w:sz="8" w:color="005C5D"/>
            </w:tcBorders>
            <w:shd w:val="clear" w:color="auto" w:fill="FCEFEB"/>
          </w:tcPr>
          <w:p>
            <w:pPr>
              <w:spacing w:after="0"/>
              <w:rPr>
                <w:sz w:val="16"/>
                <w:szCs w:val="16"/>
                <w:color w:val="auto"/>
              </w:rPr>
            </w:pPr>
          </w:p>
        </w:tc>
        <w:tc>
          <w:tcPr>
            <w:tcW w:w="320" w:type="dxa"/>
            <w:vAlign w:val="bottom"/>
            <w:tcBorders>
              <w:bottom w:val="single" w:sz="8" w:color="005C5D"/>
            </w:tcBorders>
            <w:shd w:val="clear" w:color="auto" w:fill="FCEFEB"/>
          </w:tcPr>
          <w:p>
            <w:pPr>
              <w:spacing w:after="0"/>
              <w:rPr>
                <w:sz w:val="16"/>
                <w:szCs w:val="16"/>
                <w:color w:val="auto"/>
              </w:rPr>
            </w:pPr>
          </w:p>
        </w:tc>
        <w:tc>
          <w:tcPr>
            <w:tcW w:w="820" w:type="dxa"/>
            <w:vAlign w:val="bottom"/>
            <w:tcBorders>
              <w:bottom w:val="single" w:sz="8" w:color="005C5D"/>
            </w:tcBorders>
            <w:shd w:val="clear" w:color="auto" w:fill="FCEFEB"/>
          </w:tcPr>
          <w:p>
            <w:pPr>
              <w:spacing w:after="0"/>
              <w:rPr>
                <w:sz w:val="16"/>
                <w:szCs w:val="16"/>
                <w:color w:val="auto"/>
              </w:rPr>
            </w:pPr>
          </w:p>
        </w:tc>
        <w:tc>
          <w:tcPr>
            <w:tcW w:w="1240" w:type="dxa"/>
            <w:vAlign w:val="bottom"/>
            <w:tcBorders>
              <w:bottom w:val="single" w:sz="8" w:color="005C5D"/>
            </w:tcBorders>
            <w:shd w:val="clear" w:color="auto" w:fill="FCEFEB"/>
          </w:tcPr>
          <w:p>
            <w:pPr>
              <w:jc w:val="center"/>
              <w:ind w:left="169"/>
              <w:spacing w:after="0"/>
              <w:rPr>
                <w:sz w:val="20"/>
                <w:szCs w:val="20"/>
                <w:color w:val="auto"/>
              </w:rPr>
            </w:pPr>
            <w:r>
              <w:rPr>
                <w:rFonts w:ascii="Arial" w:cs="Arial" w:eastAsia="Arial" w:hAnsi="Arial"/>
                <w:sz w:val="14"/>
                <w:szCs w:val="14"/>
                <w:color w:val="333333"/>
              </w:rPr>
              <w:t>17,606</w:t>
            </w:r>
          </w:p>
        </w:tc>
        <w:tc>
          <w:tcPr>
            <w:tcW w:w="960" w:type="dxa"/>
            <w:vAlign w:val="bottom"/>
            <w:tcBorders>
              <w:bottom w:val="single" w:sz="8" w:color="005C5D"/>
            </w:tcBorders>
            <w:shd w:val="clear" w:color="auto" w:fill="FCEFEB"/>
          </w:tcPr>
          <w:p>
            <w:pPr>
              <w:jc w:val="right"/>
              <w:ind w:right="129"/>
              <w:spacing w:after="0"/>
              <w:rPr>
                <w:sz w:val="20"/>
                <w:szCs w:val="20"/>
                <w:color w:val="auto"/>
              </w:rPr>
            </w:pPr>
            <w:r>
              <w:rPr>
                <w:rFonts w:ascii="Arial" w:cs="Arial" w:eastAsia="Arial" w:hAnsi="Arial"/>
                <w:sz w:val="14"/>
                <w:szCs w:val="14"/>
                <w:color w:val="333333"/>
              </w:rPr>
              <w:t>70,423</w:t>
            </w:r>
          </w:p>
        </w:tc>
        <w:tc>
          <w:tcPr>
            <w:tcW w:w="1000" w:type="dxa"/>
            <w:vAlign w:val="bottom"/>
            <w:tcBorders>
              <w:bottom w:val="single" w:sz="8" w:color="005C5D"/>
            </w:tcBorders>
            <w:shd w:val="clear" w:color="auto" w:fill="FCEFEB"/>
          </w:tcPr>
          <w:p>
            <w:pPr>
              <w:jc w:val="center"/>
              <w:spacing w:after="0"/>
              <w:rPr>
                <w:sz w:val="20"/>
                <w:szCs w:val="20"/>
                <w:color w:val="auto"/>
              </w:rPr>
            </w:pPr>
            <w:r>
              <w:rPr>
                <w:rFonts w:ascii="Arial" w:cs="Arial" w:eastAsia="Arial" w:hAnsi="Arial"/>
                <w:sz w:val="14"/>
                <w:szCs w:val="14"/>
                <w:color w:val="333333"/>
              </w:rPr>
              <w:t>140,846</w:t>
            </w:r>
          </w:p>
        </w:tc>
        <w:tc>
          <w:tcPr>
            <w:tcW w:w="820" w:type="dxa"/>
            <w:vAlign w:val="bottom"/>
            <w:tcBorders>
              <w:bottom w:val="single" w:sz="8" w:color="005C5D"/>
            </w:tcBorders>
            <w:shd w:val="clear" w:color="auto" w:fill="FCEFEB"/>
          </w:tcPr>
          <w:p>
            <w:pPr>
              <w:spacing w:after="0"/>
              <w:rPr>
                <w:sz w:val="16"/>
                <w:szCs w:val="16"/>
                <w:color w:val="auto"/>
              </w:rPr>
            </w:pPr>
          </w:p>
        </w:tc>
        <w:tc>
          <w:tcPr>
            <w:tcW w:w="500" w:type="dxa"/>
            <w:vAlign w:val="bottom"/>
            <w:tcBorders>
              <w:bottom w:val="single" w:sz="8" w:color="005C5D"/>
            </w:tcBorders>
            <w:shd w:val="clear" w:color="auto" w:fill="FCEFEB"/>
          </w:tcPr>
          <w:p>
            <w:pPr>
              <w:spacing w:after="0"/>
              <w:rPr>
                <w:sz w:val="16"/>
                <w:szCs w:val="16"/>
                <w:color w:val="auto"/>
              </w:rPr>
            </w:pPr>
          </w:p>
        </w:tc>
        <w:tc>
          <w:tcPr>
            <w:tcW w:w="580" w:type="dxa"/>
            <w:vAlign w:val="bottom"/>
            <w:tcBorders>
              <w:bottom w:val="single" w:sz="8" w:color="005C5D"/>
            </w:tcBorders>
            <w:shd w:val="clear" w:color="auto" w:fill="FCEFEB"/>
          </w:tcPr>
          <w:p>
            <w:pPr>
              <w:jc w:val="right"/>
              <w:spacing w:after="0"/>
              <w:rPr>
                <w:sz w:val="20"/>
                <w:szCs w:val="20"/>
                <w:color w:val="auto"/>
              </w:rPr>
            </w:pPr>
            <w:r>
              <w:rPr>
                <w:rFonts w:ascii="Arial" w:cs="Arial" w:eastAsia="Arial" w:hAnsi="Arial"/>
                <w:sz w:val="14"/>
                <w:szCs w:val="14"/>
                <w:color w:val="333333"/>
                <w:w w:val="98"/>
              </w:rPr>
              <w:t>150,001</w:t>
            </w:r>
          </w:p>
        </w:tc>
      </w:tr>
      <w:tr>
        <w:trPr>
          <w:trHeight w:val="204"/>
        </w:trPr>
        <w:tc>
          <w:tcPr>
            <w:tcW w:w="820" w:type="dxa"/>
            <w:vAlign w:val="bottom"/>
          </w:tcPr>
          <w:p>
            <w:pPr>
              <w:ind w:left="80"/>
              <w:spacing w:after="0"/>
              <w:rPr>
                <w:sz w:val="20"/>
                <w:szCs w:val="20"/>
                <w:color w:val="auto"/>
              </w:rPr>
            </w:pPr>
            <w:r>
              <w:rPr>
                <w:rFonts w:ascii="Arial" w:cs="Arial" w:eastAsia="Arial" w:hAnsi="Arial"/>
                <w:sz w:val="14"/>
                <w:szCs w:val="14"/>
                <w:b w:val="1"/>
                <w:bCs w:val="1"/>
                <w:color w:val="005C5D"/>
              </w:rPr>
              <w:t>Alison</w:t>
            </w:r>
          </w:p>
        </w:tc>
        <w:tc>
          <w:tcPr>
            <w:tcW w:w="620" w:type="dxa"/>
            <w:vAlign w:val="bottom"/>
            <w:shd w:val="clear" w:color="auto" w:fill="FCEFEB"/>
          </w:tcPr>
          <w:p>
            <w:pPr>
              <w:ind w:left="40"/>
              <w:spacing w:after="0"/>
              <w:rPr>
                <w:sz w:val="20"/>
                <w:szCs w:val="20"/>
                <w:color w:val="auto"/>
              </w:rPr>
            </w:pPr>
            <w:r>
              <w:rPr>
                <w:rFonts w:ascii="Arial" w:cs="Arial" w:eastAsia="Arial" w:hAnsi="Arial"/>
                <w:sz w:val="14"/>
                <w:szCs w:val="14"/>
                <w:color w:val="333333"/>
              </w:rPr>
              <w:t>Annual</w:t>
            </w:r>
          </w:p>
        </w:tc>
        <w:tc>
          <w:tcPr>
            <w:tcW w:w="940" w:type="dxa"/>
            <w:vAlign w:val="bottom"/>
            <w:shd w:val="clear" w:color="auto" w:fill="FCEFEB"/>
          </w:tcPr>
          <w:p>
            <w:pPr>
              <w:spacing w:after="0"/>
              <w:rPr>
                <w:sz w:val="17"/>
                <w:szCs w:val="17"/>
                <w:color w:val="auto"/>
              </w:rPr>
            </w:pPr>
          </w:p>
        </w:tc>
        <w:tc>
          <w:tcPr>
            <w:tcW w:w="52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780" w:type="dxa"/>
            <w:vAlign w:val="bottom"/>
            <w:shd w:val="clear" w:color="auto" w:fill="FCEFEB"/>
          </w:tcPr>
          <w:p>
            <w:pPr>
              <w:jc w:val="right"/>
              <w:ind w:right="189"/>
              <w:spacing w:after="0"/>
              <w:rPr>
                <w:sz w:val="20"/>
                <w:szCs w:val="20"/>
                <w:color w:val="auto"/>
              </w:rPr>
            </w:pPr>
            <w:r>
              <w:rPr>
                <w:rFonts w:ascii="Arial" w:cs="Arial" w:eastAsia="Arial" w:hAnsi="Arial"/>
                <w:sz w:val="14"/>
                <w:szCs w:val="14"/>
                <w:color w:val="333333"/>
              </w:rPr>
              <w:t>35,456</w:t>
            </w:r>
          </w:p>
        </w:tc>
        <w:tc>
          <w:tcPr>
            <w:tcW w:w="300" w:type="dxa"/>
            <w:vAlign w:val="bottom"/>
            <w:shd w:val="clear" w:color="auto" w:fill="FCEFEB"/>
          </w:tcPr>
          <w:p>
            <w:pPr>
              <w:ind w:left="220"/>
              <w:spacing w:after="0"/>
              <w:rPr>
                <w:sz w:val="20"/>
                <w:szCs w:val="20"/>
                <w:color w:val="auto"/>
              </w:rPr>
            </w:pPr>
            <w:r>
              <w:rPr>
                <w:rFonts w:ascii="Arial" w:cs="Arial" w:eastAsia="Arial" w:hAnsi="Arial"/>
                <w:sz w:val="14"/>
                <w:szCs w:val="14"/>
                <w:color w:val="333333"/>
                <w:w w:val="76"/>
              </w:rPr>
              <w:t>$</w:t>
            </w:r>
          </w:p>
        </w:tc>
        <w:tc>
          <w:tcPr>
            <w:tcW w:w="7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w w:val="98"/>
              </w:rPr>
              <w:t>141,823</w:t>
            </w:r>
          </w:p>
        </w:tc>
        <w:tc>
          <w:tcPr>
            <w:tcW w:w="32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820" w:type="dxa"/>
            <w:vAlign w:val="bottom"/>
            <w:shd w:val="clear" w:color="auto" w:fill="FCEFEB"/>
          </w:tcPr>
          <w:p>
            <w:pPr>
              <w:jc w:val="right"/>
              <w:ind w:right="229"/>
              <w:spacing w:after="0"/>
              <w:rPr>
                <w:sz w:val="20"/>
                <w:szCs w:val="20"/>
                <w:color w:val="auto"/>
              </w:rPr>
            </w:pPr>
            <w:r>
              <w:rPr>
                <w:rFonts w:ascii="Arial" w:cs="Arial" w:eastAsia="Arial" w:hAnsi="Arial"/>
                <w:sz w:val="14"/>
                <w:szCs w:val="14"/>
                <w:color w:val="333333"/>
                <w:w w:val="98"/>
              </w:rPr>
              <w:t>283,646</w:t>
            </w:r>
          </w:p>
        </w:tc>
        <w:tc>
          <w:tcPr>
            <w:tcW w:w="1240" w:type="dxa"/>
            <w:vAlign w:val="bottom"/>
            <w:shd w:val="clear" w:color="auto" w:fill="FCEFEB"/>
          </w:tcPr>
          <w:p>
            <w:pPr>
              <w:spacing w:after="0"/>
              <w:rPr>
                <w:sz w:val="17"/>
                <w:szCs w:val="17"/>
                <w:color w:val="auto"/>
              </w:rPr>
            </w:pPr>
          </w:p>
        </w:tc>
        <w:tc>
          <w:tcPr>
            <w:tcW w:w="960" w:type="dxa"/>
            <w:vAlign w:val="bottom"/>
            <w:shd w:val="clear" w:color="auto" w:fill="FCEFEB"/>
          </w:tcPr>
          <w:p>
            <w:pPr>
              <w:spacing w:after="0"/>
              <w:rPr>
                <w:sz w:val="17"/>
                <w:szCs w:val="17"/>
                <w:color w:val="auto"/>
              </w:rPr>
            </w:pPr>
          </w:p>
        </w:tc>
        <w:tc>
          <w:tcPr>
            <w:tcW w:w="1000" w:type="dxa"/>
            <w:vAlign w:val="bottom"/>
            <w:shd w:val="clear" w:color="auto" w:fill="FCEFEB"/>
          </w:tcPr>
          <w:p>
            <w:pPr>
              <w:spacing w:after="0"/>
              <w:rPr>
                <w:sz w:val="17"/>
                <w:szCs w:val="17"/>
                <w:color w:val="auto"/>
              </w:rPr>
            </w:pPr>
          </w:p>
        </w:tc>
        <w:tc>
          <w:tcPr>
            <w:tcW w:w="820" w:type="dxa"/>
            <w:vAlign w:val="bottom"/>
            <w:shd w:val="clear" w:color="auto" w:fill="FCEFEB"/>
          </w:tcPr>
          <w:p>
            <w:pPr>
              <w:spacing w:after="0"/>
              <w:rPr>
                <w:sz w:val="17"/>
                <w:szCs w:val="17"/>
                <w:color w:val="auto"/>
              </w:rPr>
            </w:pPr>
          </w:p>
        </w:tc>
        <w:tc>
          <w:tcPr>
            <w:tcW w:w="500" w:type="dxa"/>
            <w:vAlign w:val="bottom"/>
            <w:shd w:val="clear" w:color="auto" w:fill="FCEFEB"/>
          </w:tcPr>
          <w:p>
            <w:pPr>
              <w:spacing w:after="0"/>
              <w:rPr>
                <w:sz w:val="17"/>
                <w:szCs w:val="17"/>
                <w:color w:val="auto"/>
              </w:rPr>
            </w:pPr>
          </w:p>
        </w:tc>
        <w:tc>
          <w:tcPr>
            <w:tcW w:w="580" w:type="dxa"/>
            <w:vAlign w:val="bottom"/>
            <w:shd w:val="clear" w:color="auto" w:fill="FCEFEB"/>
          </w:tcPr>
          <w:p>
            <w:pPr>
              <w:spacing w:after="0"/>
              <w:rPr>
                <w:sz w:val="17"/>
                <w:szCs w:val="17"/>
                <w:color w:val="auto"/>
              </w:rPr>
            </w:pPr>
          </w:p>
        </w:tc>
      </w:tr>
      <w:tr>
        <w:trPr>
          <w:trHeight w:val="170"/>
        </w:trPr>
        <w:tc>
          <w:tcPr>
            <w:tcW w:w="820" w:type="dxa"/>
            <w:vAlign w:val="bottom"/>
          </w:tcPr>
          <w:p>
            <w:pPr>
              <w:ind w:left="80"/>
              <w:spacing w:after="0"/>
              <w:rPr>
                <w:sz w:val="20"/>
                <w:szCs w:val="20"/>
                <w:color w:val="auto"/>
              </w:rPr>
            </w:pPr>
            <w:r>
              <w:rPr>
                <w:rFonts w:ascii="Arial" w:cs="Arial" w:eastAsia="Arial" w:hAnsi="Arial"/>
                <w:sz w:val="14"/>
                <w:szCs w:val="14"/>
                <w:b w:val="1"/>
                <w:bCs w:val="1"/>
                <w:color w:val="005C5D"/>
              </w:rPr>
              <w:t>Hiatt</w:t>
            </w:r>
          </w:p>
        </w:tc>
        <w:tc>
          <w:tcPr>
            <w:tcW w:w="620" w:type="dxa"/>
            <w:vAlign w:val="bottom"/>
            <w:shd w:val="clear" w:color="auto" w:fill="FCEFEB"/>
          </w:tcPr>
          <w:p>
            <w:pPr>
              <w:ind w:left="40"/>
              <w:spacing w:after="0"/>
              <w:rPr>
                <w:sz w:val="20"/>
                <w:szCs w:val="20"/>
                <w:color w:val="auto"/>
              </w:rPr>
            </w:pPr>
            <w:r>
              <w:rPr>
                <w:rFonts w:ascii="Arial" w:cs="Arial" w:eastAsia="Arial" w:hAnsi="Arial"/>
                <w:sz w:val="14"/>
                <w:szCs w:val="14"/>
                <w:color w:val="333333"/>
                <w:w w:val="99"/>
              </w:rPr>
              <w:t>Incentive</w:t>
            </w:r>
          </w:p>
        </w:tc>
        <w:tc>
          <w:tcPr>
            <w:tcW w:w="940" w:type="dxa"/>
            <w:vAlign w:val="bottom"/>
            <w:shd w:val="clear" w:color="auto" w:fill="FCEFEB"/>
          </w:tcPr>
          <w:p>
            <w:pPr>
              <w:spacing w:after="0"/>
              <w:rPr>
                <w:sz w:val="14"/>
                <w:szCs w:val="14"/>
                <w:color w:val="auto"/>
              </w:rPr>
            </w:pPr>
          </w:p>
        </w:tc>
        <w:tc>
          <w:tcPr>
            <w:tcW w:w="520" w:type="dxa"/>
            <w:vAlign w:val="bottom"/>
            <w:shd w:val="clear" w:color="auto" w:fill="FCEFEB"/>
          </w:tcPr>
          <w:p>
            <w:pPr>
              <w:spacing w:after="0"/>
              <w:rPr>
                <w:sz w:val="14"/>
                <w:szCs w:val="14"/>
                <w:color w:val="auto"/>
              </w:rPr>
            </w:pPr>
          </w:p>
        </w:tc>
        <w:tc>
          <w:tcPr>
            <w:tcW w:w="780" w:type="dxa"/>
            <w:vAlign w:val="bottom"/>
            <w:shd w:val="clear" w:color="auto" w:fill="FCEFEB"/>
          </w:tcPr>
          <w:p>
            <w:pPr>
              <w:spacing w:after="0"/>
              <w:rPr>
                <w:sz w:val="14"/>
                <w:szCs w:val="14"/>
                <w:color w:val="auto"/>
              </w:rPr>
            </w:pPr>
          </w:p>
        </w:tc>
        <w:tc>
          <w:tcPr>
            <w:tcW w:w="300" w:type="dxa"/>
            <w:vAlign w:val="bottom"/>
            <w:shd w:val="clear" w:color="auto" w:fill="FCEFEB"/>
          </w:tcPr>
          <w:p>
            <w:pPr>
              <w:spacing w:after="0"/>
              <w:rPr>
                <w:sz w:val="14"/>
                <w:szCs w:val="14"/>
                <w:color w:val="auto"/>
              </w:rPr>
            </w:pPr>
          </w:p>
        </w:tc>
        <w:tc>
          <w:tcPr>
            <w:tcW w:w="700" w:type="dxa"/>
            <w:vAlign w:val="bottom"/>
            <w:shd w:val="clear" w:color="auto" w:fill="FCEFEB"/>
          </w:tcPr>
          <w:p>
            <w:pPr>
              <w:spacing w:after="0"/>
              <w:rPr>
                <w:sz w:val="14"/>
                <w:szCs w:val="14"/>
                <w:color w:val="auto"/>
              </w:rPr>
            </w:pPr>
          </w:p>
        </w:tc>
        <w:tc>
          <w:tcPr>
            <w:tcW w:w="320" w:type="dxa"/>
            <w:vAlign w:val="bottom"/>
            <w:shd w:val="clear" w:color="auto" w:fill="FCEFEB"/>
          </w:tcPr>
          <w:p>
            <w:pPr>
              <w:spacing w:after="0"/>
              <w:rPr>
                <w:sz w:val="14"/>
                <w:szCs w:val="14"/>
                <w:color w:val="auto"/>
              </w:rPr>
            </w:pPr>
          </w:p>
        </w:tc>
        <w:tc>
          <w:tcPr>
            <w:tcW w:w="820" w:type="dxa"/>
            <w:vAlign w:val="bottom"/>
            <w:shd w:val="clear" w:color="auto" w:fill="FCEFEB"/>
          </w:tcPr>
          <w:p>
            <w:pPr>
              <w:spacing w:after="0"/>
              <w:rPr>
                <w:sz w:val="14"/>
                <w:szCs w:val="14"/>
                <w:color w:val="auto"/>
              </w:rPr>
            </w:pPr>
          </w:p>
        </w:tc>
        <w:tc>
          <w:tcPr>
            <w:tcW w:w="1240" w:type="dxa"/>
            <w:vAlign w:val="bottom"/>
            <w:shd w:val="clear" w:color="auto" w:fill="FCEFEB"/>
          </w:tcPr>
          <w:p>
            <w:pPr>
              <w:spacing w:after="0"/>
              <w:rPr>
                <w:sz w:val="14"/>
                <w:szCs w:val="14"/>
                <w:color w:val="auto"/>
              </w:rPr>
            </w:pPr>
          </w:p>
        </w:tc>
        <w:tc>
          <w:tcPr>
            <w:tcW w:w="960" w:type="dxa"/>
            <w:vAlign w:val="bottom"/>
            <w:shd w:val="clear" w:color="auto" w:fill="FCEFEB"/>
          </w:tcPr>
          <w:p>
            <w:pPr>
              <w:spacing w:after="0"/>
              <w:rPr>
                <w:sz w:val="14"/>
                <w:szCs w:val="14"/>
                <w:color w:val="auto"/>
              </w:rPr>
            </w:pPr>
          </w:p>
        </w:tc>
        <w:tc>
          <w:tcPr>
            <w:tcW w:w="1000" w:type="dxa"/>
            <w:vAlign w:val="bottom"/>
            <w:shd w:val="clear" w:color="auto" w:fill="FCEFEB"/>
          </w:tcPr>
          <w:p>
            <w:pPr>
              <w:spacing w:after="0"/>
              <w:rPr>
                <w:sz w:val="14"/>
                <w:szCs w:val="14"/>
                <w:color w:val="auto"/>
              </w:rPr>
            </w:pPr>
          </w:p>
        </w:tc>
        <w:tc>
          <w:tcPr>
            <w:tcW w:w="820" w:type="dxa"/>
            <w:vAlign w:val="bottom"/>
            <w:shd w:val="clear" w:color="auto" w:fill="FCEFEB"/>
          </w:tcPr>
          <w:p>
            <w:pPr>
              <w:spacing w:after="0"/>
              <w:rPr>
                <w:sz w:val="14"/>
                <w:szCs w:val="14"/>
                <w:color w:val="auto"/>
              </w:rPr>
            </w:pPr>
          </w:p>
        </w:tc>
        <w:tc>
          <w:tcPr>
            <w:tcW w:w="500" w:type="dxa"/>
            <w:vAlign w:val="bottom"/>
            <w:shd w:val="clear" w:color="auto" w:fill="FCEFEB"/>
          </w:tcPr>
          <w:p>
            <w:pPr>
              <w:spacing w:after="0"/>
              <w:rPr>
                <w:sz w:val="14"/>
                <w:szCs w:val="14"/>
                <w:color w:val="auto"/>
              </w:rPr>
            </w:pPr>
          </w:p>
        </w:tc>
        <w:tc>
          <w:tcPr>
            <w:tcW w:w="580" w:type="dxa"/>
            <w:vAlign w:val="bottom"/>
            <w:shd w:val="clear" w:color="auto" w:fill="FCEFEB"/>
          </w:tcPr>
          <w:p>
            <w:pPr>
              <w:spacing w:after="0"/>
              <w:rPr>
                <w:sz w:val="14"/>
                <w:szCs w:val="14"/>
                <w:color w:val="auto"/>
              </w:rPr>
            </w:pPr>
          </w:p>
        </w:tc>
      </w:tr>
      <w:tr>
        <w:trPr>
          <w:trHeight w:val="160"/>
        </w:trPr>
        <w:tc>
          <w:tcPr>
            <w:tcW w:w="820" w:type="dxa"/>
            <w:vAlign w:val="bottom"/>
          </w:tcPr>
          <w:p>
            <w:pPr>
              <w:spacing w:after="0"/>
              <w:rPr>
                <w:sz w:val="13"/>
                <w:szCs w:val="13"/>
                <w:color w:val="auto"/>
              </w:rPr>
            </w:pPr>
          </w:p>
        </w:tc>
        <w:tc>
          <w:tcPr>
            <w:tcW w:w="620" w:type="dxa"/>
            <w:vAlign w:val="bottom"/>
            <w:shd w:val="clear" w:color="auto" w:fill="FCEFEB"/>
          </w:tcPr>
          <w:p>
            <w:pPr>
              <w:ind w:left="40"/>
              <w:spacing w:after="0"/>
              <w:rPr>
                <w:sz w:val="20"/>
                <w:szCs w:val="20"/>
                <w:color w:val="auto"/>
              </w:rPr>
            </w:pPr>
            <w:r>
              <w:rPr>
                <w:rFonts w:ascii="Arial" w:cs="Arial" w:eastAsia="Arial" w:hAnsi="Arial"/>
                <w:sz w:val="14"/>
                <w:szCs w:val="14"/>
                <w:color w:val="333333"/>
              </w:rPr>
              <w:t>TRSUs</w:t>
            </w:r>
          </w:p>
        </w:tc>
        <w:tc>
          <w:tcPr>
            <w:tcW w:w="940" w:type="dxa"/>
            <w:vAlign w:val="bottom"/>
            <w:shd w:val="clear" w:color="auto" w:fill="FCEFEB"/>
          </w:tcPr>
          <w:p>
            <w:pPr>
              <w:ind w:left="40"/>
              <w:spacing w:after="0"/>
              <w:rPr>
                <w:sz w:val="20"/>
                <w:szCs w:val="20"/>
                <w:color w:val="auto"/>
              </w:rPr>
            </w:pPr>
            <w:r>
              <w:rPr>
                <w:rFonts w:ascii="Arial" w:cs="Arial" w:eastAsia="Arial" w:hAnsi="Arial"/>
                <w:sz w:val="14"/>
                <w:szCs w:val="14"/>
                <w:color w:val="333333"/>
              </w:rPr>
              <w:t>April 4, 2025</w:t>
            </w:r>
          </w:p>
        </w:tc>
        <w:tc>
          <w:tcPr>
            <w:tcW w:w="520" w:type="dxa"/>
            <w:vAlign w:val="bottom"/>
            <w:shd w:val="clear" w:color="auto" w:fill="FCEFEB"/>
          </w:tcPr>
          <w:p>
            <w:pPr>
              <w:spacing w:after="0"/>
              <w:rPr>
                <w:sz w:val="13"/>
                <w:szCs w:val="13"/>
                <w:color w:val="auto"/>
              </w:rPr>
            </w:pPr>
          </w:p>
        </w:tc>
        <w:tc>
          <w:tcPr>
            <w:tcW w:w="780" w:type="dxa"/>
            <w:vAlign w:val="bottom"/>
            <w:shd w:val="clear" w:color="auto" w:fill="FCEFEB"/>
          </w:tcPr>
          <w:p>
            <w:pPr>
              <w:spacing w:after="0"/>
              <w:rPr>
                <w:sz w:val="13"/>
                <w:szCs w:val="13"/>
                <w:color w:val="auto"/>
              </w:rPr>
            </w:pPr>
          </w:p>
        </w:tc>
        <w:tc>
          <w:tcPr>
            <w:tcW w:w="300" w:type="dxa"/>
            <w:vAlign w:val="bottom"/>
            <w:shd w:val="clear" w:color="auto" w:fill="FCEFEB"/>
          </w:tcPr>
          <w:p>
            <w:pPr>
              <w:spacing w:after="0"/>
              <w:rPr>
                <w:sz w:val="13"/>
                <w:szCs w:val="13"/>
                <w:color w:val="auto"/>
              </w:rPr>
            </w:pPr>
          </w:p>
        </w:tc>
        <w:tc>
          <w:tcPr>
            <w:tcW w:w="700" w:type="dxa"/>
            <w:vAlign w:val="bottom"/>
            <w:shd w:val="clear" w:color="auto" w:fill="FCEFEB"/>
          </w:tcPr>
          <w:p>
            <w:pPr>
              <w:spacing w:after="0"/>
              <w:rPr>
                <w:sz w:val="13"/>
                <w:szCs w:val="13"/>
                <w:color w:val="auto"/>
              </w:rPr>
            </w:pPr>
          </w:p>
        </w:tc>
        <w:tc>
          <w:tcPr>
            <w:tcW w:w="320" w:type="dxa"/>
            <w:vAlign w:val="bottom"/>
            <w:shd w:val="clear" w:color="auto" w:fill="FCEFEB"/>
          </w:tcPr>
          <w:p>
            <w:pPr>
              <w:spacing w:after="0"/>
              <w:rPr>
                <w:sz w:val="13"/>
                <w:szCs w:val="13"/>
                <w:color w:val="auto"/>
              </w:rPr>
            </w:pPr>
          </w:p>
        </w:tc>
        <w:tc>
          <w:tcPr>
            <w:tcW w:w="820" w:type="dxa"/>
            <w:vAlign w:val="bottom"/>
            <w:shd w:val="clear" w:color="auto" w:fill="FCEFEB"/>
          </w:tcPr>
          <w:p>
            <w:pPr>
              <w:spacing w:after="0"/>
              <w:rPr>
                <w:sz w:val="13"/>
                <w:szCs w:val="13"/>
                <w:color w:val="auto"/>
              </w:rPr>
            </w:pPr>
          </w:p>
        </w:tc>
        <w:tc>
          <w:tcPr>
            <w:tcW w:w="1240" w:type="dxa"/>
            <w:vAlign w:val="bottom"/>
            <w:shd w:val="clear" w:color="auto" w:fill="FCEFEB"/>
          </w:tcPr>
          <w:p>
            <w:pPr>
              <w:spacing w:after="0"/>
              <w:rPr>
                <w:sz w:val="13"/>
                <w:szCs w:val="13"/>
                <w:color w:val="auto"/>
              </w:rPr>
            </w:pPr>
          </w:p>
        </w:tc>
        <w:tc>
          <w:tcPr>
            <w:tcW w:w="960" w:type="dxa"/>
            <w:vAlign w:val="bottom"/>
            <w:shd w:val="clear" w:color="auto" w:fill="FCEFEB"/>
          </w:tcPr>
          <w:p>
            <w:pPr>
              <w:spacing w:after="0"/>
              <w:rPr>
                <w:sz w:val="13"/>
                <w:szCs w:val="13"/>
                <w:color w:val="auto"/>
              </w:rPr>
            </w:pPr>
          </w:p>
        </w:tc>
        <w:tc>
          <w:tcPr>
            <w:tcW w:w="1000" w:type="dxa"/>
            <w:vAlign w:val="bottom"/>
            <w:shd w:val="clear" w:color="auto" w:fill="FCEFEB"/>
          </w:tcPr>
          <w:p>
            <w:pPr>
              <w:spacing w:after="0"/>
              <w:rPr>
                <w:sz w:val="13"/>
                <w:szCs w:val="13"/>
                <w:color w:val="auto"/>
              </w:rPr>
            </w:pPr>
          </w:p>
        </w:tc>
        <w:tc>
          <w:tcPr>
            <w:tcW w:w="82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70,423</w:t>
            </w:r>
          </w:p>
        </w:tc>
        <w:tc>
          <w:tcPr>
            <w:tcW w:w="50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580" w:type="dxa"/>
            <w:vAlign w:val="bottom"/>
            <w:shd w:val="clear" w:color="auto" w:fill="FCEFEB"/>
          </w:tcPr>
          <w:p>
            <w:pPr>
              <w:jc w:val="right"/>
              <w:spacing w:after="0"/>
              <w:rPr>
                <w:sz w:val="20"/>
                <w:szCs w:val="20"/>
                <w:color w:val="auto"/>
              </w:rPr>
            </w:pPr>
            <w:r>
              <w:rPr>
                <w:rFonts w:ascii="Arial" w:cs="Arial" w:eastAsia="Arial" w:hAnsi="Arial"/>
                <w:sz w:val="14"/>
                <w:szCs w:val="14"/>
                <w:color w:val="333333"/>
                <w:w w:val="98"/>
              </w:rPr>
              <w:t>150,001</w:t>
            </w:r>
          </w:p>
        </w:tc>
      </w:tr>
      <w:tr>
        <w:trPr>
          <w:trHeight w:val="195"/>
        </w:trPr>
        <w:tc>
          <w:tcPr>
            <w:tcW w:w="820" w:type="dxa"/>
            <w:vAlign w:val="bottom"/>
            <w:tcBorders>
              <w:bottom w:val="single" w:sz="8" w:color="005C5D"/>
            </w:tcBorders>
          </w:tcPr>
          <w:p>
            <w:pPr>
              <w:spacing w:after="0"/>
              <w:rPr>
                <w:sz w:val="16"/>
                <w:szCs w:val="16"/>
                <w:color w:val="auto"/>
              </w:rPr>
            </w:pPr>
          </w:p>
        </w:tc>
        <w:tc>
          <w:tcPr>
            <w:tcW w:w="620" w:type="dxa"/>
            <w:vAlign w:val="bottom"/>
            <w:tcBorders>
              <w:bottom w:val="single" w:sz="8" w:color="005C5D"/>
            </w:tcBorders>
            <w:shd w:val="clear" w:color="auto" w:fill="FCEFEB"/>
          </w:tcPr>
          <w:p>
            <w:pPr>
              <w:ind w:left="40"/>
              <w:spacing w:after="0"/>
              <w:rPr>
                <w:sz w:val="20"/>
                <w:szCs w:val="20"/>
                <w:color w:val="auto"/>
              </w:rPr>
            </w:pPr>
            <w:r>
              <w:rPr>
                <w:rFonts w:ascii="Arial" w:cs="Arial" w:eastAsia="Arial" w:hAnsi="Arial"/>
                <w:sz w:val="14"/>
                <w:szCs w:val="14"/>
                <w:color w:val="333333"/>
              </w:rPr>
              <w:t>PRSUs</w:t>
            </w:r>
          </w:p>
        </w:tc>
        <w:tc>
          <w:tcPr>
            <w:tcW w:w="940" w:type="dxa"/>
            <w:vAlign w:val="bottom"/>
            <w:tcBorders>
              <w:bottom w:val="single" w:sz="8" w:color="005C5D"/>
            </w:tcBorders>
            <w:shd w:val="clear" w:color="auto" w:fill="FCEFEB"/>
          </w:tcPr>
          <w:p>
            <w:pPr>
              <w:ind w:left="40"/>
              <w:spacing w:after="0"/>
              <w:rPr>
                <w:sz w:val="20"/>
                <w:szCs w:val="20"/>
                <w:color w:val="auto"/>
              </w:rPr>
            </w:pPr>
            <w:r>
              <w:rPr>
                <w:rFonts w:ascii="Arial" w:cs="Arial" w:eastAsia="Arial" w:hAnsi="Arial"/>
                <w:sz w:val="14"/>
                <w:szCs w:val="14"/>
                <w:color w:val="333333"/>
              </w:rPr>
              <w:t>April 4, 2025</w:t>
            </w:r>
          </w:p>
        </w:tc>
        <w:tc>
          <w:tcPr>
            <w:tcW w:w="520" w:type="dxa"/>
            <w:vAlign w:val="bottom"/>
            <w:tcBorders>
              <w:bottom w:val="single" w:sz="8" w:color="005C5D"/>
            </w:tcBorders>
            <w:shd w:val="clear" w:color="auto" w:fill="FCEFEB"/>
          </w:tcPr>
          <w:p>
            <w:pPr>
              <w:spacing w:after="0"/>
              <w:rPr>
                <w:sz w:val="16"/>
                <w:szCs w:val="16"/>
                <w:color w:val="auto"/>
              </w:rPr>
            </w:pPr>
          </w:p>
        </w:tc>
        <w:tc>
          <w:tcPr>
            <w:tcW w:w="780" w:type="dxa"/>
            <w:vAlign w:val="bottom"/>
            <w:tcBorders>
              <w:bottom w:val="single" w:sz="8" w:color="005C5D"/>
            </w:tcBorders>
            <w:shd w:val="clear" w:color="auto" w:fill="FCEFEB"/>
          </w:tcPr>
          <w:p>
            <w:pPr>
              <w:spacing w:after="0"/>
              <w:rPr>
                <w:sz w:val="16"/>
                <w:szCs w:val="16"/>
                <w:color w:val="auto"/>
              </w:rPr>
            </w:pPr>
          </w:p>
        </w:tc>
        <w:tc>
          <w:tcPr>
            <w:tcW w:w="300" w:type="dxa"/>
            <w:vAlign w:val="bottom"/>
            <w:tcBorders>
              <w:bottom w:val="single" w:sz="8" w:color="005C5D"/>
            </w:tcBorders>
            <w:shd w:val="clear" w:color="auto" w:fill="FCEFEB"/>
          </w:tcPr>
          <w:p>
            <w:pPr>
              <w:spacing w:after="0"/>
              <w:rPr>
                <w:sz w:val="16"/>
                <w:szCs w:val="16"/>
                <w:color w:val="auto"/>
              </w:rPr>
            </w:pPr>
          </w:p>
        </w:tc>
        <w:tc>
          <w:tcPr>
            <w:tcW w:w="700" w:type="dxa"/>
            <w:vAlign w:val="bottom"/>
            <w:tcBorders>
              <w:bottom w:val="single" w:sz="8" w:color="005C5D"/>
            </w:tcBorders>
            <w:shd w:val="clear" w:color="auto" w:fill="FCEFEB"/>
          </w:tcPr>
          <w:p>
            <w:pPr>
              <w:spacing w:after="0"/>
              <w:rPr>
                <w:sz w:val="16"/>
                <w:szCs w:val="16"/>
                <w:color w:val="auto"/>
              </w:rPr>
            </w:pPr>
          </w:p>
        </w:tc>
        <w:tc>
          <w:tcPr>
            <w:tcW w:w="320" w:type="dxa"/>
            <w:vAlign w:val="bottom"/>
            <w:tcBorders>
              <w:bottom w:val="single" w:sz="8" w:color="005C5D"/>
            </w:tcBorders>
            <w:shd w:val="clear" w:color="auto" w:fill="FCEFEB"/>
          </w:tcPr>
          <w:p>
            <w:pPr>
              <w:spacing w:after="0"/>
              <w:rPr>
                <w:sz w:val="16"/>
                <w:szCs w:val="16"/>
                <w:color w:val="auto"/>
              </w:rPr>
            </w:pPr>
          </w:p>
        </w:tc>
        <w:tc>
          <w:tcPr>
            <w:tcW w:w="820" w:type="dxa"/>
            <w:vAlign w:val="bottom"/>
            <w:tcBorders>
              <w:bottom w:val="single" w:sz="8" w:color="005C5D"/>
            </w:tcBorders>
            <w:shd w:val="clear" w:color="auto" w:fill="FCEFEB"/>
          </w:tcPr>
          <w:p>
            <w:pPr>
              <w:spacing w:after="0"/>
              <w:rPr>
                <w:sz w:val="16"/>
                <w:szCs w:val="16"/>
                <w:color w:val="auto"/>
              </w:rPr>
            </w:pPr>
          </w:p>
        </w:tc>
        <w:tc>
          <w:tcPr>
            <w:tcW w:w="1240" w:type="dxa"/>
            <w:vAlign w:val="bottom"/>
            <w:tcBorders>
              <w:bottom w:val="single" w:sz="8" w:color="005C5D"/>
            </w:tcBorders>
            <w:shd w:val="clear" w:color="auto" w:fill="FCEFEB"/>
          </w:tcPr>
          <w:p>
            <w:pPr>
              <w:jc w:val="center"/>
              <w:ind w:left="169"/>
              <w:spacing w:after="0"/>
              <w:rPr>
                <w:sz w:val="20"/>
                <w:szCs w:val="20"/>
                <w:color w:val="auto"/>
              </w:rPr>
            </w:pPr>
            <w:r>
              <w:rPr>
                <w:rFonts w:ascii="Arial" w:cs="Arial" w:eastAsia="Arial" w:hAnsi="Arial"/>
                <w:sz w:val="14"/>
                <w:szCs w:val="14"/>
                <w:color w:val="333333"/>
              </w:rPr>
              <w:t>17,606</w:t>
            </w:r>
          </w:p>
        </w:tc>
        <w:tc>
          <w:tcPr>
            <w:tcW w:w="960" w:type="dxa"/>
            <w:vAlign w:val="bottom"/>
            <w:tcBorders>
              <w:bottom w:val="single" w:sz="8" w:color="005C5D"/>
            </w:tcBorders>
            <w:shd w:val="clear" w:color="auto" w:fill="FCEFEB"/>
          </w:tcPr>
          <w:p>
            <w:pPr>
              <w:jc w:val="right"/>
              <w:ind w:right="129"/>
              <w:spacing w:after="0"/>
              <w:rPr>
                <w:sz w:val="20"/>
                <w:szCs w:val="20"/>
                <w:color w:val="auto"/>
              </w:rPr>
            </w:pPr>
            <w:r>
              <w:rPr>
                <w:rFonts w:ascii="Arial" w:cs="Arial" w:eastAsia="Arial" w:hAnsi="Arial"/>
                <w:sz w:val="14"/>
                <w:szCs w:val="14"/>
                <w:color w:val="333333"/>
              </w:rPr>
              <w:t>70,423</w:t>
            </w:r>
          </w:p>
        </w:tc>
        <w:tc>
          <w:tcPr>
            <w:tcW w:w="1000" w:type="dxa"/>
            <w:vAlign w:val="bottom"/>
            <w:tcBorders>
              <w:bottom w:val="single" w:sz="8" w:color="005C5D"/>
            </w:tcBorders>
            <w:shd w:val="clear" w:color="auto" w:fill="FCEFEB"/>
          </w:tcPr>
          <w:p>
            <w:pPr>
              <w:jc w:val="center"/>
              <w:spacing w:after="0"/>
              <w:rPr>
                <w:sz w:val="20"/>
                <w:szCs w:val="20"/>
                <w:color w:val="auto"/>
              </w:rPr>
            </w:pPr>
            <w:r>
              <w:rPr>
                <w:rFonts w:ascii="Arial" w:cs="Arial" w:eastAsia="Arial" w:hAnsi="Arial"/>
                <w:sz w:val="14"/>
                <w:szCs w:val="14"/>
                <w:color w:val="333333"/>
              </w:rPr>
              <w:t>140,846</w:t>
            </w:r>
          </w:p>
        </w:tc>
        <w:tc>
          <w:tcPr>
            <w:tcW w:w="820" w:type="dxa"/>
            <w:vAlign w:val="bottom"/>
            <w:tcBorders>
              <w:bottom w:val="single" w:sz="8" w:color="005C5D"/>
            </w:tcBorders>
            <w:shd w:val="clear" w:color="auto" w:fill="FCEFEB"/>
          </w:tcPr>
          <w:p>
            <w:pPr>
              <w:spacing w:after="0"/>
              <w:rPr>
                <w:sz w:val="16"/>
                <w:szCs w:val="16"/>
                <w:color w:val="auto"/>
              </w:rPr>
            </w:pPr>
          </w:p>
        </w:tc>
        <w:tc>
          <w:tcPr>
            <w:tcW w:w="500" w:type="dxa"/>
            <w:vAlign w:val="bottom"/>
            <w:tcBorders>
              <w:bottom w:val="single" w:sz="8" w:color="005C5D"/>
            </w:tcBorders>
            <w:shd w:val="clear" w:color="auto" w:fill="FCEFEB"/>
          </w:tcPr>
          <w:p>
            <w:pPr>
              <w:spacing w:after="0"/>
              <w:rPr>
                <w:sz w:val="16"/>
                <w:szCs w:val="16"/>
                <w:color w:val="auto"/>
              </w:rPr>
            </w:pPr>
          </w:p>
        </w:tc>
        <w:tc>
          <w:tcPr>
            <w:tcW w:w="580" w:type="dxa"/>
            <w:vAlign w:val="bottom"/>
            <w:tcBorders>
              <w:bottom w:val="single" w:sz="8" w:color="005C5D"/>
            </w:tcBorders>
            <w:shd w:val="clear" w:color="auto" w:fill="FCEFEB"/>
          </w:tcPr>
          <w:p>
            <w:pPr>
              <w:jc w:val="right"/>
              <w:spacing w:after="0"/>
              <w:rPr>
                <w:sz w:val="20"/>
                <w:szCs w:val="20"/>
                <w:color w:val="auto"/>
              </w:rPr>
            </w:pPr>
            <w:r>
              <w:rPr>
                <w:rFonts w:ascii="Arial" w:cs="Arial" w:eastAsia="Arial" w:hAnsi="Arial"/>
                <w:sz w:val="14"/>
                <w:szCs w:val="14"/>
                <w:color w:val="333333"/>
                <w:w w:val="98"/>
              </w:rPr>
              <w:t>150,001</w:t>
            </w:r>
          </w:p>
        </w:tc>
      </w:tr>
      <w:tr>
        <w:trPr>
          <w:trHeight w:val="204"/>
        </w:trPr>
        <w:tc>
          <w:tcPr>
            <w:tcW w:w="820" w:type="dxa"/>
            <w:vAlign w:val="bottom"/>
          </w:tcPr>
          <w:p>
            <w:pPr>
              <w:ind w:left="80"/>
              <w:spacing w:after="0"/>
              <w:rPr>
                <w:sz w:val="20"/>
                <w:szCs w:val="20"/>
                <w:color w:val="auto"/>
              </w:rPr>
            </w:pPr>
            <w:r>
              <w:rPr>
                <w:rFonts w:ascii="Arial" w:cs="Arial" w:eastAsia="Arial" w:hAnsi="Arial"/>
                <w:sz w:val="14"/>
                <w:szCs w:val="14"/>
                <w:b w:val="1"/>
                <w:bCs w:val="1"/>
                <w:color w:val="005C5D"/>
              </w:rPr>
              <w:t>Melinda</w:t>
            </w:r>
          </w:p>
        </w:tc>
        <w:tc>
          <w:tcPr>
            <w:tcW w:w="620" w:type="dxa"/>
            <w:vAlign w:val="bottom"/>
            <w:shd w:val="clear" w:color="auto" w:fill="FCEFEB"/>
          </w:tcPr>
          <w:p>
            <w:pPr>
              <w:ind w:left="40"/>
              <w:spacing w:after="0"/>
              <w:rPr>
                <w:sz w:val="20"/>
                <w:szCs w:val="20"/>
                <w:color w:val="auto"/>
              </w:rPr>
            </w:pPr>
            <w:r>
              <w:rPr>
                <w:rFonts w:ascii="Arial" w:cs="Arial" w:eastAsia="Arial" w:hAnsi="Arial"/>
                <w:sz w:val="14"/>
                <w:szCs w:val="14"/>
                <w:color w:val="333333"/>
              </w:rPr>
              <w:t>Annual</w:t>
            </w:r>
          </w:p>
        </w:tc>
        <w:tc>
          <w:tcPr>
            <w:tcW w:w="940" w:type="dxa"/>
            <w:vAlign w:val="bottom"/>
            <w:shd w:val="clear" w:color="auto" w:fill="FCEFEB"/>
          </w:tcPr>
          <w:p>
            <w:pPr>
              <w:spacing w:after="0"/>
              <w:rPr>
                <w:sz w:val="17"/>
                <w:szCs w:val="17"/>
                <w:color w:val="auto"/>
              </w:rPr>
            </w:pPr>
          </w:p>
        </w:tc>
        <w:tc>
          <w:tcPr>
            <w:tcW w:w="52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780" w:type="dxa"/>
            <w:vAlign w:val="bottom"/>
            <w:shd w:val="clear" w:color="auto" w:fill="FCEFEB"/>
          </w:tcPr>
          <w:p>
            <w:pPr>
              <w:jc w:val="right"/>
              <w:ind w:right="189"/>
              <w:spacing w:after="0"/>
              <w:rPr>
                <w:sz w:val="20"/>
                <w:szCs w:val="20"/>
                <w:color w:val="auto"/>
              </w:rPr>
            </w:pPr>
            <w:r>
              <w:rPr>
                <w:rFonts w:ascii="Arial" w:cs="Arial" w:eastAsia="Arial" w:hAnsi="Arial"/>
                <w:sz w:val="14"/>
                <w:szCs w:val="14"/>
                <w:color w:val="333333"/>
              </w:rPr>
              <w:t>19,297</w:t>
            </w:r>
          </w:p>
        </w:tc>
        <w:tc>
          <w:tcPr>
            <w:tcW w:w="300" w:type="dxa"/>
            <w:vAlign w:val="bottom"/>
            <w:shd w:val="clear" w:color="auto" w:fill="FCEFEB"/>
          </w:tcPr>
          <w:p>
            <w:pPr>
              <w:ind w:left="220"/>
              <w:spacing w:after="0"/>
              <w:rPr>
                <w:sz w:val="20"/>
                <w:szCs w:val="20"/>
                <w:color w:val="auto"/>
              </w:rPr>
            </w:pPr>
            <w:r>
              <w:rPr>
                <w:rFonts w:ascii="Arial" w:cs="Arial" w:eastAsia="Arial" w:hAnsi="Arial"/>
                <w:sz w:val="14"/>
                <w:szCs w:val="14"/>
                <w:color w:val="333333"/>
                <w:w w:val="76"/>
              </w:rPr>
              <w:t>$</w:t>
            </w:r>
          </w:p>
        </w:tc>
        <w:tc>
          <w:tcPr>
            <w:tcW w:w="7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77,188</w:t>
            </w:r>
          </w:p>
        </w:tc>
        <w:tc>
          <w:tcPr>
            <w:tcW w:w="32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820" w:type="dxa"/>
            <w:vAlign w:val="bottom"/>
            <w:shd w:val="clear" w:color="auto" w:fill="FCEFEB"/>
          </w:tcPr>
          <w:p>
            <w:pPr>
              <w:jc w:val="right"/>
              <w:ind w:right="229"/>
              <w:spacing w:after="0"/>
              <w:rPr>
                <w:sz w:val="20"/>
                <w:szCs w:val="20"/>
                <w:color w:val="auto"/>
              </w:rPr>
            </w:pPr>
            <w:r>
              <w:rPr>
                <w:rFonts w:ascii="Arial" w:cs="Arial" w:eastAsia="Arial" w:hAnsi="Arial"/>
                <w:sz w:val="14"/>
                <w:szCs w:val="14"/>
                <w:color w:val="333333"/>
                <w:w w:val="98"/>
              </w:rPr>
              <w:t>154,375</w:t>
            </w:r>
          </w:p>
        </w:tc>
        <w:tc>
          <w:tcPr>
            <w:tcW w:w="1240" w:type="dxa"/>
            <w:vAlign w:val="bottom"/>
            <w:shd w:val="clear" w:color="auto" w:fill="FCEFEB"/>
          </w:tcPr>
          <w:p>
            <w:pPr>
              <w:spacing w:after="0"/>
              <w:rPr>
                <w:sz w:val="17"/>
                <w:szCs w:val="17"/>
                <w:color w:val="auto"/>
              </w:rPr>
            </w:pPr>
          </w:p>
        </w:tc>
        <w:tc>
          <w:tcPr>
            <w:tcW w:w="960" w:type="dxa"/>
            <w:vAlign w:val="bottom"/>
            <w:shd w:val="clear" w:color="auto" w:fill="FCEFEB"/>
          </w:tcPr>
          <w:p>
            <w:pPr>
              <w:spacing w:after="0"/>
              <w:rPr>
                <w:sz w:val="17"/>
                <w:szCs w:val="17"/>
                <w:color w:val="auto"/>
              </w:rPr>
            </w:pPr>
          </w:p>
        </w:tc>
        <w:tc>
          <w:tcPr>
            <w:tcW w:w="1000" w:type="dxa"/>
            <w:vAlign w:val="bottom"/>
            <w:shd w:val="clear" w:color="auto" w:fill="FCEFEB"/>
          </w:tcPr>
          <w:p>
            <w:pPr>
              <w:spacing w:after="0"/>
              <w:rPr>
                <w:sz w:val="17"/>
                <w:szCs w:val="17"/>
                <w:color w:val="auto"/>
              </w:rPr>
            </w:pPr>
          </w:p>
        </w:tc>
        <w:tc>
          <w:tcPr>
            <w:tcW w:w="820" w:type="dxa"/>
            <w:vAlign w:val="bottom"/>
            <w:shd w:val="clear" w:color="auto" w:fill="FCEFEB"/>
          </w:tcPr>
          <w:p>
            <w:pPr>
              <w:spacing w:after="0"/>
              <w:rPr>
                <w:sz w:val="17"/>
                <w:szCs w:val="17"/>
                <w:color w:val="auto"/>
              </w:rPr>
            </w:pPr>
          </w:p>
        </w:tc>
        <w:tc>
          <w:tcPr>
            <w:tcW w:w="500" w:type="dxa"/>
            <w:vAlign w:val="bottom"/>
            <w:shd w:val="clear" w:color="auto" w:fill="FCEFEB"/>
          </w:tcPr>
          <w:p>
            <w:pPr>
              <w:spacing w:after="0"/>
              <w:rPr>
                <w:sz w:val="17"/>
                <w:szCs w:val="17"/>
                <w:color w:val="auto"/>
              </w:rPr>
            </w:pPr>
          </w:p>
        </w:tc>
        <w:tc>
          <w:tcPr>
            <w:tcW w:w="580" w:type="dxa"/>
            <w:vAlign w:val="bottom"/>
            <w:shd w:val="clear" w:color="auto" w:fill="FCEFEB"/>
          </w:tcPr>
          <w:p>
            <w:pPr>
              <w:spacing w:after="0"/>
              <w:rPr>
                <w:sz w:val="17"/>
                <w:szCs w:val="17"/>
                <w:color w:val="auto"/>
              </w:rPr>
            </w:pPr>
          </w:p>
        </w:tc>
      </w:tr>
      <w:tr>
        <w:trPr>
          <w:trHeight w:val="170"/>
        </w:trPr>
        <w:tc>
          <w:tcPr>
            <w:tcW w:w="820" w:type="dxa"/>
            <w:vAlign w:val="bottom"/>
          </w:tcPr>
          <w:p>
            <w:pPr>
              <w:ind w:left="80"/>
              <w:spacing w:after="0"/>
              <w:rPr>
                <w:sz w:val="20"/>
                <w:szCs w:val="20"/>
                <w:color w:val="auto"/>
              </w:rPr>
            </w:pPr>
            <w:r>
              <w:rPr>
                <w:rFonts w:ascii="Arial" w:cs="Arial" w:eastAsia="Arial" w:hAnsi="Arial"/>
                <w:sz w:val="14"/>
                <w:szCs w:val="14"/>
                <w:b w:val="1"/>
                <w:bCs w:val="1"/>
                <w:color w:val="005C5D"/>
              </w:rPr>
              <w:t>Paraie</w:t>
            </w:r>
          </w:p>
        </w:tc>
        <w:tc>
          <w:tcPr>
            <w:tcW w:w="620" w:type="dxa"/>
            <w:vAlign w:val="bottom"/>
            <w:shd w:val="clear" w:color="auto" w:fill="FCEFEB"/>
          </w:tcPr>
          <w:p>
            <w:pPr>
              <w:ind w:left="40"/>
              <w:spacing w:after="0"/>
              <w:rPr>
                <w:sz w:val="20"/>
                <w:szCs w:val="20"/>
                <w:color w:val="auto"/>
              </w:rPr>
            </w:pPr>
            <w:r>
              <w:rPr>
                <w:rFonts w:ascii="Arial" w:cs="Arial" w:eastAsia="Arial" w:hAnsi="Arial"/>
                <w:sz w:val="14"/>
                <w:szCs w:val="14"/>
                <w:color w:val="333333"/>
                <w:w w:val="99"/>
              </w:rPr>
              <w:t>Incentive</w:t>
            </w:r>
          </w:p>
        </w:tc>
        <w:tc>
          <w:tcPr>
            <w:tcW w:w="940" w:type="dxa"/>
            <w:vAlign w:val="bottom"/>
            <w:shd w:val="clear" w:color="auto" w:fill="FCEFEB"/>
          </w:tcPr>
          <w:p>
            <w:pPr>
              <w:spacing w:after="0"/>
              <w:rPr>
                <w:sz w:val="14"/>
                <w:szCs w:val="14"/>
                <w:color w:val="auto"/>
              </w:rPr>
            </w:pPr>
          </w:p>
        </w:tc>
        <w:tc>
          <w:tcPr>
            <w:tcW w:w="520" w:type="dxa"/>
            <w:vAlign w:val="bottom"/>
            <w:shd w:val="clear" w:color="auto" w:fill="FCEFEB"/>
          </w:tcPr>
          <w:p>
            <w:pPr>
              <w:spacing w:after="0"/>
              <w:rPr>
                <w:sz w:val="14"/>
                <w:szCs w:val="14"/>
                <w:color w:val="auto"/>
              </w:rPr>
            </w:pPr>
          </w:p>
        </w:tc>
        <w:tc>
          <w:tcPr>
            <w:tcW w:w="780" w:type="dxa"/>
            <w:vAlign w:val="bottom"/>
            <w:shd w:val="clear" w:color="auto" w:fill="FCEFEB"/>
          </w:tcPr>
          <w:p>
            <w:pPr>
              <w:spacing w:after="0"/>
              <w:rPr>
                <w:sz w:val="14"/>
                <w:szCs w:val="14"/>
                <w:color w:val="auto"/>
              </w:rPr>
            </w:pPr>
          </w:p>
        </w:tc>
        <w:tc>
          <w:tcPr>
            <w:tcW w:w="300" w:type="dxa"/>
            <w:vAlign w:val="bottom"/>
            <w:shd w:val="clear" w:color="auto" w:fill="FCEFEB"/>
          </w:tcPr>
          <w:p>
            <w:pPr>
              <w:spacing w:after="0"/>
              <w:rPr>
                <w:sz w:val="14"/>
                <w:szCs w:val="14"/>
                <w:color w:val="auto"/>
              </w:rPr>
            </w:pPr>
          </w:p>
        </w:tc>
        <w:tc>
          <w:tcPr>
            <w:tcW w:w="700" w:type="dxa"/>
            <w:vAlign w:val="bottom"/>
            <w:shd w:val="clear" w:color="auto" w:fill="FCEFEB"/>
          </w:tcPr>
          <w:p>
            <w:pPr>
              <w:spacing w:after="0"/>
              <w:rPr>
                <w:sz w:val="14"/>
                <w:szCs w:val="14"/>
                <w:color w:val="auto"/>
              </w:rPr>
            </w:pPr>
          </w:p>
        </w:tc>
        <w:tc>
          <w:tcPr>
            <w:tcW w:w="320" w:type="dxa"/>
            <w:vAlign w:val="bottom"/>
            <w:shd w:val="clear" w:color="auto" w:fill="FCEFEB"/>
          </w:tcPr>
          <w:p>
            <w:pPr>
              <w:spacing w:after="0"/>
              <w:rPr>
                <w:sz w:val="14"/>
                <w:szCs w:val="14"/>
                <w:color w:val="auto"/>
              </w:rPr>
            </w:pPr>
          </w:p>
        </w:tc>
        <w:tc>
          <w:tcPr>
            <w:tcW w:w="820" w:type="dxa"/>
            <w:vAlign w:val="bottom"/>
            <w:shd w:val="clear" w:color="auto" w:fill="FCEFEB"/>
          </w:tcPr>
          <w:p>
            <w:pPr>
              <w:spacing w:after="0"/>
              <w:rPr>
                <w:sz w:val="14"/>
                <w:szCs w:val="14"/>
                <w:color w:val="auto"/>
              </w:rPr>
            </w:pPr>
          </w:p>
        </w:tc>
        <w:tc>
          <w:tcPr>
            <w:tcW w:w="1240" w:type="dxa"/>
            <w:vAlign w:val="bottom"/>
            <w:shd w:val="clear" w:color="auto" w:fill="FCEFEB"/>
          </w:tcPr>
          <w:p>
            <w:pPr>
              <w:spacing w:after="0"/>
              <w:rPr>
                <w:sz w:val="14"/>
                <w:szCs w:val="14"/>
                <w:color w:val="auto"/>
              </w:rPr>
            </w:pPr>
          </w:p>
        </w:tc>
        <w:tc>
          <w:tcPr>
            <w:tcW w:w="960" w:type="dxa"/>
            <w:vAlign w:val="bottom"/>
            <w:shd w:val="clear" w:color="auto" w:fill="FCEFEB"/>
          </w:tcPr>
          <w:p>
            <w:pPr>
              <w:spacing w:after="0"/>
              <w:rPr>
                <w:sz w:val="14"/>
                <w:szCs w:val="14"/>
                <w:color w:val="auto"/>
              </w:rPr>
            </w:pPr>
          </w:p>
        </w:tc>
        <w:tc>
          <w:tcPr>
            <w:tcW w:w="1000" w:type="dxa"/>
            <w:vAlign w:val="bottom"/>
            <w:shd w:val="clear" w:color="auto" w:fill="FCEFEB"/>
          </w:tcPr>
          <w:p>
            <w:pPr>
              <w:spacing w:after="0"/>
              <w:rPr>
                <w:sz w:val="14"/>
                <w:szCs w:val="14"/>
                <w:color w:val="auto"/>
              </w:rPr>
            </w:pPr>
          </w:p>
        </w:tc>
        <w:tc>
          <w:tcPr>
            <w:tcW w:w="820" w:type="dxa"/>
            <w:vAlign w:val="bottom"/>
            <w:shd w:val="clear" w:color="auto" w:fill="FCEFEB"/>
          </w:tcPr>
          <w:p>
            <w:pPr>
              <w:spacing w:after="0"/>
              <w:rPr>
                <w:sz w:val="14"/>
                <w:szCs w:val="14"/>
                <w:color w:val="auto"/>
              </w:rPr>
            </w:pPr>
          </w:p>
        </w:tc>
        <w:tc>
          <w:tcPr>
            <w:tcW w:w="500" w:type="dxa"/>
            <w:vAlign w:val="bottom"/>
            <w:shd w:val="clear" w:color="auto" w:fill="FCEFEB"/>
          </w:tcPr>
          <w:p>
            <w:pPr>
              <w:spacing w:after="0"/>
              <w:rPr>
                <w:sz w:val="14"/>
                <w:szCs w:val="14"/>
                <w:color w:val="auto"/>
              </w:rPr>
            </w:pPr>
          </w:p>
        </w:tc>
        <w:tc>
          <w:tcPr>
            <w:tcW w:w="580" w:type="dxa"/>
            <w:vAlign w:val="bottom"/>
            <w:shd w:val="clear" w:color="auto" w:fill="FCEFEB"/>
          </w:tcPr>
          <w:p>
            <w:pPr>
              <w:spacing w:after="0"/>
              <w:rPr>
                <w:sz w:val="14"/>
                <w:szCs w:val="14"/>
                <w:color w:val="auto"/>
              </w:rPr>
            </w:pPr>
          </w:p>
        </w:tc>
      </w:tr>
      <w:tr>
        <w:trPr>
          <w:trHeight w:val="151"/>
        </w:trPr>
        <w:tc>
          <w:tcPr>
            <w:tcW w:w="820" w:type="dxa"/>
            <w:vAlign w:val="bottom"/>
          </w:tcPr>
          <w:p>
            <w:pPr>
              <w:spacing w:after="0"/>
              <w:rPr>
                <w:sz w:val="13"/>
                <w:szCs w:val="13"/>
                <w:color w:val="auto"/>
              </w:rPr>
            </w:pPr>
          </w:p>
        </w:tc>
        <w:tc>
          <w:tcPr>
            <w:tcW w:w="620" w:type="dxa"/>
            <w:vAlign w:val="bottom"/>
            <w:shd w:val="clear" w:color="auto" w:fill="FCEFEB"/>
          </w:tcPr>
          <w:p>
            <w:pPr>
              <w:ind w:left="40"/>
              <w:spacing w:after="0" w:line="151" w:lineRule="exact"/>
              <w:rPr>
                <w:sz w:val="20"/>
                <w:szCs w:val="20"/>
                <w:color w:val="auto"/>
              </w:rPr>
            </w:pPr>
            <w:r>
              <w:rPr>
                <w:rFonts w:ascii="Arial" w:cs="Arial" w:eastAsia="Arial" w:hAnsi="Arial"/>
                <w:sz w:val="14"/>
                <w:szCs w:val="14"/>
                <w:color w:val="333333"/>
              </w:rPr>
              <w:t>TRSUs</w:t>
            </w:r>
          </w:p>
        </w:tc>
        <w:tc>
          <w:tcPr>
            <w:tcW w:w="940" w:type="dxa"/>
            <w:vAlign w:val="bottom"/>
            <w:shd w:val="clear" w:color="auto" w:fill="FCEFEB"/>
          </w:tcPr>
          <w:p>
            <w:pPr>
              <w:ind w:left="40"/>
              <w:spacing w:after="0" w:line="151" w:lineRule="exact"/>
              <w:rPr>
                <w:sz w:val="20"/>
                <w:szCs w:val="20"/>
                <w:color w:val="auto"/>
              </w:rPr>
            </w:pPr>
            <w:r>
              <w:rPr>
                <w:rFonts w:ascii="Arial" w:cs="Arial" w:eastAsia="Arial" w:hAnsi="Arial"/>
                <w:sz w:val="14"/>
                <w:szCs w:val="14"/>
                <w:color w:val="333333"/>
              </w:rPr>
              <w:t>December 12,</w:t>
            </w:r>
          </w:p>
        </w:tc>
        <w:tc>
          <w:tcPr>
            <w:tcW w:w="520" w:type="dxa"/>
            <w:vAlign w:val="bottom"/>
            <w:shd w:val="clear" w:color="auto" w:fill="FCEFEB"/>
          </w:tcPr>
          <w:p>
            <w:pPr>
              <w:spacing w:after="0"/>
              <w:rPr>
                <w:sz w:val="13"/>
                <w:szCs w:val="13"/>
                <w:color w:val="auto"/>
              </w:rPr>
            </w:pPr>
          </w:p>
        </w:tc>
        <w:tc>
          <w:tcPr>
            <w:tcW w:w="780" w:type="dxa"/>
            <w:vAlign w:val="bottom"/>
            <w:shd w:val="clear" w:color="auto" w:fill="FCEFEB"/>
          </w:tcPr>
          <w:p>
            <w:pPr>
              <w:spacing w:after="0"/>
              <w:rPr>
                <w:sz w:val="13"/>
                <w:szCs w:val="13"/>
                <w:color w:val="auto"/>
              </w:rPr>
            </w:pPr>
          </w:p>
        </w:tc>
        <w:tc>
          <w:tcPr>
            <w:tcW w:w="300" w:type="dxa"/>
            <w:vAlign w:val="bottom"/>
            <w:shd w:val="clear" w:color="auto" w:fill="FCEFEB"/>
          </w:tcPr>
          <w:p>
            <w:pPr>
              <w:spacing w:after="0"/>
              <w:rPr>
                <w:sz w:val="13"/>
                <w:szCs w:val="13"/>
                <w:color w:val="auto"/>
              </w:rPr>
            </w:pPr>
          </w:p>
        </w:tc>
        <w:tc>
          <w:tcPr>
            <w:tcW w:w="700" w:type="dxa"/>
            <w:vAlign w:val="bottom"/>
            <w:shd w:val="clear" w:color="auto" w:fill="FCEFEB"/>
          </w:tcPr>
          <w:p>
            <w:pPr>
              <w:spacing w:after="0"/>
              <w:rPr>
                <w:sz w:val="13"/>
                <w:szCs w:val="13"/>
                <w:color w:val="auto"/>
              </w:rPr>
            </w:pPr>
          </w:p>
        </w:tc>
        <w:tc>
          <w:tcPr>
            <w:tcW w:w="320" w:type="dxa"/>
            <w:vAlign w:val="bottom"/>
            <w:shd w:val="clear" w:color="auto" w:fill="FCEFEB"/>
          </w:tcPr>
          <w:p>
            <w:pPr>
              <w:spacing w:after="0"/>
              <w:rPr>
                <w:sz w:val="13"/>
                <w:szCs w:val="13"/>
                <w:color w:val="auto"/>
              </w:rPr>
            </w:pPr>
          </w:p>
        </w:tc>
        <w:tc>
          <w:tcPr>
            <w:tcW w:w="820" w:type="dxa"/>
            <w:vAlign w:val="bottom"/>
            <w:shd w:val="clear" w:color="auto" w:fill="FCEFEB"/>
          </w:tcPr>
          <w:p>
            <w:pPr>
              <w:spacing w:after="0"/>
              <w:rPr>
                <w:sz w:val="13"/>
                <w:szCs w:val="13"/>
                <w:color w:val="auto"/>
              </w:rPr>
            </w:pPr>
          </w:p>
        </w:tc>
        <w:tc>
          <w:tcPr>
            <w:tcW w:w="1240" w:type="dxa"/>
            <w:vAlign w:val="bottom"/>
            <w:shd w:val="clear" w:color="auto" w:fill="FCEFEB"/>
          </w:tcPr>
          <w:p>
            <w:pPr>
              <w:spacing w:after="0"/>
              <w:rPr>
                <w:sz w:val="13"/>
                <w:szCs w:val="13"/>
                <w:color w:val="auto"/>
              </w:rPr>
            </w:pPr>
          </w:p>
        </w:tc>
        <w:tc>
          <w:tcPr>
            <w:tcW w:w="960" w:type="dxa"/>
            <w:vAlign w:val="bottom"/>
            <w:shd w:val="clear" w:color="auto" w:fill="FCEFEB"/>
          </w:tcPr>
          <w:p>
            <w:pPr>
              <w:spacing w:after="0"/>
              <w:rPr>
                <w:sz w:val="13"/>
                <w:szCs w:val="13"/>
                <w:color w:val="auto"/>
              </w:rPr>
            </w:pPr>
          </w:p>
        </w:tc>
        <w:tc>
          <w:tcPr>
            <w:tcW w:w="1000" w:type="dxa"/>
            <w:vAlign w:val="bottom"/>
            <w:shd w:val="clear" w:color="auto" w:fill="FCEFEB"/>
          </w:tcPr>
          <w:p>
            <w:pPr>
              <w:spacing w:after="0"/>
              <w:rPr>
                <w:sz w:val="13"/>
                <w:szCs w:val="13"/>
                <w:color w:val="auto"/>
              </w:rPr>
            </w:pPr>
          </w:p>
        </w:tc>
        <w:tc>
          <w:tcPr>
            <w:tcW w:w="820" w:type="dxa"/>
            <w:vAlign w:val="bottom"/>
            <w:shd w:val="clear" w:color="auto" w:fill="FCEFEB"/>
          </w:tcPr>
          <w:p>
            <w:pPr>
              <w:jc w:val="right"/>
              <w:spacing w:after="0" w:line="151" w:lineRule="exact"/>
              <w:rPr>
                <w:sz w:val="20"/>
                <w:szCs w:val="20"/>
                <w:color w:val="auto"/>
              </w:rPr>
            </w:pPr>
            <w:r>
              <w:rPr>
                <w:rFonts w:ascii="Arial" w:cs="Arial" w:eastAsia="Arial" w:hAnsi="Arial"/>
                <w:sz w:val="14"/>
                <w:szCs w:val="14"/>
                <w:color w:val="333333"/>
              </w:rPr>
              <w:t>269,231</w:t>
            </w:r>
          </w:p>
        </w:tc>
        <w:tc>
          <w:tcPr>
            <w:tcW w:w="500" w:type="dxa"/>
            <w:vAlign w:val="bottom"/>
            <w:shd w:val="clear" w:color="auto" w:fill="FCEFEB"/>
          </w:tcPr>
          <w:p>
            <w:pPr>
              <w:jc w:val="right"/>
              <w:spacing w:after="0" w:line="151" w:lineRule="exact"/>
              <w:rPr>
                <w:sz w:val="20"/>
                <w:szCs w:val="20"/>
                <w:color w:val="auto"/>
              </w:rPr>
            </w:pPr>
            <w:r>
              <w:rPr>
                <w:rFonts w:ascii="Arial" w:cs="Arial" w:eastAsia="Arial" w:hAnsi="Arial"/>
                <w:sz w:val="14"/>
                <w:szCs w:val="14"/>
                <w:color w:val="333333"/>
              </w:rPr>
              <w:t>$</w:t>
            </w:r>
          </w:p>
        </w:tc>
        <w:tc>
          <w:tcPr>
            <w:tcW w:w="580" w:type="dxa"/>
            <w:vAlign w:val="bottom"/>
            <w:shd w:val="clear" w:color="auto" w:fill="FCEFEB"/>
          </w:tcPr>
          <w:p>
            <w:pPr>
              <w:jc w:val="right"/>
              <w:spacing w:after="0" w:line="151" w:lineRule="exact"/>
              <w:rPr>
                <w:sz w:val="20"/>
                <w:szCs w:val="20"/>
                <w:color w:val="auto"/>
              </w:rPr>
            </w:pPr>
            <w:r>
              <w:rPr>
                <w:rFonts w:ascii="Arial" w:cs="Arial" w:eastAsia="Arial" w:hAnsi="Arial"/>
                <w:sz w:val="14"/>
                <w:szCs w:val="14"/>
                <w:color w:val="333333"/>
                <w:w w:val="98"/>
              </w:rPr>
              <w:t>525,000</w:t>
            </w:r>
          </w:p>
        </w:tc>
      </w:tr>
      <w:tr>
        <w:trPr>
          <w:trHeight w:val="189"/>
        </w:trPr>
        <w:tc>
          <w:tcPr>
            <w:tcW w:w="820" w:type="dxa"/>
            <w:vAlign w:val="bottom"/>
          </w:tcPr>
          <w:p>
            <w:pPr>
              <w:spacing w:after="0"/>
              <w:rPr>
                <w:sz w:val="16"/>
                <w:szCs w:val="16"/>
                <w:color w:val="auto"/>
              </w:rPr>
            </w:pPr>
          </w:p>
        </w:tc>
        <w:tc>
          <w:tcPr>
            <w:tcW w:w="620" w:type="dxa"/>
            <w:vAlign w:val="bottom"/>
            <w:shd w:val="clear" w:color="auto" w:fill="FCEFEB"/>
          </w:tcPr>
          <w:p>
            <w:pPr>
              <w:spacing w:after="0"/>
              <w:rPr>
                <w:sz w:val="16"/>
                <w:szCs w:val="16"/>
                <w:color w:val="auto"/>
              </w:rPr>
            </w:pPr>
          </w:p>
        </w:tc>
        <w:tc>
          <w:tcPr>
            <w:tcW w:w="940" w:type="dxa"/>
            <w:vAlign w:val="bottom"/>
            <w:shd w:val="clear" w:color="auto" w:fill="FCEFEB"/>
          </w:tcPr>
          <w:p>
            <w:pPr>
              <w:ind w:left="40"/>
              <w:spacing w:after="0"/>
              <w:rPr>
                <w:sz w:val="20"/>
                <w:szCs w:val="20"/>
                <w:color w:val="auto"/>
              </w:rPr>
            </w:pPr>
            <w:r>
              <w:rPr>
                <w:rFonts w:ascii="Arial" w:cs="Arial" w:eastAsia="Arial" w:hAnsi="Arial"/>
                <w:sz w:val="14"/>
                <w:szCs w:val="14"/>
                <w:color w:val="333333"/>
              </w:rPr>
              <w:t>2025</w:t>
            </w:r>
          </w:p>
        </w:tc>
        <w:tc>
          <w:tcPr>
            <w:tcW w:w="520" w:type="dxa"/>
            <w:vAlign w:val="bottom"/>
            <w:shd w:val="clear" w:color="auto" w:fill="FCEFEB"/>
          </w:tcPr>
          <w:p>
            <w:pPr>
              <w:spacing w:after="0"/>
              <w:rPr>
                <w:sz w:val="16"/>
                <w:szCs w:val="16"/>
                <w:color w:val="auto"/>
              </w:rPr>
            </w:pPr>
          </w:p>
        </w:tc>
        <w:tc>
          <w:tcPr>
            <w:tcW w:w="780" w:type="dxa"/>
            <w:vAlign w:val="bottom"/>
            <w:shd w:val="clear" w:color="auto" w:fill="FCEFEB"/>
          </w:tcPr>
          <w:p>
            <w:pPr>
              <w:spacing w:after="0"/>
              <w:rPr>
                <w:sz w:val="16"/>
                <w:szCs w:val="16"/>
                <w:color w:val="auto"/>
              </w:rPr>
            </w:pPr>
          </w:p>
        </w:tc>
        <w:tc>
          <w:tcPr>
            <w:tcW w:w="300" w:type="dxa"/>
            <w:vAlign w:val="bottom"/>
            <w:shd w:val="clear" w:color="auto" w:fill="FCEFEB"/>
          </w:tcPr>
          <w:p>
            <w:pPr>
              <w:spacing w:after="0"/>
              <w:rPr>
                <w:sz w:val="16"/>
                <w:szCs w:val="16"/>
                <w:color w:val="auto"/>
              </w:rPr>
            </w:pPr>
          </w:p>
        </w:tc>
        <w:tc>
          <w:tcPr>
            <w:tcW w:w="700" w:type="dxa"/>
            <w:vAlign w:val="bottom"/>
            <w:shd w:val="clear" w:color="auto" w:fill="FCEFEB"/>
          </w:tcPr>
          <w:p>
            <w:pPr>
              <w:spacing w:after="0"/>
              <w:rPr>
                <w:sz w:val="16"/>
                <w:szCs w:val="16"/>
                <w:color w:val="auto"/>
              </w:rPr>
            </w:pPr>
          </w:p>
        </w:tc>
        <w:tc>
          <w:tcPr>
            <w:tcW w:w="320" w:type="dxa"/>
            <w:vAlign w:val="bottom"/>
            <w:shd w:val="clear" w:color="auto" w:fill="FCEFEB"/>
          </w:tcPr>
          <w:p>
            <w:pPr>
              <w:spacing w:after="0"/>
              <w:rPr>
                <w:sz w:val="16"/>
                <w:szCs w:val="16"/>
                <w:color w:val="auto"/>
              </w:rPr>
            </w:pPr>
          </w:p>
        </w:tc>
        <w:tc>
          <w:tcPr>
            <w:tcW w:w="820" w:type="dxa"/>
            <w:vAlign w:val="bottom"/>
            <w:shd w:val="clear" w:color="auto" w:fill="FCEFEB"/>
          </w:tcPr>
          <w:p>
            <w:pPr>
              <w:spacing w:after="0"/>
              <w:rPr>
                <w:sz w:val="16"/>
                <w:szCs w:val="16"/>
                <w:color w:val="auto"/>
              </w:rPr>
            </w:pPr>
          </w:p>
        </w:tc>
        <w:tc>
          <w:tcPr>
            <w:tcW w:w="1240" w:type="dxa"/>
            <w:vAlign w:val="bottom"/>
            <w:shd w:val="clear" w:color="auto" w:fill="FCEFEB"/>
          </w:tcPr>
          <w:p>
            <w:pPr>
              <w:spacing w:after="0"/>
              <w:rPr>
                <w:sz w:val="16"/>
                <w:szCs w:val="16"/>
                <w:color w:val="auto"/>
              </w:rPr>
            </w:pPr>
          </w:p>
        </w:tc>
        <w:tc>
          <w:tcPr>
            <w:tcW w:w="960" w:type="dxa"/>
            <w:vAlign w:val="bottom"/>
            <w:shd w:val="clear" w:color="auto" w:fill="FCEFEB"/>
          </w:tcPr>
          <w:p>
            <w:pPr>
              <w:spacing w:after="0"/>
              <w:rPr>
                <w:sz w:val="16"/>
                <w:szCs w:val="16"/>
                <w:color w:val="auto"/>
              </w:rPr>
            </w:pPr>
          </w:p>
        </w:tc>
        <w:tc>
          <w:tcPr>
            <w:tcW w:w="1000" w:type="dxa"/>
            <w:vAlign w:val="bottom"/>
            <w:shd w:val="clear" w:color="auto" w:fill="FCEFEB"/>
          </w:tcPr>
          <w:p>
            <w:pPr>
              <w:spacing w:after="0"/>
              <w:rPr>
                <w:sz w:val="16"/>
                <w:szCs w:val="16"/>
                <w:color w:val="auto"/>
              </w:rPr>
            </w:pPr>
          </w:p>
        </w:tc>
        <w:tc>
          <w:tcPr>
            <w:tcW w:w="820" w:type="dxa"/>
            <w:vAlign w:val="bottom"/>
            <w:shd w:val="clear" w:color="auto" w:fill="FCEFEB"/>
          </w:tcPr>
          <w:p>
            <w:pPr>
              <w:spacing w:after="0"/>
              <w:rPr>
                <w:sz w:val="16"/>
                <w:szCs w:val="16"/>
                <w:color w:val="auto"/>
              </w:rPr>
            </w:pPr>
          </w:p>
        </w:tc>
        <w:tc>
          <w:tcPr>
            <w:tcW w:w="500" w:type="dxa"/>
            <w:vAlign w:val="bottom"/>
            <w:shd w:val="clear" w:color="auto" w:fill="FCEFEB"/>
          </w:tcPr>
          <w:p>
            <w:pPr>
              <w:spacing w:after="0"/>
              <w:rPr>
                <w:sz w:val="16"/>
                <w:szCs w:val="16"/>
                <w:color w:val="auto"/>
              </w:rPr>
            </w:pPr>
          </w:p>
        </w:tc>
        <w:tc>
          <w:tcPr>
            <w:tcW w:w="580" w:type="dxa"/>
            <w:vAlign w:val="bottom"/>
            <w:shd w:val="clear" w:color="auto" w:fill="FCEFEB"/>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620" w:type="dxa"/>
            <w:vAlign w:val="bottom"/>
            <w:shd w:val="clear" w:color="auto" w:fill="FCEFEB"/>
          </w:tcPr>
          <w:p>
            <w:pPr>
              <w:spacing w:after="0" w:line="20" w:lineRule="exact"/>
              <w:rPr>
                <w:sz w:val="1"/>
                <w:szCs w:val="1"/>
                <w:color w:val="auto"/>
              </w:rPr>
            </w:pPr>
          </w:p>
        </w:tc>
        <w:tc>
          <w:tcPr>
            <w:tcW w:w="940" w:type="dxa"/>
            <w:vAlign w:val="bottom"/>
            <w:shd w:val="clear" w:color="auto" w:fill="FCEFEB"/>
          </w:tcPr>
          <w:p>
            <w:pPr>
              <w:spacing w:after="0" w:line="20" w:lineRule="exact"/>
              <w:rPr>
                <w:sz w:val="1"/>
                <w:szCs w:val="1"/>
                <w:color w:val="auto"/>
              </w:rPr>
            </w:pPr>
          </w:p>
        </w:tc>
        <w:tc>
          <w:tcPr>
            <w:tcW w:w="520" w:type="dxa"/>
            <w:vAlign w:val="bottom"/>
            <w:shd w:val="clear" w:color="auto" w:fill="FCEFEB"/>
          </w:tcPr>
          <w:p>
            <w:pPr>
              <w:spacing w:after="0" w:line="20" w:lineRule="exact"/>
              <w:rPr>
                <w:sz w:val="1"/>
                <w:szCs w:val="1"/>
                <w:color w:val="auto"/>
              </w:rPr>
            </w:pPr>
          </w:p>
        </w:tc>
        <w:tc>
          <w:tcPr>
            <w:tcW w:w="780" w:type="dxa"/>
            <w:vAlign w:val="bottom"/>
            <w:shd w:val="clear" w:color="auto" w:fill="FCEFEB"/>
          </w:tcPr>
          <w:p>
            <w:pPr>
              <w:spacing w:after="0" w:line="20" w:lineRule="exact"/>
              <w:rPr>
                <w:sz w:val="1"/>
                <w:szCs w:val="1"/>
                <w:color w:val="auto"/>
              </w:rPr>
            </w:pPr>
          </w:p>
        </w:tc>
        <w:tc>
          <w:tcPr>
            <w:tcW w:w="300" w:type="dxa"/>
            <w:vAlign w:val="bottom"/>
            <w:shd w:val="clear" w:color="auto" w:fill="FCEFEB"/>
          </w:tcPr>
          <w:p>
            <w:pPr>
              <w:spacing w:after="0" w:line="20" w:lineRule="exact"/>
              <w:rPr>
                <w:sz w:val="1"/>
                <w:szCs w:val="1"/>
                <w:color w:val="auto"/>
              </w:rPr>
            </w:pPr>
          </w:p>
        </w:tc>
        <w:tc>
          <w:tcPr>
            <w:tcW w:w="700" w:type="dxa"/>
            <w:vAlign w:val="bottom"/>
            <w:shd w:val="clear" w:color="auto" w:fill="FCEFEB"/>
          </w:tcPr>
          <w:p>
            <w:pPr>
              <w:spacing w:after="0" w:line="20" w:lineRule="exact"/>
              <w:rPr>
                <w:sz w:val="1"/>
                <w:szCs w:val="1"/>
                <w:color w:val="auto"/>
              </w:rPr>
            </w:pPr>
          </w:p>
        </w:tc>
        <w:tc>
          <w:tcPr>
            <w:tcW w:w="320" w:type="dxa"/>
            <w:vAlign w:val="bottom"/>
            <w:shd w:val="clear" w:color="auto" w:fill="FCEFEB"/>
          </w:tcPr>
          <w:p>
            <w:pPr>
              <w:spacing w:after="0" w:line="20" w:lineRule="exact"/>
              <w:rPr>
                <w:sz w:val="1"/>
                <w:szCs w:val="1"/>
                <w:color w:val="auto"/>
              </w:rPr>
            </w:pPr>
          </w:p>
        </w:tc>
        <w:tc>
          <w:tcPr>
            <w:tcW w:w="820" w:type="dxa"/>
            <w:vAlign w:val="bottom"/>
            <w:shd w:val="clear" w:color="auto" w:fill="FCEFEB"/>
          </w:tcPr>
          <w:p>
            <w:pPr>
              <w:spacing w:after="0" w:line="20" w:lineRule="exact"/>
              <w:rPr>
                <w:sz w:val="1"/>
                <w:szCs w:val="1"/>
                <w:color w:val="auto"/>
              </w:rPr>
            </w:pPr>
          </w:p>
        </w:tc>
        <w:tc>
          <w:tcPr>
            <w:tcW w:w="1240" w:type="dxa"/>
            <w:vAlign w:val="bottom"/>
            <w:shd w:val="clear" w:color="auto" w:fill="FCEFEB"/>
          </w:tcPr>
          <w:p>
            <w:pPr>
              <w:spacing w:after="0" w:line="20" w:lineRule="exact"/>
              <w:rPr>
                <w:sz w:val="1"/>
                <w:szCs w:val="1"/>
                <w:color w:val="auto"/>
              </w:rPr>
            </w:pPr>
          </w:p>
        </w:tc>
        <w:tc>
          <w:tcPr>
            <w:tcW w:w="960" w:type="dxa"/>
            <w:vAlign w:val="bottom"/>
            <w:shd w:val="clear" w:color="auto" w:fill="FCEFEB"/>
          </w:tcPr>
          <w:p>
            <w:pPr>
              <w:spacing w:after="0" w:line="20" w:lineRule="exact"/>
              <w:rPr>
                <w:sz w:val="1"/>
                <w:szCs w:val="1"/>
                <w:color w:val="auto"/>
              </w:rPr>
            </w:pPr>
          </w:p>
        </w:tc>
        <w:tc>
          <w:tcPr>
            <w:tcW w:w="1000" w:type="dxa"/>
            <w:vAlign w:val="bottom"/>
            <w:shd w:val="clear" w:color="auto" w:fill="FCEFEB"/>
          </w:tcPr>
          <w:p>
            <w:pPr>
              <w:spacing w:after="0" w:line="20" w:lineRule="exact"/>
              <w:rPr>
                <w:sz w:val="1"/>
                <w:szCs w:val="1"/>
                <w:color w:val="auto"/>
              </w:rPr>
            </w:pPr>
          </w:p>
        </w:tc>
        <w:tc>
          <w:tcPr>
            <w:tcW w:w="820" w:type="dxa"/>
            <w:vAlign w:val="bottom"/>
            <w:shd w:val="clear" w:color="auto" w:fill="FCEFEB"/>
          </w:tcPr>
          <w:p>
            <w:pPr>
              <w:spacing w:after="0" w:line="20" w:lineRule="exact"/>
              <w:rPr>
                <w:sz w:val="1"/>
                <w:szCs w:val="1"/>
                <w:color w:val="auto"/>
              </w:rPr>
            </w:pPr>
          </w:p>
        </w:tc>
        <w:tc>
          <w:tcPr>
            <w:tcW w:w="500" w:type="dxa"/>
            <w:vAlign w:val="bottom"/>
            <w:shd w:val="clear" w:color="auto" w:fill="FCEFEB"/>
          </w:tcPr>
          <w:p>
            <w:pPr>
              <w:spacing w:after="0" w:line="20" w:lineRule="exact"/>
              <w:rPr>
                <w:sz w:val="1"/>
                <w:szCs w:val="1"/>
                <w:color w:val="auto"/>
              </w:rPr>
            </w:pPr>
          </w:p>
        </w:tc>
        <w:tc>
          <w:tcPr>
            <w:tcW w:w="580" w:type="dxa"/>
            <w:vAlign w:val="bottom"/>
            <w:shd w:val="clear" w:color="auto" w:fill="FCEFEB"/>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wp:posOffset>
            </wp:positionV>
            <wp:extent cx="692975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ind w:left="480" w:hanging="313"/>
        <w:spacing w:after="0" w:line="239" w:lineRule="auto"/>
        <w:tabs>
          <w:tab w:leader="none" w:pos="480" w:val="left"/>
        </w:tabs>
        <w:numPr>
          <w:ilvl w:val="0"/>
          <w:numId w:val="42"/>
        </w:numPr>
        <w:rPr>
          <w:rFonts w:ascii="Arial" w:cs="Arial" w:eastAsia="Arial" w:hAnsi="Arial"/>
          <w:sz w:val="12"/>
          <w:szCs w:val="12"/>
          <w:color w:val="333333"/>
        </w:rPr>
      </w:pPr>
      <w:r>
        <w:rPr>
          <w:rFonts w:ascii="Arial" w:cs="Arial" w:eastAsia="Arial" w:hAnsi="Arial"/>
          <w:sz w:val="12"/>
          <w:szCs w:val="12"/>
          <w:color w:val="333333"/>
        </w:rPr>
        <w:t>Awards available under the Company’s fiscal 2026 Annual Incentive Bonus Program. For Ms. Ardrey, Mr. Layding, Mr. Schwindle, Mr. Dely, and Ms. Hiatt, the amounts shown above are based upon fiscal 2026 eligible earnings.</w:t>
      </w:r>
    </w:p>
    <w:p>
      <w:pPr>
        <w:jc w:val="both"/>
        <w:ind w:left="480" w:hanging="313"/>
        <w:spacing w:after="0" w:line="232" w:lineRule="auto"/>
        <w:tabs>
          <w:tab w:leader="none" w:pos="480" w:val="left"/>
        </w:tabs>
        <w:numPr>
          <w:ilvl w:val="0"/>
          <w:numId w:val="42"/>
        </w:numPr>
        <w:rPr>
          <w:rFonts w:ascii="Arial" w:cs="Arial" w:eastAsia="Arial" w:hAnsi="Arial"/>
          <w:sz w:val="12"/>
          <w:szCs w:val="12"/>
          <w:color w:val="333333"/>
        </w:rPr>
      </w:pPr>
      <w:r>
        <w:rPr>
          <w:rFonts w:ascii="Arial" w:cs="Arial" w:eastAsia="Arial" w:hAnsi="Arial"/>
          <w:sz w:val="12"/>
          <w:szCs w:val="12"/>
          <w:color w:val="333333"/>
        </w:rPr>
        <w:t xml:space="preserve">Amounts stated in shares. Awards made under the Incentive Plan to certain employees and directors, including our NEOs. TRSUs vest in three equal annual installments on the first, second, and third anniversaries of the grant date. PRSUs have a three-year cliff-vesting schedule based on continued employment and performance. The performance feature is based on earnings per share growth over the three-year performance period. Vesting would be accelerated in the event of death, disability, or a change in control. See “— Potential Payments on Termination or Change in Control.” If the Company were to declare any cash dividend on its common shares, an equivalent amount per RSU would be credited to an account for each holder and paid to the holder in cash (or forfeited) at the time the shares underlying the RSU are delivered to the holder (or forfeited). Amounts in this account would bear interest at the prime rate reported in the Midwest Edition of </w:t>
      </w:r>
      <w:r>
        <w:rPr>
          <w:rFonts w:ascii="Arial" w:cs="Arial" w:eastAsia="Arial" w:hAnsi="Arial"/>
          <w:sz w:val="12"/>
          <w:szCs w:val="12"/>
          <w:i w:val="1"/>
          <w:iCs w:val="1"/>
          <w:color w:val="333333"/>
        </w:rPr>
        <w:t>The Wall Street Journal</w:t>
      </w:r>
      <w:r>
        <w:rPr>
          <w:rFonts w:ascii="Arial" w:cs="Arial" w:eastAsia="Arial" w:hAnsi="Arial"/>
          <w:sz w:val="12"/>
          <w:szCs w:val="12"/>
          <w:color w:val="333333"/>
        </w:rPr>
        <w:t xml:space="preserve"> from the date of deposit until paid to the holder or forfeited in accordance with the Incentive Plan.</w:t>
      </w:r>
    </w:p>
    <w:p>
      <w:pPr>
        <w:spacing w:after="0" w:line="2" w:lineRule="exact"/>
        <w:rPr>
          <w:rFonts w:ascii="Arial" w:cs="Arial" w:eastAsia="Arial" w:hAnsi="Arial"/>
          <w:sz w:val="12"/>
          <w:szCs w:val="12"/>
          <w:color w:val="333333"/>
        </w:rPr>
      </w:pPr>
    </w:p>
    <w:p>
      <w:pPr>
        <w:ind w:left="480" w:hanging="313"/>
        <w:spacing w:after="0" w:line="232" w:lineRule="auto"/>
        <w:tabs>
          <w:tab w:leader="none" w:pos="480" w:val="left"/>
        </w:tabs>
        <w:numPr>
          <w:ilvl w:val="0"/>
          <w:numId w:val="42"/>
        </w:numPr>
        <w:rPr>
          <w:rFonts w:ascii="Arial" w:cs="Arial" w:eastAsia="Arial" w:hAnsi="Arial"/>
          <w:sz w:val="12"/>
          <w:szCs w:val="12"/>
          <w:color w:val="333333"/>
        </w:rPr>
      </w:pPr>
      <w:r>
        <w:rPr>
          <w:rFonts w:ascii="Arial" w:cs="Arial" w:eastAsia="Arial" w:hAnsi="Arial"/>
          <w:sz w:val="12"/>
          <w:szCs w:val="12"/>
          <w:color w:val="333333"/>
        </w:rPr>
        <w:t>Represents the grant date fair value of each award computed in accordance with FASB Topic 718.</w:t>
      </w:r>
    </w:p>
    <w:p>
      <w:pPr>
        <w:ind w:left="480" w:hanging="313"/>
        <w:spacing w:after="0"/>
        <w:tabs>
          <w:tab w:leader="none" w:pos="480" w:val="left"/>
        </w:tabs>
        <w:numPr>
          <w:ilvl w:val="0"/>
          <w:numId w:val="42"/>
        </w:numPr>
        <w:rPr>
          <w:rFonts w:ascii="Arial" w:cs="Arial" w:eastAsia="Arial" w:hAnsi="Arial"/>
          <w:sz w:val="12"/>
          <w:szCs w:val="12"/>
          <w:color w:val="333333"/>
        </w:rPr>
      </w:pPr>
      <w:r>
        <w:rPr>
          <w:rFonts w:ascii="Arial" w:cs="Arial" w:eastAsia="Arial" w:hAnsi="Arial"/>
          <w:sz w:val="12"/>
          <w:szCs w:val="12"/>
          <w:color w:val="333333"/>
        </w:rPr>
        <w:t>TRSUs granted in connection with Mr. Bickley’s Director role prior to his appointment as Executive Chairman in July 2025.</w:t>
      </w:r>
    </w:p>
    <w:p>
      <w:pPr>
        <w:spacing w:after="0" w:line="140" w:lineRule="exact"/>
        <w:rPr>
          <w:sz w:val="20"/>
          <w:szCs w:val="20"/>
          <w:color w:val="auto"/>
        </w:rPr>
      </w:pPr>
    </w:p>
    <w:p>
      <w:pPr>
        <w:ind w:left="4940"/>
        <w:spacing w:after="0"/>
        <w:tabs>
          <w:tab w:leader="none" w:pos="9080" w:val="left"/>
          <w:tab w:leader="none" w:pos="1090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33</w:t>
      </w:r>
    </w:p>
    <w:p>
      <w:pPr>
        <w:sectPr>
          <w:pgSz w:w="11900" w:h="16838" w:orient="portrait"/>
          <w:cols w:equalWidth="0" w:num="1">
            <w:col w:w="11080"/>
          </w:cols>
          <w:pgMar w:left="320" w:top="478"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9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Outstanding Equity Awards at 2026 Fiscal Year-End</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The following table sets forth information regarding outstanding equity awards as of January 31, 2026.</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67"/>
        </w:trPr>
        <w:tc>
          <w:tcPr>
            <w:tcW w:w="1900" w:type="dxa"/>
            <w:vAlign w:val="bottom"/>
            <w:shd w:val="clear" w:color="auto" w:fill="005C5D"/>
          </w:tcPr>
          <w:p>
            <w:pPr>
              <w:spacing w:after="0"/>
              <w:rPr>
                <w:sz w:val="5"/>
                <w:szCs w:val="5"/>
                <w:color w:val="auto"/>
              </w:rPr>
            </w:pPr>
          </w:p>
        </w:tc>
        <w:tc>
          <w:tcPr>
            <w:tcW w:w="1780" w:type="dxa"/>
            <w:vAlign w:val="bottom"/>
            <w:shd w:val="clear" w:color="auto" w:fill="005C5D"/>
          </w:tcPr>
          <w:p>
            <w:pPr>
              <w:spacing w:after="0"/>
              <w:rPr>
                <w:sz w:val="5"/>
                <w:szCs w:val="5"/>
                <w:color w:val="auto"/>
              </w:rPr>
            </w:pPr>
          </w:p>
        </w:tc>
        <w:tc>
          <w:tcPr>
            <w:tcW w:w="2160" w:type="dxa"/>
            <w:vAlign w:val="bottom"/>
            <w:shd w:val="clear" w:color="auto" w:fill="005C5D"/>
          </w:tcPr>
          <w:p>
            <w:pPr>
              <w:spacing w:after="0"/>
              <w:rPr>
                <w:sz w:val="5"/>
                <w:szCs w:val="5"/>
                <w:color w:val="auto"/>
              </w:rPr>
            </w:pPr>
          </w:p>
        </w:tc>
        <w:tc>
          <w:tcPr>
            <w:tcW w:w="1780" w:type="dxa"/>
            <w:vAlign w:val="bottom"/>
            <w:shd w:val="clear" w:color="auto" w:fill="005C5D"/>
          </w:tcPr>
          <w:p>
            <w:pPr>
              <w:spacing w:after="0"/>
              <w:rPr>
                <w:sz w:val="5"/>
                <w:szCs w:val="5"/>
                <w:color w:val="auto"/>
              </w:rPr>
            </w:pPr>
          </w:p>
        </w:tc>
        <w:tc>
          <w:tcPr>
            <w:tcW w:w="1640" w:type="dxa"/>
            <w:vAlign w:val="bottom"/>
            <w:shd w:val="clear" w:color="auto" w:fill="005C5D"/>
          </w:tcPr>
          <w:p>
            <w:pPr>
              <w:spacing w:after="0"/>
              <w:rPr>
                <w:sz w:val="5"/>
                <w:szCs w:val="5"/>
                <w:color w:val="auto"/>
              </w:rPr>
            </w:pPr>
          </w:p>
        </w:tc>
        <w:tc>
          <w:tcPr>
            <w:tcW w:w="1660" w:type="dxa"/>
            <w:vAlign w:val="bottom"/>
            <w:shd w:val="clear" w:color="auto" w:fill="005C5D"/>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1900" w:type="dxa"/>
            <w:vAlign w:val="bottom"/>
            <w:shd w:val="clear" w:color="auto" w:fill="005C5D"/>
          </w:tcPr>
          <w:p>
            <w:pPr>
              <w:spacing w:after="0"/>
              <w:rPr>
                <w:sz w:val="16"/>
                <w:szCs w:val="16"/>
                <w:color w:val="auto"/>
              </w:rPr>
            </w:pPr>
          </w:p>
        </w:tc>
        <w:tc>
          <w:tcPr>
            <w:tcW w:w="17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780" w:type="dxa"/>
            <w:vAlign w:val="bottom"/>
          </w:tcPr>
          <w:p>
            <w:pPr>
              <w:jc w:val="right"/>
              <w:ind w:right="349"/>
              <w:spacing w:after="0"/>
              <w:rPr>
                <w:sz w:val="20"/>
                <w:szCs w:val="20"/>
                <w:color w:val="auto"/>
              </w:rPr>
            </w:pPr>
            <w:r>
              <w:rPr>
                <w:rFonts w:ascii="Arial" w:cs="Arial" w:eastAsia="Arial" w:hAnsi="Arial"/>
                <w:sz w:val="14"/>
                <w:szCs w:val="14"/>
                <w:color w:val="FFFFFF"/>
              </w:rPr>
              <w:t>STOCK AWARDS</w:t>
            </w:r>
          </w:p>
        </w:tc>
        <w:tc>
          <w:tcPr>
            <w:tcW w:w="16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6"/>
        </w:trPr>
        <w:tc>
          <w:tcPr>
            <w:tcW w:w="1900" w:type="dxa"/>
            <w:vAlign w:val="bottom"/>
            <w:shd w:val="clear" w:color="auto" w:fill="005C5D"/>
          </w:tcPr>
          <w:p>
            <w:pPr>
              <w:spacing w:after="0"/>
              <w:rPr>
                <w:sz w:val="22"/>
                <w:szCs w:val="22"/>
                <w:color w:val="auto"/>
              </w:rPr>
            </w:pPr>
          </w:p>
        </w:tc>
        <w:tc>
          <w:tcPr>
            <w:tcW w:w="17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FFFFFF"/>
              </w:rPr>
              <w:t>EQUITY</w:t>
            </w:r>
          </w:p>
        </w:tc>
        <w:tc>
          <w:tcPr>
            <w:tcW w:w="1680" w:type="dxa"/>
            <w:vAlign w:val="bottom"/>
            <w:gridSpan w:val="2"/>
          </w:tcPr>
          <w:p>
            <w:pPr>
              <w:jc w:val="center"/>
              <w:ind w:left="169"/>
              <w:spacing w:after="0"/>
              <w:rPr>
                <w:sz w:val="20"/>
                <w:szCs w:val="20"/>
                <w:color w:val="auto"/>
              </w:rPr>
            </w:pPr>
            <w:r>
              <w:rPr>
                <w:rFonts w:ascii="Arial" w:cs="Arial" w:eastAsia="Arial" w:hAnsi="Arial"/>
                <w:sz w:val="14"/>
                <w:szCs w:val="14"/>
                <w:color w:val="FFFFFF"/>
              </w:rPr>
              <w:t xml:space="preserve">EQUITY INCENTIVE   </w:t>
            </w:r>
          </w:p>
        </w:tc>
      </w:tr>
      <w:tr>
        <w:trPr>
          <w:trHeight w:val="160"/>
        </w:trPr>
        <w:tc>
          <w:tcPr>
            <w:tcW w:w="1900" w:type="dxa"/>
            <w:vAlign w:val="bottom"/>
            <w:shd w:val="clear" w:color="auto" w:fill="005C5D"/>
          </w:tcPr>
          <w:p>
            <w:pPr>
              <w:spacing w:after="0"/>
              <w:rPr>
                <w:sz w:val="13"/>
                <w:szCs w:val="13"/>
                <w:color w:val="auto"/>
              </w:rPr>
            </w:pPr>
          </w:p>
        </w:tc>
        <w:tc>
          <w:tcPr>
            <w:tcW w:w="17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FFFFFF"/>
              </w:rPr>
              <w:t>INCENTIVE PLAN</w:t>
            </w:r>
          </w:p>
        </w:tc>
        <w:tc>
          <w:tcPr>
            <w:tcW w:w="1680" w:type="dxa"/>
            <w:vAlign w:val="bottom"/>
            <w:gridSpan w:val="2"/>
          </w:tcPr>
          <w:p>
            <w:pPr>
              <w:jc w:val="center"/>
              <w:ind w:left="149"/>
              <w:spacing w:after="0"/>
              <w:rPr>
                <w:sz w:val="20"/>
                <w:szCs w:val="20"/>
                <w:color w:val="auto"/>
              </w:rPr>
            </w:pPr>
            <w:r>
              <w:rPr>
                <w:rFonts w:ascii="Arial" w:cs="Arial" w:eastAsia="Arial" w:hAnsi="Arial"/>
                <w:sz w:val="14"/>
                <w:szCs w:val="14"/>
                <w:color w:val="FFFFFF"/>
              </w:rPr>
              <w:t>PLAN AWARDS:</w:t>
            </w:r>
          </w:p>
        </w:tc>
      </w:tr>
      <w:tr>
        <w:trPr>
          <w:trHeight w:val="160"/>
        </w:trPr>
        <w:tc>
          <w:tcPr>
            <w:tcW w:w="1900" w:type="dxa"/>
            <w:vAlign w:val="bottom"/>
            <w:shd w:val="clear" w:color="auto" w:fill="005C5D"/>
          </w:tcPr>
          <w:p>
            <w:pPr>
              <w:spacing w:after="0"/>
              <w:rPr>
                <w:sz w:val="13"/>
                <w:szCs w:val="13"/>
                <w:color w:val="auto"/>
              </w:rPr>
            </w:pPr>
          </w:p>
        </w:tc>
        <w:tc>
          <w:tcPr>
            <w:tcW w:w="17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FFFFFF"/>
              </w:rPr>
              <w:t>AWARDS:</w:t>
            </w:r>
          </w:p>
        </w:tc>
        <w:tc>
          <w:tcPr>
            <w:tcW w:w="1680" w:type="dxa"/>
            <w:vAlign w:val="bottom"/>
            <w:gridSpan w:val="2"/>
          </w:tcPr>
          <w:p>
            <w:pPr>
              <w:jc w:val="center"/>
              <w:ind w:left="129"/>
              <w:spacing w:after="0"/>
              <w:rPr>
                <w:sz w:val="20"/>
                <w:szCs w:val="20"/>
                <w:color w:val="auto"/>
              </w:rPr>
            </w:pPr>
            <w:r>
              <w:rPr>
                <w:rFonts w:ascii="Arial" w:cs="Arial" w:eastAsia="Arial" w:hAnsi="Arial"/>
                <w:sz w:val="14"/>
                <w:szCs w:val="14"/>
                <w:color w:val="FFFFFF"/>
              </w:rPr>
              <w:t>MARKET OR</w:t>
            </w:r>
          </w:p>
        </w:tc>
      </w:tr>
      <w:tr>
        <w:trPr>
          <w:trHeight w:val="160"/>
        </w:trPr>
        <w:tc>
          <w:tcPr>
            <w:tcW w:w="1900" w:type="dxa"/>
            <w:vAlign w:val="bottom"/>
            <w:shd w:val="clear" w:color="auto" w:fill="005C5D"/>
          </w:tcPr>
          <w:p>
            <w:pPr>
              <w:spacing w:after="0"/>
              <w:rPr>
                <w:sz w:val="13"/>
                <w:szCs w:val="13"/>
                <w:color w:val="auto"/>
              </w:rPr>
            </w:pPr>
          </w:p>
        </w:tc>
        <w:tc>
          <w:tcPr>
            <w:tcW w:w="17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FFFFFF"/>
              </w:rPr>
              <w:t>NUMBER OF</w:t>
            </w:r>
          </w:p>
        </w:tc>
        <w:tc>
          <w:tcPr>
            <w:tcW w:w="1680" w:type="dxa"/>
            <w:vAlign w:val="bottom"/>
            <w:gridSpan w:val="2"/>
          </w:tcPr>
          <w:p>
            <w:pPr>
              <w:jc w:val="center"/>
              <w:ind w:left="149"/>
              <w:spacing w:after="0"/>
              <w:rPr>
                <w:sz w:val="20"/>
                <w:szCs w:val="20"/>
                <w:color w:val="auto"/>
              </w:rPr>
            </w:pPr>
            <w:r>
              <w:rPr>
                <w:rFonts w:ascii="Arial" w:cs="Arial" w:eastAsia="Arial" w:hAnsi="Arial"/>
                <w:sz w:val="14"/>
                <w:szCs w:val="14"/>
                <w:color w:val="FFFFFF"/>
                <w:w w:val="98"/>
              </w:rPr>
              <w:t>PAYOUT VALUE</w:t>
            </w:r>
          </w:p>
        </w:tc>
      </w:tr>
      <w:tr>
        <w:trPr>
          <w:trHeight w:val="160"/>
        </w:trPr>
        <w:tc>
          <w:tcPr>
            <w:tcW w:w="1900" w:type="dxa"/>
            <w:vAlign w:val="bottom"/>
            <w:shd w:val="clear" w:color="auto" w:fill="005C5D"/>
          </w:tcPr>
          <w:p>
            <w:pPr>
              <w:spacing w:after="0"/>
              <w:rPr>
                <w:sz w:val="13"/>
                <w:szCs w:val="13"/>
                <w:color w:val="auto"/>
              </w:rPr>
            </w:pPr>
          </w:p>
        </w:tc>
        <w:tc>
          <w:tcPr>
            <w:tcW w:w="17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FFFFFF"/>
              </w:rPr>
              <w:t>MARKET VALUE OF</w:t>
            </w:r>
          </w:p>
        </w:tc>
        <w:tc>
          <w:tcPr>
            <w:tcW w:w="1640" w:type="dxa"/>
            <w:vAlign w:val="bottom"/>
          </w:tcPr>
          <w:p>
            <w:pPr>
              <w:jc w:val="center"/>
              <w:spacing w:after="0"/>
              <w:rPr>
                <w:sz w:val="20"/>
                <w:szCs w:val="20"/>
                <w:color w:val="auto"/>
              </w:rPr>
            </w:pPr>
            <w:r>
              <w:rPr>
                <w:rFonts w:ascii="Arial" w:cs="Arial" w:eastAsia="Arial" w:hAnsi="Arial"/>
                <w:sz w:val="14"/>
                <w:szCs w:val="14"/>
                <w:color w:val="FFFFFF"/>
              </w:rPr>
              <w:t>UNEARNED</w:t>
            </w:r>
          </w:p>
        </w:tc>
        <w:tc>
          <w:tcPr>
            <w:tcW w:w="1680" w:type="dxa"/>
            <w:vAlign w:val="bottom"/>
            <w:gridSpan w:val="2"/>
          </w:tcPr>
          <w:p>
            <w:pPr>
              <w:jc w:val="center"/>
              <w:ind w:left="149"/>
              <w:spacing w:after="0"/>
              <w:rPr>
                <w:sz w:val="20"/>
                <w:szCs w:val="20"/>
                <w:color w:val="auto"/>
              </w:rPr>
            </w:pPr>
            <w:r>
              <w:rPr>
                <w:rFonts w:ascii="Arial" w:cs="Arial" w:eastAsia="Arial" w:hAnsi="Arial"/>
                <w:sz w:val="14"/>
                <w:szCs w:val="14"/>
                <w:color w:val="FFFFFF"/>
              </w:rPr>
              <w:t xml:space="preserve">OF UNEARNED   </w:t>
            </w:r>
          </w:p>
        </w:tc>
      </w:tr>
      <w:tr>
        <w:trPr>
          <w:trHeight w:val="160"/>
        </w:trPr>
        <w:tc>
          <w:tcPr>
            <w:tcW w:w="1900" w:type="dxa"/>
            <w:vAlign w:val="bottom"/>
            <w:shd w:val="clear" w:color="auto" w:fill="005C5D"/>
          </w:tcPr>
          <w:p>
            <w:pPr>
              <w:spacing w:after="0"/>
              <w:rPr>
                <w:sz w:val="13"/>
                <w:szCs w:val="13"/>
                <w:color w:val="auto"/>
              </w:rPr>
            </w:pPr>
          </w:p>
        </w:tc>
        <w:tc>
          <w:tcPr>
            <w:tcW w:w="17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FFFFFF"/>
              </w:rPr>
              <w:t>SHARES OR</w:t>
            </w:r>
          </w:p>
        </w:tc>
        <w:tc>
          <w:tcPr>
            <w:tcW w:w="1640" w:type="dxa"/>
            <w:vAlign w:val="bottom"/>
          </w:tcPr>
          <w:p>
            <w:pPr>
              <w:jc w:val="center"/>
              <w:spacing w:after="0"/>
              <w:rPr>
                <w:sz w:val="20"/>
                <w:szCs w:val="20"/>
                <w:color w:val="auto"/>
              </w:rPr>
            </w:pPr>
            <w:r>
              <w:rPr>
                <w:rFonts w:ascii="Arial" w:cs="Arial" w:eastAsia="Arial" w:hAnsi="Arial"/>
                <w:sz w:val="14"/>
                <w:szCs w:val="14"/>
                <w:color w:val="FFFFFF"/>
              </w:rPr>
              <w:t>SHARES, UNITS</w:t>
            </w:r>
          </w:p>
        </w:tc>
        <w:tc>
          <w:tcPr>
            <w:tcW w:w="1680" w:type="dxa"/>
            <w:vAlign w:val="bottom"/>
            <w:gridSpan w:val="2"/>
          </w:tcPr>
          <w:p>
            <w:pPr>
              <w:jc w:val="center"/>
              <w:ind w:left="149"/>
              <w:spacing w:after="0"/>
              <w:rPr>
                <w:sz w:val="20"/>
                <w:szCs w:val="20"/>
                <w:color w:val="auto"/>
              </w:rPr>
            </w:pPr>
            <w:r>
              <w:rPr>
                <w:rFonts w:ascii="Arial" w:cs="Arial" w:eastAsia="Arial" w:hAnsi="Arial"/>
                <w:sz w:val="14"/>
                <w:szCs w:val="14"/>
                <w:color w:val="FFFFFF"/>
              </w:rPr>
              <w:t>SHARES, UNITS</w:t>
            </w:r>
          </w:p>
        </w:tc>
      </w:tr>
      <w:tr>
        <w:trPr>
          <w:trHeight w:val="160"/>
        </w:trPr>
        <w:tc>
          <w:tcPr>
            <w:tcW w:w="1900" w:type="dxa"/>
            <w:vAlign w:val="bottom"/>
            <w:shd w:val="clear" w:color="auto" w:fill="005C5D"/>
          </w:tcPr>
          <w:p>
            <w:pPr>
              <w:spacing w:after="0"/>
              <w:rPr>
                <w:sz w:val="13"/>
                <w:szCs w:val="13"/>
                <w:color w:val="auto"/>
              </w:rPr>
            </w:pPr>
          </w:p>
        </w:tc>
        <w:tc>
          <w:tcPr>
            <w:tcW w:w="1780" w:type="dxa"/>
            <w:vAlign w:val="bottom"/>
          </w:tcPr>
          <w:p>
            <w:pPr>
              <w:spacing w:after="0"/>
              <w:rPr>
                <w:sz w:val="13"/>
                <w:szCs w:val="13"/>
                <w:color w:val="auto"/>
              </w:rPr>
            </w:pPr>
          </w:p>
        </w:tc>
        <w:tc>
          <w:tcPr>
            <w:tcW w:w="2160" w:type="dxa"/>
            <w:vAlign w:val="bottom"/>
          </w:tcPr>
          <w:p>
            <w:pPr>
              <w:jc w:val="center"/>
              <w:ind w:left="129"/>
              <w:spacing w:after="0"/>
              <w:rPr>
                <w:sz w:val="20"/>
                <w:szCs w:val="20"/>
                <w:color w:val="auto"/>
              </w:rPr>
            </w:pPr>
            <w:r>
              <w:rPr>
                <w:rFonts w:ascii="Arial" w:cs="Arial" w:eastAsia="Arial" w:hAnsi="Arial"/>
                <w:sz w:val="14"/>
                <w:szCs w:val="14"/>
                <w:color w:val="FFFFFF"/>
              </w:rPr>
              <w:t>NUMBER OF SHARES</w:t>
            </w:r>
          </w:p>
        </w:tc>
        <w:tc>
          <w:tcPr>
            <w:tcW w:w="1780" w:type="dxa"/>
            <w:vAlign w:val="bottom"/>
          </w:tcPr>
          <w:p>
            <w:pPr>
              <w:jc w:val="center"/>
              <w:spacing w:after="0"/>
              <w:rPr>
                <w:sz w:val="20"/>
                <w:szCs w:val="20"/>
                <w:color w:val="auto"/>
              </w:rPr>
            </w:pPr>
            <w:r>
              <w:rPr>
                <w:rFonts w:ascii="Arial" w:cs="Arial" w:eastAsia="Arial" w:hAnsi="Arial"/>
                <w:sz w:val="14"/>
                <w:szCs w:val="14"/>
                <w:color w:val="FFFFFF"/>
              </w:rPr>
              <w:t>UNITS OF STOCK</w:t>
            </w:r>
          </w:p>
        </w:tc>
        <w:tc>
          <w:tcPr>
            <w:tcW w:w="1640" w:type="dxa"/>
            <w:vAlign w:val="bottom"/>
          </w:tcPr>
          <w:p>
            <w:pPr>
              <w:jc w:val="center"/>
              <w:spacing w:after="0"/>
              <w:rPr>
                <w:sz w:val="20"/>
                <w:szCs w:val="20"/>
                <w:color w:val="auto"/>
              </w:rPr>
            </w:pPr>
            <w:r>
              <w:rPr>
                <w:rFonts w:ascii="Arial" w:cs="Arial" w:eastAsia="Arial" w:hAnsi="Arial"/>
                <w:sz w:val="14"/>
                <w:szCs w:val="14"/>
                <w:color w:val="FFFFFF"/>
              </w:rPr>
              <w:t>OR OTHER</w:t>
            </w:r>
          </w:p>
        </w:tc>
        <w:tc>
          <w:tcPr>
            <w:tcW w:w="1680" w:type="dxa"/>
            <w:vAlign w:val="bottom"/>
            <w:gridSpan w:val="2"/>
          </w:tcPr>
          <w:p>
            <w:pPr>
              <w:jc w:val="center"/>
              <w:ind w:left="129"/>
              <w:spacing w:after="0"/>
              <w:rPr>
                <w:sz w:val="20"/>
                <w:szCs w:val="20"/>
                <w:color w:val="auto"/>
              </w:rPr>
            </w:pPr>
            <w:r>
              <w:rPr>
                <w:rFonts w:ascii="Arial" w:cs="Arial" w:eastAsia="Arial" w:hAnsi="Arial"/>
                <w:sz w:val="14"/>
                <w:szCs w:val="14"/>
                <w:color w:val="FFFFFF"/>
              </w:rPr>
              <w:t>OR OTHER</w:t>
            </w:r>
          </w:p>
        </w:tc>
      </w:tr>
      <w:tr>
        <w:trPr>
          <w:trHeight w:val="160"/>
        </w:trPr>
        <w:tc>
          <w:tcPr>
            <w:tcW w:w="1900" w:type="dxa"/>
            <w:vAlign w:val="bottom"/>
            <w:shd w:val="clear" w:color="auto" w:fill="005C5D"/>
          </w:tcPr>
          <w:p>
            <w:pPr>
              <w:spacing w:after="0"/>
              <w:rPr>
                <w:sz w:val="13"/>
                <w:szCs w:val="13"/>
                <w:color w:val="auto"/>
              </w:rPr>
            </w:pPr>
          </w:p>
        </w:tc>
        <w:tc>
          <w:tcPr>
            <w:tcW w:w="1780" w:type="dxa"/>
            <w:vAlign w:val="bottom"/>
          </w:tcPr>
          <w:p>
            <w:pPr>
              <w:spacing w:after="0"/>
              <w:rPr>
                <w:sz w:val="13"/>
                <w:szCs w:val="13"/>
                <w:color w:val="auto"/>
              </w:rPr>
            </w:pPr>
          </w:p>
        </w:tc>
        <w:tc>
          <w:tcPr>
            <w:tcW w:w="2160" w:type="dxa"/>
            <w:vAlign w:val="bottom"/>
          </w:tcPr>
          <w:p>
            <w:pPr>
              <w:jc w:val="center"/>
              <w:ind w:left="129"/>
              <w:spacing w:after="0"/>
              <w:rPr>
                <w:sz w:val="20"/>
                <w:szCs w:val="20"/>
                <w:color w:val="auto"/>
              </w:rPr>
            </w:pPr>
            <w:r>
              <w:rPr>
                <w:rFonts w:ascii="Arial" w:cs="Arial" w:eastAsia="Arial" w:hAnsi="Arial"/>
                <w:sz w:val="14"/>
                <w:szCs w:val="14"/>
                <w:color w:val="FFFFFF"/>
              </w:rPr>
              <w:t>OR UNITS OF</w:t>
            </w:r>
          </w:p>
        </w:tc>
        <w:tc>
          <w:tcPr>
            <w:tcW w:w="1780" w:type="dxa"/>
            <w:vAlign w:val="bottom"/>
          </w:tcPr>
          <w:p>
            <w:pPr>
              <w:jc w:val="center"/>
              <w:spacing w:after="0"/>
              <w:rPr>
                <w:sz w:val="20"/>
                <w:szCs w:val="20"/>
                <w:color w:val="auto"/>
              </w:rPr>
            </w:pPr>
            <w:r>
              <w:rPr>
                <w:rFonts w:ascii="Arial" w:cs="Arial" w:eastAsia="Arial" w:hAnsi="Arial"/>
                <w:sz w:val="14"/>
                <w:szCs w:val="14"/>
                <w:color w:val="FFFFFF"/>
                <w:w w:val="98"/>
              </w:rPr>
              <w:t>THAT</w:t>
            </w:r>
          </w:p>
        </w:tc>
        <w:tc>
          <w:tcPr>
            <w:tcW w:w="1640" w:type="dxa"/>
            <w:vAlign w:val="bottom"/>
          </w:tcPr>
          <w:p>
            <w:pPr>
              <w:jc w:val="center"/>
              <w:spacing w:after="0"/>
              <w:rPr>
                <w:sz w:val="20"/>
                <w:szCs w:val="20"/>
                <w:color w:val="auto"/>
              </w:rPr>
            </w:pPr>
            <w:r>
              <w:rPr>
                <w:rFonts w:ascii="Arial" w:cs="Arial" w:eastAsia="Arial" w:hAnsi="Arial"/>
                <w:sz w:val="14"/>
                <w:szCs w:val="14"/>
                <w:color w:val="FFFFFF"/>
              </w:rPr>
              <w:t>RIGHTS THAT</w:t>
            </w:r>
          </w:p>
        </w:tc>
        <w:tc>
          <w:tcPr>
            <w:tcW w:w="1680" w:type="dxa"/>
            <w:vAlign w:val="bottom"/>
            <w:gridSpan w:val="2"/>
          </w:tcPr>
          <w:p>
            <w:pPr>
              <w:jc w:val="center"/>
              <w:ind w:left="149"/>
              <w:spacing w:after="0"/>
              <w:rPr>
                <w:sz w:val="20"/>
                <w:szCs w:val="20"/>
                <w:color w:val="auto"/>
              </w:rPr>
            </w:pPr>
            <w:r>
              <w:rPr>
                <w:rFonts w:ascii="Arial" w:cs="Arial" w:eastAsia="Arial" w:hAnsi="Arial"/>
                <w:sz w:val="14"/>
                <w:szCs w:val="14"/>
                <w:color w:val="FFFFFF"/>
              </w:rPr>
              <w:t>RIGHTS</w:t>
            </w:r>
          </w:p>
        </w:tc>
      </w:tr>
      <w:tr>
        <w:trPr>
          <w:trHeight w:val="160"/>
        </w:trPr>
        <w:tc>
          <w:tcPr>
            <w:tcW w:w="1900" w:type="dxa"/>
            <w:vAlign w:val="bottom"/>
            <w:shd w:val="clear" w:color="auto" w:fill="005C5D"/>
          </w:tcPr>
          <w:p>
            <w:pPr>
              <w:spacing w:after="0"/>
              <w:rPr>
                <w:sz w:val="13"/>
                <w:szCs w:val="13"/>
                <w:color w:val="auto"/>
              </w:rPr>
            </w:pPr>
          </w:p>
        </w:tc>
        <w:tc>
          <w:tcPr>
            <w:tcW w:w="1780" w:type="dxa"/>
            <w:vAlign w:val="bottom"/>
          </w:tcPr>
          <w:p>
            <w:pPr>
              <w:jc w:val="center"/>
              <w:ind w:left="349"/>
              <w:spacing w:after="0"/>
              <w:rPr>
                <w:sz w:val="20"/>
                <w:szCs w:val="20"/>
                <w:color w:val="auto"/>
              </w:rPr>
            </w:pPr>
            <w:r>
              <w:rPr>
                <w:rFonts w:ascii="Arial" w:cs="Arial" w:eastAsia="Arial" w:hAnsi="Arial"/>
                <w:sz w:val="14"/>
                <w:szCs w:val="14"/>
                <w:color w:val="FFFFFF"/>
              </w:rPr>
              <w:t>RESTRICTED</w:t>
            </w:r>
          </w:p>
        </w:tc>
        <w:tc>
          <w:tcPr>
            <w:tcW w:w="2160" w:type="dxa"/>
            <w:vAlign w:val="bottom"/>
          </w:tcPr>
          <w:p>
            <w:pPr>
              <w:jc w:val="center"/>
              <w:ind w:left="149"/>
              <w:spacing w:after="0"/>
              <w:rPr>
                <w:sz w:val="20"/>
                <w:szCs w:val="20"/>
                <w:color w:val="auto"/>
              </w:rPr>
            </w:pPr>
            <w:r>
              <w:rPr>
                <w:rFonts w:ascii="Arial" w:cs="Arial" w:eastAsia="Arial" w:hAnsi="Arial"/>
                <w:sz w:val="14"/>
                <w:szCs w:val="14"/>
                <w:color w:val="FFFFFF"/>
              </w:rPr>
              <w:t>STOCK THAT</w:t>
            </w:r>
          </w:p>
        </w:tc>
        <w:tc>
          <w:tcPr>
            <w:tcW w:w="1780" w:type="dxa"/>
            <w:vAlign w:val="bottom"/>
          </w:tcPr>
          <w:p>
            <w:pPr>
              <w:jc w:val="center"/>
              <w:spacing w:after="0"/>
              <w:rPr>
                <w:sz w:val="20"/>
                <w:szCs w:val="20"/>
                <w:color w:val="auto"/>
              </w:rPr>
            </w:pPr>
            <w:r>
              <w:rPr>
                <w:rFonts w:ascii="Arial" w:cs="Arial" w:eastAsia="Arial" w:hAnsi="Arial"/>
                <w:sz w:val="14"/>
                <w:szCs w:val="14"/>
                <w:color w:val="FFFFFF"/>
              </w:rPr>
              <w:t>HAVE NOT</w:t>
            </w:r>
          </w:p>
        </w:tc>
        <w:tc>
          <w:tcPr>
            <w:tcW w:w="1640" w:type="dxa"/>
            <w:vAlign w:val="bottom"/>
          </w:tcPr>
          <w:p>
            <w:pPr>
              <w:jc w:val="center"/>
              <w:spacing w:after="0"/>
              <w:rPr>
                <w:sz w:val="20"/>
                <w:szCs w:val="20"/>
                <w:color w:val="auto"/>
              </w:rPr>
            </w:pPr>
            <w:r>
              <w:rPr>
                <w:rFonts w:ascii="Arial" w:cs="Arial" w:eastAsia="Arial" w:hAnsi="Arial"/>
                <w:sz w:val="14"/>
                <w:szCs w:val="14"/>
                <w:color w:val="FFFFFF"/>
              </w:rPr>
              <w:t>HAVE NOT</w:t>
            </w:r>
          </w:p>
        </w:tc>
        <w:tc>
          <w:tcPr>
            <w:tcW w:w="1680" w:type="dxa"/>
            <w:vAlign w:val="bottom"/>
            <w:gridSpan w:val="2"/>
          </w:tcPr>
          <w:p>
            <w:pPr>
              <w:jc w:val="center"/>
              <w:ind w:left="149"/>
              <w:spacing w:after="0"/>
              <w:rPr>
                <w:sz w:val="20"/>
                <w:szCs w:val="20"/>
                <w:color w:val="auto"/>
              </w:rPr>
            </w:pPr>
            <w:r>
              <w:rPr>
                <w:rFonts w:ascii="Arial" w:cs="Arial" w:eastAsia="Arial" w:hAnsi="Arial"/>
                <w:sz w:val="14"/>
                <w:szCs w:val="14"/>
                <w:color w:val="FFFFFF"/>
              </w:rPr>
              <w:t xml:space="preserve">THAT HAVE   </w:t>
            </w:r>
          </w:p>
        </w:tc>
      </w:tr>
      <w:tr>
        <w:trPr>
          <w:trHeight w:val="160"/>
        </w:trPr>
        <w:tc>
          <w:tcPr>
            <w:tcW w:w="1900" w:type="dxa"/>
            <w:vAlign w:val="bottom"/>
            <w:shd w:val="clear" w:color="auto" w:fill="005C5D"/>
          </w:tcPr>
          <w:p>
            <w:pPr>
              <w:spacing w:after="0"/>
              <w:rPr>
                <w:sz w:val="13"/>
                <w:szCs w:val="13"/>
                <w:color w:val="auto"/>
              </w:rPr>
            </w:pPr>
          </w:p>
        </w:tc>
        <w:tc>
          <w:tcPr>
            <w:tcW w:w="1780" w:type="dxa"/>
            <w:vAlign w:val="bottom"/>
          </w:tcPr>
          <w:p>
            <w:pPr>
              <w:jc w:val="center"/>
              <w:ind w:left="369"/>
              <w:spacing w:after="0"/>
              <w:rPr>
                <w:sz w:val="20"/>
                <w:szCs w:val="20"/>
                <w:color w:val="auto"/>
              </w:rPr>
            </w:pPr>
            <w:r>
              <w:rPr>
                <w:rFonts w:ascii="Arial" w:cs="Arial" w:eastAsia="Arial" w:hAnsi="Arial"/>
                <w:sz w:val="14"/>
                <w:szCs w:val="14"/>
                <w:color w:val="FFFFFF"/>
              </w:rPr>
              <w:t>STOCK UNIT</w:t>
            </w:r>
          </w:p>
        </w:tc>
        <w:tc>
          <w:tcPr>
            <w:tcW w:w="2160" w:type="dxa"/>
            <w:vAlign w:val="bottom"/>
          </w:tcPr>
          <w:p>
            <w:pPr>
              <w:jc w:val="center"/>
              <w:ind w:left="149"/>
              <w:spacing w:after="0"/>
              <w:rPr>
                <w:sz w:val="20"/>
                <w:szCs w:val="20"/>
                <w:color w:val="auto"/>
              </w:rPr>
            </w:pPr>
            <w:r>
              <w:rPr>
                <w:rFonts w:ascii="Arial" w:cs="Arial" w:eastAsia="Arial" w:hAnsi="Arial"/>
                <w:sz w:val="14"/>
                <w:szCs w:val="14"/>
                <w:color w:val="FFFFFF"/>
              </w:rPr>
              <w:t>HAVE NOT VESTED</w:t>
            </w:r>
          </w:p>
        </w:tc>
        <w:tc>
          <w:tcPr>
            <w:tcW w:w="1780" w:type="dxa"/>
            <w:vAlign w:val="bottom"/>
          </w:tcPr>
          <w:p>
            <w:pPr>
              <w:jc w:val="center"/>
              <w:spacing w:after="0"/>
              <w:rPr>
                <w:sz w:val="20"/>
                <w:szCs w:val="20"/>
                <w:color w:val="auto"/>
              </w:rPr>
            </w:pPr>
            <w:r>
              <w:rPr>
                <w:rFonts w:ascii="Arial" w:cs="Arial" w:eastAsia="Arial" w:hAnsi="Arial"/>
                <w:sz w:val="14"/>
                <w:szCs w:val="14"/>
                <w:color w:val="FFFFFF"/>
              </w:rPr>
              <w:t>VESTED</w:t>
            </w:r>
          </w:p>
        </w:tc>
        <w:tc>
          <w:tcPr>
            <w:tcW w:w="1640" w:type="dxa"/>
            <w:vAlign w:val="bottom"/>
          </w:tcPr>
          <w:p>
            <w:pPr>
              <w:jc w:val="center"/>
              <w:spacing w:after="0"/>
              <w:rPr>
                <w:sz w:val="20"/>
                <w:szCs w:val="20"/>
                <w:color w:val="auto"/>
              </w:rPr>
            </w:pPr>
            <w:r>
              <w:rPr>
                <w:rFonts w:ascii="Arial" w:cs="Arial" w:eastAsia="Arial" w:hAnsi="Arial"/>
                <w:sz w:val="14"/>
                <w:szCs w:val="14"/>
                <w:color w:val="FFFFFF"/>
              </w:rPr>
              <w:t>VESTED</w:t>
            </w:r>
          </w:p>
        </w:tc>
        <w:tc>
          <w:tcPr>
            <w:tcW w:w="1680" w:type="dxa"/>
            <w:vAlign w:val="bottom"/>
            <w:gridSpan w:val="2"/>
          </w:tcPr>
          <w:p>
            <w:pPr>
              <w:jc w:val="center"/>
              <w:ind w:left="129"/>
              <w:spacing w:after="0"/>
              <w:rPr>
                <w:sz w:val="20"/>
                <w:szCs w:val="20"/>
                <w:color w:val="auto"/>
              </w:rPr>
            </w:pPr>
            <w:r>
              <w:rPr>
                <w:rFonts w:ascii="Arial" w:cs="Arial" w:eastAsia="Arial" w:hAnsi="Arial"/>
                <w:sz w:val="14"/>
                <w:szCs w:val="14"/>
                <w:color w:val="FFFFFF"/>
              </w:rPr>
              <w:t>NOT VESTED</w:t>
            </w:r>
          </w:p>
        </w:tc>
      </w:tr>
      <w:tr>
        <w:trPr>
          <w:trHeight w:val="230"/>
        </w:trPr>
        <w:tc>
          <w:tcPr>
            <w:tcW w:w="1900" w:type="dxa"/>
            <w:vAlign w:val="bottom"/>
            <w:tcBorders>
              <w:bottom w:val="single" w:sz="8" w:color="005C5D"/>
            </w:tcBorders>
            <w:shd w:val="clear" w:color="auto" w:fill="005C5D"/>
          </w:tcPr>
          <w:p>
            <w:pPr>
              <w:spacing w:after="0"/>
              <w:rPr>
                <w:sz w:val="20"/>
                <w:szCs w:val="20"/>
                <w:color w:val="auto"/>
              </w:rPr>
            </w:pPr>
          </w:p>
        </w:tc>
        <w:tc>
          <w:tcPr>
            <w:tcW w:w="1780" w:type="dxa"/>
            <w:vAlign w:val="bottom"/>
          </w:tcPr>
          <w:p>
            <w:pPr>
              <w:jc w:val="center"/>
              <w:ind w:left="349"/>
              <w:spacing w:after="0"/>
              <w:rPr>
                <w:sz w:val="20"/>
                <w:szCs w:val="20"/>
                <w:color w:val="auto"/>
              </w:rPr>
            </w:pPr>
            <w:r>
              <w:rPr>
                <w:rFonts w:ascii="Arial" w:cs="Arial" w:eastAsia="Arial" w:hAnsi="Arial"/>
                <w:sz w:val="14"/>
                <w:szCs w:val="14"/>
                <w:color w:val="FFFFFF"/>
              </w:rPr>
              <w:t>GRANT DATE</w:t>
            </w:r>
          </w:p>
        </w:tc>
        <w:tc>
          <w:tcPr>
            <w:tcW w:w="2160" w:type="dxa"/>
            <w:vAlign w:val="bottom"/>
          </w:tcPr>
          <w:p>
            <w:pPr>
              <w:jc w:val="center"/>
              <w:ind w:left="149"/>
              <w:spacing w:after="0"/>
              <w:rPr>
                <w:sz w:val="20"/>
                <w:szCs w:val="20"/>
                <w:color w:val="auto"/>
              </w:rPr>
            </w:pPr>
            <w:r>
              <w:rPr>
                <w:rFonts w:ascii="Arial" w:cs="Arial" w:eastAsia="Arial" w:hAnsi="Arial"/>
                <w:sz w:val="14"/>
                <w:szCs w:val="14"/>
                <w:color w:val="FFFFFF"/>
                <w:w w:val="91"/>
              </w:rPr>
              <w:t>(#)</w:t>
            </w:r>
            <w:r>
              <w:rPr>
                <w:rFonts w:ascii="Arial" w:cs="Arial" w:eastAsia="Arial" w:hAnsi="Arial"/>
                <w:sz w:val="14"/>
                <w:szCs w:val="14"/>
                <w:color w:val="FFFFFF"/>
                <w:w w:val="91"/>
                <w:vertAlign w:val="superscript"/>
              </w:rPr>
              <w:t>(1)</w:t>
            </w:r>
          </w:p>
        </w:tc>
        <w:tc>
          <w:tcPr>
            <w:tcW w:w="1780" w:type="dxa"/>
            <w:vAlign w:val="bottom"/>
          </w:tcPr>
          <w:p>
            <w:pPr>
              <w:jc w:val="center"/>
              <w:spacing w:after="0"/>
              <w:rPr>
                <w:sz w:val="20"/>
                <w:szCs w:val="20"/>
                <w:color w:val="auto"/>
              </w:rPr>
            </w:pPr>
            <w:r>
              <w:rPr>
                <w:rFonts w:ascii="Arial" w:cs="Arial" w:eastAsia="Arial" w:hAnsi="Arial"/>
                <w:sz w:val="14"/>
                <w:szCs w:val="14"/>
                <w:color w:val="FFFFFF"/>
                <w:w w:val="91"/>
              </w:rPr>
              <w:t>($)</w:t>
            </w:r>
            <w:r>
              <w:rPr>
                <w:rFonts w:ascii="Arial" w:cs="Arial" w:eastAsia="Arial" w:hAnsi="Arial"/>
                <w:sz w:val="14"/>
                <w:szCs w:val="14"/>
                <w:color w:val="FFFFFF"/>
                <w:w w:val="91"/>
                <w:vertAlign w:val="superscript"/>
              </w:rPr>
              <w:t>(2)</w:t>
            </w:r>
          </w:p>
        </w:tc>
        <w:tc>
          <w:tcPr>
            <w:tcW w:w="1640" w:type="dxa"/>
            <w:vAlign w:val="bottom"/>
          </w:tcPr>
          <w:p>
            <w:pPr>
              <w:jc w:val="center"/>
              <w:spacing w:after="0"/>
              <w:rPr>
                <w:sz w:val="20"/>
                <w:szCs w:val="20"/>
                <w:color w:val="auto"/>
              </w:rPr>
            </w:pPr>
            <w:r>
              <w:rPr>
                <w:rFonts w:ascii="Arial" w:cs="Arial" w:eastAsia="Arial" w:hAnsi="Arial"/>
                <w:sz w:val="14"/>
                <w:szCs w:val="14"/>
                <w:color w:val="FFFFFF"/>
                <w:w w:val="91"/>
              </w:rPr>
              <w:t>(#)</w:t>
            </w:r>
            <w:r>
              <w:rPr>
                <w:rFonts w:ascii="Arial" w:cs="Arial" w:eastAsia="Arial" w:hAnsi="Arial"/>
                <w:sz w:val="14"/>
                <w:szCs w:val="14"/>
                <w:color w:val="FFFFFF"/>
                <w:w w:val="91"/>
                <w:vertAlign w:val="superscript"/>
              </w:rPr>
              <w:t>(1)</w:t>
            </w:r>
          </w:p>
        </w:tc>
        <w:tc>
          <w:tcPr>
            <w:tcW w:w="1660" w:type="dxa"/>
            <w:vAlign w:val="bottom"/>
          </w:tcPr>
          <w:p>
            <w:pPr>
              <w:jc w:val="center"/>
              <w:ind w:left="169"/>
              <w:spacing w:after="0"/>
              <w:rPr>
                <w:sz w:val="20"/>
                <w:szCs w:val="20"/>
                <w:color w:val="auto"/>
              </w:rPr>
            </w:pPr>
            <w:r>
              <w:rPr>
                <w:rFonts w:ascii="Arial" w:cs="Arial" w:eastAsia="Arial" w:hAnsi="Arial"/>
                <w:sz w:val="14"/>
                <w:szCs w:val="14"/>
                <w:color w:val="FFFFFF"/>
                <w:w w:val="91"/>
              </w:rPr>
              <w:t>($)</w:t>
            </w:r>
            <w:r>
              <w:rPr>
                <w:rFonts w:ascii="Arial" w:cs="Arial" w:eastAsia="Arial" w:hAnsi="Arial"/>
                <w:sz w:val="14"/>
                <w:szCs w:val="14"/>
                <w:color w:val="FFFFFF"/>
                <w:w w:val="91"/>
                <w:vertAlign w:val="superscript"/>
              </w:rPr>
              <w:t>(2)</w:t>
            </w:r>
          </w:p>
        </w:tc>
        <w:tc>
          <w:tcPr>
            <w:tcW w:w="20" w:type="dxa"/>
            <w:vAlign w:val="bottom"/>
          </w:tcPr>
          <w:p>
            <w:pPr>
              <w:spacing w:after="0"/>
              <w:rPr>
                <w:sz w:val="20"/>
                <w:szCs w:val="20"/>
                <w:color w:val="auto"/>
              </w:rPr>
            </w:pPr>
          </w:p>
        </w:tc>
      </w:tr>
      <w:tr>
        <w:trPr>
          <w:trHeight w:val="214"/>
        </w:trPr>
        <w:tc>
          <w:tcPr>
            <w:tcW w:w="1900" w:type="dxa"/>
            <w:vAlign w:val="bottom"/>
          </w:tcPr>
          <w:p>
            <w:pPr>
              <w:ind w:left="80"/>
              <w:spacing w:after="0"/>
              <w:rPr>
                <w:sz w:val="20"/>
                <w:szCs w:val="20"/>
                <w:color w:val="auto"/>
              </w:rPr>
            </w:pPr>
            <w:r>
              <w:rPr>
                <w:rFonts w:ascii="Arial" w:cs="Arial" w:eastAsia="Arial" w:hAnsi="Arial"/>
                <w:sz w:val="14"/>
                <w:szCs w:val="14"/>
                <w:b w:val="1"/>
                <w:bCs w:val="1"/>
                <w:color w:val="005C5D"/>
              </w:rPr>
              <w:t>Ian Bickley</w:t>
            </w:r>
          </w:p>
        </w:tc>
        <w:tc>
          <w:tcPr>
            <w:tcW w:w="1780" w:type="dxa"/>
            <w:vAlign w:val="bottom"/>
            <w:shd w:val="clear" w:color="auto" w:fill="FCEFEB"/>
          </w:tcPr>
          <w:p>
            <w:pPr>
              <w:ind w:left="520"/>
              <w:spacing w:after="0"/>
              <w:rPr>
                <w:sz w:val="20"/>
                <w:szCs w:val="20"/>
                <w:color w:val="auto"/>
              </w:rPr>
            </w:pPr>
            <w:r>
              <w:rPr>
                <w:rFonts w:ascii="Arial" w:cs="Arial" w:eastAsia="Arial" w:hAnsi="Arial"/>
                <w:sz w:val="14"/>
                <w:szCs w:val="14"/>
                <w:color w:val="333333"/>
              </w:rPr>
              <w:t>April 4, 2025</w:t>
            </w:r>
          </w:p>
        </w:tc>
        <w:tc>
          <w:tcPr>
            <w:tcW w:w="2160" w:type="dxa"/>
            <w:vAlign w:val="bottom"/>
            <w:shd w:val="clear" w:color="auto" w:fill="FCEFEB"/>
          </w:tcPr>
          <w:p>
            <w:pPr>
              <w:jc w:val="right"/>
              <w:ind w:right="369"/>
              <w:spacing w:after="0" w:line="214" w:lineRule="exact"/>
              <w:rPr>
                <w:sz w:val="20"/>
                <w:szCs w:val="20"/>
                <w:color w:val="auto"/>
              </w:rPr>
            </w:pPr>
            <w:r>
              <w:rPr>
                <w:rFonts w:ascii="Arial" w:cs="Arial" w:eastAsia="Arial" w:hAnsi="Arial"/>
                <w:sz w:val="14"/>
                <w:szCs w:val="14"/>
                <w:color w:val="333333"/>
              </w:rPr>
              <w:t>39,906</w:t>
            </w:r>
            <w:r>
              <w:rPr>
                <w:rFonts w:ascii="Arial" w:cs="Arial" w:eastAsia="Arial" w:hAnsi="Arial"/>
                <w:sz w:val="21"/>
                <w:szCs w:val="21"/>
                <w:color w:val="333333"/>
                <w:vertAlign w:val="superscript"/>
              </w:rPr>
              <w:t>(3)</w:t>
            </w:r>
          </w:p>
        </w:tc>
        <w:tc>
          <w:tcPr>
            <w:tcW w:w="1780" w:type="dxa"/>
            <w:vAlign w:val="bottom"/>
            <w:shd w:val="clear" w:color="auto" w:fill="FCEFEB"/>
          </w:tcPr>
          <w:p>
            <w:pPr>
              <w:jc w:val="right"/>
              <w:ind w:right="289"/>
              <w:spacing w:after="0"/>
              <w:rPr>
                <w:sz w:val="20"/>
                <w:szCs w:val="20"/>
                <w:color w:val="auto"/>
              </w:rPr>
            </w:pPr>
            <w:r>
              <w:rPr>
                <w:rFonts w:ascii="Arial" w:cs="Arial" w:eastAsia="Arial" w:hAnsi="Arial"/>
                <w:sz w:val="14"/>
                <w:szCs w:val="14"/>
                <w:color w:val="333333"/>
              </w:rPr>
              <w:t>$   95,774</w:t>
            </w:r>
          </w:p>
        </w:tc>
        <w:tc>
          <w:tcPr>
            <w:tcW w:w="1640" w:type="dxa"/>
            <w:vAlign w:val="bottom"/>
            <w:shd w:val="clear" w:color="auto" w:fill="FCEFEB"/>
          </w:tcPr>
          <w:p>
            <w:pPr>
              <w:ind w:left="1040"/>
              <w:spacing w:after="0"/>
              <w:rPr>
                <w:sz w:val="20"/>
                <w:szCs w:val="20"/>
                <w:color w:val="auto"/>
              </w:rPr>
            </w:pPr>
            <w:r>
              <w:rPr>
                <w:rFonts w:ascii="Arial" w:cs="Arial" w:eastAsia="Arial" w:hAnsi="Arial"/>
                <w:sz w:val="14"/>
                <w:szCs w:val="14"/>
                <w:color w:val="333333"/>
              </w:rPr>
              <w:t>—</w:t>
            </w:r>
          </w:p>
        </w:tc>
        <w:tc>
          <w:tcPr>
            <w:tcW w:w="1660" w:type="dxa"/>
            <w:vAlign w:val="bottom"/>
            <w:shd w:val="clear" w:color="auto" w:fill="FCEFEB"/>
          </w:tcPr>
          <w:p>
            <w:pPr>
              <w:jc w:val="right"/>
              <w:ind w:right="329"/>
              <w:spacing w:after="0"/>
              <w:rPr>
                <w:sz w:val="20"/>
                <w:szCs w:val="20"/>
                <w:color w:val="auto"/>
              </w:rPr>
            </w:pPr>
            <w:r>
              <w:rPr>
                <w:rFonts w:ascii="Arial" w:cs="Arial" w:eastAsia="Arial" w:hAnsi="Arial"/>
                <w:sz w:val="14"/>
                <w:szCs w:val="14"/>
                <w:color w:val="333333"/>
              </w:rPr>
              <w:t>$   —</w:t>
            </w:r>
          </w:p>
        </w:tc>
        <w:tc>
          <w:tcPr>
            <w:tcW w:w="20" w:type="dxa"/>
            <w:vAlign w:val="bottom"/>
          </w:tcPr>
          <w:p>
            <w:pPr>
              <w:spacing w:after="0"/>
              <w:rPr>
                <w:sz w:val="18"/>
                <w:szCs w:val="18"/>
                <w:color w:val="auto"/>
              </w:rPr>
            </w:pPr>
          </w:p>
        </w:tc>
      </w:tr>
      <w:tr>
        <w:trPr>
          <w:trHeight w:val="214"/>
        </w:trPr>
        <w:tc>
          <w:tcPr>
            <w:tcW w:w="1900" w:type="dxa"/>
            <w:vAlign w:val="bottom"/>
          </w:tcPr>
          <w:p>
            <w:pPr>
              <w:spacing w:after="0"/>
              <w:rPr>
                <w:sz w:val="18"/>
                <w:szCs w:val="18"/>
                <w:color w:val="auto"/>
              </w:rPr>
            </w:pPr>
          </w:p>
        </w:tc>
        <w:tc>
          <w:tcPr>
            <w:tcW w:w="1780" w:type="dxa"/>
            <w:vAlign w:val="bottom"/>
            <w:shd w:val="clear" w:color="auto" w:fill="FCEFEB"/>
          </w:tcPr>
          <w:p>
            <w:pPr>
              <w:ind w:left="520"/>
              <w:spacing w:after="0"/>
              <w:rPr>
                <w:sz w:val="20"/>
                <w:szCs w:val="20"/>
                <w:color w:val="auto"/>
              </w:rPr>
            </w:pPr>
            <w:r>
              <w:rPr>
                <w:rFonts w:ascii="Arial" w:cs="Arial" w:eastAsia="Arial" w:hAnsi="Arial"/>
                <w:sz w:val="14"/>
                <w:szCs w:val="14"/>
                <w:color w:val="333333"/>
              </w:rPr>
              <w:t>July 3, 2025</w:t>
            </w:r>
          </w:p>
        </w:tc>
        <w:tc>
          <w:tcPr>
            <w:tcW w:w="2160" w:type="dxa"/>
            <w:vAlign w:val="bottom"/>
            <w:shd w:val="clear" w:color="auto" w:fill="FCEFEB"/>
          </w:tcPr>
          <w:p>
            <w:pPr>
              <w:jc w:val="right"/>
              <w:ind w:right="369"/>
              <w:spacing w:after="0" w:line="214" w:lineRule="exact"/>
              <w:rPr>
                <w:sz w:val="20"/>
                <w:szCs w:val="20"/>
                <w:color w:val="auto"/>
              </w:rPr>
            </w:pPr>
            <w:r>
              <w:rPr>
                <w:rFonts w:ascii="Arial" w:cs="Arial" w:eastAsia="Arial" w:hAnsi="Arial"/>
                <w:sz w:val="14"/>
                <w:szCs w:val="14"/>
                <w:color w:val="333333"/>
              </w:rPr>
              <w:t>233,463</w:t>
            </w:r>
            <w:r>
              <w:rPr>
                <w:rFonts w:ascii="Arial" w:cs="Arial" w:eastAsia="Arial" w:hAnsi="Arial"/>
                <w:sz w:val="21"/>
                <w:szCs w:val="21"/>
                <w:color w:val="333333"/>
                <w:vertAlign w:val="superscript"/>
              </w:rPr>
              <w:t>(4)</w:t>
            </w:r>
          </w:p>
        </w:tc>
        <w:tc>
          <w:tcPr>
            <w:tcW w:w="1780" w:type="dxa"/>
            <w:vAlign w:val="bottom"/>
            <w:shd w:val="clear" w:color="auto" w:fill="FCEFEB"/>
          </w:tcPr>
          <w:p>
            <w:pPr>
              <w:jc w:val="right"/>
              <w:ind w:right="289"/>
              <w:spacing w:after="0"/>
              <w:rPr>
                <w:sz w:val="20"/>
                <w:szCs w:val="20"/>
                <w:color w:val="auto"/>
              </w:rPr>
            </w:pPr>
            <w:r>
              <w:rPr>
                <w:rFonts w:ascii="Arial" w:cs="Arial" w:eastAsia="Arial" w:hAnsi="Arial"/>
                <w:sz w:val="14"/>
                <w:szCs w:val="14"/>
                <w:color w:val="333333"/>
              </w:rPr>
              <w:t>560,311</w:t>
            </w:r>
          </w:p>
        </w:tc>
        <w:tc>
          <w:tcPr>
            <w:tcW w:w="1640" w:type="dxa"/>
            <w:vAlign w:val="bottom"/>
            <w:shd w:val="clear" w:color="auto" w:fill="FCEFEB"/>
          </w:tcPr>
          <w:p>
            <w:pPr>
              <w:ind w:left="1040"/>
              <w:spacing w:after="0"/>
              <w:rPr>
                <w:sz w:val="20"/>
                <w:szCs w:val="20"/>
                <w:color w:val="auto"/>
              </w:rPr>
            </w:pPr>
            <w:r>
              <w:rPr>
                <w:rFonts w:ascii="Arial" w:cs="Arial" w:eastAsia="Arial" w:hAnsi="Arial"/>
                <w:sz w:val="14"/>
                <w:szCs w:val="14"/>
                <w:color w:val="333333"/>
              </w:rPr>
              <w:t>—</w:t>
            </w:r>
          </w:p>
        </w:tc>
        <w:tc>
          <w:tcPr>
            <w:tcW w:w="1660" w:type="dxa"/>
            <w:vAlign w:val="bottom"/>
            <w:shd w:val="clear" w:color="auto" w:fill="FCEFEB"/>
          </w:tcPr>
          <w:p>
            <w:pPr>
              <w:jc w:val="right"/>
              <w:ind w:right="329"/>
              <w:spacing w:after="0"/>
              <w:rPr>
                <w:sz w:val="20"/>
                <w:szCs w:val="20"/>
                <w:color w:val="auto"/>
              </w:rPr>
            </w:pPr>
            <w:r>
              <w:rPr>
                <w:rFonts w:ascii="Arial" w:cs="Arial" w:eastAsia="Arial" w:hAnsi="Arial"/>
                <w:sz w:val="14"/>
                <w:szCs w:val="14"/>
                <w:color w:val="333333"/>
              </w:rPr>
              <w:t>—</w:t>
            </w:r>
          </w:p>
        </w:tc>
        <w:tc>
          <w:tcPr>
            <w:tcW w:w="20" w:type="dxa"/>
            <w:vAlign w:val="bottom"/>
          </w:tcPr>
          <w:p>
            <w:pPr>
              <w:spacing w:after="0"/>
              <w:rPr>
                <w:sz w:val="18"/>
                <w:szCs w:val="18"/>
                <w:color w:val="auto"/>
              </w:rPr>
            </w:pPr>
          </w:p>
        </w:tc>
      </w:tr>
      <w:tr>
        <w:trPr>
          <w:trHeight w:val="294"/>
        </w:trPr>
        <w:tc>
          <w:tcPr>
            <w:tcW w:w="1900" w:type="dxa"/>
            <w:vAlign w:val="bottom"/>
            <w:tcBorders>
              <w:bottom w:val="single" w:sz="8" w:color="005C5D"/>
            </w:tcBorders>
          </w:tcPr>
          <w:p>
            <w:pPr>
              <w:spacing w:after="0"/>
              <w:rPr>
                <w:sz w:val="24"/>
                <w:szCs w:val="24"/>
                <w:color w:val="auto"/>
              </w:rPr>
            </w:pPr>
          </w:p>
        </w:tc>
        <w:tc>
          <w:tcPr>
            <w:tcW w:w="1780" w:type="dxa"/>
            <w:vAlign w:val="bottom"/>
            <w:tcBorders>
              <w:bottom w:val="single" w:sz="8" w:color="005C5D"/>
            </w:tcBorders>
            <w:shd w:val="clear" w:color="auto" w:fill="FCEFEB"/>
          </w:tcPr>
          <w:p>
            <w:pPr>
              <w:ind w:left="520"/>
              <w:spacing w:after="0"/>
              <w:rPr>
                <w:sz w:val="20"/>
                <w:szCs w:val="20"/>
                <w:color w:val="auto"/>
              </w:rPr>
            </w:pPr>
            <w:r>
              <w:rPr>
                <w:rFonts w:ascii="Arial" w:cs="Arial" w:eastAsia="Arial" w:hAnsi="Arial"/>
                <w:sz w:val="14"/>
                <w:szCs w:val="14"/>
                <w:color w:val="333333"/>
              </w:rPr>
              <w:t>December 12, 2025</w:t>
            </w:r>
          </w:p>
        </w:tc>
        <w:tc>
          <w:tcPr>
            <w:tcW w:w="2160" w:type="dxa"/>
            <w:vAlign w:val="bottom"/>
            <w:tcBorders>
              <w:bottom w:val="single" w:sz="8" w:color="005C5D"/>
            </w:tcBorders>
            <w:shd w:val="clear" w:color="auto" w:fill="FCEFEB"/>
          </w:tcPr>
          <w:p>
            <w:pPr>
              <w:jc w:val="right"/>
              <w:ind w:right="369"/>
              <w:spacing w:after="0"/>
              <w:rPr>
                <w:sz w:val="20"/>
                <w:szCs w:val="20"/>
                <w:color w:val="auto"/>
              </w:rPr>
            </w:pPr>
            <w:r>
              <w:rPr>
                <w:rFonts w:ascii="Arial" w:cs="Arial" w:eastAsia="Arial" w:hAnsi="Arial"/>
                <w:sz w:val="14"/>
                <w:szCs w:val="14"/>
                <w:color w:val="333333"/>
              </w:rPr>
              <w:t>461,538</w:t>
            </w:r>
            <w:r>
              <w:rPr>
                <w:rFonts w:ascii="Arial" w:cs="Arial" w:eastAsia="Arial" w:hAnsi="Arial"/>
                <w:sz w:val="21"/>
                <w:szCs w:val="21"/>
                <w:color w:val="333333"/>
                <w:vertAlign w:val="superscript"/>
              </w:rPr>
              <w:t>(4)</w:t>
            </w:r>
          </w:p>
        </w:tc>
        <w:tc>
          <w:tcPr>
            <w:tcW w:w="1780" w:type="dxa"/>
            <w:vAlign w:val="bottom"/>
            <w:tcBorders>
              <w:bottom w:val="single" w:sz="8" w:color="005C5D"/>
            </w:tcBorders>
            <w:shd w:val="clear" w:color="auto" w:fill="FCEFEB"/>
          </w:tcPr>
          <w:p>
            <w:pPr>
              <w:jc w:val="right"/>
              <w:ind w:right="289"/>
              <w:spacing w:after="0"/>
              <w:rPr>
                <w:sz w:val="20"/>
                <w:szCs w:val="20"/>
                <w:color w:val="auto"/>
              </w:rPr>
            </w:pPr>
            <w:r>
              <w:rPr>
                <w:rFonts w:ascii="Arial" w:cs="Arial" w:eastAsia="Arial" w:hAnsi="Arial"/>
                <w:sz w:val="14"/>
                <w:szCs w:val="14"/>
                <w:color w:val="333333"/>
              </w:rPr>
              <w:t>1,107,691</w:t>
            </w:r>
          </w:p>
        </w:tc>
        <w:tc>
          <w:tcPr>
            <w:tcW w:w="1640" w:type="dxa"/>
            <w:vAlign w:val="bottom"/>
            <w:tcBorders>
              <w:bottom w:val="single" w:sz="8" w:color="005C5D"/>
            </w:tcBorders>
            <w:shd w:val="clear" w:color="auto" w:fill="FCEFEB"/>
          </w:tcPr>
          <w:p>
            <w:pPr>
              <w:ind w:left="1040"/>
              <w:spacing w:after="0"/>
              <w:rPr>
                <w:sz w:val="20"/>
                <w:szCs w:val="20"/>
                <w:color w:val="auto"/>
              </w:rPr>
            </w:pPr>
            <w:r>
              <w:rPr>
                <w:rFonts w:ascii="Arial" w:cs="Arial" w:eastAsia="Arial" w:hAnsi="Arial"/>
                <w:sz w:val="14"/>
                <w:szCs w:val="14"/>
                <w:color w:val="333333"/>
              </w:rPr>
              <w:t>—</w:t>
            </w:r>
          </w:p>
        </w:tc>
        <w:tc>
          <w:tcPr>
            <w:tcW w:w="1660" w:type="dxa"/>
            <w:vAlign w:val="bottom"/>
            <w:tcBorders>
              <w:bottom w:val="single" w:sz="8" w:color="005C5D"/>
            </w:tcBorders>
            <w:shd w:val="clear" w:color="auto" w:fill="FCEFEB"/>
          </w:tcPr>
          <w:p>
            <w:pPr>
              <w:jc w:val="right"/>
              <w:ind w:right="329"/>
              <w:spacing w:after="0"/>
              <w:rPr>
                <w:sz w:val="20"/>
                <w:szCs w:val="20"/>
                <w:color w:val="auto"/>
              </w:rPr>
            </w:pPr>
            <w:r>
              <w:rPr>
                <w:rFonts w:ascii="Arial" w:cs="Arial" w:eastAsia="Arial" w:hAnsi="Arial"/>
                <w:sz w:val="14"/>
                <w:szCs w:val="14"/>
                <w:color w:val="333333"/>
              </w:rPr>
              <w:t>—</w:t>
            </w:r>
          </w:p>
        </w:tc>
        <w:tc>
          <w:tcPr>
            <w:tcW w:w="20" w:type="dxa"/>
            <w:vAlign w:val="bottom"/>
          </w:tcPr>
          <w:p>
            <w:pPr>
              <w:spacing w:after="0"/>
              <w:rPr>
                <w:sz w:val="24"/>
                <w:szCs w:val="24"/>
                <w:color w:val="auto"/>
              </w:rPr>
            </w:pPr>
          </w:p>
        </w:tc>
      </w:tr>
      <w:tr>
        <w:trPr>
          <w:trHeight w:val="194"/>
        </w:trPr>
        <w:tc>
          <w:tcPr>
            <w:tcW w:w="1900" w:type="dxa"/>
            <w:vAlign w:val="bottom"/>
          </w:tcPr>
          <w:p>
            <w:pPr>
              <w:ind w:left="80"/>
              <w:spacing w:after="0" w:line="194" w:lineRule="exact"/>
              <w:rPr>
                <w:sz w:val="20"/>
                <w:szCs w:val="20"/>
                <w:color w:val="auto"/>
              </w:rPr>
            </w:pPr>
            <w:r>
              <w:rPr>
                <w:rFonts w:ascii="Arial" w:cs="Arial" w:eastAsia="Arial" w:hAnsi="Arial"/>
                <w:sz w:val="14"/>
                <w:szCs w:val="14"/>
                <w:b w:val="1"/>
                <w:bCs w:val="1"/>
                <w:color w:val="005C5D"/>
              </w:rPr>
              <w:t>Jacqueline Ardrey</w:t>
            </w:r>
            <w:r>
              <w:rPr>
                <w:rFonts w:ascii="Arial" w:cs="Arial" w:eastAsia="Arial" w:hAnsi="Arial"/>
                <w:sz w:val="21"/>
                <w:szCs w:val="21"/>
                <w:b w:val="1"/>
                <w:bCs w:val="1"/>
                <w:color w:val="337C7D"/>
                <w:vertAlign w:val="superscript"/>
              </w:rPr>
              <w:t>(5)</w:t>
            </w:r>
          </w:p>
        </w:tc>
        <w:tc>
          <w:tcPr>
            <w:tcW w:w="1780" w:type="dxa"/>
            <w:vAlign w:val="bottom"/>
            <w:shd w:val="clear" w:color="auto" w:fill="FCEFEB"/>
          </w:tcPr>
          <w:p>
            <w:pPr>
              <w:ind w:left="520"/>
              <w:spacing w:after="0"/>
              <w:rPr>
                <w:sz w:val="20"/>
                <w:szCs w:val="20"/>
                <w:color w:val="auto"/>
              </w:rPr>
            </w:pPr>
            <w:r>
              <w:rPr>
                <w:rFonts w:ascii="Arial" w:cs="Arial" w:eastAsia="Arial" w:hAnsi="Arial"/>
                <w:sz w:val="14"/>
                <w:szCs w:val="14"/>
                <w:color w:val="333333"/>
              </w:rPr>
              <w:t>November 1, 2022</w:t>
            </w:r>
          </w:p>
        </w:tc>
        <w:tc>
          <w:tcPr>
            <w:tcW w:w="2160" w:type="dxa"/>
            <w:vAlign w:val="bottom"/>
            <w:shd w:val="clear" w:color="auto" w:fill="FCEFEB"/>
          </w:tcPr>
          <w:p>
            <w:pPr>
              <w:jc w:val="right"/>
              <w:ind w:right="369"/>
              <w:spacing w:after="0" w:line="194" w:lineRule="exact"/>
              <w:rPr>
                <w:sz w:val="20"/>
                <w:szCs w:val="20"/>
                <w:color w:val="auto"/>
              </w:rPr>
            </w:pPr>
            <w:r>
              <w:rPr>
                <w:rFonts w:ascii="Arial" w:cs="Arial" w:eastAsia="Arial" w:hAnsi="Arial"/>
                <w:sz w:val="14"/>
                <w:szCs w:val="14"/>
                <w:color w:val="333333"/>
              </w:rPr>
              <w:t>73,424</w:t>
            </w:r>
            <w:r>
              <w:rPr>
                <w:rFonts w:ascii="Arial" w:cs="Arial" w:eastAsia="Arial" w:hAnsi="Arial"/>
                <w:sz w:val="21"/>
                <w:szCs w:val="21"/>
                <w:color w:val="333333"/>
                <w:vertAlign w:val="superscript"/>
              </w:rPr>
              <w:t>(8)</w:t>
            </w:r>
          </w:p>
        </w:tc>
        <w:tc>
          <w:tcPr>
            <w:tcW w:w="1780" w:type="dxa"/>
            <w:vAlign w:val="bottom"/>
            <w:shd w:val="clear" w:color="auto" w:fill="FCEFEB"/>
          </w:tcPr>
          <w:p>
            <w:pPr>
              <w:jc w:val="right"/>
              <w:ind w:right="289"/>
              <w:spacing w:after="0"/>
              <w:rPr>
                <w:sz w:val="20"/>
                <w:szCs w:val="20"/>
                <w:color w:val="auto"/>
              </w:rPr>
            </w:pPr>
            <w:r>
              <w:rPr>
                <w:rFonts w:ascii="Arial" w:cs="Arial" w:eastAsia="Arial" w:hAnsi="Arial"/>
                <w:sz w:val="14"/>
                <w:szCs w:val="14"/>
                <w:color w:val="333333"/>
              </w:rPr>
              <w:t>176,218</w:t>
            </w:r>
          </w:p>
        </w:tc>
        <w:tc>
          <w:tcPr>
            <w:tcW w:w="1640" w:type="dxa"/>
            <w:vAlign w:val="bottom"/>
            <w:shd w:val="clear" w:color="auto" w:fill="FCEFEB"/>
          </w:tcPr>
          <w:p>
            <w:pPr>
              <w:ind w:left="1040"/>
              <w:spacing w:after="0"/>
              <w:rPr>
                <w:sz w:val="20"/>
                <w:szCs w:val="20"/>
                <w:color w:val="auto"/>
              </w:rPr>
            </w:pPr>
            <w:r>
              <w:rPr>
                <w:rFonts w:ascii="Arial" w:cs="Arial" w:eastAsia="Arial" w:hAnsi="Arial"/>
                <w:sz w:val="14"/>
                <w:szCs w:val="14"/>
                <w:color w:val="333333"/>
              </w:rPr>
              <w:t>—</w:t>
            </w:r>
          </w:p>
        </w:tc>
        <w:tc>
          <w:tcPr>
            <w:tcW w:w="1660" w:type="dxa"/>
            <w:vAlign w:val="bottom"/>
            <w:shd w:val="clear" w:color="auto" w:fill="FCEFEB"/>
          </w:tcPr>
          <w:p>
            <w:pPr>
              <w:jc w:val="right"/>
              <w:ind w:right="329"/>
              <w:spacing w:after="0"/>
              <w:rPr>
                <w:sz w:val="20"/>
                <w:szCs w:val="20"/>
                <w:color w:val="auto"/>
              </w:rPr>
            </w:pPr>
            <w:r>
              <w:rPr>
                <w:rFonts w:ascii="Arial" w:cs="Arial" w:eastAsia="Arial" w:hAnsi="Arial"/>
                <w:sz w:val="14"/>
                <w:szCs w:val="14"/>
                <w:color w:val="333333"/>
              </w:rPr>
              <w:t>—</w:t>
            </w:r>
          </w:p>
        </w:tc>
        <w:tc>
          <w:tcPr>
            <w:tcW w:w="20" w:type="dxa"/>
            <w:vAlign w:val="bottom"/>
          </w:tcPr>
          <w:p>
            <w:pPr>
              <w:spacing w:after="0"/>
              <w:rPr>
                <w:sz w:val="16"/>
                <w:szCs w:val="16"/>
                <w:color w:val="auto"/>
              </w:rPr>
            </w:pPr>
          </w:p>
        </w:tc>
      </w:tr>
      <w:tr>
        <w:trPr>
          <w:trHeight w:val="214"/>
        </w:trPr>
        <w:tc>
          <w:tcPr>
            <w:tcW w:w="1900" w:type="dxa"/>
            <w:vAlign w:val="bottom"/>
          </w:tcPr>
          <w:p>
            <w:pPr>
              <w:spacing w:after="0"/>
              <w:rPr>
                <w:sz w:val="18"/>
                <w:szCs w:val="18"/>
                <w:color w:val="auto"/>
              </w:rPr>
            </w:pPr>
          </w:p>
        </w:tc>
        <w:tc>
          <w:tcPr>
            <w:tcW w:w="1780" w:type="dxa"/>
            <w:vAlign w:val="bottom"/>
            <w:shd w:val="clear" w:color="auto" w:fill="FCEFEB"/>
          </w:tcPr>
          <w:p>
            <w:pPr>
              <w:ind w:left="520"/>
              <w:spacing w:after="0"/>
              <w:rPr>
                <w:sz w:val="20"/>
                <w:szCs w:val="20"/>
                <w:color w:val="auto"/>
              </w:rPr>
            </w:pPr>
            <w:r>
              <w:rPr>
                <w:rFonts w:ascii="Arial" w:cs="Arial" w:eastAsia="Arial" w:hAnsi="Arial"/>
                <w:sz w:val="14"/>
                <w:szCs w:val="14"/>
                <w:color w:val="333333"/>
              </w:rPr>
              <w:t>April 5, 2024</w:t>
            </w:r>
          </w:p>
        </w:tc>
        <w:tc>
          <w:tcPr>
            <w:tcW w:w="2160" w:type="dxa"/>
            <w:vAlign w:val="bottom"/>
            <w:shd w:val="clear" w:color="auto" w:fill="FCEFEB"/>
          </w:tcPr>
          <w:p>
            <w:pPr>
              <w:jc w:val="right"/>
              <w:ind w:right="489"/>
              <w:spacing w:after="0"/>
              <w:rPr>
                <w:sz w:val="20"/>
                <w:szCs w:val="20"/>
                <w:color w:val="auto"/>
              </w:rPr>
            </w:pPr>
            <w:r>
              <w:rPr>
                <w:rFonts w:ascii="Arial" w:cs="Arial" w:eastAsia="Arial" w:hAnsi="Arial"/>
                <w:sz w:val="14"/>
                <w:szCs w:val="14"/>
                <w:color w:val="333333"/>
              </w:rPr>
              <w:t>—</w:t>
            </w:r>
          </w:p>
        </w:tc>
        <w:tc>
          <w:tcPr>
            <w:tcW w:w="1780" w:type="dxa"/>
            <w:vAlign w:val="bottom"/>
            <w:shd w:val="clear" w:color="auto" w:fill="FCEFEB"/>
          </w:tcPr>
          <w:p>
            <w:pPr>
              <w:jc w:val="right"/>
              <w:ind w:right="289"/>
              <w:spacing w:after="0"/>
              <w:rPr>
                <w:sz w:val="20"/>
                <w:szCs w:val="20"/>
                <w:color w:val="auto"/>
              </w:rPr>
            </w:pPr>
            <w:r>
              <w:rPr>
                <w:rFonts w:ascii="Arial" w:cs="Arial" w:eastAsia="Arial" w:hAnsi="Arial"/>
                <w:sz w:val="14"/>
                <w:szCs w:val="14"/>
                <w:color w:val="333333"/>
              </w:rPr>
              <w:t>—</w:t>
            </w:r>
          </w:p>
        </w:tc>
        <w:tc>
          <w:tcPr>
            <w:tcW w:w="1640" w:type="dxa"/>
            <w:vAlign w:val="bottom"/>
            <w:shd w:val="clear" w:color="auto" w:fill="FCEFEB"/>
          </w:tcPr>
          <w:p>
            <w:pPr>
              <w:ind w:left="1040"/>
              <w:spacing w:after="0"/>
              <w:rPr>
                <w:sz w:val="20"/>
                <w:szCs w:val="20"/>
                <w:color w:val="auto"/>
              </w:rPr>
            </w:pPr>
            <w:r>
              <w:rPr>
                <w:rFonts w:ascii="Arial" w:cs="Arial" w:eastAsia="Arial" w:hAnsi="Arial"/>
                <w:sz w:val="14"/>
                <w:szCs w:val="14"/>
                <w:color w:val="333333"/>
              </w:rPr>
              <w:t>—</w:t>
            </w:r>
          </w:p>
        </w:tc>
        <w:tc>
          <w:tcPr>
            <w:tcW w:w="1660" w:type="dxa"/>
            <w:vAlign w:val="bottom"/>
            <w:shd w:val="clear" w:color="auto" w:fill="FCEFEB"/>
          </w:tcPr>
          <w:p>
            <w:pPr>
              <w:jc w:val="right"/>
              <w:ind w:right="329"/>
              <w:spacing w:after="0"/>
              <w:rPr>
                <w:sz w:val="20"/>
                <w:szCs w:val="20"/>
                <w:color w:val="auto"/>
              </w:rPr>
            </w:pPr>
            <w:r>
              <w:rPr>
                <w:rFonts w:ascii="Arial" w:cs="Arial" w:eastAsia="Arial" w:hAnsi="Arial"/>
                <w:sz w:val="14"/>
                <w:szCs w:val="14"/>
                <w:color w:val="333333"/>
              </w:rPr>
              <w:t>—</w:t>
            </w:r>
          </w:p>
        </w:tc>
        <w:tc>
          <w:tcPr>
            <w:tcW w:w="20" w:type="dxa"/>
            <w:vAlign w:val="bottom"/>
          </w:tcPr>
          <w:p>
            <w:pPr>
              <w:spacing w:after="0"/>
              <w:rPr>
                <w:sz w:val="18"/>
                <w:szCs w:val="18"/>
                <w:color w:val="auto"/>
              </w:rPr>
            </w:pPr>
          </w:p>
        </w:tc>
      </w:tr>
      <w:tr>
        <w:trPr>
          <w:trHeight w:val="294"/>
        </w:trPr>
        <w:tc>
          <w:tcPr>
            <w:tcW w:w="1900" w:type="dxa"/>
            <w:vAlign w:val="bottom"/>
          </w:tcPr>
          <w:p>
            <w:pPr>
              <w:spacing w:after="0"/>
              <w:rPr>
                <w:sz w:val="24"/>
                <w:szCs w:val="24"/>
                <w:color w:val="auto"/>
              </w:rPr>
            </w:pPr>
          </w:p>
        </w:tc>
        <w:tc>
          <w:tcPr>
            <w:tcW w:w="1780" w:type="dxa"/>
            <w:vAlign w:val="bottom"/>
            <w:tcBorders>
              <w:bottom w:val="single" w:sz="8" w:color="FCEFEB"/>
            </w:tcBorders>
            <w:shd w:val="clear" w:color="auto" w:fill="FCEFEB"/>
          </w:tcPr>
          <w:p>
            <w:pPr>
              <w:ind w:left="520"/>
              <w:spacing w:after="0"/>
              <w:rPr>
                <w:sz w:val="20"/>
                <w:szCs w:val="20"/>
                <w:color w:val="auto"/>
              </w:rPr>
            </w:pPr>
            <w:r>
              <w:rPr>
                <w:rFonts w:ascii="Arial" w:cs="Arial" w:eastAsia="Arial" w:hAnsi="Arial"/>
                <w:sz w:val="14"/>
                <w:szCs w:val="14"/>
                <w:color w:val="333333"/>
              </w:rPr>
              <w:t>April 4, 2025</w:t>
            </w:r>
          </w:p>
        </w:tc>
        <w:tc>
          <w:tcPr>
            <w:tcW w:w="2160" w:type="dxa"/>
            <w:vAlign w:val="bottom"/>
            <w:tcBorders>
              <w:bottom w:val="single" w:sz="8" w:color="FCEFEB"/>
            </w:tcBorders>
            <w:shd w:val="clear" w:color="auto" w:fill="FCEFEB"/>
          </w:tcPr>
          <w:p>
            <w:pPr>
              <w:jc w:val="right"/>
              <w:ind w:right="489"/>
              <w:spacing w:after="0"/>
              <w:rPr>
                <w:sz w:val="20"/>
                <w:szCs w:val="20"/>
                <w:color w:val="auto"/>
              </w:rPr>
            </w:pPr>
            <w:r>
              <w:rPr>
                <w:rFonts w:ascii="Arial" w:cs="Arial" w:eastAsia="Arial" w:hAnsi="Arial"/>
                <w:sz w:val="14"/>
                <w:szCs w:val="14"/>
                <w:color w:val="333333"/>
              </w:rPr>
              <w:t>—</w:t>
            </w:r>
          </w:p>
        </w:tc>
        <w:tc>
          <w:tcPr>
            <w:tcW w:w="1780" w:type="dxa"/>
            <w:vAlign w:val="bottom"/>
            <w:tcBorders>
              <w:bottom w:val="single" w:sz="8" w:color="FCEFEB"/>
            </w:tcBorders>
            <w:shd w:val="clear" w:color="auto" w:fill="FCEFEB"/>
          </w:tcPr>
          <w:p>
            <w:pPr>
              <w:jc w:val="right"/>
              <w:ind w:right="289"/>
              <w:spacing w:after="0"/>
              <w:rPr>
                <w:sz w:val="20"/>
                <w:szCs w:val="20"/>
                <w:color w:val="auto"/>
              </w:rPr>
            </w:pPr>
            <w:r>
              <w:rPr>
                <w:rFonts w:ascii="Arial" w:cs="Arial" w:eastAsia="Arial" w:hAnsi="Arial"/>
                <w:sz w:val="14"/>
                <w:szCs w:val="14"/>
                <w:color w:val="333333"/>
              </w:rPr>
              <w:t>—</w:t>
            </w:r>
          </w:p>
        </w:tc>
        <w:tc>
          <w:tcPr>
            <w:tcW w:w="1640" w:type="dxa"/>
            <w:vAlign w:val="bottom"/>
            <w:tcBorders>
              <w:bottom w:val="single" w:sz="8" w:color="FCEFEB"/>
            </w:tcBorders>
            <w:shd w:val="clear" w:color="auto" w:fill="FCEFEB"/>
          </w:tcPr>
          <w:p>
            <w:pPr>
              <w:ind w:left="1040"/>
              <w:spacing w:after="0"/>
              <w:rPr>
                <w:sz w:val="20"/>
                <w:szCs w:val="20"/>
                <w:color w:val="auto"/>
              </w:rPr>
            </w:pPr>
            <w:r>
              <w:rPr>
                <w:rFonts w:ascii="Arial" w:cs="Arial" w:eastAsia="Arial" w:hAnsi="Arial"/>
                <w:sz w:val="14"/>
                <w:szCs w:val="14"/>
                <w:color w:val="333333"/>
              </w:rPr>
              <w:t>—</w:t>
            </w:r>
          </w:p>
        </w:tc>
        <w:tc>
          <w:tcPr>
            <w:tcW w:w="1660" w:type="dxa"/>
            <w:vAlign w:val="bottom"/>
            <w:tcBorders>
              <w:bottom w:val="single" w:sz="8" w:color="FCEFEB"/>
            </w:tcBorders>
            <w:shd w:val="clear" w:color="auto" w:fill="FCEFEB"/>
          </w:tcPr>
          <w:p>
            <w:pPr>
              <w:jc w:val="right"/>
              <w:ind w:right="329"/>
              <w:spacing w:after="0"/>
              <w:rPr>
                <w:sz w:val="20"/>
                <w:szCs w:val="20"/>
                <w:color w:val="auto"/>
              </w:rPr>
            </w:pPr>
            <w:r>
              <w:rPr>
                <w:rFonts w:ascii="Arial" w:cs="Arial" w:eastAsia="Arial" w:hAnsi="Arial"/>
                <w:sz w:val="14"/>
                <w:szCs w:val="14"/>
                <w:color w:val="333333"/>
              </w:rPr>
              <w:t>—</w:t>
            </w:r>
          </w:p>
        </w:tc>
        <w:tc>
          <w:tcPr>
            <w:tcW w:w="20" w:type="dxa"/>
            <w:vAlign w:val="bottom"/>
          </w:tcPr>
          <w:p>
            <w:pPr>
              <w:spacing w:after="0"/>
              <w:rPr>
                <w:sz w:val="24"/>
                <w:szCs w:val="24"/>
                <w:color w:val="auto"/>
              </w:rPr>
            </w:pPr>
          </w:p>
        </w:tc>
      </w:tr>
      <w:tr>
        <w:trPr>
          <w:trHeight w:val="274"/>
        </w:trPr>
        <w:tc>
          <w:tcPr>
            <w:tcW w:w="1900" w:type="dxa"/>
            <w:vAlign w:val="bottom"/>
            <w:tcBorders>
              <w:top w:val="single" w:sz="8" w:color="005C5D"/>
              <w:bottom w:val="single" w:sz="8" w:color="005C5D"/>
            </w:tcBorders>
          </w:tcPr>
          <w:p>
            <w:pPr>
              <w:ind w:left="80"/>
              <w:spacing w:after="0"/>
              <w:rPr>
                <w:sz w:val="20"/>
                <w:szCs w:val="20"/>
                <w:color w:val="auto"/>
              </w:rPr>
            </w:pPr>
            <w:r>
              <w:rPr>
                <w:rFonts w:ascii="Arial" w:cs="Arial" w:eastAsia="Arial" w:hAnsi="Arial"/>
                <w:sz w:val="14"/>
                <w:szCs w:val="14"/>
                <w:b w:val="1"/>
                <w:bCs w:val="1"/>
                <w:color w:val="005C5D"/>
              </w:rPr>
              <w:t>Martin Layding</w:t>
            </w:r>
          </w:p>
        </w:tc>
        <w:tc>
          <w:tcPr>
            <w:tcW w:w="1780" w:type="dxa"/>
            <w:vAlign w:val="bottom"/>
            <w:tcBorders>
              <w:top w:val="single" w:sz="8" w:color="005C5D"/>
              <w:bottom w:val="single" w:sz="8" w:color="005C5D"/>
            </w:tcBorders>
            <w:shd w:val="clear" w:color="auto" w:fill="FCEFEB"/>
          </w:tcPr>
          <w:p>
            <w:pPr>
              <w:ind w:left="520"/>
              <w:spacing w:after="0"/>
              <w:rPr>
                <w:sz w:val="20"/>
                <w:szCs w:val="20"/>
                <w:color w:val="auto"/>
              </w:rPr>
            </w:pPr>
            <w:r>
              <w:rPr>
                <w:rFonts w:ascii="Arial" w:cs="Arial" w:eastAsia="Arial" w:hAnsi="Arial"/>
                <w:sz w:val="14"/>
                <w:szCs w:val="14"/>
                <w:color w:val="333333"/>
              </w:rPr>
              <w:t>June 12, 2025</w:t>
            </w:r>
          </w:p>
        </w:tc>
        <w:tc>
          <w:tcPr>
            <w:tcW w:w="2160" w:type="dxa"/>
            <w:vAlign w:val="bottom"/>
            <w:tcBorders>
              <w:top w:val="single" w:sz="8" w:color="005C5D"/>
              <w:bottom w:val="single" w:sz="8" w:color="005C5D"/>
            </w:tcBorders>
            <w:shd w:val="clear" w:color="auto" w:fill="FCEFEB"/>
          </w:tcPr>
          <w:p>
            <w:pPr>
              <w:jc w:val="right"/>
              <w:ind w:right="369"/>
              <w:spacing w:after="0"/>
              <w:rPr>
                <w:sz w:val="20"/>
                <w:szCs w:val="20"/>
                <w:color w:val="auto"/>
              </w:rPr>
            </w:pPr>
            <w:r>
              <w:rPr>
                <w:rFonts w:ascii="Arial" w:cs="Arial" w:eastAsia="Arial" w:hAnsi="Arial"/>
                <w:sz w:val="14"/>
                <w:szCs w:val="14"/>
                <w:color w:val="333333"/>
              </w:rPr>
              <w:t>414,439</w:t>
            </w:r>
            <w:r>
              <w:rPr>
                <w:rFonts w:ascii="Arial" w:cs="Arial" w:eastAsia="Arial" w:hAnsi="Arial"/>
                <w:sz w:val="21"/>
                <w:szCs w:val="21"/>
                <w:color w:val="333333"/>
                <w:vertAlign w:val="superscript"/>
              </w:rPr>
              <w:t>(4)</w:t>
            </w:r>
          </w:p>
        </w:tc>
        <w:tc>
          <w:tcPr>
            <w:tcW w:w="1780" w:type="dxa"/>
            <w:vAlign w:val="bottom"/>
            <w:tcBorders>
              <w:top w:val="single" w:sz="8" w:color="005C5D"/>
              <w:bottom w:val="single" w:sz="8" w:color="005C5D"/>
            </w:tcBorders>
            <w:shd w:val="clear" w:color="auto" w:fill="FCEFEB"/>
          </w:tcPr>
          <w:p>
            <w:pPr>
              <w:jc w:val="right"/>
              <w:ind w:right="289"/>
              <w:spacing w:after="0"/>
              <w:rPr>
                <w:sz w:val="20"/>
                <w:szCs w:val="20"/>
                <w:color w:val="auto"/>
              </w:rPr>
            </w:pPr>
            <w:r>
              <w:rPr>
                <w:rFonts w:ascii="Arial" w:cs="Arial" w:eastAsia="Arial" w:hAnsi="Arial"/>
                <w:sz w:val="14"/>
                <w:szCs w:val="14"/>
                <w:color w:val="333333"/>
              </w:rPr>
              <w:t>994,654</w:t>
            </w:r>
          </w:p>
        </w:tc>
        <w:tc>
          <w:tcPr>
            <w:tcW w:w="1640" w:type="dxa"/>
            <w:vAlign w:val="bottom"/>
            <w:tcBorders>
              <w:top w:val="single" w:sz="8" w:color="005C5D"/>
              <w:bottom w:val="single" w:sz="8" w:color="005C5D"/>
            </w:tcBorders>
            <w:shd w:val="clear" w:color="auto" w:fill="FCEFEB"/>
          </w:tcPr>
          <w:p>
            <w:pPr>
              <w:ind w:left="1040"/>
              <w:spacing w:after="0" w:line="274" w:lineRule="exact"/>
              <w:rPr>
                <w:sz w:val="20"/>
                <w:szCs w:val="20"/>
                <w:color w:val="auto"/>
              </w:rPr>
            </w:pPr>
            <w:r>
              <w:rPr>
                <w:rFonts w:ascii="Arial" w:cs="Arial" w:eastAsia="Arial" w:hAnsi="Arial"/>
                <w:sz w:val="28"/>
                <w:szCs w:val="28"/>
                <w:color w:val="333333"/>
                <w:vertAlign w:val="subscript"/>
              </w:rPr>
              <w:t>—</w:t>
            </w:r>
            <w:r>
              <w:rPr>
                <w:rFonts w:ascii="Arial" w:cs="Arial" w:eastAsia="Arial" w:hAnsi="Arial"/>
                <w:sz w:val="11"/>
                <w:szCs w:val="11"/>
                <w:color w:val="333333"/>
              </w:rPr>
              <w:t>(11)</w:t>
            </w:r>
          </w:p>
        </w:tc>
        <w:tc>
          <w:tcPr>
            <w:tcW w:w="1660" w:type="dxa"/>
            <w:vAlign w:val="bottom"/>
            <w:tcBorders>
              <w:top w:val="single" w:sz="8" w:color="005C5D"/>
              <w:bottom w:val="single" w:sz="8" w:color="005C5D"/>
            </w:tcBorders>
            <w:shd w:val="clear" w:color="auto" w:fill="FCEFEB"/>
          </w:tcPr>
          <w:p>
            <w:pPr>
              <w:jc w:val="right"/>
              <w:ind w:right="329"/>
              <w:spacing w:after="0"/>
              <w:rPr>
                <w:sz w:val="20"/>
                <w:szCs w:val="20"/>
                <w:color w:val="auto"/>
              </w:rPr>
            </w:pPr>
            <w:r>
              <w:rPr>
                <w:rFonts w:ascii="Arial" w:cs="Arial" w:eastAsia="Arial" w:hAnsi="Arial"/>
                <w:sz w:val="14"/>
                <w:szCs w:val="14"/>
                <w:color w:val="333333"/>
              </w:rPr>
              <w:t>—</w:t>
            </w:r>
          </w:p>
        </w:tc>
        <w:tc>
          <w:tcPr>
            <w:tcW w:w="20" w:type="dxa"/>
            <w:vAlign w:val="bottom"/>
          </w:tcPr>
          <w:p>
            <w:pPr>
              <w:spacing w:after="0"/>
              <w:rPr>
                <w:sz w:val="23"/>
                <w:szCs w:val="23"/>
                <w:color w:val="auto"/>
              </w:rPr>
            </w:pPr>
          </w:p>
        </w:tc>
      </w:tr>
      <w:tr>
        <w:trPr>
          <w:trHeight w:val="194"/>
        </w:trPr>
        <w:tc>
          <w:tcPr>
            <w:tcW w:w="1900" w:type="dxa"/>
            <w:vAlign w:val="bottom"/>
          </w:tcPr>
          <w:p>
            <w:pPr>
              <w:ind w:left="80"/>
              <w:spacing w:after="0" w:line="194" w:lineRule="exact"/>
              <w:rPr>
                <w:sz w:val="20"/>
                <w:szCs w:val="20"/>
                <w:color w:val="auto"/>
              </w:rPr>
            </w:pPr>
            <w:r>
              <w:rPr>
                <w:rFonts w:ascii="Arial" w:cs="Arial" w:eastAsia="Arial" w:hAnsi="Arial"/>
                <w:sz w:val="14"/>
                <w:szCs w:val="14"/>
                <w:b w:val="1"/>
                <w:bCs w:val="1"/>
                <w:color w:val="005C5D"/>
              </w:rPr>
              <w:t>Michael Schwindle</w:t>
            </w:r>
            <w:r>
              <w:rPr>
                <w:rFonts w:ascii="Arial" w:cs="Arial" w:eastAsia="Arial" w:hAnsi="Arial"/>
                <w:sz w:val="21"/>
                <w:szCs w:val="21"/>
                <w:b w:val="1"/>
                <w:bCs w:val="1"/>
                <w:color w:val="337C7D"/>
                <w:vertAlign w:val="superscript"/>
              </w:rPr>
              <w:t>(5)</w:t>
            </w:r>
          </w:p>
        </w:tc>
        <w:tc>
          <w:tcPr>
            <w:tcW w:w="1780" w:type="dxa"/>
            <w:vAlign w:val="bottom"/>
            <w:shd w:val="clear" w:color="auto" w:fill="FCEFEB"/>
          </w:tcPr>
          <w:p>
            <w:pPr>
              <w:ind w:left="520"/>
              <w:spacing w:after="0"/>
              <w:rPr>
                <w:sz w:val="20"/>
                <w:szCs w:val="20"/>
                <w:color w:val="auto"/>
              </w:rPr>
            </w:pPr>
            <w:r>
              <w:rPr>
                <w:rFonts w:ascii="Arial" w:cs="Arial" w:eastAsia="Arial" w:hAnsi="Arial"/>
                <w:sz w:val="14"/>
                <w:szCs w:val="14"/>
                <w:color w:val="333333"/>
              </w:rPr>
              <w:t>May 8, 2023</w:t>
            </w:r>
          </w:p>
        </w:tc>
        <w:tc>
          <w:tcPr>
            <w:tcW w:w="2160" w:type="dxa"/>
            <w:vAlign w:val="bottom"/>
            <w:shd w:val="clear" w:color="auto" w:fill="FCEFEB"/>
          </w:tcPr>
          <w:p>
            <w:pPr>
              <w:jc w:val="right"/>
              <w:ind w:right="489"/>
              <w:spacing w:after="0"/>
              <w:rPr>
                <w:sz w:val="20"/>
                <w:szCs w:val="20"/>
                <w:color w:val="auto"/>
              </w:rPr>
            </w:pPr>
            <w:r>
              <w:rPr>
                <w:rFonts w:ascii="Arial" w:cs="Arial" w:eastAsia="Arial" w:hAnsi="Arial"/>
                <w:sz w:val="14"/>
                <w:szCs w:val="14"/>
                <w:color w:val="333333"/>
              </w:rPr>
              <w:t>—</w:t>
            </w:r>
          </w:p>
        </w:tc>
        <w:tc>
          <w:tcPr>
            <w:tcW w:w="1780" w:type="dxa"/>
            <w:vAlign w:val="bottom"/>
            <w:shd w:val="clear" w:color="auto" w:fill="FCEFEB"/>
          </w:tcPr>
          <w:p>
            <w:pPr>
              <w:jc w:val="right"/>
              <w:ind w:right="289"/>
              <w:spacing w:after="0"/>
              <w:rPr>
                <w:sz w:val="20"/>
                <w:szCs w:val="20"/>
                <w:color w:val="auto"/>
              </w:rPr>
            </w:pPr>
            <w:r>
              <w:rPr>
                <w:rFonts w:ascii="Arial" w:cs="Arial" w:eastAsia="Arial" w:hAnsi="Arial"/>
                <w:sz w:val="14"/>
                <w:szCs w:val="14"/>
                <w:color w:val="333333"/>
              </w:rPr>
              <w:t>—</w:t>
            </w:r>
          </w:p>
        </w:tc>
        <w:tc>
          <w:tcPr>
            <w:tcW w:w="1640" w:type="dxa"/>
            <w:vAlign w:val="bottom"/>
            <w:shd w:val="clear" w:color="auto" w:fill="FCEFEB"/>
          </w:tcPr>
          <w:p>
            <w:pPr>
              <w:ind w:left="1040"/>
              <w:spacing w:after="0"/>
              <w:rPr>
                <w:sz w:val="20"/>
                <w:szCs w:val="20"/>
                <w:color w:val="auto"/>
              </w:rPr>
            </w:pPr>
            <w:r>
              <w:rPr>
                <w:rFonts w:ascii="Arial" w:cs="Arial" w:eastAsia="Arial" w:hAnsi="Arial"/>
                <w:sz w:val="14"/>
                <w:szCs w:val="14"/>
                <w:color w:val="333333"/>
              </w:rPr>
              <w:t>—</w:t>
            </w:r>
          </w:p>
        </w:tc>
        <w:tc>
          <w:tcPr>
            <w:tcW w:w="1660" w:type="dxa"/>
            <w:vAlign w:val="bottom"/>
            <w:shd w:val="clear" w:color="auto" w:fill="FCEFEB"/>
          </w:tcPr>
          <w:p>
            <w:pPr>
              <w:jc w:val="right"/>
              <w:ind w:right="329"/>
              <w:spacing w:after="0"/>
              <w:rPr>
                <w:sz w:val="20"/>
                <w:szCs w:val="20"/>
                <w:color w:val="auto"/>
              </w:rPr>
            </w:pPr>
            <w:r>
              <w:rPr>
                <w:rFonts w:ascii="Arial" w:cs="Arial" w:eastAsia="Arial" w:hAnsi="Arial"/>
                <w:sz w:val="14"/>
                <w:szCs w:val="14"/>
                <w:color w:val="333333"/>
              </w:rPr>
              <w:t>—</w:t>
            </w:r>
          </w:p>
        </w:tc>
        <w:tc>
          <w:tcPr>
            <w:tcW w:w="20" w:type="dxa"/>
            <w:vAlign w:val="bottom"/>
          </w:tcPr>
          <w:p>
            <w:pPr>
              <w:spacing w:after="0"/>
              <w:rPr>
                <w:sz w:val="16"/>
                <w:szCs w:val="16"/>
                <w:color w:val="auto"/>
              </w:rPr>
            </w:pPr>
          </w:p>
        </w:tc>
      </w:tr>
      <w:tr>
        <w:trPr>
          <w:trHeight w:val="214"/>
        </w:trPr>
        <w:tc>
          <w:tcPr>
            <w:tcW w:w="1900" w:type="dxa"/>
            <w:vAlign w:val="bottom"/>
          </w:tcPr>
          <w:p>
            <w:pPr>
              <w:spacing w:after="0"/>
              <w:rPr>
                <w:sz w:val="18"/>
                <w:szCs w:val="18"/>
                <w:color w:val="auto"/>
              </w:rPr>
            </w:pPr>
          </w:p>
        </w:tc>
        <w:tc>
          <w:tcPr>
            <w:tcW w:w="1780" w:type="dxa"/>
            <w:vAlign w:val="bottom"/>
            <w:shd w:val="clear" w:color="auto" w:fill="FCEFEB"/>
          </w:tcPr>
          <w:p>
            <w:pPr>
              <w:ind w:left="520"/>
              <w:spacing w:after="0"/>
              <w:rPr>
                <w:sz w:val="20"/>
                <w:szCs w:val="20"/>
                <w:color w:val="auto"/>
              </w:rPr>
            </w:pPr>
            <w:r>
              <w:rPr>
                <w:rFonts w:ascii="Arial" w:cs="Arial" w:eastAsia="Arial" w:hAnsi="Arial"/>
                <w:sz w:val="14"/>
                <w:szCs w:val="14"/>
                <w:color w:val="333333"/>
              </w:rPr>
              <w:t>April 5, 2024</w:t>
            </w:r>
          </w:p>
        </w:tc>
        <w:tc>
          <w:tcPr>
            <w:tcW w:w="2160" w:type="dxa"/>
            <w:vAlign w:val="bottom"/>
            <w:shd w:val="clear" w:color="auto" w:fill="FCEFEB"/>
          </w:tcPr>
          <w:p>
            <w:pPr>
              <w:jc w:val="right"/>
              <w:ind w:right="489"/>
              <w:spacing w:after="0"/>
              <w:rPr>
                <w:sz w:val="20"/>
                <w:szCs w:val="20"/>
                <w:color w:val="auto"/>
              </w:rPr>
            </w:pPr>
            <w:r>
              <w:rPr>
                <w:rFonts w:ascii="Arial" w:cs="Arial" w:eastAsia="Arial" w:hAnsi="Arial"/>
                <w:sz w:val="14"/>
                <w:szCs w:val="14"/>
                <w:color w:val="333333"/>
              </w:rPr>
              <w:t>—</w:t>
            </w:r>
          </w:p>
        </w:tc>
        <w:tc>
          <w:tcPr>
            <w:tcW w:w="1780" w:type="dxa"/>
            <w:vAlign w:val="bottom"/>
            <w:shd w:val="clear" w:color="auto" w:fill="FCEFEB"/>
          </w:tcPr>
          <w:p>
            <w:pPr>
              <w:jc w:val="right"/>
              <w:ind w:right="289"/>
              <w:spacing w:after="0"/>
              <w:rPr>
                <w:sz w:val="20"/>
                <w:szCs w:val="20"/>
                <w:color w:val="auto"/>
              </w:rPr>
            </w:pPr>
            <w:r>
              <w:rPr>
                <w:rFonts w:ascii="Arial" w:cs="Arial" w:eastAsia="Arial" w:hAnsi="Arial"/>
                <w:sz w:val="14"/>
                <w:szCs w:val="14"/>
                <w:color w:val="333333"/>
              </w:rPr>
              <w:t>—</w:t>
            </w:r>
          </w:p>
        </w:tc>
        <w:tc>
          <w:tcPr>
            <w:tcW w:w="1640" w:type="dxa"/>
            <w:vAlign w:val="bottom"/>
            <w:shd w:val="clear" w:color="auto" w:fill="FCEFEB"/>
          </w:tcPr>
          <w:p>
            <w:pPr>
              <w:ind w:left="1040"/>
              <w:spacing w:after="0"/>
              <w:rPr>
                <w:sz w:val="20"/>
                <w:szCs w:val="20"/>
                <w:color w:val="auto"/>
              </w:rPr>
            </w:pPr>
            <w:r>
              <w:rPr>
                <w:rFonts w:ascii="Arial" w:cs="Arial" w:eastAsia="Arial" w:hAnsi="Arial"/>
                <w:sz w:val="14"/>
                <w:szCs w:val="14"/>
                <w:color w:val="333333"/>
              </w:rPr>
              <w:t>—</w:t>
            </w:r>
          </w:p>
        </w:tc>
        <w:tc>
          <w:tcPr>
            <w:tcW w:w="1660" w:type="dxa"/>
            <w:vAlign w:val="bottom"/>
            <w:shd w:val="clear" w:color="auto" w:fill="FCEFEB"/>
          </w:tcPr>
          <w:p>
            <w:pPr>
              <w:jc w:val="right"/>
              <w:ind w:right="329"/>
              <w:spacing w:after="0"/>
              <w:rPr>
                <w:sz w:val="20"/>
                <w:szCs w:val="20"/>
                <w:color w:val="auto"/>
              </w:rPr>
            </w:pPr>
            <w:r>
              <w:rPr>
                <w:rFonts w:ascii="Arial" w:cs="Arial" w:eastAsia="Arial" w:hAnsi="Arial"/>
                <w:sz w:val="14"/>
                <w:szCs w:val="14"/>
                <w:color w:val="333333"/>
              </w:rPr>
              <w:t>—</w:t>
            </w:r>
          </w:p>
        </w:tc>
        <w:tc>
          <w:tcPr>
            <w:tcW w:w="20" w:type="dxa"/>
            <w:vAlign w:val="bottom"/>
          </w:tcPr>
          <w:p>
            <w:pPr>
              <w:spacing w:after="0"/>
              <w:rPr>
                <w:sz w:val="18"/>
                <w:szCs w:val="18"/>
                <w:color w:val="auto"/>
              </w:rPr>
            </w:pPr>
          </w:p>
        </w:tc>
      </w:tr>
      <w:tr>
        <w:trPr>
          <w:trHeight w:val="294"/>
        </w:trPr>
        <w:tc>
          <w:tcPr>
            <w:tcW w:w="1900" w:type="dxa"/>
            <w:vAlign w:val="bottom"/>
          </w:tcPr>
          <w:p>
            <w:pPr>
              <w:spacing w:after="0"/>
              <w:rPr>
                <w:sz w:val="24"/>
                <w:szCs w:val="24"/>
                <w:color w:val="auto"/>
              </w:rPr>
            </w:pPr>
          </w:p>
        </w:tc>
        <w:tc>
          <w:tcPr>
            <w:tcW w:w="1780" w:type="dxa"/>
            <w:vAlign w:val="bottom"/>
            <w:tcBorders>
              <w:bottom w:val="single" w:sz="8" w:color="FCEFEB"/>
            </w:tcBorders>
            <w:shd w:val="clear" w:color="auto" w:fill="FCEFEB"/>
          </w:tcPr>
          <w:p>
            <w:pPr>
              <w:ind w:left="520"/>
              <w:spacing w:after="0"/>
              <w:rPr>
                <w:sz w:val="20"/>
                <w:szCs w:val="20"/>
                <w:color w:val="auto"/>
              </w:rPr>
            </w:pPr>
            <w:r>
              <w:rPr>
                <w:rFonts w:ascii="Arial" w:cs="Arial" w:eastAsia="Arial" w:hAnsi="Arial"/>
                <w:sz w:val="14"/>
                <w:szCs w:val="14"/>
                <w:color w:val="333333"/>
              </w:rPr>
              <w:t>April 4, 2025</w:t>
            </w:r>
          </w:p>
        </w:tc>
        <w:tc>
          <w:tcPr>
            <w:tcW w:w="2160" w:type="dxa"/>
            <w:vAlign w:val="bottom"/>
            <w:tcBorders>
              <w:bottom w:val="single" w:sz="8" w:color="FCEFEB"/>
            </w:tcBorders>
            <w:shd w:val="clear" w:color="auto" w:fill="FCEFEB"/>
          </w:tcPr>
          <w:p>
            <w:pPr>
              <w:jc w:val="right"/>
              <w:ind w:right="489"/>
              <w:spacing w:after="0"/>
              <w:rPr>
                <w:sz w:val="20"/>
                <w:szCs w:val="20"/>
                <w:color w:val="auto"/>
              </w:rPr>
            </w:pPr>
            <w:r>
              <w:rPr>
                <w:rFonts w:ascii="Arial" w:cs="Arial" w:eastAsia="Arial" w:hAnsi="Arial"/>
                <w:sz w:val="14"/>
                <w:szCs w:val="14"/>
                <w:color w:val="333333"/>
              </w:rPr>
              <w:t>—</w:t>
            </w:r>
          </w:p>
        </w:tc>
        <w:tc>
          <w:tcPr>
            <w:tcW w:w="1780" w:type="dxa"/>
            <w:vAlign w:val="bottom"/>
            <w:tcBorders>
              <w:bottom w:val="single" w:sz="8" w:color="FCEFEB"/>
            </w:tcBorders>
            <w:shd w:val="clear" w:color="auto" w:fill="FCEFEB"/>
          </w:tcPr>
          <w:p>
            <w:pPr>
              <w:jc w:val="right"/>
              <w:ind w:right="289"/>
              <w:spacing w:after="0"/>
              <w:rPr>
                <w:sz w:val="20"/>
                <w:szCs w:val="20"/>
                <w:color w:val="auto"/>
              </w:rPr>
            </w:pPr>
            <w:r>
              <w:rPr>
                <w:rFonts w:ascii="Arial" w:cs="Arial" w:eastAsia="Arial" w:hAnsi="Arial"/>
                <w:sz w:val="14"/>
                <w:szCs w:val="14"/>
                <w:color w:val="333333"/>
              </w:rPr>
              <w:t>—</w:t>
            </w:r>
          </w:p>
        </w:tc>
        <w:tc>
          <w:tcPr>
            <w:tcW w:w="1640" w:type="dxa"/>
            <w:vAlign w:val="bottom"/>
            <w:tcBorders>
              <w:bottom w:val="single" w:sz="8" w:color="FCEFEB"/>
            </w:tcBorders>
            <w:shd w:val="clear" w:color="auto" w:fill="FCEFEB"/>
          </w:tcPr>
          <w:p>
            <w:pPr>
              <w:ind w:left="1040"/>
              <w:spacing w:after="0"/>
              <w:rPr>
                <w:sz w:val="20"/>
                <w:szCs w:val="20"/>
                <w:color w:val="auto"/>
              </w:rPr>
            </w:pPr>
            <w:r>
              <w:rPr>
                <w:rFonts w:ascii="Arial" w:cs="Arial" w:eastAsia="Arial" w:hAnsi="Arial"/>
                <w:sz w:val="14"/>
                <w:szCs w:val="14"/>
                <w:color w:val="333333"/>
              </w:rPr>
              <w:t>—</w:t>
            </w:r>
          </w:p>
        </w:tc>
        <w:tc>
          <w:tcPr>
            <w:tcW w:w="1660" w:type="dxa"/>
            <w:vAlign w:val="bottom"/>
            <w:tcBorders>
              <w:bottom w:val="single" w:sz="8" w:color="FCEFEB"/>
            </w:tcBorders>
            <w:shd w:val="clear" w:color="auto" w:fill="FCEFEB"/>
          </w:tcPr>
          <w:p>
            <w:pPr>
              <w:jc w:val="right"/>
              <w:ind w:right="329"/>
              <w:spacing w:after="0"/>
              <w:rPr>
                <w:sz w:val="20"/>
                <w:szCs w:val="20"/>
                <w:color w:val="auto"/>
              </w:rPr>
            </w:pPr>
            <w:r>
              <w:rPr>
                <w:rFonts w:ascii="Arial" w:cs="Arial" w:eastAsia="Arial" w:hAnsi="Arial"/>
                <w:sz w:val="14"/>
                <w:szCs w:val="14"/>
                <w:color w:val="333333"/>
              </w:rPr>
              <w:t>—</w:t>
            </w:r>
          </w:p>
        </w:tc>
        <w:tc>
          <w:tcPr>
            <w:tcW w:w="20" w:type="dxa"/>
            <w:vAlign w:val="bottom"/>
          </w:tcPr>
          <w:p>
            <w:pPr>
              <w:spacing w:after="0"/>
              <w:rPr>
                <w:sz w:val="24"/>
                <w:szCs w:val="24"/>
                <w:color w:val="auto"/>
              </w:rPr>
            </w:pPr>
          </w:p>
        </w:tc>
      </w:tr>
      <w:tr>
        <w:trPr>
          <w:trHeight w:val="194"/>
        </w:trPr>
        <w:tc>
          <w:tcPr>
            <w:tcW w:w="1900" w:type="dxa"/>
            <w:vAlign w:val="bottom"/>
            <w:tcBorders>
              <w:top w:val="single" w:sz="8" w:color="005C5D"/>
            </w:tcBorders>
          </w:tcPr>
          <w:p>
            <w:pPr>
              <w:ind w:left="80"/>
              <w:spacing w:after="0"/>
              <w:rPr>
                <w:sz w:val="20"/>
                <w:szCs w:val="20"/>
                <w:color w:val="auto"/>
              </w:rPr>
            </w:pPr>
            <w:r>
              <w:rPr>
                <w:rFonts w:ascii="Arial" w:cs="Arial" w:eastAsia="Arial" w:hAnsi="Arial"/>
                <w:sz w:val="14"/>
                <w:szCs w:val="14"/>
                <w:b w:val="1"/>
                <w:bCs w:val="1"/>
                <w:color w:val="005C5D"/>
              </w:rPr>
              <w:t>Mark Dely</w:t>
            </w:r>
          </w:p>
        </w:tc>
        <w:tc>
          <w:tcPr>
            <w:tcW w:w="1780" w:type="dxa"/>
            <w:vAlign w:val="bottom"/>
            <w:tcBorders>
              <w:top w:val="single" w:sz="8" w:color="005C5D"/>
            </w:tcBorders>
            <w:shd w:val="clear" w:color="auto" w:fill="FCEFEB"/>
          </w:tcPr>
          <w:p>
            <w:pPr>
              <w:ind w:left="520"/>
              <w:spacing w:after="0"/>
              <w:rPr>
                <w:sz w:val="20"/>
                <w:szCs w:val="20"/>
                <w:color w:val="auto"/>
              </w:rPr>
            </w:pPr>
            <w:r>
              <w:rPr>
                <w:rFonts w:ascii="Arial" w:cs="Arial" w:eastAsia="Arial" w:hAnsi="Arial"/>
                <w:sz w:val="14"/>
                <w:szCs w:val="14"/>
                <w:color w:val="333333"/>
              </w:rPr>
              <w:t>March 31, 2023</w:t>
            </w:r>
          </w:p>
        </w:tc>
        <w:tc>
          <w:tcPr>
            <w:tcW w:w="2160" w:type="dxa"/>
            <w:vAlign w:val="bottom"/>
            <w:tcBorders>
              <w:top w:val="single" w:sz="8" w:color="005C5D"/>
            </w:tcBorders>
            <w:shd w:val="clear" w:color="auto" w:fill="FCEFEB"/>
          </w:tcPr>
          <w:p>
            <w:pPr>
              <w:jc w:val="right"/>
              <w:ind w:right="309"/>
              <w:spacing w:after="0" w:line="194" w:lineRule="exact"/>
              <w:rPr>
                <w:sz w:val="20"/>
                <w:szCs w:val="20"/>
                <w:color w:val="auto"/>
              </w:rPr>
            </w:pPr>
            <w:r>
              <w:rPr>
                <w:rFonts w:ascii="Arial" w:cs="Arial" w:eastAsia="Arial" w:hAnsi="Arial"/>
                <w:sz w:val="14"/>
                <w:szCs w:val="14"/>
                <w:color w:val="333333"/>
              </w:rPr>
              <w:t>29,764</w:t>
            </w:r>
            <w:r>
              <w:rPr>
                <w:rFonts w:ascii="Arial" w:cs="Arial" w:eastAsia="Arial" w:hAnsi="Arial"/>
                <w:sz w:val="21"/>
                <w:szCs w:val="21"/>
                <w:color w:val="333333"/>
                <w:vertAlign w:val="superscript"/>
              </w:rPr>
              <w:t>(12)</w:t>
            </w:r>
          </w:p>
        </w:tc>
        <w:tc>
          <w:tcPr>
            <w:tcW w:w="1780" w:type="dxa"/>
            <w:vAlign w:val="bottom"/>
            <w:tcBorders>
              <w:top w:val="single" w:sz="8" w:color="005C5D"/>
            </w:tcBorders>
            <w:shd w:val="clear" w:color="auto" w:fill="FCEFEB"/>
          </w:tcPr>
          <w:p>
            <w:pPr>
              <w:jc w:val="right"/>
              <w:ind w:right="289"/>
              <w:spacing w:after="0"/>
              <w:rPr>
                <w:sz w:val="20"/>
                <w:szCs w:val="20"/>
                <w:color w:val="auto"/>
              </w:rPr>
            </w:pPr>
            <w:r>
              <w:rPr>
                <w:rFonts w:ascii="Arial" w:cs="Arial" w:eastAsia="Arial" w:hAnsi="Arial"/>
                <w:sz w:val="14"/>
                <w:szCs w:val="14"/>
                <w:color w:val="333333"/>
              </w:rPr>
              <w:t>71,444</w:t>
            </w:r>
          </w:p>
        </w:tc>
        <w:tc>
          <w:tcPr>
            <w:tcW w:w="1640" w:type="dxa"/>
            <w:vAlign w:val="bottom"/>
            <w:tcBorders>
              <w:top w:val="single" w:sz="8" w:color="005C5D"/>
            </w:tcBorders>
            <w:shd w:val="clear" w:color="auto" w:fill="FCEFEB"/>
          </w:tcPr>
          <w:p>
            <w:pPr>
              <w:ind w:left="1040"/>
              <w:spacing w:after="0" w:line="194" w:lineRule="exact"/>
              <w:rPr>
                <w:sz w:val="20"/>
                <w:szCs w:val="20"/>
                <w:color w:val="auto"/>
              </w:rPr>
            </w:pPr>
            <w:r>
              <w:rPr>
                <w:rFonts w:ascii="Arial" w:cs="Arial" w:eastAsia="Arial" w:hAnsi="Arial"/>
                <w:sz w:val="22"/>
                <w:szCs w:val="22"/>
                <w:color w:val="333333"/>
                <w:vertAlign w:val="subscript"/>
              </w:rPr>
              <w:t>—</w:t>
            </w:r>
            <w:r>
              <w:rPr>
                <w:rFonts w:ascii="Arial" w:cs="Arial" w:eastAsia="Arial" w:hAnsi="Arial"/>
                <w:sz w:val="9"/>
                <w:szCs w:val="9"/>
                <w:color w:val="333333"/>
              </w:rPr>
              <w:t>(11)</w:t>
            </w:r>
          </w:p>
        </w:tc>
        <w:tc>
          <w:tcPr>
            <w:tcW w:w="1660" w:type="dxa"/>
            <w:vAlign w:val="bottom"/>
            <w:tcBorders>
              <w:top w:val="single" w:sz="8" w:color="005C5D"/>
            </w:tcBorders>
            <w:shd w:val="clear" w:color="auto" w:fill="FCEFEB"/>
          </w:tcPr>
          <w:p>
            <w:pPr>
              <w:jc w:val="right"/>
              <w:ind w:right="329"/>
              <w:spacing w:after="0"/>
              <w:rPr>
                <w:sz w:val="20"/>
                <w:szCs w:val="20"/>
                <w:color w:val="auto"/>
              </w:rPr>
            </w:pPr>
            <w:r>
              <w:rPr>
                <w:rFonts w:ascii="Arial" w:cs="Arial" w:eastAsia="Arial" w:hAnsi="Arial"/>
                <w:sz w:val="14"/>
                <w:szCs w:val="14"/>
                <w:color w:val="333333"/>
              </w:rPr>
              <w:t>—</w:t>
            </w:r>
          </w:p>
        </w:tc>
        <w:tc>
          <w:tcPr>
            <w:tcW w:w="20" w:type="dxa"/>
            <w:vAlign w:val="bottom"/>
          </w:tcPr>
          <w:p>
            <w:pPr>
              <w:spacing w:after="0"/>
              <w:rPr>
                <w:sz w:val="16"/>
                <w:szCs w:val="16"/>
                <w:color w:val="auto"/>
              </w:rPr>
            </w:pPr>
          </w:p>
        </w:tc>
      </w:tr>
      <w:tr>
        <w:trPr>
          <w:trHeight w:val="214"/>
        </w:trPr>
        <w:tc>
          <w:tcPr>
            <w:tcW w:w="1900" w:type="dxa"/>
            <w:vAlign w:val="bottom"/>
          </w:tcPr>
          <w:p>
            <w:pPr>
              <w:spacing w:after="0"/>
              <w:rPr>
                <w:sz w:val="18"/>
                <w:szCs w:val="18"/>
                <w:color w:val="auto"/>
              </w:rPr>
            </w:pPr>
          </w:p>
        </w:tc>
        <w:tc>
          <w:tcPr>
            <w:tcW w:w="1780" w:type="dxa"/>
            <w:vAlign w:val="bottom"/>
            <w:shd w:val="clear" w:color="auto" w:fill="FCEFEB"/>
          </w:tcPr>
          <w:p>
            <w:pPr>
              <w:ind w:left="520"/>
              <w:spacing w:after="0"/>
              <w:rPr>
                <w:sz w:val="20"/>
                <w:szCs w:val="20"/>
                <w:color w:val="auto"/>
              </w:rPr>
            </w:pPr>
            <w:r>
              <w:rPr>
                <w:rFonts w:ascii="Arial" w:cs="Arial" w:eastAsia="Arial" w:hAnsi="Arial"/>
                <w:sz w:val="14"/>
                <w:szCs w:val="14"/>
                <w:color w:val="333333"/>
              </w:rPr>
              <w:t>June 8, 2023</w:t>
            </w:r>
          </w:p>
        </w:tc>
        <w:tc>
          <w:tcPr>
            <w:tcW w:w="2160" w:type="dxa"/>
            <w:vAlign w:val="bottom"/>
            <w:shd w:val="clear" w:color="auto" w:fill="FCEFEB"/>
          </w:tcPr>
          <w:p>
            <w:pPr>
              <w:jc w:val="right"/>
              <w:ind w:right="369"/>
              <w:spacing w:after="0" w:line="214" w:lineRule="exact"/>
              <w:rPr>
                <w:sz w:val="20"/>
                <w:szCs w:val="20"/>
                <w:color w:val="auto"/>
              </w:rPr>
            </w:pPr>
            <w:r>
              <w:rPr>
                <w:rFonts w:ascii="Arial" w:cs="Arial" w:eastAsia="Arial" w:hAnsi="Arial"/>
                <w:sz w:val="14"/>
                <w:szCs w:val="14"/>
                <w:color w:val="333333"/>
              </w:rPr>
              <w:t>12,263</w:t>
            </w:r>
            <w:r>
              <w:rPr>
                <w:rFonts w:ascii="Arial" w:cs="Arial" w:eastAsia="Arial" w:hAnsi="Arial"/>
                <w:sz w:val="21"/>
                <w:szCs w:val="21"/>
                <w:color w:val="333333"/>
                <w:vertAlign w:val="superscript"/>
              </w:rPr>
              <w:t>(9)</w:t>
            </w:r>
          </w:p>
        </w:tc>
        <w:tc>
          <w:tcPr>
            <w:tcW w:w="1780" w:type="dxa"/>
            <w:vAlign w:val="bottom"/>
            <w:shd w:val="clear" w:color="auto" w:fill="FCEFEB"/>
          </w:tcPr>
          <w:p>
            <w:pPr>
              <w:jc w:val="right"/>
              <w:ind w:right="289"/>
              <w:spacing w:after="0"/>
              <w:rPr>
                <w:sz w:val="20"/>
                <w:szCs w:val="20"/>
                <w:color w:val="auto"/>
              </w:rPr>
            </w:pPr>
            <w:r>
              <w:rPr>
                <w:rFonts w:ascii="Arial" w:cs="Arial" w:eastAsia="Arial" w:hAnsi="Arial"/>
                <w:sz w:val="14"/>
                <w:szCs w:val="14"/>
                <w:color w:val="333333"/>
              </w:rPr>
              <w:t>29,431</w:t>
            </w:r>
          </w:p>
        </w:tc>
        <w:tc>
          <w:tcPr>
            <w:tcW w:w="1640" w:type="dxa"/>
            <w:vAlign w:val="bottom"/>
            <w:shd w:val="clear" w:color="auto" w:fill="FCEFEB"/>
          </w:tcPr>
          <w:p>
            <w:pPr>
              <w:ind w:left="1040"/>
              <w:spacing w:after="0" w:line="214" w:lineRule="exact"/>
              <w:rPr>
                <w:sz w:val="20"/>
                <w:szCs w:val="20"/>
                <w:color w:val="auto"/>
              </w:rPr>
            </w:pPr>
            <w:r>
              <w:rPr>
                <w:rFonts w:ascii="Arial" w:cs="Arial" w:eastAsia="Arial" w:hAnsi="Arial"/>
                <w:sz w:val="24"/>
                <w:szCs w:val="24"/>
                <w:color w:val="333333"/>
                <w:vertAlign w:val="subscript"/>
              </w:rPr>
              <w:t>—</w:t>
            </w:r>
            <w:r>
              <w:rPr>
                <w:rFonts w:ascii="Arial" w:cs="Arial" w:eastAsia="Arial" w:hAnsi="Arial"/>
                <w:sz w:val="10"/>
                <w:szCs w:val="10"/>
                <w:color w:val="333333"/>
              </w:rPr>
              <w:t>(11)</w:t>
            </w:r>
          </w:p>
        </w:tc>
        <w:tc>
          <w:tcPr>
            <w:tcW w:w="1660" w:type="dxa"/>
            <w:vAlign w:val="bottom"/>
            <w:shd w:val="clear" w:color="auto" w:fill="FCEFEB"/>
          </w:tcPr>
          <w:p>
            <w:pPr>
              <w:jc w:val="right"/>
              <w:ind w:right="329"/>
              <w:spacing w:after="0"/>
              <w:rPr>
                <w:sz w:val="20"/>
                <w:szCs w:val="20"/>
                <w:color w:val="auto"/>
              </w:rPr>
            </w:pPr>
            <w:r>
              <w:rPr>
                <w:rFonts w:ascii="Arial" w:cs="Arial" w:eastAsia="Arial" w:hAnsi="Arial"/>
                <w:sz w:val="14"/>
                <w:szCs w:val="14"/>
                <w:color w:val="333333"/>
              </w:rPr>
              <w:t>—</w:t>
            </w:r>
          </w:p>
        </w:tc>
        <w:tc>
          <w:tcPr>
            <w:tcW w:w="20" w:type="dxa"/>
            <w:vAlign w:val="bottom"/>
          </w:tcPr>
          <w:p>
            <w:pPr>
              <w:spacing w:after="0"/>
              <w:rPr>
                <w:sz w:val="18"/>
                <w:szCs w:val="18"/>
                <w:color w:val="auto"/>
              </w:rPr>
            </w:pPr>
          </w:p>
        </w:tc>
      </w:tr>
      <w:tr>
        <w:trPr>
          <w:trHeight w:val="214"/>
        </w:trPr>
        <w:tc>
          <w:tcPr>
            <w:tcW w:w="1900" w:type="dxa"/>
            <w:vAlign w:val="bottom"/>
          </w:tcPr>
          <w:p>
            <w:pPr>
              <w:spacing w:after="0"/>
              <w:rPr>
                <w:sz w:val="18"/>
                <w:szCs w:val="18"/>
                <w:color w:val="auto"/>
              </w:rPr>
            </w:pPr>
          </w:p>
        </w:tc>
        <w:tc>
          <w:tcPr>
            <w:tcW w:w="1780" w:type="dxa"/>
            <w:vAlign w:val="bottom"/>
            <w:shd w:val="clear" w:color="auto" w:fill="FCEFEB"/>
          </w:tcPr>
          <w:p>
            <w:pPr>
              <w:ind w:left="520"/>
              <w:spacing w:after="0"/>
              <w:rPr>
                <w:sz w:val="20"/>
                <w:szCs w:val="20"/>
                <w:color w:val="auto"/>
              </w:rPr>
            </w:pPr>
            <w:r>
              <w:rPr>
                <w:rFonts w:ascii="Arial" w:cs="Arial" w:eastAsia="Arial" w:hAnsi="Arial"/>
                <w:sz w:val="14"/>
                <w:szCs w:val="14"/>
                <w:color w:val="333333"/>
              </w:rPr>
              <w:t>April 5, 2024</w:t>
            </w:r>
          </w:p>
        </w:tc>
        <w:tc>
          <w:tcPr>
            <w:tcW w:w="2160" w:type="dxa"/>
            <w:vAlign w:val="bottom"/>
            <w:shd w:val="clear" w:color="auto" w:fill="FCEFEB"/>
          </w:tcPr>
          <w:p>
            <w:pPr>
              <w:jc w:val="right"/>
              <w:ind w:right="309"/>
              <w:spacing w:after="0" w:line="214" w:lineRule="exact"/>
              <w:rPr>
                <w:sz w:val="20"/>
                <w:szCs w:val="20"/>
                <w:color w:val="auto"/>
              </w:rPr>
            </w:pPr>
            <w:r>
              <w:rPr>
                <w:rFonts w:ascii="Arial" w:cs="Arial" w:eastAsia="Arial" w:hAnsi="Arial"/>
                <w:sz w:val="14"/>
                <w:szCs w:val="14"/>
                <w:color w:val="333333"/>
              </w:rPr>
              <w:t>28,756</w:t>
            </w:r>
            <w:r>
              <w:rPr>
                <w:rFonts w:ascii="Arial" w:cs="Arial" w:eastAsia="Arial" w:hAnsi="Arial"/>
                <w:sz w:val="21"/>
                <w:szCs w:val="21"/>
                <w:color w:val="333333"/>
                <w:vertAlign w:val="superscript"/>
              </w:rPr>
              <w:t>(10)</w:t>
            </w:r>
          </w:p>
        </w:tc>
        <w:tc>
          <w:tcPr>
            <w:tcW w:w="1780" w:type="dxa"/>
            <w:vAlign w:val="bottom"/>
            <w:shd w:val="clear" w:color="auto" w:fill="FCEFEB"/>
          </w:tcPr>
          <w:p>
            <w:pPr>
              <w:jc w:val="right"/>
              <w:ind w:right="289"/>
              <w:spacing w:after="0"/>
              <w:rPr>
                <w:sz w:val="20"/>
                <w:szCs w:val="20"/>
                <w:color w:val="auto"/>
              </w:rPr>
            </w:pPr>
            <w:r>
              <w:rPr>
                <w:rFonts w:ascii="Arial" w:cs="Arial" w:eastAsia="Arial" w:hAnsi="Arial"/>
                <w:sz w:val="14"/>
                <w:szCs w:val="14"/>
                <w:color w:val="333333"/>
              </w:rPr>
              <w:t>69,014</w:t>
            </w:r>
          </w:p>
        </w:tc>
        <w:tc>
          <w:tcPr>
            <w:tcW w:w="1640" w:type="dxa"/>
            <w:vAlign w:val="bottom"/>
            <w:shd w:val="clear" w:color="auto" w:fill="FCEFEB"/>
          </w:tcPr>
          <w:p>
            <w:pPr>
              <w:ind w:left="840"/>
              <w:spacing w:after="0" w:line="214" w:lineRule="exact"/>
              <w:rPr>
                <w:sz w:val="20"/>
                <w:szCs w:val="20"/>
                <w:color w:val="auto"/>
              </w:rPr>
            </w:pPr>
            <w:r>
              <w:rPr>
                <w:rFonts w:ascii="Arial" w:cs="Arial" w:eastAsia="Arial" w:hAnsi="Arial"/>
                <w:sz w:val="14"/>
                <w:szCs w:val="14"/>
                <w:color w:val="333333"/>
              </w:rPr>
              <w:t>2,488</w:t>
            </w:r>
            <w:r>
              <w:rPr>
                <w:rFonts w:ascii="Arial" w:cs="Arial" w:eastAsia="Arial" w:hAnsi="Arial"/>
                <w:sz w:val="21"/>
                <w:szCs w:val="21"/>
                <w:color w:val="333333"/>
                <w:vertAlign w:val="superscript"/>
              </w:rPr>
              <w:t>(7)</w:t>
            </w:r>
          </w:p>
        </w:tc>
        <w:tc>
          <w:tcPr>
            <w:tcW w:w="1660" w:type="dxa"/>
            <w:vAlign w:val="bottom"/>
            <w:shd w:val="clear" w:color="auto" w:fill="FCEFEB"/>
          </w:tcPr>
          <w:p>
            <w:pPr>
              <w:jc w:val="right"/>
              <w:ind w:right="329"/>
              <w:spacing w:after="0"/>
              <w:rPr>
                <w:sz w:val="20"/>
                <w:szCs w:val="20"/>
                <w:color w:val="auto"/>
              </w:rPr>
            </w:pPr>
            <w:r>
              <w:rPr>
                <w:rFonts w:ascii="Arial" w:cs="Arial" w:eastAsia="Arial" w:hAnsi="Arial"/>
                <w:sz w:val="14"/>
                <w:szCs w:val="14"/>
                <w:color w:val="333333"/>
              </w:rPr>
              <w:t>5,971</w:t>
            </w:r>
          </w:p>
        </w:tc>
        <w:tc>
          <w:tcPr>
            <w:tcW w:w="20" w:type="dxa"/>
            <w:vAlign w:val="bottom"/>
          </w:tcPr>
          <w:p>
            <w:pPr>
              <w:spacing w:after="0"/>
              <w:rPr>
                <w:sz w:val="18"/>
                <w:szCs w:val="18"/>
                <w:color w:val="auto"/>
              </w:rPr>
            </w:pPr>
          </w:p>
        </w:tc>
      </w:tr>
      <w:tr>
        <w:trPr>
          <w:trHeight w:val="214"/>
        </w:trPr>
        <w:tc>
          <w:tcPr>
            <w:tcW w:w="1900" w:type="dxa"/>
            <w:vAlign w:val="bottom"/>
          </w:tcPr>
          <w:p>
            <w:pPr>
              <w:spacing w:after="0"/>
              <w:rPr>
                <w:sz w:val="18"/>
                <w:szCs w:val="18"/>
                <w:color w:val="auto"/>
              </w:rPr>
            </w:pPr>
          </w:p>
        </w:tc>
        <w:tc>
          <w:tcPr>
            <w:tcW w:w="1780" w:type="dxa"/>
            <w:vAlign w:val="bottom"/>
            <w:shd w:val="clear" w:color="auto" w:fill="FCEFEB"/>
          </w:tcPr>
          <w:p>
            <w:pPr>
              <w:ind w:left="520"/>
              <w:spacing w:after="0"/>
              <w:rPr>
                <w:sz w:val="20"/>
                <w:szCs w:val="20"/>
                <w:color w:val="auto"/>
              </w:rPr>
            </w:pPr>
            <w:r>
              <w:rPr>
                <w:rFonts w:ascii="Arial" w:cs="Arial" w:eastAsia="Arial" w:hAnsi="Arial"/>
                <w:sz w:val="14"/>
                <w:szCs w:val="14"/>
                <w:color w:val="333333"/>
              </w:rPr>
              <w:t>April 4, 2025</w:t>
            </w:r>
          </w:p>
        </w:tc>
        <w:tc>
          <w:tcPr>
            <w:tcW w:w="2160" w:type="dxa"/>
            <w:vAlign w:val="bottom"/>
            <w:shd w:val="clear" w:color="auto" w:fill="FCEFEB"/>
          </w:tcPr>
          <w:p>
            <w:pPr>
              <w:jc w:val="right"/>
              <w:ind w:right="369"/>
              <w:spacing w:after="0" w:line="214" w:lineRule="exact"/>
              <w:rPr>
                <w:sz w:val="20"/>
                <w:szCs w:val="20"/>
                <w:color w:val="auto"/>
              </w:rPr>
            </w:pPr>
            <w:r>
              <w:rPr>
                <w:rFonts w:ascii="Arial" w:cs="Arial" w:eastAsia="Arial" w:hAnsi="Arial"/>
                <w:sz w:val="14"/>
                <w:szCs w:val="14"/>
                <w:color w:val="333333"/>
              </w:rPr>
              <w:t>70,423</w:t>
            </w:r>
            <w:r>
              <w:rPr>
                <w:rFonts w:ascii="Arial" w:cs="Arial" w:eastAsia="Arial" w:hAnsi="Arial"/>
                <w:sz w:val="21"/>
                <w:szCs w:val="21"/>
                <w:color w:val="333333"/>
                <w:vertAlign w:val="superscript"/>
              </w:rPr>
              <w:t>(4)</w:t>
            </w:r>
          </w:p>
        </w:tc>
        <w:tc>
          <w:tcPr>
            <w:tcW w:w="1780" w:type="dxa"/>
            <w:vAlign w:val="bottom"/>
            <w:shd w:val="clear" w:color="auto" w:fill="FCEFEB"/>
          </w:tcPr>
          <w:p>
            <w:pPr>
              <w:jc w:val="right"/>
              <w:ind w:right="289"/>
              <w:spacing w:after="0"/>
              <w:rPr>
                <w:sz w:val="20"/>
                <w:szCs w:val="20"/>
                <w:color w:val="auto"/>
              </w:rPr>
            </w:pPr>
            <w:r>
              <w:rPr>
                <w:rFonts w:ascii="Arial" w:cs="Arial" w:eastAsia="Arial" w:hAnsi="Arial"/>
                <w:sz w:val="14"/>
                <w:szCs w:val="14"/>
                <w:color w:val="333333"/>
              </w:rPr>
              <w:t>169,015</w:t>
            </w:r>
          </w:p>
        </w:tc>
        <w:tc>
          <w:tcPr>
            <w:tcW w:w="1640" w:type="dxa"/>
            <w:vAlign w:val="bottom"/>
            <w:shd w:val="clear" w:color="auto" w:fill="FCEFEB"/>
          </w:tcPr>
          <w:p>
            <w:pPr>
              <w:ind w:left="1040"/>
              <w:spacing w:after="0" w:line="214" w:lineRule="exact"/>
              <w:rPr>
                <w:sz w:val="20"/>
                <w:szCs w:val="20"/>
                <w:color w:val="auto"/>
              </w:rPr>
            </w:pPr>
            <w:r>
              <w:rPr>
                <w:rFonts w:ascii="Arial" w:cs="Arial" w:eastAsia="Arial" w:hAnsi="Arial"/>
                <w:sz w:val="24"/>
                <w:szCs w:val="24"/>
                <w:color w:val="333333"/>
                <w:vertAlign w:val="subscript"/>
              </w:rPr>
              <w:t>—</w:t>
            </w:r>
            <w:r>
              <w:rPr>
                <w:rFonts w:ascii="Arial" w:cs="Arial" w:eastAsia="Arial" w:hAnsi="Arial"/>
                <w:sz w:val="10"/>
                <w:szCs w:val="10"/>
                <w:color w:val="333333"/>
              </w:rPr>
              <w:t>(11)</w:t>
            </w:r>
          </w:p>
        </w:tc>
        <w:tc>
          <w:tcPr>
            <w:tcW w:w="1660" w:type="dxa"/>
            <w:vAlign w:val="bottom"/>
            <w:shd w:val="clear" w:color="auto" w:fill="FCEFEB"/>
          </w:tcPr>
          <w:p>
            <w:pPr>
              <w:jc w:val="right"/>
              <w:ind w:right="329"/>
              <w:spacing w:after="0"/>
              <w:rPr>
                <w:sz w:val="20"/>
                <w:szCs w:val="20"/>
                <w:color w:val="auto"/>
              </w:rPr>
            </w:pPr>
            <w:r>
              <w:rPr>
                <w:rFonts w:ascii="Arial" w:cs="Arial" w:eastAsia="Arial" w:hAnsi="Arial"/>
                <w:sz w:val="14"/>
                <w:szCs w:val="14"/>
                <w:color w:val="333333"/>
              </w:rPr>
              <w:t>—</w:t>
            </w:r>
          </w:p>
        </w:tc>
        <w:tc>
          <w:tcPr>
            <w:tcW w:w="20" w:type="dxa"/>
            <w:vAlign w:val="bottom"/>
          </w:tcPr>
          <w:p>
            <w:pPr>
              <w:spacing w:after="0"/>
              <w:rPr>
                <w:sz w:val="18"/>
                <w:szCs w:val="18"/>
                <w:color w:val="auto"/>
              </w:rPr>
            </w:pPr>
          </w:p>
        </w:tc>
      </w:tr>
      <w:tr>
        <w:trPr>
          <w:trHeight w:val="294"/>
        </w:trPr>
        <w:tc>
          <w:tcPr>
            <w:tcW w:w="1900" w:type="dxa"/>
            <w:vAlign w:val="bottom"/>
            <w:tcBorders>
              <w:bottom w:val="single" w:sz="8" w:color="005C5D"/>
            </w:tcBorders>
          </w:tcPr>
          <w:p>
            <w:pPr>
              <w:spacing w:after="0"/>
              <w:rPr>
                <w:sz w:val="24"/>
                <w:szCs w:val="24"/>
                <w:color w:val="auto"/>
              </w:rPr>
            </w:pPr>
          </w:p>
        </w:tc>
        <w:tc>
          <w:tcPr>
            <w:tcW w:w="1780" w:type="dxa"/>
            <w:vAlign w:val="bottom"/>
            <w:tcBorders>
              <w:bottom w:val="single" w:sz="8" w:color="005C5D"/>
            </w:tcBorders>
            <w:shd w:val="clear" w:color="auto" w:fill="FCEFEB"/>
          </w:tcPr>
          <w:p>
            <w:pPr>
              <w:ind w:left="520"/>
              <w:spacing w:after="0"/>
              <w:rPr>
                <w:sz w:val="20"/>
                <w:szCs w:val="20"/>
                <w:color w:val="auto"/>
              </w:rPr>
            </w:pPr>
            <w:r>
              <w:rPr>
                <w:rFonts w:ascii="Arial" w:cs="Arial" w:eastAsia="Arial" w:hAnsi="Arial"/>
                <w:sz w:val="14"/>
                <w:szCs w:val="14"/>
                <w:color w:val="333333"/>
              </w:rPr>
              <w:t>June 24, 2025</w:t>
            </w:r>
          </w:p>
        </w:tc>
        <w:tc>
          <w:tcPr>
            <w:tcW w:w="2160" w:type="dxa"/>
            <w:vAlign w:val="bottom"/>
            <w:tcBorders>
              <w:bottom w:val="single" w:sz="8" w:color="005C5D"/>
            </w:tcBorders>
            <w:shd w:val="clear" w:color="auto" w:fill="FCEFEB"/>
          </w:tcPr>
          <w:p>
            <w:pPr>
              <w:jc w:val="right"/>
              <w:ind w:right="369"/>
              <w:spacing w:after="0"/>
              <w:rPr>
                <w:sz w:val="20"/>
                <w:szCs w:val="20"/>
                <w:color w:val="auto"/>
              </w:rPr>
            </w:pPr>
            <w:r>
              <w:rPr>
                <w:rFonts w:ascii="Arial" w:cs="Arial" w:eastAsia="Arial" w:hAnsi="Arial"/>
                <w:sz w:val="14"/>
                <w:szCs w:val="14"/>
                <w:color w:val="333333"/>
              </w:rPr>
              <w:t>128,755</w:t>
            </w:r>
            <w:r>
              <w:rPr>
                <w:rFonts w:ascii="Arial" w:cs="Arial" w:eastAsia="Arial" w:hAnsi="Arial"/>
                <w:sz w:val="21"/>
                <w:szCs w:val="21"/>
                <w:color w:val="333333"/>
                <w:vertAlign w:val="superscript"/>
              </w:rPr>
              <w:t>(4)</w:t>
            </w:r>
          </w:p>
        </w:tc>
        <w:tc>
          <w:tcPr>
            <w:tcW w:w="1780" w:type="dxa"/>
            <w:vAlign w:val="bottom"/>
            <w:tcBorders>
              <w:bottom w:val="single" w:sz="8" w:color="005C5D"/>
            </w:tcBorders>
            <w:shd w:val="clear" w:color="auto" w:fill="FCEFEB"/>
          </w:tcPr>
          <w:p>
            <w:pPr>
              <w:jc w:val="right"/>
              <w:ind w:right="289"/>
              <w:spacing w:after="0"/>
              <w:rPr>
                <w:sz w:val="20"/>
                <w:szCs w:val="20"/>
                <w:color w:val="auto"/>
              </w:rPr>
            </w:pPr>
            <w:r>
              <w:rPr>
                <w:rFonts w:ascii="Arial" w:cs="Arial" w:eastAsia="Arial" w:hAnsi="Arial"/>
                <w:sz w:val="14"/>
                <w:szCs w:val="14"/>
                <w:color w:val="333333"/>
              </w:rPr>
              <w:t>309,012</w:t>
            </w:r>
          </w:p>
        </w:tc>
        <w:tc>
          <w:tcPr>
            <w:tcW w:w="1640" w:type="dxa"/>
            <w:vAlign w:val="bottom"/>
            <w:tcBorders>
              <w:bottom w:val="single" w:sz="8" w:color="005C5D"/>
            </w:tcBorders>
            <w:shd w:val="clear" w:color="auto" w:fill="FCEFEB"/>
          </w:tcPr>
          <w:p>
            <w:pPr>
              <w:ind w:left="1040"/>
              <w:spacing w:after="0"/>
              <w:rPr>
                <w:sz w:val="20"/>
                <w:szCs w:val="20"/>
                <w:color w:val="auto"/>
              </w:rPr>
            </w:pPr>
            <w:r>
              <w:rPr>
                <w:rFonts w:ascii="Arial" w:cs="Arial" w:eastAsia="Arial" w:hAnsi="Arial"/>
                <w:sz w:val="14"/>
                <w:szCs w:val="14"/>
                <w:color w:val="333333"/>
              </w:rPr>
              <w:t>—</w:t>
            </w:r>
          </w:p>
        </w:tc>
        <w:tc>
          <w:tcPr>
            <w:tcW w:w="1660" w:type="dxa"/>
            <w:vAlign w:val="bottom"/>
            <w:tcBorders>
              <w:bottom w:val="single" w:sz="8" w:color="005C5D"/>
            </w:tcBorders>
            <w:shd w:val="clear" w:color="auto" w:fill="FCEFEB"/>
          </w:tcPr>
          <w:p>
            <w:pPr>
              <w:jc w:val="right"/>
              <w:ind w:right="329"/>
              <w:spacing w:after="0"/>
              <w:rPr>
                <w:sz w:val="20"/>
                <w:szCs w:val="20"/>
                <w:color w:val="auto"/>
              </w:rPr>
            </w:pPr>
            <w:r>
              <w:rPr>
                <w:rFonts w:ascii="Arial" w:cs="Arial" w:eastAsia="Arial" w:hAnsi="Arial"/>
                <w:sz w:val="14"/>
                <w:szCs w:val="14"/>
                <w:color w:val="333333"/>
              </w:rPr>
              <w:t>—</w:t>
            </w:r>
          </w:p>
        </w:tc>
        <w:tc>
          <w:tcPr>
            <w:tcW w:w="20" w:type="dxa"/>
            <w:vAlign w:val="bottom"/>
          </w:tcPr>
          <w:p>
            <w:pPr>
              <w:spacing w:after="0"/>
              <w:rPr>
                <w:sz w:val="24"/>
                <w:szCs w:val="24"/>
                <w:color w:val="auto"/>
              </w:rPr>
            </w:pPr>
          </w:p>
        </w:tc>
      </w:tr>
      <w:tr>
        <w:trPr>
          <w:trHeight w:val="194"/>
        </w:trPr>
        <w:tc>
          <w:tcPr>
            <w:tcW w:w="1900" w:type="dxa"/>
            <w:vAlign w:val="bottom"/>
          </w:tcPr>
          <w:p>
            <w:pPr>
              <w:ind w:left="80"/>
              <w:spacing w:after="0" w:line="194" w:lineRule="exact"/>
              <w:rPr>
                <w:sz w:val="20"/>
                <w:szCs w:val="20"/>
                <w:color w:val="auto"/>
              </w:rPr>
            </w:pPr>
            <w:r>
              <w:rPr>
                <w:rFonts w:ascii="Arial" w:cs="Arial" w:eastAsia="Arial" w:hAnsi="Arial"/>
                <w:sz w:val="14"/>
                <w:szCs w:val="14"/>
                <w:b w:val="1"/>
                <w:bCs w:val="1"/>
                <w:color w:val="005C5D"/>
              </w:rPr>
              <w:t>Alison Hiatt</w:t>
            </w:r>
            <w:r>
              <w:rPr>
                <w:rFonts w:ascii="Arial" w:cs="Arial" w:eastAsia="Arial" w:hAnsi="Arial"/>
                <w:sz w:val="21"/>
                <w:szCs w:val="21"/>
                <w:b w:val="1"/>
                <w:bCs w:val="1"/>
                <w:color w:val="337C7D"/>
                <w:vertAlign w:val="superscript"/>
              </w:rPr>
              <w:t>(5)</w:t>
            </w:r>
          </w:p>
        </w:tc>
        <w:tc>
          <w:tcPr>
            <w:tcW w:w="1780" w:type="dxa"/>
            <w:vAlign w:val="bottom"/>
            <w:shd w:val="clear" w:color="auto" w:fill="FCEFEB"/>
          </w:tcPr>
          <w:p>
            <w:pPr>
              <w:ind w:left="520"/>
              <w:spacing w:after="0"/>
              <w:rPr>
                <w:sz w:val="20"/>
                <w:szCs w:val="20"/>
                <w:color w:val="auto"/>
              </w:rPr>
            </w:pPr>
            <w:r>
              <w:rPr>
                <w:rFonts w:ascii="Arial" w:cs="Arial" w:eastAsia="Arial" w:hAnsi="Arial"/>
                <w:sz w:val="14"/>
                <w:szCs w:val="14"/>
                <w:color w:val="333333"/>
              </w:rPr>
              <w:t>March 31, 2023</w:t>
            </w:r>
          </w:p>
        </w:tc>
        <w:tc>
          <w:tcPr>
            <w:tcW w:w="2160" w:type="dxa"/>
            <w:vAlign w:val="bottom"/>
            <w:shd w:val="clear" w:color="auto" w:fill="FCEFEB"/>
          </w:tcPr>
          <w:p>
            <w:pPr>
              <w:jc w:val="right"/>
              <w:ind w:right="369"/>
              <w:spacing w:after="0" w:line="194" w:lineRule="exact"/>
              <w:rPr>
                <w:sz w:val="20"/>
                <w:szCs w:val="20"/>
                <w:color w:val="auto"/>
              </w:rPr>
            </w:pPr>
            <w:r>
              <w:rPr>
                <w:rFonts w:ascii="Arial" w:cs="Arial" w:eastAsia="Arial" w:hAnsi="Arial"/>
                <w:sz w:val="14"/>
                <w:szCs w:val="14"/>
                <w:color w:val="333333"/>
              </w:rPr>
              <w:t>27,058</w:t>
            </w:r>
            <w:r>
              <w:rPr>
                <w:rFonts w:ascii="Arial" w:cs="Arial" w:eastAsia="Arial" w:hAnsi="Arial"/>
                <w:sz w:val="21"/>
                <w:szCs w:val="21"/>
                <w:color w:val="333333"/>
                <w:vertAlign w:val="superscript"/>
              </w:rPr>
              <w:t>(6)</w:t>
            </w:r>
          </w:p>
        </w:tc>
        <w:tc>
          <w:tcPr>
            <w:tcW w:w="1780" w:type="dxa"/>
            <w:vAlign w:val="bottom"/>
            <w:shd w:val="clear" w:color="auto" w:fill="FCEFEB"/>
          </w:tcPr>
          <w:p>
            <w:pPr>
              <w:jc w:val="right"/>
              <w:ind w:right="289"/>
              <w:spacing w:after="0"/>
              <w:rPr>
                <w:sz w:val="20"/>
                <w:szCs w:val="20"/>
                <w:color w:val="auto"/>
              </w:rPr>
            </w:pPr>
            <w:r>
              <w:rPr>
                <w:rFonts w:ascii="Arial" w:cs="Arial" w:eastAsia="Arial" w:hAnsi="Arial"/>
                <w:sz w:val="14"/>
                <w:szCs w:val="14"/>
                <w:color w:val="333333"/>
              </w:rPr>
              <w:t>64,939</w:t>
            </w:r>
          </w:p>
        </w:tc>
        <w:tc>
          <w:tcPr>
            <w:tcW w:w="1640" w:type="dxa"/>
            <w:vAlign w:val="bottom"/>
            <w:shd w:val="clear" w:color="auto" w:fill="FCEFEB"/>
          </w:tcPr>
          <w:p>
            <w:pPr>
              <w:ind w:left="1040"/>
              <w:spacing w:after="0"/>
              <w:rPr>
                <w:sz w:val="20"/>
                <w:szCs w:val="20"/>
                <w:color w:val="auto"/>
              </w:rPr>
            </w:pPr>
            <w:r>
              <w:rPr>
                <w:rFonts w:ascii="Arial" w:cs="Arial" w:eastAsia="Arial" w:hAnsi="Arial"/>
                <w:sz w:val="14"/>
                <w:szCs w:val="14"/>
                <w:color w:val="333333"/>
              </w:rPr>
              <w:t>—</w:t>
            </w:r>
          </w:p>
        </w:tc>
        <w:tc>
          <w:tcPr>
            <w:tcW w:w="1660" w:type="dxa"/>
            <w:vAlign w:val="bottom"/>
            <w:shd w:val="clear" w:color="auto" w:fill="FCEFEB"/>
          </w:tcPr>
          <w:p>
            <w:pPr>
              <w:jc w:val="right"/>
              <w:ind w:right="329"/>
              <w:spacing w:after="0"/>
              <w:rPr>
                <w:sz w:val="20"/>
                <w:szCs w:val="20"/>
                <w:color w:val="auto"/>
              </w:rPr>
            </w:pPr>
            <w:r>
              <w:rPr>
                <w:rFonts w:ascii="Arial" w:cs="Arial" w:eastAsia="Arial" w:hAnsi="Arial"/>
                <w:sz w:val="14"/>
                <w:szCs w:val="14"/>
                <w:color w:val="333333"/>
              </w:rPr>
              <w:t>—</w:t>
            </w:r>
          </w:p>
        </w:tc>
        <w:tc>
          <w:tcPr>
            <w:tcW w:w="20" w:type="dxa"/>
            <w:vAlign w:val="bottom"/>
          </w:tcPr>
          <w:p>
            <w:pPr>
              <w:spacing w:after="0"/>
              <w:rPr>
                <w:sz w:val="16"/>
                <w:szCs w:val="16"/>
                <w:color w:val="auto"/>
              </w:rPr>
            </w:pPr>
          </w:p>
        </w:tc>
      </w:tr>
      <w:tr>
        <w:trPr>
          <w:trHeight w:val="214"/>
        </w:trPr>
        <w:tc>
          <w:tcPr>
            <w:tcW w:w="1900" w:type="dxa"/>
            <w:vAlign w:val="bottom"/>
          </w:tcPr>
          <w:p>
            <w:pPr>
              <w:spacing w:after="0"/>
              <w:rPr>
                <w:sz w:val="18"/>
                <w:szCs w:val="18"/>
                <w:color w:val="auto"/>
              </w:rPr>
            </w:pPr>
          </w:p>
        </w:tc>
        <w:tc>
          <w:tcPr>
            <w:tcW w:w="1780" w:type="dxa"/>
            <w:vAlign w:val="bottom"/>
            <w:shd w:val="clear" w:color="auto" w:fill="FCEFEB"/>
          </w:tcPr>
          <w:p>
            <w:pPr>
              <w:ind w:left="520"/>
              <w:spacing w:after="0"/>
              <w:rPr>
                <w:sz w:val="20"/>
                <w:szCs w:val="20"/>
                <w:color w:val="auto"/>
              </w:rPr>
            </w:pPr>
            <w:r>
              <w:rPr>
                <w:rFonts w:ascii="Arial" w:cs="Arial" w:eastAsia="Arial" w:hAnsi="Arial"/>
                <w:sz w:val="14"/>
                <w:szCs w:val="14"/>
                <w:color w:val="333333"/>
              </w:rPr>
              <w:t>April 5, 2024</w:t>
            </w:r>
          </w:p>
        </w:tc>
        <w:tc>
          <w:tcPr>
            <w:tcW w:w="2160" w:type="dxa"/>
            <w:vAlign w:val="bottom"/>
            <w:shd w:val="clear" w:color="auto" w:fill="FCEFEB"/>
          </w:tcPr>
          <w:p>
            <w:pPr>
              <w:jc w:val="right"/>
              <w:ind w:right="369"/>
              <w:spacing w:after="0" w:line="214" w:lineRule="exact"/>
              <w:rPr>
                <w:sz w:val="20"/>
                <w:szCs w:val="20"/>
                <w:color w:val="auto"/>
              </w:rPr>
            </w:pPr>
            <w:r>
              <w:rPr>
                <w:rFonts w:ascii="Arial" w:cs="Arial" w:eastAsia="Arial" w:hAnsi="Arial"/>
                <w:sz w:val="14"/>
                <w:szCs w:val="14"/>
                <w:color w:val="333333"/>
              </w:rPr>
              <w:t>9,950</w:t>
            </w:r>
            <w:r>
              <w:rPr>
                <w:rFonts w:ascii="Arial" w:cs="Arial" w:eastAsia="Arial" w:hAnsi="Arial"/>
                <w:sz w:val="21"/>
                <w:szCs w:val="21"/>
                <w:color w:val="333333"/>
                <w:vertAlign w:val="superscript"/>
              </w:rPr>
              <w:t>(4)</w:t>
            </w:r>
          </w:p>
        </w:tc>
        <w:tc>
          <w:tcPr>
            <w:tcW w:w="1780" w:type="dxa"/>
            <w:vAlign w:val="bottom"/>
            <w:shd w:val="clear" w:color="auto" w:fill="FCEFEB"/>
          </w:tcPr>
          <w:p>
            <w:pPr>
              <w:jc w:val="right"/>
              <w:ind w:right="289"/>
              <w:spacing w:after="0"/>
              <w:rPr>
                <w:sz w:val="20"/>
                <w:szCs w:val="20"/>
                <w:color w:val="auto"/>
              </w:rPr>
            </w:pPr>
            <w:r>
              <w:rPr>
                <w:rFonts w:ascii="Arial" w:cs="Arial" w:eastAsia="Arial" w:hAnsi="Arial"/>
                <w:sz w:val="14"/>
                <w:szCs w:val="14"/>
                <w:color w:val="333333"/>
              </w:rPr>
              <w:t>23,880</w:t>
            </w:r>
          </w:p>
        </w:tc>
        <w:tc>
          <w:tcPr>
            <w:tcW w:w="1640" w:type="dxa"/>
            <w:vAlign w:val="bottom"/>
            <w:shd w:val="clear" w:color="auto" w:fill="FCEFEB"/>
          </w:tcPr>
          <w:p>
            <w:pPr>
              <w:ind w:left="1040"/>
              <w:spacing w:after="0"/>
              <w:rPr>
                <w:sz w:val="20"/>
                <w:szCs w:val="20"/>
                <w:color w:val="auto"/>
              </w:rPr>
            </w:pPr>
            <w:r>
              <w:rPr>
                <w:rFonts w:ascii="Arial" w:cs="Arial" w:eastAsia="Arial" w:hAnsi="Arial"/>
                <w:sz w:val="14"/>
                <w:szCs w:val="14"/>
                <w:color w:val="333333"/>
              </w:rPr>
              <w:t>—</w:t>
            </w:r>
          </w:p>
        </w:tc>
        <w:tc>
          <w:tcPr>
            <w:tcW w:w="1660" w:type="dxa"/>
            <w:vAlign w:val="bottom"/>
            <w:shd w:val="clear" w:color="auto" w:fill="FCEFEB"/>
          </w:tcPr>
          <w:p>
            <w:pPr>
              <w:jc w:val="right"/>
              <w:ind w:right="329"/>
              <w:spacing w:after="0"/>
              <w:rPr>
                <w:sz w:val="20"/>
                <w:szCs w:val="20"/>
                <w:color w:val="auto"/>
              </w:rPr>
            </w:pPr>
            <w:r>
              <w:rPr>
                <w:rFonts w:ascii="Arial" w:cs="Arial" w:eastAsia="Arial" w:hAnsi="Arial"/>
                <w:sz w:val="14"/>
                <w:szCs w:val="14"/>
                <w:color w:val="333333"/>
              </w:rPr>
              <w:t>—</w:t>
            </w:r>
          </w:p>
        </w:tc>
        <w:tc>
          <w:tcPr>
            <w:tcW w:w="20" w:type="dxa"/>
            <w:vAlign w:val="bottom"/>
          </w:tcPr>
          <w:p>
            <w:pPr>
              <w:spacing w:after="0"/>
              <w:rPr>
                <w:sz w:val="18"/>
                <w:szCs w:val="18"/>
                <w:color w:val="auto"/>
              </w:rPr>
            </w:pPr>
          </w:p>
        </w:tc>
      </w:tr>
      <w:tr>
        <w:trPr>
          <w:trHeight w:val="294"/>
        </w:trPr>
        <w:tc>
          <w:tcPr>
            <w:tcW w:w="1900" w:type="dxa"/>
            <w:vAlign w:val="bottom"/>
            <w:tcBorders>
              <w:bottom w:val="single" w:sz="8" w:color="005C5D"/>
            </w:tcBorders>
          </w:tcPr>
          <w:p>
            <w:pPr>
              <w:spacing w:after="0"/>
              <w:rPr>
                <w:sz w:val="24"/>
                <w:szCs w:val="24"/>
                <w:color w:val="auto"/>
              </w:rPr>
            </w:pPr>
          </w:p>
        </w:tc>
        <w:tc>
          <w:tcPr>
            <w:tcW w:w="1780" w:type="dxa"/>
            <w:vAlign w:val="bottom"/>
            <w:tcBorders>
              <w:bottom w:val="single" w:sz="8" w:color="005C5D"/>
            </w:tcBorders>
            <w:shd w:val="clear" w:color="auto" w:fill="FCEFEB"/>
          </w:tcPr>
          <w:p>
            <w:pPr>
              <w:ind w:left="520"/>
              <w:spacing w:after="0"/>
              <w:rPr>
                <w:sz w:val="20"/>
                <w:szCs w:val="20"/>
                <w:color w:val="auto"/>
              </w:rPr>
            </w:pPr>
            <w:r>
              <w:rPr>
                <w:rFonts w:ascii="Arial" w:cs="Arial" w:eastAsia="Arial" w:hAnsi="Arial"/>
                <w:sz w:val="14"/>
                <w:szCs w:val="14"/>
                <w:color w:val="333333"/>
              </w:rPr>
              <w:t>April 4, 2025</w:t>
            </w:r>
          </w:p>
        </w:tc>
        <w:tc>
          <w:tcPr>
            <w:tcW w:w="2160" w:type="dxa"/>
            <w:vAlign w:val="bottom"/>
            <w:tcBorders>
              <w:bottom w:val="single" w:sz="8" w:color="005C5D"/>
            </w:tcBorders>
            <w:shd w:val="clear" w:color="auto" w:fill="FCEFEB"/>
          </w:tcPr>
          <w:p>
            <w:pPr>
              <w:jc w:val="right"/>
              <w:ind w:right="369"/>
              <w:spacing w:after="0"/>
              <w:rPr>
                <w:sz w:val="20"/>
                <w:szCs w:val="20"/>
                <w:color w:val="auto"/>
              </w:rPr>
            </w:pPr>
            <w:r>
              <w:rPr>
                <w:rFonts w:ascii="Arial" w:cs="Arial" w:eastAsia="Arial" w:hAnsi="Arial"/>
                <w:sz w:val="14"/>
                <w:szCs w:val="14"/>
                <w:color w:val="333333"/>
              </w:rPr>
              <w:t>23,474</w:t>
            </w:r>
            <w:r>
              <w:rPr>
                <w:rFonts w:ascii="Arial" w:cs="Arial" w:eastAsia="Arial" w:hAnsi="Arial"/>
                <w:sz w:val="21"/>
                <w:szCs w:val="21"/>
                <w:color w:val="333333"/>
                <w:vertAlign w:val="superscript"/>
              </w:rPr>
              <w:t>(4)</w:t>
            </w:r>
          </w:p>
        </w:tc>
        <w:tc>
          <w:tcPr>
            <w:tcW w:w="1780" w:type="dxa"/>
            <w:vAlign w:val="bottom"/>
            <w:tcBorders>
              <w:bottom w:val="single" w:sz="8" w:color="005C5D"/>
            </w:tcBorders>
            <w:shd w:val="clear" w:color="auto" w:fill="FCEFEB"/>
          </w:tcPr>
          <w:p>
            <w:pPr>
              <w:jc w:val="right"/>
              <w:ind w:right="289"/>
              <w:spacing w:after="0"/>
              <w:rPr>
                <w:sz w:val="20"/>
                <w:szCs w:val="20"/>
                <w:color w:val="auto"/>
              </w:rPr>
            </w:pPr>
            <w:r>
              <w:rPr>
                <w:rFonts w:ascii="Arial" w:cs="Arial" w:eastAsia="Arial" w:hAnsi="Arial"/>
                <w:sz w:val="14"/>
                <w:szCs w:val="14"/>
                <w:color w:val="333333"/>
              </w:rPr>
              <w:t>56,338</w:t>
            </w:r>
          </w:p>
        </w:tc>
        <w:tc>
          <w:tcPr>
            <w:tcW w:w="1640" w:type="dxa"/>
            <w:vAlign w:val="bottom"/>
            <w:tcBorders>
              <w:bottom w:val="single" w:sz="8" w:color="005C5D"/>
            </w:tcBorders>
            <w:shd w:val="clear" w:color="auto" w:fill="FCEFEB"/>
          </w:tcPr>
          <w:p>
            <w:pPr>
              <w:ind w:left="1040"/>
              <w:spacing w:after="0"/>
              <w:rPr>
                <w:sz w:val="20"/>
                <w:szCs w:val="20"/>
                <w:color w:val="auto"/>
              </w:rPr>
            </w:pPr>
            <w:r>
              <w:rPr>
                <w:rFonts w:ascii="Arial" w:cs="Arial" w:eastAsia="Arial" w:hAnsi="Arial"/>
                <w:sz w:val="14"/>
                <w:szCs w:val="14"/>
                <w:color w:val="333333"/>
              </w:rPr>
              <w:t>—</w:t>
            </w:r>
          </w:p>
        </w:tc>
        <w:tc>
          <w:tcPr>
            <w:tcW w:w="1660" w:type="dxa"/>
            <w:vAlign w:val="bottom"/>
            <w:tcBorders>
              <w:bottom w:val="single" w:sz="8" w:color="005C5D"/>
            </w:tcBorders>
            <w:shd w:val="clear" w:color="auto" w:fill="FCEFEB"/>
          </w:tcPr>
          <w:p>
            <w:pPr>
              <w:jc w:val="right"/>
              <w:ind w:right="329"/>
              <w:spacing w:after="0"/>
              <w:rPr>
                <w:sz w:val="20"/>
                <w:szCs w:val="20"/>
                <w:color w:val="auto"/>
              </w:rPr>
            </w:pPr>
            <w:r>
              <w:rPr>
                <w:rFonts w:ascii="Arial" w:cs="Arial" w:eastAsia="Arial" w:hAnsi="Arial"/>
                <w:sz w:val="14"/>
                <w:szCs w:val="14"/>
                <w:color w:val="333333"/>
              </w:rPr>
              <w:t>—</w:t>
            </w:r>
          </w:p>
        </w:tc>
        <w:tc>
          <w:tcPr>
            <w:tcW w:w="20" w:type="dxa"/>
            <w:vAlign w:val="bottom"/>
          </w:tcPr>
          <w:p>
            <w:pPr>
              <w:spacing w:after="0"/>
              <w:rPr>
                <w:sz w:val="24"/>
                <w:szCs w:val="24"/>
                <w:color w:val="auto"/>
              </w:rPr>
            </w:pPr>
          </w:p>
        </w:tc>
      </w:tr>
      <w:tr>
        <w:trPr>
          <w:trHeight w:val="288"/>
        </w:trPr>
        <w:tc>
          <w:tcPr>
            <w:tcW w:w="1900" w:type="dxa"/>
            <w:vAlign w:val="bottom"/>
          </w:tcPr>
          <w:p>
            <w:pPr>
              <w:ind w:left="80"/>
              <w:spacing w:after="0"/>
              <w:rPr>
                <w:sz w:val="20"/>
                <w:szCs w:val="20"/>
                <w:color w:val="auto"/>
              </w:rPr>
            </w:pPr>
            <w:r>
              <w:rPr>
                <w:rFonts w:ascii="Arial" w:cs="Arial" w:eastAsia="Arial" w:hAnsi="Arial"/>
                <w:sz w:val="14"/>
                <w:szCs w:val="14"/>
                <w:b w:val="1"/>
                <w:bCs w:val="1"/>
                <w:color w:val="005C5D"/>
              </w:rPr>
              <w:t>Melinda Paraie</w:t>
            </w:r>
          </w:p>
        </w:tc>
        <w:tc>
          <w:tcPr>
            <w:tcW w:w="1780" w:type="dxa"/>
            <w:vAlign w:val="bottom"/>
            <w:shd w:val="clear" w:color="auto" w:fill="FCEFEB"/>
          </w:tcPr>
          <w:p>
            <w:pPr>
              <w:ind w:left="520"/>
              <w:spacing w:after="0"/>
              <w:rPr>
                <w:sz w:val="20"/>
                <w:szCs w:val="20"/>
                <w:color w:val="auto"/>
              </w:rPr>
            </w:pPr>
            <w:r>
              <w:rPr>
                <w:rFonts w:ascii="Arial" w:cs="Arial" w:eastAsia="Arial" w:hAnsi="Arial"/>
                <w:sz w:val="14"/>
                <w:szCs w:val="14"/>
                <w:color w:val="333333"/>
              </w:rPr>
              <w:t>December 12, 2025</w:t>
            </w:r>
          </w:p>
        </w:tc>
        <w:tc>
          <w:tcPr>
            <w:tcW w:w="2160" w:type="dxa"/>
            <w:vAlign w:val="bottom"/>
            <w:shd w:val="clear" w:color="auto" w:fill="FCEFEB"/>
          </w:tcPr>
          <w:p>
            <w:pPr>
              <w:jc w:val="right"/>
              <w:ind w:right="369"/>
              <w:spacing w:after="0"/>
              <w:rPr>
                <w:sz w:val="20"/>
                <w:szCs w:val="20"/>
                <w:color w:val="auto"/>
              </w:rPr>
            </w:pPr>
            <w:r>
              <w:rPr>
                <w:rFonts w:ascii="Arial" w:cs="Arial" w:eastAsia="Arial" w:hAnsi="Arial"/>
                <w:sz w:val="14"/>
                <w:szCs w:val="14"/>
                <w:color w:val="333333"/>
              </w:rPr>
              <w:t>269,231</w:t>
            </w:r>
            <w:r>
              <w:rPr>
                <w:rFonts w:ascii="Arial" w:cs="Arial" w:eastAsia="Arial" w:hAnsi="Arial"/>
                <w:sz w:val="21"/>
                <w:szCs w:val="21"/>
                <w:color w:val="333333"/>
                <w:vertAlign w:val="superscript"/>
              </w:rPr>
              <w:t>(4)</w:t>
            </w:r>
          </w:p>
        </w:tc>
        <w:tc>
          <w:tcPr>
            <w:tcW w:w="1780" w:type="dxa"/>
            <w:vAlign w:val="bottom"/>
            <w:shd w:val="clear" w:color="auto" w:fill="FCEFEB"/>
          </w:tcPr>
          <w:p>
            <w:pPr>
              <w:jc w:val="right"/>
              <w:ind w:right="289"/>
              <w:spacing w:after="0"/>
              <w:rPr>
                <w:sz w:val="20"/>
                <w:szCs w:val="20"/>
                <w:color w:val="auto"/>
              </w:rPr>
            </w:pPr>
            <w:r>
              <w:rPr>
                <w:rFonts w:ascii="Arial" w:cs="Arial" w:eastAsia="Arial" w:hAnsi="Arial"/>
                <w:sz w:val="14"/>
                <w:szCs w:val="14"/>
                <w:color w:val="333333"/>
              </w:rPr>
              <w:t>646,154</w:t>
            </w:r>
          </w:p>
        </w:tc>
        <w:tc>
          <w:tcPr>
            <w:tcW w:w="1640" w:type="dxa"/>
            <w:vAlign w:val="bottom"/>
            <w:shd w:val="clear" w:color="auto" w:fill="FCEFEB"/>
          </w:tcPr>
          <w:p>
            <w:pPr>
              <w:ind w:left="1040"/>
              <w:spacing w:after="0"/>
              <w:rPr>
                <w:sz w:val="20"/>
                <w:szCs w:val="20"/>
                <w:color w:val="auto"/>
              </w:rPr>
            </w:pPr>
            <w:r>
              <w:rPr>
                <w:rFonts w:ascii="Arial" w:cs="Arial" w:eastAsia="Arial" w:hAnsi="Arial"/>
                <w:sz w:val="14"/>
                <w:szCs w:val="14"/>
                <w:color w:val="333333"/>
              </w:rPr>
              <w:t>—</w:t>
            </w:r>
          </w:p>
        </w:tc>
        <w:tc>
          <w:tcPr>
            <w:tcW w:w="1660" w:type="dxa"/>
            <w:vAlign w:val="bottom"/>
            <w:shd w:val="clear" w:color="auto" w:fill="FCEFEB"/>
          </w:tcPr>
          <w:p>
            <w:pPr>
              <w:jc w:val="right"/>
              <w:ind w:right="329"/>
              <w:spacing w:after="0"/>
              <w:rPr>
                <w:sz w:val="20"/>
                <w:szCs w:val="20"/>
                <w:color w:val="auto"/>
              </w:rPr>
            </w:pPr>
            <w:r>
              <w:rPr>
                <w:rFonts w:ascii="Arial" w:cs="Arial" w:eastAsia="Arial" w:hAnsi="Arial"/>
                <w:sz w:val="14"/>
                <w:szCs w:val="14"/>
                <w:color w:val="333333"/>
              </w:rPr>
              <w:t>—</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-4305300</wp:posOffset>
            </wp:positionV>
            <wp:extent cx="5732145" cy="13589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32145" cy="135890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-7620</wp:posOffset>
            </wp:positionV>
            <wp:extent cx="69297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jc w:val="both"/>
        <w:ind w:left="480" w:right="20" w:hanging="313"/>
        <w:spacing w:after="0" w:line="235" w:lineRule="auto"/>
        <w:tabs>
          <w:tab w:leader="none" w:pos="480" w:val="left"/>
        </w:tabs>
        <w:numPr>
          <w:ilvl w:val="0"/>
          <w:numId w:val="43"/>
        </w:numPr>
        <w:rPr>
          <w:rFonts w:ascii="Arial" w:cs="Arial" w:eastAsia="Arial" w:hAnsi="Arial"/>
          <w:sz w:val="12"/>
          <w:szCs w:val="12"/>
          <w:color w:val="333333"/>
        </w:rPr>
      </w:pPr>
      <w:r>
        <w:rPr>
          <w:rFonts w:ascii="Arial" w:cs="Arial" w:eastAsia="Arial" w:hAnsi="Arial"/>
          <w:sz w:val="12"/>
          <w:szCs w:val="12"/>
          <w:color w:val="333333"/>
        </w:rPr>
        <w:t>Time-based restricted stock units (TRSUs) vest in three equal annual installments on the first, second, and third anniversaries of the grant date. Performance-based restricted stock units (PRSUs) have a three-year cliff-vesting schedule based on continued employment and performance. The performance feature is based on earnings per share growth over the three-year performance period. See “—Potential Payments on Termination or Change in Control” for details of outstanding awards where vesting would be accelerated in the event of death, disability, retirement, or upon a change in control.</w:t>
      </w:r>
    </w:p>
    <w:p>
      <w:pPr>
        <w:spacing w:after="0" w:line="1" w:lineRule="exact"/>
        <w:rPr>
          <w:rFonts w:ascii="Arial" w:cs="Arial" w:eastAsia="Arial" w:hAnsi="Arial"/>
          <w:sz w:val="12"/>
          <w:szCs w:val="12"/>
          <w:color w:val="333333"/>
        </w:rPr>
      </w:pPr>
    </w:p>
    <w:p>
      <w:pPr>
        <w:ind w:left="480" w:hanging="313"/>
        <w:spacing w:after="0" w:line="232" w:lineRule="auto"/>
        <w:tabs>
          <w:tab w:leader="none" w:pos="480" w:val="left"/>
        </w:tabs>
        <w:numPr>
          <w:ilvl w:val="0"/>
          <w:numId w:val="43"/>
        </w:numPr>
        <w:rPr>
          <w:rFonts w:ascii="Arial" w:cs="Arial" w:eastAsia="Arial" w:hAnsi="Arial"/>
          <w:sz w:val="12"/>
          <w:szCs w:val="12"/>
          <w:color w:val="333333"/>
        </w:rPr>
      </w:pPr>
      <w:r>
        <w:rPr>
          <w:rFonts w:ascii="Arial" w:cs="Arial" w:eastAsia="Arial" w:hAnsi="Arial"/>
          <w:sz w:val="12"/>
          <w:szCs w:val="12"/>
          <w:color w:val="333333"/>
        </w:rPr>
        <w:t>Based on the closing price of $2.40 of the Company’s common shares on January 30, 2026 (the last trading day prior to the end of the fiscal year) as reported by The NASDAQ Stock Market.</w:t>
      </w:r>
    </w:p>
    <w:p>
      <w:pPr>
        <w:ind w:left="480" w:hanging="313"/>
        <w:spacing w:after="0" w:line="232" w:lineRule="auto"/>
        <w:tabs>
          <w:tab w:leader="none" w:pos="480" w:val="left"/>
        </w:tabs>
        <w:numPr>
          <w:ilvl w:val="0"/>
          <w:numId w:val="43"/>
        </w:numPr>
        <w:rPr>
          <w:rFonts w:ascii="Arial" w:cs="Arial" w:eastAsia="Arial" w:hAnsi="Arial"/>
          <w:sz w:val="12"/>
          <w:szCs w:val="12"/>
          <w:color w:val="333333"/>
        </w:rPr>
      </w:pPr>
      <w:r>
        <w:rPr>
          <w:rFonts w:ascii="Arial" w:cs="Arial" w:eastAsia="Arial" w:hAnsi="Arial"/>
          <w:sz w:val="12"/>
          <w:szCs w:val="12"/>
          <w:color w:val="333333"/>
        </w:rPr>
        <w:t>TRSUs granted in connection with Mr. Bickley’s Director role prior to his appointment as Executive Chairman in July 2025.</w:t>
      </w:r>
    </w:p>
    <w:p>
      <w:pPr>
        <w:ind w:left="480" w:hanging="313"/>
        <w:spacing w:after="0" w:line="232" w:lineRule="auto"/>
        <w:tabs>
          <w:tab w:leader="none" w:pos="480" w:val="left"/>
        </w:tabs>
        <w:numPr>
          <w:ilvl w:val="0"/>
          <w:numId w:val="43"/>
        </w:numPr>
        <w:rPr>
          <w:rFonts w:ascii="Arial" w:cs="Arial" w:eastAsia="Arial" w:hAnsi="Arial"/>
          <w:sz w:val="12"/>
          <w:szCs w:val="12"/>
          <w:color w:val="333333"/>
        </w:rPr>
      </w:pPr>
      <w:r>
        <w:rPr>
          <w:rFonts w:ascii="Arial" w:cs="Arial" w:eastAsia="Arial" w:hAnsi="Arial"/>
          <w:sz w:val="12"/>
          <w:szCs w:val="12"/>
          <w:color w:val="333333"/>
        </w:rPr>
        <w:t>Includes TRSUs granted under the Incentive Plan.</w:t>
      </w:r>
    </w:p>
    <w:p>
      <w:pPr>
        <w:jc w:val="both"/>
        <w:ind w:left="480" w:right="20" w:hanging="313"/>
        <w:spacing w:after="0" w:line="232" w:lineRule="auto"/>
        <w:tabs>
          <w:tab w:leader="none" w:pos="480" w:val="left"/>
        </w:tabs>
        <w:numPr>
          <w:ilvl w:val="0"/>
          <w:numId w:val="43"/>
        </w:numPr>
        <w:rPr>
          <w:rFonts w:ascii="Arial" w:cs="Arial" w:eastAsia="Arial" w:hAnsi="Arial"/>
          <w:sz w:val="12"/>
          <w:szCs w:val="12"/>
          <w:color w:val="333333"/>
        </w:rPr>
      </w:pPr>
      <w:r>
        <w:rPr>
          <w:rFonts w:ascii="Arial" w:cs="Arial" w:eastAsia="Arial" w:hAnsi="Arial"/>
          <w:sz w:val="12"/>
          <w:szCs w:val="12"/>
          <w:color w:val="333333"/>
        </w:rPr>
        <w:t>Mr. Schwindle left the Company in June 2025; therefore, all unvested TRSUs and PRSUs were forfeited. Ms. Ardrey left the Company in July 2025, pursuant to Ms. Ardrey’s separation agreement, her PRSU with a vesting date of March 31, 2026 was not forfeited, all other unvested shares were forfeited. Ms. Hiatt left the Company in October 2025, she forfeited all unvested TRSUs and PRSUs with the exception of those with a vesting date between March 31, 2026 and April 5, 2026.</w:t>
      </w:r>
    </w:p>
    <w:p>
      <w:pPr>
        <w:spacing w:after="0" w:line="1" w:lineRule="exact"/>
        <w:rPr>
          <w:rFonts w:ascii="Arial" w:cs="Arial" w:eastAsia="Arial" w:hAnsi="Arial"/>
          <w:sz w:val="12"/>
          <w:szCs w:val="12"/>
          <w:color w:val="333333"/>
        </w:rPr>
      </w:pPr>
    </w:p>
    <w:p>
      <w:pPr>
        <w:ind w:left="480" w:hanging="313"/>
        <w:spacing w:after="0" w:line="232" w:lineRule="auto"/>
        <w:tabs>
          <w:tab w:leader="none" w:pos="480" w:val="left"/>
        </w:tabs>
        <w:numPr>
          <w:ilvl w:val="0"/>
          <w:numId w:val="43"/>
        </w:numPr>
        <w:rPr>
          <w:rFonts w:ascii="Arial" w:cs="Arial" w:eastAsia="Arial" w:hAnsi="Arial"/>
          <w:sz w:val="12"/>
          <w:szCs w:val="12"/>
          <w:color w:val="333333"/>
        </w:rPr>
      </w:pPr>
      <w:r>
        <w:rPr>
          <w:rFonts w:ascii="Arial" w:cs="Arial" w:eastAsia="Arial" w:hAnsi="Arial"/>
          <w:sz w:val="12"/>
          <w:szCs w:val="12"/>
          <w:color w:val="333333"/>
        </w:rPr>
        <w:t>Includes 6,957 TRSUs and 20,101 PRSUs granted under the Incentive Plan.</w:t>
      </w:r>
    </w:p>
    <w:p>
      <w:pPr>
        <w:ind w:left="480" w:hanging="313"/>
        <w:spacing w:after="0" w:line="232" w:lineRule="auto"/>
        <w:tabs>
          <w:tab w:leader="none" w:pos="480" w:val="left"/>
        </w:tabs>
        <w:numPr>
          <w:ilvl w:val="0"/>
          <w:numId w:val="43"/>
        </w:numPr>
        <w:rPr>
          <w:rFonts w:ascii="Arial" w:cs="Arial" w:eastAsia="Arial" w:hAnsi="Arial"/>
          <w:sz w:val="12"/>
          <w:szCs w:val="12"/>
          <w:color w:val="333333"/>
        </w:rPr>
      </w:pPr>
      <w:r>
        <w:rPr>
          <w:rFonts w:ascii="Arial" w:cs="Arial" w:eastAsia="Arial" w:hAnsi="Arial"/>
          <w:sz w:val="12"/>
          <w:szCs w:val="12"/>
          <w:color w:val="333333"/>
        </w:rPr>
        <w:t>Includes the number of PRSUs subject to incomplete performance years. The shares are reflected at threshold, or 25% of target.</w:t>
      </w:r>
    </w:p>
    <w:p>
      <w:pPr>
        <w:ind w:left="480" w:hanging="313"/>
        <w:spacing w:after="0" w:line="232" w:lineRule="auto"/>
        <w:tabs>
          <w:tab w:leader="none" w:pos="480" w:val="left"/>
        </w:tabs>
        <w:numPr>
          <w:ilvl w:val="0"/>
          <w:numId w:val="43"/>
        </w:numPr>
        <w:rPr>
          <w:rFonts w:ascii="Arial" w:cs="Arial" w:eastAsia="Arial" w:hAnsi="Arial"/>
          <w:sz w:val="12"/>
          <w:szCs w:val="12"/>
          <w:color w:val="333333"/>
        </w:rPr>
      </w:pPr>
      <w:r>
        <w:rPr>
          <w:rFonts w:ascii="Arial" w:cs="Arial" w:eastAsia="Arial" w:hAnsi="Arial"/>
          <w:sz w:val="12"/>
          <w:szCs w:val="12"/>
          <w:color w:val="333333"/>
        </w:rPr>
        <w:t>Includes PRSUs granted under the Incentive Plan.</w:t>
      </w:r>
    </w:p>
    <w:p>
      <w:pPr>
        <w:ind w:left="480" w:hanging="313"/>
        <w:spacing w:after="0" w:line="232" w:lineRule="auto"/>
        <w:tabs>
          <w:tab w:leader="none" w:pos="480" w:val="left"/>
        </w:tabs>
        <w:numPr>
          <w:ilvl w:val="0"/>
          <w:numId w:val="43"/>
        </w:numPr>
        <w:rPr>
          <w:rFonts w:ascii="Arial" w:cs="Arial" w:eastAsia="Arial" w:hAnsi="Arial"/>
          <w:sz w:val="12"/>
          <w:szCs w:val="12"/>
          <w:color w:val="333333"/>
        </w:rPr>
      </w:pPr>
      <w:r>
        <w:rPr>
          <w:rFonts w:ascii="Arial" w:cs="Arial" w:eastAsia="Arial" w:hAnsi="Arial"/>
          <w:sz w:val="12"/>
          <w:szCs w:val="12"/>
          <w:color w:val="333333"/>
        </w:rPr>
        <w:t>Includes 3,153 TRSUs and 9,110 PRSUs granted under the Incentive Plan. The first and second installments of the TRSUs vested on June 8, 2024, and June 8, 2025, respectively.</w:t>
      </w:r>
    </w:p>
    <w:p>
      <w:pPr>
        <w:ind w:left="480" w:hanging="313"/>
        <w:spacing w:after="0" w:line="232" w:lineRule="auto"/>
        <w:tabs>
          <w:tab w:leader="none" w:pos="480" w:val="left"/>
        </w:tabs>
        <w:numPr>
          <w:ilvl w:val="0"/>
          <w:numId w:val="43"/>
        </w:numPr>
        <w:rPr>
          <w:rFonts w:ascii="Arial" w:cs="Arial" w:eastAsia="Arial" w:hAnsi="Arial"/>
          <w:sz w:val="12"/>
          <w:szCs w:val="12"/>
          <w:color w:val="333333"/>
        </w:rPr>
      </w:pPr>
      <w:r>
        <w:rPr>
          <w:rFonts w:ascii="Arial" w:cs="Arial" w:eastAsia="Arial" w:hAnsi="Arial"/>
          <w:sz w:val="12"/>
          <w:szCs w:val="12"/>
          <w:color w:val="333333"/>
        </w:rPr>
        <w:t>Includes 19,901 TRSUs and 8,855 PRSUs granted under the Incentive Plan. The first installment of the TRSUs vested on April 5, 2025.</w:t>
      </w:r>
    </w:p>
    <w:p>
      <w:pPr>
        <w:ind w:left="480" w:hanging="313"/>
        <w:spacing w:after="0" w:line="232" w:lineRule="auto"/>
        <w:tabs>
          <w:tab w:leader="none" w:pos="480" w:val="left"/>
        </w:tabs>
        <w:numPr>
          <w:ilvl w:val="0"/>
          <w:numId w:val="43"/>
        </w:numPr>
        <w:rPr>
          <w:rFonts w:ascii="Arial" w:cs="Arial" w:eastAsia="Arial" w:hAnsi="Arial"/>
          <w:sz w:val="12"/>
          <w:szCs w:val="12"/>
          <w:color w:val="333333"/>
        </w:rPr>
      </w:pPr>
      <w:r>
        <w:rPr>
          <w:rFonts w:ascii="Arial" w:cs="Arial" w:eastAsia="Arial" w:hAnsi="Arial"/>
          <w:sz w:val="12"/>
          <w:szCs w:val="12"/>
          <w:color w:val="333333"/>
        </w:rPr>
        <w:t>There are no unearned PRSUs for this award.</w:t>
      </w:r>
    </w:p>
    <w:p>
      <w:pPr>
        <w:ind w:left="480" w:hanging="313"/>
        <w:spacing w:after="0"/>
        <w:tabs>
          <w:tab w:leader="none" w:pos="480" w:val="left"/>
        </w:tabs>
        <w:numPr>
          <w:ilvl w:val="0"/>
          <w:numId w:val="43"/>
        </w:numPr>
        <w:rPr>
          <w:rFonts w:ascii="Arial" w:cs="Arial" w:eastAsia="Arial" w:hAnsi="Arial"/>
          <w:sz w:val="12"/>
          <w:szCs w:val="12"/>
          <w:color w:val="333333"/>
        </w:rPr>
      </w:pPr>
      <w:r>
        <w:rPr>
          <w:rFonts w:ascii="Arial" w:cs="Arial" w:eastAsia="Arial" w:hAnsi="Arial"/>
          <w:sz w:val="12"/>
          <w:szCs w:val="12"/>
          <w:color w:val="333333"/>
        </w:rPr>
        <w:t>Includes 7,652 TRSUs and 22,112 PRSUs granted under the Incentive Plan. The first and second installments of the TRSUs vested on March 31, 2024, and March 31, 2025, respectively.</w:t>
      </w:r>
    </w:p>
    <w:p>
      <w:pPr>
        <w:spacing w:after="0" w:line="140" w:lineRule="exact"/>
        <w:rPr>
          <w:sz w:val="20"/>
          <w:szCs w:val="20"/>
          <w:color w:val="auto"/>
        </w:rPr>
      </w:pPr>
    </w:p>
    <w:p>
      <w:pPr>
        <w:ind w:left="160"/>
        <w:spacing w:after="0"/>
        <w:tabs>
          <w:tab w:leader="none" w:pos="4920" w:val="left"/>
        </w:tabs>
        <w:rPr>
          <w:sz w:val="20"/>
          <w:szCs w:val="20"/>
          <w:color w:val="auto"/>
        </w:rPr>
      </w:pPr>
      <w:r>
        <w:rPr>
          <w:rFonts w:ascii="Arial" w:cs="Arial" w:eastAsia="Arial" w:hAnsi="Arial"/>
          <w:sz w:val="14"/>
          <w:szCs w:val="14"/>
          <w:color w:val="005C5D"/>
        </w:rPr>
        <w:t xml:space="preserve">34 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1100"/>
          </w:cols>
          <w:pgMar w:left="320" w:top="478"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9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Option Exercises and Shares Vested</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We have no outstanding stock options.</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The following table shows the number of RSUs which vested for each NEO in fiscal 2026:</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120"/>
        </w:trPr>
        <w:tc>
          <w:tcPr>
            <w:tcW w:w="6620" w:type="dxa"/>
            <w:vAlign w:val="bottom"/>
          </w:tcPr>
          <w:p>
            <w:pPr>
              <w:spacing w:after="0"/>
              <w:rPr>
                <w:sz w:val="10"/>
                <w:szCs w:val="10"/>
                <w:color w:val="auto"/>
              </w:rPr>
            </w:pPr>
          </w:p>
        </w:tc>
        <w:tc>
          <w:tcPr>
            <w:tcW w:w="1820" w:type="dxa"/>
            <w:vAlign w:val="bottom"/>
            <w:shd w:val="clear" w:color="auto" w:fill="FCEFEB"/>
          </w:tcPr>
          <w:p>
            <w:pPr>
              <w:spacing w:after="0"/>
              <w:rPr>
                <w:sz w:val="10"/>
                <w:szCs w:val="10"/>
                <w:color w:val="auto"/>
              </w:rPr>
            </w:pPr>
          </w:p>
        </w:tc>
        <w:tc>
          <w:tcPr>
            <w:tcW w:w="860" w:type="dxa"/>
            <w:vAlign w:val="bottom"/>
            <w:shd w:val="clear" w:color="auto" w:fill="FCEFEB"/>
          </w:tcPr>
          <w:p>
            <w:pPr>
              <w:spacing w:after="0"/>
              <w:rPr>
                <w:sz w:val="10"/>
                <w:szCs w:val="10"/>
                <w:color w:val="auto"/>
              </w:rPr>
            </w:pPr>
          </w:p>
        </w:tc>
        <w:tc>
          <w:tcPr>
            <w:tcW w:w="1620" w:type="dxa"/>
            <w:vAlign w:val="bottom"/>
            <w:shd w:val="clear" w:color="auto" w:fill="FCEFEB"/>
          </w:tcPr>
          <w:p>
            <w:pPr>
              <w:spacing w:after="0"/>
              <w:rPr>
                <w:sz w:val="10"/>
                <w:szCs w:val="10"/>
                <w:color w:val="auto"/>
              </w:rPr>
            </w:pPr>
          </w:p>
        </w:tc>
      </w:tr>
      <w:tr>
        <w:trPr>
          <w:trHeight w:val="218"/>
        </w:trPr>
        <w:tc>
          <w:tcPr>
            <w:tcW w:w="6620" w:type="dxa"/>
            <w:vAlign w:val="bottom"/>
            <w:shd w:val="clear" w:color="auto" w:fill="005C5D"/>
          </w:tcPr>
          <w:p>
            <w:pPr>
              <w:spacing w:after="0"/>
              <w:rPr>
                <w:sz w:val="18"/>
                <w:szCs w:val="18"/>
                <w:color w:val="auto"/>
              </w:rPr>
            </w:pPr>
          </w:p>
        </w:tc>
        <w:tc>
          <w:tcPr>
            <w:tcW w:w="1820" w:type="dxa"/>
            <w:vAlign w:val="bottom"/>
            <w:shd w:val="clear" w:color="auto" w:fill="005C5D"/>
          </w:tcPr>
          <w:p>
            <w:pPr>
              <w:jc w:val="center"/>
              <w:spacing w:after="0"/>
              <w:rPr>
                <w:sz w:val="20"/>
                <w:szCs w:val="20"/>
                <w:color w:val="auto"/>
              </w:rPr>
            </w:pPr>
            <w:r>
              <w:rPr>
                <w:rFonts w:ascii="Arial" w:cs="Arial" w:eastAsia="Arial" w:hAnsi="Arial"/>
                <w:sz w:val="14"/>
                <w:szCs w:val="14"/>
                <w:color w:val="FFFFFF"/>
              </w:rPr>
              <w:t>NUMBER OF SHARES  </w:t>
            </w:r>
          </w:p>
        </w:tc>
        <w:tc>
          <w:tcPr>
            <w:tcW w:w="860" w:type="dxa"/>
            <w:vAlign w:val="bottom"/>
            <w:shd w:val="clear" w:color="auto" w:fill="005C5D"/>
          </w:tcPr>
          <w:p>
            <w:pPr>
              <w:spacing w:after="0"/>
              <w:rPr>
                <w:sz w:val="18"/>
                <w:szCs w:val="18"/>
                <w:color w:val="auto"/>
              </w:rPr>
            </w:pPr>
          </w:p>
        </w:tc>
        <w:tc>
          <w:tcPr>
            <w:tcW w:w="1620" w:type="dxa"/>
            <w:vAlign w:val="bottom"/>
            <w:shd w:val="clear" w:color="auto" w:fill="005C5D"/>
          </w:tcPr>
          <w:p>
            <w:pPr>
              <w:spacing w:after="0"/>
              <w:rPr>
                <w:sz w:val="18"/>
                <w:szCs w:val="18"/>
                <w:color w:val="auto"/>
              </w:rPr>
            </w:pPr>
          </w:p>
        </w:tc>
      </w:tr>
      <w:tr>
        <w:trPr>
          <w:trHeight w:val="160"/>
        </w:trPr>
        <w:tc>
          <w:tcPr>
            <w:tcW w:w="6620" w:type="dxa"/>
            <w:vAlign w:val="bottom"/>
            <w:shd w:val="clear" w:color="auto" w:fill="005C5D"/>
          </w:tcPr>
          <w:p>
            <w:pPr>
              <w:spacing w:after="0"/>
              <w:rPr>
                <w:sz w:val="13"/>
                <w:szCs w:val="13"/>
                <w:color w:val="auto"/>
              </w:rPr>
            </w:pPr>
          </w:p>
        </w:tc>
        <w:tc>
          <w:tcPr>
            <w:tcW w:w="1820" w:type="dxa"/>
            <w:vAlign w:val="bottom"/>
            <w:shd w:val="clear" w:color="auto" w:fill="005C5D"/>
          </w:tcPr>
          <w:p>
            <w:pPr>
              <w:jc w:val="center"/>
              <w:ind w:right="9"/>
              <w:spacing w:after="0"/>
              <w:rPr>
                <w:sz w:val="20"/>
                <w:szCs w:val="20"/>
                <w:color w:val="auto"/>
              </w:rPr>
            </w:pPr>
            <w:r>
              <w:rPr>
                <w:rFonts w:ascii="Arial" w:cs="Arial" w:eastAsia="Arial" w:hAnsi="Arial"/>
                <w:sz w:val="14"/>
                <w:szCs w:val="14"/>
                <w:color w:val="FFFFFF"/>
              </w:rPr>
              <w:t>OR UNITS</w:t>
            </w:r>
          </w:p>
        </w:tc>
        <w:tc>
          <w:tcPr>
            <w:tcW w:w="860" w:type="dxa"/>
            <w:vAlign w:val="bottom"/>
            <w:shd w:val="clear" w:color="auto" w:fill="005C5D"/>
          </w:tcPr>
          <w:p>
            <w:pPr>
              <w:spacing w:after="0"/>
              <w:rPr>
                <w:sz w:val="13"/>
                <w:szCs w:val="13"/>
                <w:color w:val="auto"/>
              </w:rPr>
            </w:pPr>
          </w:p>
        </w:tc>
        <w:tc>
          <w:tcPr>
            <w:tcW w:w="1620" w:type="dxa"/>
            <w:vAlign w:val="bottom"/>
            <w:shd w:val="clear" w:color="auto" w:fill="005C5D"/>
          </w:tcPr>
          <w:p>
            <w:pPr>
              <w:spacing w:after="0"/>
              <w:rPr>
                <w:sz w:val="13"/>
                <w:szCs w:val="13"/>
                <w:color w:val="auto"/>
              </w:rPr>
            </w:pPr>
          </w:p>
        </w:tc>
      </w:tr>
      <w:tr>
        <w:trPr>
          <w:trHeight w:val="160"/>
        </w:trPr>
        <w:tc>
          <w:tcPr>
            <w:tcW w:w="6620" w:type="dxa"/>
            <w:vAlign w:val="bottom"/>
            <w:shd w:val="clear" w:color="auto" w:fill="005C5D"/>
          </w:tcPr>
          <w:p>
            <w:pPr>
              <w:spacing w:after="0"/>
              <w:rPr>
                <w:sz w:val="13"/>
                <w:szCs w:val="13"/>
                <w:color w:val="auto"/>
              </w:rPr>
            </w:pPr>
          </w:p>
        </w:tc>
        <w:tc>
          <w:tcPr>
            <w:tcW w:w="1820" w:type="dxa"/>
            <w:vAlign w:val="bottom"/>
            <w:shd w:val="clear" w:color="auto" w:fill="005C5D"/>
          </w:tcPr>
          <w:p>
            <w:pPr>
              <w:jc w:val="center"/>
              <w:ind w:right="9"/>
              <w:spacing w:after="0"/>
              <w:rPr>
                <w:sz w:val="20"/>
                <w:szCs w:val="20"/>
                <w:color w:val="auto"/>
              </w:rPr>
            </w:pPr>
            <w:r>
              <w:rPr>
                <w:rFonts w:ascii="Arial" w:cs="Arial" w:eastAsia="Arial" w:hAnsi="Arial"/>
                <w:sz w:val="14"/>
                <w:szCs w:val="14"/>
                <w:color w:val="FFFFFF"/>
              </w:rPr>
              <w:t>ACQUIRED ON</w:t>
            </w:r>
          </w:p>
        </w:tc>
        <w:tc>
          <w:tcPr>
            <w:tcW w:w="860" w:type="dxa"/>
            <w:vAlign w:val="bottom"/>
            <w:shd w:val="clear" w:color="auto" w:fill="005C5D"/>
          </w:tcPr>
          <w:p>
            <w:pPr>
              <w:spacing w:after="0"/>
              <w:rPr>
                <w:sz w:val="13"/>
                <w:szCs w:val="13"/>
                <w:color w:val="auto"/>
              </w:rPr>
            </w:pPr>
          </w:p>
        </w:tc>
        <w:tc>
          <w:tcPr>
            <w:tcW w:w="1620" w:type="dxa"/>
            <w:vAlign w:val="bottom"/>
            <w:shd w:val="clear" w:color="auto" w:fill="005C5D"/>
          </w:tcPr>
          <w:p>
            <w:pPr>
              <w:spacing w:after="0"/>
              <w:rPr>
                <w:sz w:val="13"/>
                <w:szCs w:val="13"/>
                <w:color w:val="auto"/>
              </w:rPr>
            </w:pPr>
          </w:p>
        </w:tc>
      </w:tr>
      <w:tr>
        <w:trPr>
          <w:trHeight w:val="160"/>
        </w:trPr>
        <w:tc>
          <w:tcPr>
            <w:tcW w:w="6620" w:type="dxa"/>
            <w:vAlign w:val="bottom"/>
            <w:shd w:val="clear" w:color="auto" w:fill="005C5D"/>
          </w:tcPr>
          <w:p>
            <w:pPr>
              <w:spacing w:after="0"/>
              <w:rPr>
                <w:sz w:val="13"/>
                <w:szCs w:val="13"/>
                <w:color w:val="auto"/>
              </w:rPr>
            </w:pPr>
          </w:p>
        </w:tc>
        <w:tc>
          <w:tcPr>
            <w:tcW w:w="1820" w:type="dxa"/>
            <w:vAlign w:val="bottom"/>
            <w:shd w:val="clear" w:color="auto" w:fill="005C5D"/>
          </w:tcPr>
          <w:p>
            <w:pPr>
              <w:jc w:val="center"/>
              <w:ind w:right="9"/>
              <w:spacing w:after="0"/>
              <w:rPr>
                <w:sz w:val="20"/>
                <w:szCs w:val="20"/>
                <w:color w:val="auto"/>
              </w:rPr>
            </w:pPr>
            <w:r>
              <w:rPr>
                <w:rFonts w:ascii="Arial" w:cs="Arial" w:eastAsia="Arial" w:hAnsi="Arial"/>
                <w:sz w:val="14"/>
                <w:szCs w:val="14"/>
                <w:color w:val="FFFFFF"/>
              </w:rPr>
              <w:t>VESTING</w:t>
            </w:r>
          </w:p>
        </w:tc>
        <w:tc>
          <w:tcPr>
            <w:tcW w:w="2480" w:type="dxa"/>
            <w:vAlign w:val="bottom"/>
            <w:gridSpan w:val="2"/>
            <w:shd w:val="clear" w:color="auto" w:fill="005C5D"/>
          </w:tcPr>
          <w:p>
            <w:pPr>
              <w:jc w:val="right"/>
              <w:ind w:right="429"/>
              <w:spacing w:after="0"/>
              <w:rPr>
                <w:sz w:val="20"/>
                <w:szCs w:val="20"/>
                <w:color w:val="auto"/>
              </w:rPr>
            </w:pPr>
            <w:r>
              <w:rPr>
                <w:rFonts w:ascii="Arial" w:cs="Arial" w:eastAsia="Arial" w:hAnsi="Arial"/>
                <w:sz w:val="14"/>
                <w:szCs w:val="14"/>
                <w:color w:val="FFFFFF"/>
              </w:rPr>
              <w:t>  NET VALUE REALIZED ON</w:t>
            </w:r>
          </w:p>
        </w:tc>
      </w:tr>
      <w:tr>
        <w:trPr>
          <w:trHeight w:val="189"/>
        </w:trPr>
        <w:tc>
          <w:tcPr>
            <w:tcW w:w="6620" w:type="dxa"/>
            <w:vAlign w:val="bottom"/>
            <w:shd w:val="clear" w:color="auto" w:fill="005C5D"/>
          </w:tcPr>
          <w:p>
            <w:pPr>
              <w:spacing w:after="0"/>
              <w:rPr>
                <w:sz w:val="16"/>
                <w:szCs w:val="16"/>
                <w:color w:val="auto"/>
              </w:rPr>
            </w:pPr>
          </w:p>
        </w:tc>
        <w:tc>
          <w:tcPr>
            <w:tcW w:w="1820" w:type="dxa"/>
            <w:vAlign w:val="bottom"/>
            <w:shd w:val="clear" w:color="auto" w:fill="005C5D"/>
          </w:tcPr>
          <w:p>
            <w:pPr>
              <w:jc w:val="center"/>
              <w:ind w:right="9"/>
              <w:spacing w:after="0"/>
              <w:rPr>
                <w:sz w:val="20"/>
                <w:szCs w:val="20"/>
                <w:color w:val="auto"/>
              </w:rPr>
            </w:pPr>
            <w:r>
              <w:rPr>
                <w:rFonts w:ascii="Arial" w:cs="Arial" w:eastAsia="Arial" w:hAnsi="Arial"/>
                <w:sz w:val="14"/>
                <w:szCs w:val="14"/>
                <w:color w:val="FFFFFF"/>
              </w:rPr>
              <w:t>(#)</w:t>
            </w:r>
          </w:p>
        </w:tc>
        <w:tc>
          <w:tcPr>
            <w:tcW w:w="2480" w:type="dxa"/>
            <w:vAlign w:val="bottom"/>
            <w:gridSpan w:val="2"/>
            <w:shd w:val="clear" w:color="auto" w:fill="005C5D"/>
          </w:tcPr>
          <w:p>
            <w:pPr>
              <w:jc w:val="right"/>
              <w:ind w:right="989"/>
              <w:spacing w:after="0"/>
              <w:rPr>
                <w:sz w:val="20"/>
                <w:szCs w:val="20"/>
                <w:color w:val="auto"/>
              </w:rPr>
            </w:pPr>
            <w:r>
              <w:rPr>
                <w:rFonts w:ascii="Arial" w:cs="Arial" w:eastAsia="Arial" w:hAnsi="Arial"/>
                <w:sz w:val="14"/>
                <w:szCs w:val="14"/>
                <w:color w:val="FFFFFF"/>
              </w:rPr>
              <w:t>VESTING</w:t>
            </w:r>
            <w:r>
              <w:rPr>
                <w:rFonts w:ascii="Arial" w:cs="Arial" w:eastAsia="Arial" w:hAnsi="Arial"/>
                <w:sz w:val="14"/>
                <w:szCs w:val="14"/>
                <w:color w:val="FFFFFF"/>
                <w:vertAlign w:val="superscript"/>
              </w:rPr>
              <w:t>(1)</w:t>
            </w:r>
          </w:p>
        </w:tc>
      </w:tr>
      <w:tr>
        <w:trPr>
          <w:trHeight w:val="61"/>
        </w:trPr>
        <w:tc>
          <w:tcPr>
            <w:tcW w:w="6620" w:type="dxa"/>
            <w:vAlign w:val="bottom"/>
            <w:shd w:val="clear" w:color="auto" w:fill="005C5D"/>
          </w:tcPr>
          <w:p>
            <w:pPr>
              <w:spacing w:after="0"/>
              <w:rPr>
                <w:sz w:val="5"/>
                <w:szCs w:val="5"/>
                <w:color w:val="auto"/>
              </w:rPr>
            </w:pPr>
          </w:p>
        </w:tc>
        <w:tc>
          <w:tcPr>
            <w:tcW w:w="1820" w:type="dxa"/>
            <w:vAlign w:val="bottom"/>
            <w:shd w:val="clear" w:color="auto" w:fill="005C5D"/>
          </w:tcPr>
          <w:p>
            <w:pPr>
              <w:spacing w:after="0"/>
              <w:rPr>
                <w:sz w:val="5"/>
                <w:szCs w:val="5"/>
                <w:color w:val="auto"/>
              </w:rPr>
            </w:pPr>
          </w:p>
        </w:tc>
        <w:tc>
          <w:tcPr>
            <w:tcW w:w="860" w:type="dxa"/>
            <w:vAlign w:val="bottom"/>
            <w:shd w:val="clear" w:color="auto" w:fill="005C5D"/>
          </w:tcPr>
          <w:p>
            <w:pPr>
              <w:spacing w:after="0"/>
              <w:rPr>
                <w:sz w:val="5"/>
                <w:szCs w:val="5"/>
                <w:color w:val="auto"/>
              </w:rPr>
            </w:pPr>
          </w:p>
        </w:tc>
        <w:tc>
          <w:tcPr>
            <w:tcW w:w="1620" w:type="dxa"/>
            <w:vAlign w:val="bottom"/>
            <w:shd w:val="clear" w:color="auto" w:fill="005C5D"/>
          </w:tcPr>
          <w:p>
            <w:pPr>
              <w:spacing w:after="0"/>
              <w:rPr>
                <w:sz w:val="5"/>
                <w:szCs w:val="5"/>
                <w:color w:val="auto"/>
              </w:rPr>
            </w:pPr>
          </w:p>
        </w:tc>
      </w:tr>
      <w:tr>
        <w:trPr>
          <w:trHeight w:val="294"/>
        </w:trPr>
        <w:tc>
          <w:tcPr>
            <w:tcW w:w="6620" w:type="dxa"/>
            <w:vAlign w:val="bottom"/>
          </w:tcPr>
          <w:p>
            <w:pPr>
              <w:ind w:left="80"/>
              <w:spacing w:after="0"/>
              <w:rPr>
                <w:sz w:val="20"/>
                <w:szCs w:val="20"/>
                <w:color w:val="auto"/>
              </w:rPr>
            </w:pPr>
            <w:r>
              <w:rPr>
                <w:rFonts w:ascii="Arial" w:cs="Arial" w:eastAsia="Arial" w:hAnsi="Arial"/>
                <w:sz w:val="14"/>
                <w:szCs w:val="14"/>
                <w:color w:val="333333"/>
              </w:rPr>
              <w:t>Ian Bickley</w:t>
            </w:r>
          </w:p>
        </w:tc>
        <w:tc>
          <w:tcPr>
            <w:tcW w:w="1820" w:type="dxa"/>
            <w:vAlign w:val="bottom"/>
            <w:tcBorders>
              <w:bottom w:val="single" w:sz="8" w:color="FCEFEB"/>
            </w:tcBorders>
            <w:shd w:val="clear" w:color="auto" w:fill="FCEFEB"/>
          </w:tcPr>
          <w:p>
            <w:pPr>
              <w:jc w:val="right"/>
              <w:ind w:right="529"/>
              <w:spacing w:after="0"/>
              <w:rPr>
                <w:sz w:val="20"/>
                <w:szCs w:val="20"/>
                <w:color w:val="auto"/>
              </w:rPr>
            </w:pPr>
            <w:r>
              <w:rPr>
                <w:rFonts w:ascii="Arial" w:cs="Arial" w:eastAsia="Arial" w:hAnsi="Arial"/>
                <w:sz w:val="14"/>
                <w:szCs w:val="14"/>
                <w:color w:val="333333"/>
              </w:rPr>
              <w:t>—</w:t>
            </w:r>
          </w:p>
        </w:tc>
        <w:tc>
          <w:tcPr>
            <w:tcW w:w="860" w:type="dxa"/>
            <w:vAlign w:val="bottom"/>
            <w:tcBorders>
              <w:bottom w:val="single" w:sz="8" w:color="FCEFEB"/>
            </w:tcBorders>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1620" w:type="dxa"/>
            <w:vAlign w:val="bottom"/>
            <w:tcBorders>
              <w:bottom w:val="single" w:sz="8" w:color="FCEFEB"/>
            </w:tcBorders>
            <w:shd w:val="clear" w:color="auto" w:fill="FCEFEB"/>
          </w:tcPr>
          <w:p>
            <w:pPr>
              <w:jc w:val="right"/>
              <w:ind w:right="1029"/>
              <w:spacing w:after="0"/>
              <w:rPr>
                <w:sz w:val="20"/>
                <w:szCs w:val="20"/>
                <w:color w:val="auto"/>
              </w:rPr>
            </w:pPr>
            <w:r>
              <w:rPr>
                <w:rFonts w:ascii="Arial" w:cs="Arial" w:eastAsia="Arial" w:hAnsi="Arial"/>
                <w:sz w:val="14"/>
                <w:szCs w:val="14"/>
                <w:color w:val="333333"/>
              </w:rPr>
              <w:t>—</w:t>
            </w:r>
          </w:p>
        </w:tc>
      </w:tr>
      <w:tr>
        <w:trPr>
          <w:trHeight w:val="274"/>
        </w:trPr>
        <w:tc>
          <w:tcPr>
            <w:tcW w:w="662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Jacqueline Ardrey</w:t>
            </w:r>
          </w:p>
        </w:tc>
        <w:tc>
          <w:tcPr>
            <w:tcW w:w="1820" w:type="dxa"/>
            <w:vAlign w:val="bottom"/>
            <w:tcBorders>
              <w:top w:val="single" w:sz="8" w:color="005C5D"/>
              <w:bottom w:val="single" w:sz="8" w:color="FCEFEB"/>
            </w:tcBorders>
            <w:shd w:val="clear" w:color="auto" w:fill="FCEFEB"/>
          </w:tcPr>
          <w:p>
            <w:pPr>
              <w:jc w:val="right"/>
              <w:ind w:right="529"/>
              <w:spacing w:after="0"/>
              <w:rPr>
                <w:sz w:val="20"/>
                <w:szCs w:val="20"/>
                <w:color w:val="auto"/>
              </w:rPr>
            </w:pPr>
            <w:r>
              <w:rPr>
                <w:rFonts w:ascii="Arial" w:cs="Arial" w:eastAsia="Arial" w:hAnsi="Arial"/>
                <w:sz w:val="14"/>
                <w:szCs w:val="14"/>
                <w:color w:val="333333"/>
              </w:rPr>
              <w:t>60,233</w:t>
            </w:r>
          </w:p>
        </w:tc>
        <w:tc>
          <w:tcPr>
            <w:tcW w:w="860" w:type="dxa"/>
            <w:vAlign w:val="bottom"/>
            <w:tcBorders>
              <w:top w:val="single" w:sz="8" w:color="005C5D"/>
              <w:bottom w:val="single" w:sz="8" w:color="FCEFEB"/>
            </w:tcBorders>
            <w:shd w:val="clear" w:color="auto" w:fill="FCEFEB"/>
          </w:tcPr>
          <w:p>
            <w:pPr>
              <w:spacing w:after="0"/>
              <w:rPr>
                <w:sz w:val="23"/>
                <w:szCs w:val="23"/>
                <w:color w:val="auto"/>
              </w:rPr>
            </w:pPr>
          </w:p>
        </w:tc>
        <w:tc>
          <w:tcPr>
            <w:tcW w:w="1620" w:type="dxa"/>
            <w:vAlign w:val="bottom"/>
            <w:tcBorders>
              <w:top w:val="single" w:sz="8" w:color="005C5D"/>
              <w:bottom w:val="single" w:sz="8" w:color="FCEFEB"/>
            </w:tcBorders>
            <w:shd w:val="clear" w:color="auto" w:fill="FCEFEB"/>
          </w:tcPr>
          <w:p>
            <w:pPr>
              <w:jc w:val="right"/>
              <w:ind w:right="1029"/>
              <w:spacing w:after="0"/>
              <w:rPr>
                <w:sz w:val="20"/>
                <w:szCs w:val="20"/>
                <w:color w:val="auto"/>
              </w:rPr>
            </w:pPr>
            <w:r>
              <w:rPr>
                <w:rFonts w:ascii="Arial" w:cs="Arial" w:eastAsia="Arial" w:hAnsi="Arial"/>
                <w:sz w:val="14"/>
                <w:szCs w:val="14"/>
                <w:color w:val="333333"/>
                <w:w w:val="98"/>
              </w:rPr>
              <w:t>133,886</w:t>
            </w:r>
          </w:p>
        </w:tc>
      </w:tr>
      <w:tr>
        <w:trPr>
          <w:trHeight w:val="274"/>
        </w:trPr>
        <w:tc>
          <w:tcPr>
            <w:tcW w:w="662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Martin Layding</w:t>
            </w:r>
          </w:p>
        </w:tc>
        <w:tc>
          <w:tcPr>
            <w:tcW w:w="1820" w:type="dxa"/>
            <w:vAlign w:val="bottom"/>
            <w:tcBorders>
              <w:top w:val="single" w:sz="8" w:color="005C5D"/>
              <w:bottom w:val="single" w:sz="8" w:color="FCEFEB"/>
            </w:tcBorders>
            <w:shd w:val="clear" w:color="auto" w:fill="FCEFEB"/>
          </w:tcPr>
          <w:p>
            <w:pPr>
              <w:jc w:val="right"/>
              <w:ind w:right="529"/>
              <w:spacing w:after="0"/>
              <w:rPr>
                <w:sz w:val="20"/>
                <w:szCs w:val="20"/>
                <w:color w:val="auto"/>
              </w:rPr>
            </w:pPr>
            <w:r>
              <w:rPr>
                <w:rFonts w:ascii="Arial" w:cs="Arial" w:eastAsia="Arial" w:hAnsi="Arial"/>
                <w:sz w:val="14"/>
                <w:szCs w:val="14"/>
                <w:color w:val="333333"/>
              </w:rPr>
              <w:t>—</w:t>
            </w:r>
          </w:p>
        </w:tc>
        <w:tc>
          <w:tcPr>
            <w:tcW w:w="860" w:type="dxa"/>
            <w:vAlign w:val="bottom"/>
            <w:tcBorders>
              <w:top w:val="single" w:sz="8" w:color="005C5D"/>
              <w:bottom w:val="single" w:sz="8" w:color="FCEFEB"/>
            </w:tcBorders>
            <w:shd w:val="clear" w:color="auto" w:fill="FCEFEB"/>
          </w:tcPr>
          <w:p>
            <w:pPr>
              <w:spacing w:after="0"/>
              <w:rPr>
                <w:sz w:val="23"/>
                <w:szCs w:val="23"/>
                <w:color w:val="auto"/>
              </w:rPr>
            </w:pPr>
          </w:p>
        </w:tc>
        <w:tc>
          <w:tcPr>
            <w:tcW w:w="1620" w:type="dxa"/>
            <w:vAlign w:val="bottom"/>
            <w:tcBorders>
              <w:top w:val="single" w:sz="8" w:color="005C5D"/>
              <w:bottom w:val="single" w:sz="8" w:color="FCEFEB"/>
            </w:tcBorders>
            <w:shd w:val="clear" w:color="auto" w:fill="FCEFEB"/>
          </w:tcPr>
          <w:p>
            <w:pPr>
              <w:jc w:val="right"/>
              <w:ind w:right="1029"/>
              <w:spacing w:after="0"/>
              <w:rPr>
                <w:sz w:val="20"/>
                <w:szCs w:val="20"/>
                <w:color w:val="auto"/>
              </w:rPr>
            </w:pPr>
            <w:r>
              <w:rPr>
                <w:rFonts w:ascii="Arial" w:cs="Arial" w:eastAsia="Arial" w:hAnsi="Arial"/>
                <w:sz w:val="14"/>
                <w:szCs w:val="14"/>
                <w:color w:val="333333"/>
              </w:rPr>
              <w:t>—</w:t>
            </w:r>
          </w:p>
        </w:tc>
      </w:tr>
      <w:tr>
        <w:trPr>
          <w:trHeight w:val="274"/>
        </w:trPr>
        <w:tc>
          <w:tcPr>
            <w:tcW w:w="662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Michael Schwindle</w:t>
            </w:r>
          </w:p>
        </w:tc>
        <w:tc>
          <w:tcPr>
            <w:tcW w:w="1820" w:type="dxa"/>
            <w:vAlign w:val="bottom"/>
            <w:tcBorders>
              <w:top w:val="single" w:sz="8" w:color="005C5D"/>
              <w:bottom w:val="single" w:sz="8" w:color="FCEFEB"/>
            </w:tcBorders>
            <w:shd w:val="clear" w:color="auto" w:fill="FCEFEB"/>
          </w:tcPr>
          <w:p>
            <w:pPr>
              <w:jc w:val="right"/>
              <w:ind w:right="529"/>
              <w:spacing w:after="0"/>
              <w:rPr>
                <w:sz w:val="20"/>
                <w:szCs w:val="20"/>
                <w:color w:val="auto"/>
              </w:rPr>
            </w:pPr>
            <w:r>
              <w:rPr>
                <w:rFonts w:ascii="Arial" w:cs="Arial" w:eastAsia="Arial" w:hAnsi="Arial"/>
                <w:sz w:val="14"/>
                <w:szCs w:val="14"/>
                <w:color w:val="333333"/>
              </w:rPr>
              <w:t>41,202</w:t>
            </w:r>
          </w:p>
        </w:tc>
        <w:tc>
          <w:tcPr>
            <w:tcW w:w="860" w:type="dxa"/>
            <w:vAlign w:val="bottom"/>
            <w:tcBorders>
              <w:top w:val="single" w:sz="8" w:color="005C5D"/>
              <w:bottom w:val="single" w:sz="8" w:color="FCEFEB"/>
            </w:tcBorders>
            <w:shd w:val="clear" w:color="auto" w:fill="FCEFEB"/>
          </w:tcPr>
          <w:p>
            <w:pPr>
              <w:spacing w:after="0"/>
              <w:rPr>
                <w:sz w:val="23"/>
                <w:szCs w:val="23"/>
                <w:color w:val="auto"/>
              </w:rPr>
            </w:pPr>
          </w:p>
        </w:tc>
        <w:tc>
          <w:tcPr>
            <w:tcW w:w="1620" w:type="dxa"/>
            <w:vAlign w:val="bottom"/>
            <w:tcBorders>
              <w:top w:val="single" w:sz="8" w:color="005C5D"/>
              <w:bottom w:val="single" w:sz="8" w:color="FCEFEB"/>
            </w:tcBorders>
            <w:shd w:val="clear" w:color="auto" w:fill="FCEFEB"/>
          </w:tcPr>
          <w:p>
            <w:pPr>
              <w:jc w:val="right"/>
              <w:ind w:right="1029"/>
              <w:spacing w:after="0"/>
              <w:rPr>
                <w:sz w:val="20"/>
                <w:szCs w:val="20"/>
                <w:color w:val="auto"/>
              </w:rPr>
            </w:pPr>
            <w:r>
              <w:rPr>
                <w:rFonts w:ascii="Arial" w:cs="Arial" w:eastAsia="Arial" w:hAnsi="Arial"/>
                <w:sz w:val="14"/>
                <w:szCs w:val="14"/>
                <w:color w:val="333333"/>
              </w:rPr>
              <w:t>80,725</w:t>
            </w:r>
          </w:p>
        </w:tc>
      </w:tr>
      <w:tr>
        <w:trPr>
          <w:trHeight w:val="274"/>
        </w:trPr>
        <w:tc>
          <w:tcPr>
            <w:tcW w:w="662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Mark C. Dely</w:t>
            </w:r>
          </w:p>
        </w:tc>
        <w:tc>
          <w:tcPr>
            <w:tcW w:w="1820" w:type="dxa"/>
            <w:vAlign w:val="bottom"/>
            <w:tcBorders>
              <w:top w:val="single" w:sz="8" w:color="005C5D"/>
              <w:bottom w:val="single" w:sz="8" w:color="FCEFEB"/>
            </w:tcBorders>
            <w:shd w:val="clear" w:color="auto" w:fill="FCEFEB"/>
          </w:tcPr>
          <w:p>
            <w:pPr>
              <w:jc w:val="right"/>
              <w:ind w:right="529"/>
              <w:spacing w:after="0"/>
              <w:rPr>
                <w:sz w:val="20"/>
                <w:szCs w:val="20"/>
                <w:color w:val="auto"/>
              </w:rPr>
            </w:pPr>
            <w:r>
              <w:rPr>
                <w:rFonts w:ascii="Arial" w:cs="Arial" w:eastAsia="Arial" w:hAnsi="Arial"/>
                <w:sz w:val="14"/>
                <w:szCs w:val="14"/>
                <w:color w:val="333333"/>
              </w:rPr>
              <w:t>59,274</w:t>
            </w:r>
          </w:p>
        </w:tc>
        <w:tc>
          <w:tcPr>
            <w:tcW w:w="860" w:type="dxa"/>
            <w:vAlign w:val="bottom"/>
            <w:tcBorders>
              <w:top w:val="single" w:sz="8" w:color="005C5D"/>
              <w:bottom w:val="single" w:sz="8" w:color="FCEFEB"/>
            </w:tcBorders>
            <w:shd w:val="clear" w:color="auto" w:fill="FCEFEB"/>
          </w:tcPr>
          <w:p>
            <w:pPr>
              <w:spacing w:after="0"/>
              <w:rPr>
                <w:sz w:val="23"/>
                <w:szCs w:val="23"/>
                <w:color w:val="auto"/>
              </w:rPr>
            </w:pPr>
          </w:p>
        </w:tc>
        <w:tc>
          <w:tcPr>
            <w:tcW w:w="1620" w:type="dxa"/>
            <w:vAlign w:val="bottom"/>
            <w:tcBorders>
              <w:top w:val="single" w:sz="8" w:color="005C5D"/>
              <w:bottom w:val="single" w:sz="8" w:color="FCEFEB"/>
            </w:tcBorders>
            <w:shd w:val="clear" w:color="auto" w:fill="FCEFEB"/>
          </w:tcPr>
          <w:p>
            <w:pPr>
              <w:jc w:val="right"/>
              <w:ind w:right="1029"/>
              <w:spacing w:after="0"/>
              <w:rPr>
                <w:sz w:val="20"/>
                <w:szCs w:val="20"/>
                <w:color w:val="auto"/>
              </w:rPr>
            </w:pPr>
            <w:r>
              <w:rPr>
                <w:rFonts w:ascii="Arial" w:cs="Arial" w:eastAsia="Arial" w:hAnsi="Arial"/>
                <w:sz w:val="14"/>
                <w:szCs w:val="14"/>
                <w:color w:val="333333"/>
                <w:w w:val="98"/>
              </w:rPr>
              <w:t>129,797</w:t>
            </w:r>
          </w:p>
        </w:tc>
      </w:tr>
      <w:tr>
        <w:trPr>
          <w:trHeight w:val="274"/>
        </w:trPr>
        <w:tc>
          <w:tcPr>
            <w:tcW w:w="662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Alison Hiatt</w:t>
            </w:r>
          </w:p>
        </w:tc>
        <w:tc>
          <w:tcPr>
            <w:tcW w:w="1820" w:type="dxa"/>
            <w:vAlign w:val="bottom"/>
            <w:tcBorders>
              <w:top w:val="single" w:sz="8" w:color="005C5D"/>
              <w:bottom w:val="single" w:sz="8" w:color="FCEFEB"/>
            </w:tcBorders>
            <w:shd w:val="clear" w:color="auto" w:fill="FCEFEB"/>
          </w:tcPr>
          <w:p>
            <w:pPr>
              <w:jc w:val="right"/>
              <w:ind w:right="529"/>
              <w:spacing w:after="0"/>
              <w:rPr>
                <w:sz w:val="20"/>
                <w:szCs w:val="20"/>
                <w:color w:val="auto"/>
              </w:rPr>
            </w:pPr>
            <w:r>
              <w:rPr>
                <w:rFonts w:ascii="Arial" w:cs="Arial" w:eastAsia="Arial" w:hAnsi="Arial"/>
                <w:sz w:val="14"/>
                <w:szCs w:val="14"/>
                <w:color w:val="333333"/>
              </w:rPr>
              <w:t>16,906</w:t>
            </w:r>
          </w:p>
        </w:tc>
        <w:tc>
          <w:tcPr>
            <w:tcW w:w="860" w:type="dxa"/>
            <w:vAlign w:val="bottom"/>
            <w:tcBorders>
              <w:top w:val="single" w:sz="8" w:color="005C5D"/>
              <w:bottom w:val="single" w:sz="8" w:color="FCEFEB"/>
            </w:tcBorders>
            <w:shd w:val="clear" w:color="auto" w:fill="FCEFEB"/>
          </w:tcPr>
          <w:p>
            <w:pPr>
              <w:spacing w:after="0"/>
              <w:rPr>
                <w:sz w:val="23"/>
                <w:szCs w:val="23"/>
                <w:color w:val="auto"/>
              </w:rPr>
            </w:pPr>
          </w:p>
        </w:tc>
        <w:tc>
          <w:tcPr>
            <w:tcW w:w="1620" w:type="dxa"/>
            <w:vAlign w:val="bottom"/>
            <w:tcBorders>
              <w:top w:val="single" w:sz="8" w:color="005C5D"/>
              <w:bottom w:val="single" w:sz="8" w:color="FCEFEB"/>
            </w:tcBorders>
            <w:shd w:val="clear" w:color="auto" w:fill="FCEFEB"/>
          </w:tcPr>
          <w:p>
            <w:pPr>
              <w:jc w:val="right"/>
              <w:ind w:right="1029"/>
              <w:spacing w:after="0"/>
              <w:rPr>
                <w:sz w:val="20"/>
                <w:szCs w:val="20"/>
                <w:color w:val="auto"/>
              </w:rPr>
            </w:pPr>
            <w:r>
              <w:rPr>
                <w:rFonts w:ascii="Arial" w:cs="Arial" w:eastAsia="Arial" w:hAnsi="Arial"/>
                <w:sz w:val="14"/>
                <w:szCs w:val="14"/>
                <w:color w:val="333333"/>
              </w:rPr>
              <w:t>37,262</w:t>
            </w:r>
          </w:p>
        </w:tc>
      </w:tr>
      <w:tr>
        <w:trPr>
          <w:trHeight w:val="227"/>
        </w:trPr>
        <w:tc>
          <w:tcPr>
            <w:tcW w:w="662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Melinda Paraie</w:t>
            </w:r>
          </w:p>
        </w:tc>
        <w:tc>
          <w:tcPr>
            <w:tcW w:w="1820" w:type="dxa"/>
            <w:vAlign w:val="bottom"/>
            <w:tcBorders>
              <w:top w:val="single" w:sz="8" w:color="005C5D"/>
            </w:tcBorders>
            <w:shd w:val="clear" w:color="auto" w:fill="FCEFEB"/>
          </w:tcPr>
          <w:p>
            <w:pPr>
              <w:jc w:val="right"/>
              <w:ind w:right="529"/>
              <w:spacing w:after="0"/>
              <w:rPr>
                <w:sz w:val="20"/>
                <w:szCs w:val="20"/>
                <w:color w:val="auto"/>
              </w:rPr>
            </w:pPr>
            <w:r>
              <w:rPr>
                <w:rFonts w:ascii="Arial" w:cs="Arial" w:eastAsia="Arial" w:hAnsi="Arial"/>
                <w:sz w:val="14"/>
                <w:szCs w:val="14"/>
                <w:color w:val="333333"/>
              </w:rPr>
              <w:t>—</w:t>
            </w:r>
          </w:p>
        </w:tc>
        <w:tc>
          <w:tcPr>
            <w:tcW w:w="860" w:type="dxa"/>
            <w:vAlign w:val="bottom"/>
            <w:tcBorders>
              <w:top w:val="single" w:sz="8" w:color="005C5D"/>
            </w:tcBorders>
            <w:shd w:val="clear" w:color="auto" w:fill="FCEFEB"/>
          </w:tcPr>
          <w:p>
            <w:pPr>
              <w:spacing w:after="0"/>
              <w:rPr>
                <w:sz w:val="19"/>
                <w:szCs w:val="19"/>
                <w:color w:val="auto"/>
              </w:rPr>
            </w:pPr>
          </w:p>
        </w:tc>
        <w:tc>
          <w:tcPr>
            <w:tcW w:w="1620" w:type="dxa"/>
            <w:vAlign w:val="bottom"/>
            <w:tcBorders>
              <w:top w:val="single" w:sz="8" w:color="005C5D"/>
            </w:tcBorders>
            <w:shd w:val="clear" w:color="auto" w:fill="FCEFEB"/>
          </w:tcPr>
          <w:p>
            <w:pPr>
              <w:jc w:val="right"/>
              <w:ind w:right="1029"/>
              <w:spacing w:after="0"/>
              <w:rPr>
                <w:sz w:val="20"/>
                <w:szCs w:val="20"/>
                <w:color w:val="auto"/>
              </w:rPr>
            </w:pPr>
            <w:r>
              <w:rPr>
                <w:rFonts w:ascii="Arial" w:cs="Arial" w:eastAsia="Arial" w:hAnsi="Arial"/>
                <w:sz w:val="14"/>
                <w:szCs w:val="14"/>
                <w:color w:val="333333"/>
              </w:rPr>
              <w:t>—</w:t>
            </w:r>
          </w:p>
        </w:tc>
      </w:tr>
      <w:tr>
        <w:trPr>
          <w:trHeight w:val="61"/>
        </w:trPr>
        <w:tc>
          <w:tcPr>
            <w:tcW w:w="6620" w:type="dxa"/>
            <w:vAlign w:val="bottom"/>
          </w:tcPr>
          <w:p>
            <w:pPr>
              <w:spacing w:after="0"/>
              <w:rPr>
                <w:sz w:val="5"/>
                <w:szCs w:val="5"/>
                <w:color w:val="auto"/>
              </w:rPr>
            </w:pPr>
          </w:p>
        </w:tc>
        <w:tc>
          <w:tcPr>
            <w:tcW w:w="1820" w:type="dxa"/>
            <w:vAlign w:val="bottom"/>
            <w:shd w:val="clear" w:color="auto" w:fill="FCEFEB"/>
          </w:tcPr>
          <w:p>
            <w:pPr>
              <w:spacing w:after="0"/>
              <w:rPr>
                <w:sz w:val="5"/>
                <w:szCs w:val="5"/>
                <w:color w:val="auto"/>
              </w:rPr>
            </w:pPr>
          </w:p>
        </w:tc>
        <w:tc>
          <w:tcPr>
            <w:tcW w:w="860" w:type="dxa"/>
            <w:vAlign w:val="bottom"/>
            <w:shd w:val="clear" w:color="auto" w:fill="FCEFEB"/>
          </w:tcPr>
          <w:p>
            <w:pPr>
              <w:spacing w:after="0"/>
              <w:rPr>
                <w:sz w:val="5"/>
                <w:szCs w:val="5"/>
                <w:color w:val="auto"/>
              </w:rPr>
            </w:pPr>
          </w:p>
        </w:tc>
        <w:tc>
          <w:tcPr>
            <w:tcW w:w="1620" w:type="dxa"/>
            <w:vAlign w:val="bottom"/>
            <w:shd w:val="clear" w:color="auto" w:fill="FCEFEB"/>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wp:posOffset>
            </wp:positionV>
            <wp:extent cx="69297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ind w:left="480" w:hanging="313"/>
        <w:spacing w:after="0"/>
        <w:tabs>
          <w:tab w:leader="none" w:pos="480" w:val="left"/>
        </w:tabs>
        <w:numPr>
          <w:ilvl w:val="0"/>
          <w:numId w:val="44"/>
        </w:numPr>
        <w:rPr>
          <w:rFonts w:ascii="Arial" w:cs="Arial" w:eastAsia="Arial" w:hAnsi="Arial"/>
          <w:sz w:val="12"/>
          <w:szCs w:val="12"/>
          <w:color w:val="333333"/>
        </w:rPr>
      </w:pPr>
      <w:r>
        <w:rPr>
          <w:rFonts w:ascii="Arial" w:cs="Arial" w:eastAsia="Arial" w:hAnsi="Arial"/>
          <w:sz w:val="12"/>
          <w:szCs w:val="12"/>
          <w:color w:val="333333"/>
        </w:rPr>
        <w:t>Computed by multiplying the number of shares vested by the Company’s closing stock price the day prior to the scheduled vesting date(s).</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Pension Benefits</w:t>
      </w:r>
    </w:p>
    <w:p>
      <w:pPr>
        <w:spacing w:after="0" w:line="100" w:lineRule="exact"/>
        <w:rPr>
          <w:sz w:val="20"/>
          <w:szCs w:val="20"/>
          <w:color w:val="auto"/>
        </w:rPr>
      </w:pPr>
    </w:p>
    <w:p>
      <w:pPr>
        <w:ind w:left="160" w:right="20"/>
        <w:spacing w:after="0" w:line="279" w:lineRule="auto"/>
        <w:rPr>
          <w:sz w:val="20"/>
          <w:szCs w:val="20"/>
          <w:color w:val="auto"/>
        </w:rPr>
      </w:pPr>
      <w:r>
        <w:rPr>
          <w:rFonts w:ascii="Arial" w:cs="Arial" w:eastAsia="Arial" w:hAnsi="Arial"/>
          <w:sz w:val="16"/>
          <w:szCs w:val="16"/>
          <w:color w:val="333333"/>
        </w:rPr>
        <w:t>Aside from our 401(k) plan, we do not maintain any pension plan or arrangement under which our NEOs are entitled to participate or receive post-retirement benefits.</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Nonqualified Deferred Compensation</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We do not maintain any nonqualified deferred compensation plan or arrangements under which our NEOs are entitled to participate.</w:t>
      </w:r>
    </w:p>
    <w:p>
      <w:pPr>
        <w:spacing w:after="0" w:line="155" w:lineRule="exact"/>
        <w:rPr>
          <w:sz w:val="20"/>
          <w:szCs w:val="20"/>
          <w:color w:val="auto"/>
        </w:rPr>
      </w:pPr>
    </w:p>
    <w:p>
      <w:pPr>
        <w:ind w:left="4940"/>
        <w:spacing w:after="0"/>
        <w:tabs>
          <w:tab w:leader="none" w:pos="9080" w:val="left"/>
          <w:tab w:leader="none" w:pos="1090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35</w:t>
      </w:r>
    </w:p>
    <w:p>
      <w:pPr>
        <w:sectPr>
          <w:pgSz w:w="11900" w:h="16838" w:orient="portrait"/>
          <w:cols w:equalWidth="0" w:num="1">
            <w:col w:w="11080"/>
          </w:cols>
          <w:pgMar w:left="320" w:top="478"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9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Potential Payments Upon Termination or Change in Control</w:t>
      </w:r>
    </w:p>
    <w:p>
      <w:pPr>
        <w:spacing w:after="0" w:line="127" w:lineRule="exact"/>
        <w:rPr>
          <w:sz w:val="20"/>
          <w:szCs w:val="20"/>
          <w:color w:val="auto"/>
        </w:rPr>
      </w:pPr>
    </w:p>
    <w:p>
      <w:pPr>
        <w:jc w:val="both"/>
        <w:ind w:left="160" w:right="20"/>
        <w:spacing w:after="0" w:line="256" w:lineRule="auto"/>
        <w:rPr>
          <w:sz w:val="20"/>
          <w:szCs w:val="20"/>
          <w:color w:val="auto"/>
        </w:rPr>
      </w:pPr>
      <w:r>
        <w:rPr>
          <w:rFonts w:ascii="Arial" w:cs="Arial" w:eastAsia="Arial" w:hAnsi="Arial"/>
          <w:sz w:val="16"/>
          <w:szCs w:val="16"/>
          <w:i w:val="1"/>
          <w:iCs w:val="1"/>
          <w:color w:val="333333"/>
        </w:rPr>
        <w:t xml:space="preserve">Severance Benefits. </w:t>
      </w:r>
      <w:r>
        <w:rPr>
          <w:rFonts w:ascii="Arial" w:cs="Arial" w:eastAsia="Arial" w:hAnsi="Arial"/>
          <w:sz w:val="16"/>
          <w:szCs w:val="16"/>
          <w:color w:val="333333"/>
        </w:rPr>
        <w:t>The following table shows the value of cash severance benefits that would have been payable to each of our NEOs under</w:t>
      </w:r>
      <w:r>
        <w:rPr>
          <w:rFonts w:ascii="Arial" w:cs="Arial" w:eastAsia="Arial" w:hAnsi="Arial"/>
          <w:sz w:val="16"/>
          <w:szCs w:val="16"/>
          <w:i w:val="1"/>
          <w:iCs w:val="1"/>
          <w:color w:val="333333"/>
        </w:rPr>
        <w:t xml:space="preserve"> </w:t>
      </w:r>
      <w:r>
        <w:rPr>
          <w:rFonts w:ascii="Arial" w:cs="Arial" w:eastAsia="Arial" w:hAnsi="Arial"/>
          <w:sz w:val="16"/>
          <w:szCs w:val="16"/>
          <w:color w:val="333333"/>
        </w:rPr>
        <w:t>arrangements or contracts described below, as well as the value of equity awards that would vest, assuming a termination of employment as of January 31, 2026. For Ms. Ardrey, Mr. Schwindle, and Ms. Hiatt, the table reflects actual severance benefits earned based on separation from the Company. In this table “TRSU” stands for time-based restricted stock units and “PRSU” stands for performance-based restricted stock units.</w:t>
      </w: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120"/>
        </w:trPr>
        <w:tc>
          <w:tcPr>
            <w:tcW w:w="4640" w:type="dxa"/>
            <w:vAlign w:val="bottom"/>
          </w:tcPr>
          <w:p>
            <w:pPr>
              <w:spacing w:after="0"/>
              <w:rPr>
                <w:sz w:val="10"/>
                <w:szCs w:val="10"/>
                <w:color w:val="auto"/>
              </w:rPr>
            </w:pPr>
          </w:p>
        </w:tc>
        <w:tc>
          <w:tcPr>
            <w:tcW w:w="760" w:type="dxa"/>
            <w:vAlign w:val="bottom"/>
            <w:shd w:val="clear" w:color="auto" w:fill="FCEFEB"/>
          </w:tcPr>
          <w:p>
            <w:pPr>
              <w:spacing w:after="0"/>
              <w:rPr>
                <w:sz w:val="10"/>
                <w:szCs w:val="10"/>
                <w:color w:val="auto"/>
              </w:rPr>
            </w:pPr>
          </w:p>
        </w:tc>
        <w:tc>
          <w:tcPr>
            <w:tcW w:w="900" w:type="dxa"/>
            <w:vAlign w:val="bottom"/>
            <w:shd w:val="clear" w:color="auto" w:fill="FCEFEB"/>
          </w:tcPr>
          <w:p>
            <w:pPr>
              <w:spacing w:after="0"/>
              <w:rPr>
                <w:sz w:val="10"/>
                <w:szCs w:val="10"/>
                <w:color w:val="auto"/>
              </w:rPr>
            </w:pPr>
          </w:p>
        </w:tc>
        <w:tc>
          <w:tcPr>
            <w:tcW w:w="760" w:type="dxa"/>
            <w:vAlign w:val="bottom"/>
            <w:shd w:val="clear" w:color="auto" w:fill="FCEFEB"/>
          </w:tcPr>
          <w:p>
            <w:pPr>
              <w:spacing w:after="0"/>
              <w:rPr>
                <w:sz w:val="10"/>
                <w:szCs w:val="10"/>
                <w:color w:val="auto"/>
              </w:rPr>
            </w:pPr>
          </w:p>
        </w:tc>
        <w:tc>
          <w:tcPr>
            <w:tcW w:w="1120" w:type="dxa"/>
            <w:vAlign w:val="bottom"/>
            <w:shd w:val="clear" w:color="auto" w:fill="FCEFEB"/>
          </w:tcPr>
          <w:p>
            <w:pPr>
              <w:spacing w:after="0"/>
              <w:rPr>
                <w:sz w:val="10"/>
                <w:szCs w:val="10"/>
                <w:color w:val="auto"/>
              </w:rPr>
            </w:pPr>
          </w:p>
        </w:tc>
        <w:tc>
          <w:tcPr>
            <w:tcW w:w="340" w:type="dxa"/>
            <w:vAlign w:val="bottom"/>
            <w:shd w:val="clear" w:color="auto" w:fill="FCEFEB"/>
          </w:tcPr>
          <w:p>
            <w:pPr>
              <w:spacing w:after="0"/>
              <w:rPr>
                <w:sz w:val="10"/>
                <w:szCs w:val="10"/>
                <w:color w:val="auto"/>
              </w:rPr>
            </w:pPr>
          </w:p>
        </w:tc>
        <w:tc>
          <w:tcPr>
            <w:tcW w:w="1140" w:type="dxa"/>
            <w:vAlign w:val="bottom"/>
            <w:shd w:val="clear" w:color="auto" w:fill="FCEFEB"/>
          </w:tcPr>
          <w:p>
            <w:pPr>
              <w:spacing w:after="0"/>
              <w:rPr>
                <w:sz w:val="10"/>
                <w:szCs w:val="10"/>
                <w:color w:val="auto"/>
              </w:rPr>
            </w:pPr>
          </w:p>
        </w:tc>
        <w:tc>
          <w:tcPr>
            <w:tcW w:w="500" w:type="dxa"/>
            <w:vAlign w:val="bottom"/>
            <w:shd w:val="clear" w:color="auto" w:fill="FCEFEB"/>
          </w:tcPr>
          <w:p>
            <w:pPr>
              <w:spacing w:after="0"/>
              <w:rPr>
                <w:sz w:val="10"/>
                <w:szCs w:val="10"/>
                <w:color w:val="auto"/>
              </w:rPr>
            </w:pPr>
          </w:p>
        </w:tc>
        <w:tc>
          <w:tcPr>
            <w:tcW w:w="760" w:type="dxa"/>
            <w:vAlign w:val="bottom"/>
            <w:shd w:val="clear" w:color="auto" w:fill="FCEFEB"/>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4640" w:type="dxa"/>
            <w:vAlign w:val="bottom"/>
            <w:shd w:val="clear" w:color="auto" w:fill="005C5D"/>
          </w:tcPr>
          <w:p>
            <w:pPr>
              <w:spacing w:after="0"/>
              <w:rPr>
                <w:sz w:val="18"/>
                <w:szCs w:val="18"/>
                <w:color w:val="auto"/>
              </w:rPr>
            </w:pPr>
          </w:p>
        </w:tc>
        <w:tc>
          <w:tcPr>
            <w:tcW w:w="1660" w:type="dxa"/>
            <w:vAlign w:val="bottom"/>
            <w:gridSpan w:val="2"/>
            <w:shd w:val="clear" w:color="auto" w:fill="005C5D"/>
          </w:tcPr>
          <w:p>
            <w:pPr>
              <w:jc w:val="center"/>
              <w:ind w:left="429"/>
              <w:spacing w:after="0"/>
              <w:rPr>
                <w:sz w:val="20"/>
                <w:szCs w:val="20"/>
                <w:color w:val="auto"/>
              </w:rPr>
            </w:pPr>
            <w:r>
              <w:rPr>
                <w:rFonts w:ascii="Arial" w:cs="Arial" w:eastAsia="Arial" w:hAnsi="Arial"/>
                <w:sz w:val="14"/>
                <w:szCs w:val="14"/>
                <w:color w:val="FFFFFF"/>
                <w:w w:val="99"/>
              </w:rPr>
              <w:t>TERMINATION</w:t>
            </w:r>
          </w:p>
        </w:tc>
        <w:tc>
          <w:tcPr>
            <w:tcW w:w="1880" w:type="dxa"/>
            <w:vAlign w:val="bottom"/>
            <w:gridSpan w:val="2"/>
            <w:shd w:val="clear" w:color="auto" w:fill="005C5D"/>
          </w:tcPr>
          <w:p>
            <w:pPr>
              <w:jc w:val="center"/>
              <w:ind w:left="169"/>
              <w:spacing w:after="0"/>
              <w:rPr>
                <w:sz w:val="20"/>
                <w:szCs w:val="20"/>
                <w:color w:val="auto"/>
              </w:rPr>
            </w:pPr>
            <w:r>
              <w:rPr>
                <w:rFonts w:ascii="Arial" w:cs="Arial" w:eastAsia="Arial" w:hAnsi="Arial"/>
                <w:sz w:val="14"/>
                <w:szCs w:val="14"/>
                <w:color w:val="FFFFFF"/>
                <w:w w:val="99"/>
              </w:rPr>
              <w:t>TERMINATION</w:t>
            </w:r>
          </w:p>
        </w:tc>
        <w:tc>
          <w:tcPr>
            <w:tcW w:w="340" w:type="dxa"/>
            <w:vAlign w:val="bottom"/>
            <w:shd w:val="clear" w:color="auto" w:fill="005C5D"/>
          </w:tcPr>
          <w:p>
            <w:pPr>
              <w:spacing w:after="0"/>
              <w:rPr>
                <w:sz w:val="18"/>
                <w:szCs w:val="18"/>
                <w:color w:val="auto"/>
              </w:rPr>
            </w:pPr>
          </w:p>
        </w:tc>
        <w:tc>
          <w:tcPr>
            <w:tcW w:w="1140" w:type="dxa"/>
            <w:vAlign w:val="bottom"/>
            <w:shd w:val="clear" w:color="auto" w:fill="005C5D"/>
          </w:tcPr>
          <w:p>
            <w:pPr>
              <w:spacing w:after="0"/>
              <w:rPr>
                <w:sz w:val="18"/>
                <w:szCs w:val="18"/>
                <w:color w:val="auto"/>
              </w:rPr>
            </w:pPr>
          </w:p>
        </w:tc>
        <w:tc>
          <w:tcPr>
            <w:tcW w:w="500" w:type="dxa"/>
            <w:vAlign w:val="bottom"/>
            <w:shd w:val="clear" w:color="auto" w:fill="005C5D"/>
          </w:tcPr>
          <w:p>
            <w:pPr>
              <w:spacing w:after="0"/>
              <w:rPr>
                <w:sz w:val="18"/>
                <w:szCs w:val="18"/>
                <w:color w:val="auto"/>
              </w:rPr>
            </w:pPr>
          </w:p>
        </w:tc>
        <w:tc>
          <w:tcPr>
            <w:tcW w:w="760" w:type="dxa"/>
            <w:vAlign w:val="bottom"/>
            <w:shd w:val="clear" w:color="auto" w:fill="005C5D"/>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640" w:type="dxa"/>
            <w:vAlign w:val="bottom"/>
            <w:shd w:val="clear" w:color="auto" w:fill="005C5D"/>
          </w:tcPr>
          <w:p>
            <w:pPr>
              <w:spacing w:after="0"/>
              <w:rPr>
                <w:sz w:val="13"/>
                <w:szCs w:val="13"/>
                <w:color w:val="auto"/>
              </w:rPr>
            </w:pPr>
          </w:p>
        </w:tc>
        <w:tc>
          <w:tcPr>
            <w:tcW w:w="1660" w:type="dxa"/>
            <w:vAlign w:val="bottom"/>
            <w:gridSpan w:val="2"/>
            <w:shd w:val="clear" w:color="auto" w:fill="005C5D"/>
          </w:tcPr>
          <w:p>
            <w:pPr>
              <w:jc w:val="center"/>
              <w:ind w:left="409"/>
              <w:spacing w:after="0"/>
              <w:rPr>
                <w:sz w:val="20"/>
                <w:szCs w:val="20"/>
                <w:color w:val="auto"/>
              </w:rPr>
            </w:pPr>
            <w:r>
              <w:rPr>
                <w:rFonts w:ascii="Arial" w:cs="Arial" w:eastAsia="Arial" w:hAnsi="Arial"/>
                <w:sz w:val="14"/>
                <w:szCs w:val="14"/>
                <w:color w:val="FFFFFF"/>
              </w:rPr>
              <w:t>BY COMPANY</w:t>
            </w:r>
          </w:p>
        </w:tc>
        <w:tc>
          <w:tcPr>
            <w:tcW w:w="1880" w:type="dxa"/>
            <w:vAlign w:val="bottom"/>
            <w:gridSpan w:val="2"/>
            <w:shd w:val="clear" w:color="auto" w:fill="005C5D"/>
          </w:tcPr>
          <w:p>
            <w:pPr>
              <w:jc w:val="center"/>
              <w:ind w:left="189"/>
              <w:spacing w:after="0"/>
              <w:rPr>
                <w:sz w:val="20"/>
                <w:szCs w:val="20"/>
                <w:color w:val="auto"/>
              </w:rPr>
            </w:pPr>
            <w:r>
              <w:rPr>
                <w:rFonts w:ascii="Arial" w:cs="Arial" w:eastAsia="Arial" w:hAnsi="Arial"/>
                <w:sz w:val="14"/>
                <w:szCs w:val="14"/>
                <w:color w:val="FFFFFF"/>
              </w:rPr>
              <w:t>BY COMPANY</w:t>
            </w:r>
          </w:p>
        </w:tc>
        <w:tc>
          <w:tcPr>
            <w:tcW w:w="340" w:type="dxa"/>
            <w:vAlign w:val="bottom"/>
            <w:shd w:val="clear" w:color="auto" w:fill="005C5D"/>
          </w:tcPr>
          <w:p>
            <w:pPr>
              <w:spacing w:after="0"/>
              <w:rPr>
                <w:sz w:val="13"/>
                <w:szCs w:val="13"/>
                <w:color w:val="auto"/>
              </w:rPr>
            </w:pPr>
          </w:p>
        </w:tc>
        <w:tc>
          <w:tcPr>
            <w:tcW w:w="1140" w:type="dxa"/>
            <w:vAlign w:val="bottom"/>
            <w:shd w:val="clear" w:color="auto" w:fill="005C5D"/>
          </w:tcPr>
          <w:p>
            <w:pPr>
              <w:spacing w:after="0"/>
              <w:rPr>
                <w:sz w:val="13"/>
                <w:szCs w:val="13"/>
                <w:color w:val="auto"/>
              </w:rPr>
            </w:pPr>
          </w:p>
        </w:tc>
        <w:tc>
          <w:tcPr>
            <w:tcW w:w="500" w:type="dxa"/>
            <w:vAlign w:val="bottom"/>
            <w:shd w:val="clear" w:color="auto" w:fill="005C5D"/>
          </w:tcPr>
          <w:p>
            <w:pPr>
              <w:spacing w:after="0"/>
              <w:rPr>
                <w:sz w:val="13"/>
                <w:szCs w:val="13"/>
                <w:color w:val="auto"/>
              </w:rPr>
            </w:pPr>
          </w:p>
        </w:tc>
        <w:tc>
          <w:tcPr>
            <w:tcW w:w="760" w:type="dxa"/>
            <w:vAlign w:val="bottom"/>
            <w:shd w:val="clear" w:color="auto" w:fill="005C5D"/>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40" w:type="dxa"/>
            <w:vAlign w:val="bottom"/>
            <w:shd w:val="clear" w:color="auto" w:fill="005C5D"/>
          </w:tcPr>
          <w:p>
            <w:pPr>
              <w:spacing w:after="0"/>
              <w:rPr>
                <w:sz w:val="13"/>
                <w:szCs w:val="13"/>
                <w:color w:val="auto"/>
              </w:rPr>
            </w:pPr>
          </w:p>
        </w:tc>
        <w:tc>
          <w:tcPr>
            <w:tcW w:w="1660" w:type="dxa"/>
            <w:vAlign w:val="bottom"/>
            <w:gridSpan w:val="2"/>
            <w:shd w:val="clear" w:color="auto" w:fill="005C5D"/>
          </w:tcPr>
          <w:p>
            <w:pPr>
              <w:jc w:val="center"/>
              <w:ind w:left="429"/>
              <w:spacing w:after="0"/>
              <w:rPr>
                <w:sz w:val="20"/>
                <w:szCs w:val="20"/>
                <w:color w:val="auto"/>
              </w:rPr>
            </w:pPr>
            <w:r>
              <w:rPr>
                <w:rFonts w:ascii="Arial" w:cs="Arial" w:eastAsia="Arial" w:hAnsi="Arial"/>
                <w:sz w:val="14"/>
                <w:szCs w:val="14"/>
                <w:color w:val="FFFFFF"/>
              </w:rPr>
              <w:t>WITHOUT</w:t>
            </w:r>
          </w:p>
        </w:tc>
        <w:tc>
          <w:tcPr>
            <w:tcW w:w="1880" w:type="dxa"/>
            <w:vAlign w:val="bottom"/>
            <w:gridSpan w:val="2"/>
            <w:shd w:val="clear" w:color="auto" w:fill="005C5D"/>
          </w:tcPr>
          <w:p>
            <w:pPr>
              <w:jc w:val="center"/>
              <w:ind w:left="189"/>
              <w:spacing w:after="0"/>
              <w:rPr>
                <w:sz w:val="20"/>
                <w:szCs w:val="20"/>
                <w:color w:val="auto"/>
              </w:rPr>
            </w:pPr>
            <w:r>
              <w:rPr>
                <w:rFonts w:ascii="Arial" w:cs="Arial" w:eastAsia="Arial" w:hAnsi="Arial"/>
                <w:sz w:val="14"/>
                <w:szCs w:val="14"/>
                <w:color w:val="FFFFFF"/>
              </w:rPr>
              <w:t>FOR CAUSE/ BY</w:t>
            </w:r>
          </w:p>
        </w:tc>
        <w:tc>
          <w:tcPr>
            <w:tcW w:w="340" w:type="dxa"/>
            <w:vAlign w:val="bottom"/>
            <w:shd w:val="clear" w:color="auto" w:fill="005C5D"/>
          </w:tcPr>
          <w:p>
            <w:pPr>
              <w:spacing w:after="0"/>
              <w:rPr>
                <w:sz w:val="13"/>
                <w:szCs w:val="13"/>
                <w:color w:val="auto"/>
              </w:rPr>
            </w:pPr>
          </w:p>
        </w:tc>
        <w:tc>
          <w:tcPr>
            <w:tcW w:w="1140" w:type="dxa"/>
            <w:vAlign w:val="bottom"/>
            <w:shd w:val="clear" w:color="auto" w:fill="005C5D"/>
          </w:tcPr>
          <w:p>
            <w:pPr>
              <w:spacing w:after="0"/>
              <w:rPr>
                <w:sz w:val="13"/>
                <w:szCs w:val="13"/>
                <w:color w:val="auto"/>
              </w:rPr>
            </w:pPr>
          </w:p>
        </w:tc>
        <w:tc>
          <w:tcPr>
            <w:tcW w:w="1260" w:type="dxa"/>
            <w:vAlign w:val="bottom"/>
            <w:gridSpan w:val="2"/>
            <w:shd w:val="clear" w:color="auto" w:fill="005C5D"/>
          </w:tcPr>
          <w:p>
            <w:pPr>
              <w:jc w:val="center"/>
              <w:ind w:left="169"/>
              <w:spacing w:after="0"/>
              <w:rPr>
                <w:sz w:val="20"/>
                <w:szCs w:val="20"/>
                <w:color w:val="auto"/>
              </w:rPr>
            </w:pPr>
            <w:r>
              <w:rPr>
                <w:rFonts w:ascii="Arial" w:cs="Arial" w:eastAsia="Arial" w:hAnsi="Arial"/>
                <w:sz w:val="14"/>
                <w:szCs w:val="14"/>
                <w:color w:val="FFFFFF"/>
              </w:rPr>
              <w:t>TERMINATION</w:t>
            </w:r>
          </w:p>
        </w:tc>
        <w:tc>
          <w:tcPr>
            <w:tcW w:w="0" w:type="dxa"/>
            <w:vAlign w:val="bottom"/>
          </w:tcPr>
          <w:p>
            <w:pPr>
              <w:spacing w:after="0"/>
              <w:rPr>
                <w:sz w:val="1"/>
                <w:szCs w:val="1"/>
                <w:color w:val="auto"/>
              </w:rPr>
            </w:pPr>
          </w:p>
        </w:tc>
      </w:tr>
      <w:tr>
        <w:trPr>
          <w:trHeight w:val="160"/>
        </w:trPr>
        <w:tc>
          <w:tcPr>
            <w:tcW w:w="4640" w:type="dxa"/>
            <w:vAlign w:val="bottom"/>
            <w:shd w:val="clear" w:color="auto" w:fill="005C5D"/>
          </w:tcPr>
          <w:p>
            <w:pPr>
              <w:spacing w:after="0"/>
              <w:rPr>
                <w:sz w:val="13"/>
                <w:szCs w:val="13"/>
                <w:color w:val="auto"/>
              </w:rPr>
            </w:pPr>
          </w:p>
        </w:tc>
        <w:tc>
          <w:tcPr>
            <w:tcW w:w="1660" w:type="dxa"/>
            <w:vAlign w:val="bottom"/>
            <w:gridSpan w:val="2"/>
            <w:shd w:val="clear" w:color="auto" w:fill="005C5D"/>
          </w:tcPr>
          <w:p>
            <w:pPr>
              <w:jc w:val="center"/>
              <w:ind w:left="429"/>
              <w:spacing w:after="0"/>
              <w:rPr>
                <w:sz w:val="20"/>
                <w:szCs w:val="20"/>
                <w:color w:val="auto"/>
              </w:rPr>
            </w:pPr>
            <w:r>
              <w:rPr>
                <w:rFonts w:ascii="Arial" w:cs="Arial" w:eastAsia="Arial" w:hAnsi="Arial"/>
                <w:sz w:val="14"/>
                <w:szCs w:val="14"/>
                <w:color w:val="FFFFFF"/>
              </w:rPr>
              <w:t>CAUSE/ BY</w:t>
            </w:r>
          </w:p>
        </w:tc>
        <w:tc>
          <w:tcPr>
            <w:tcW w:w="1880" w:type="dxa"/>
            <w:vAlign w:val="bottom"/>
            <w:gridSpan w:val="2"/>
            <w:shd w:val="clear" w:color="auto" w:fill="005C5D"/>
          </w:tcPr>
          <w:p>
            <w:pPr>
              <w:jc w:val="center"/>
              <w:ind w:left="169"/>
              <w:spacing w:after="0"/>
              <w:rPr>
                <w:sz w:val="20"/>
                <w:szCs w:val="20"/>
                <w:color w:val="auto"/>
              </w:rPr>
            </w:pPr>
            <w:r>
              <w:rPr>
                <w:rFonts w:ascii="Arial" w:cs="Arial" w:eastAsia="Arial" w:hAnsi="Arial"/>
                <w:sz w:val="14"/>
                <w:szCs w:val="14"/>
                <w:color w:val="FFFFFF"/>
              </w:rPr>
              <w:t>EXECUTIVE</w:t>
            </w:r>
          </w:p>
        </w:tc>
        <w:tc>
          <w:tcPr>
            <w:tcW w:w="340" w:type="dxa"/>
            <w:vAlign w:val="bottom"/>
            <w:shd w:val="clear" w:color="auto" w:fill="005C5D"/>
          </w:tcPr>
          <w:p>
            <w:pPr>
              <w:spacing w:after="0"/>
              <w:rPr>
                <w:sz w:val="13"/>
                <w:szCs w:val="13"/>
                <w:color w:val="auto"/>
              </w:rPr>
            </w:pPr>
          </w:p>
        </w:tc>
        <w:tc>
          <w:tcPr>
            <w:tcW w:w="1140" w:type="dxa"/>
            <w:vAlign w:val="bottom"/>
            <w:shd w:val="clear" w:color="auto" w:fill="005C5D"/>
          </w:tcPr>
          <w:p>
            <w:pPr>
              <w:jc w:val="center"/>
              <w:ind w:right="269"/>
              <w:spacing w:after="0"/>
              <w:rPr>
                <w:sz w:val="20"/>
                <w:szCs w:val="20"/>
                <w:color w:val="auto"/>
              </w:rPr>
            </w:pPr>
            <w:r>
              <w:rPr>
                <w:rFonts w:ascii="Arial" w:cs="Arial" w:eastAsia="Arial" w:hAnsi="Arial"/>
                <w:sz w:val="14"/>
                <w:szCs w:val="14"/>
                <w:color w:val="FFFFFF"/>
              </w:rPr>
              <w:t>CHANGE IN</w:t>
            </w:r>
          </w:p>
        </w:tc>
        <w:tc>
          <w:tcPr>
            <w:tcW w:w="1260" w:type="dxa"/>
            <w:vAlign w:val="bottom"/>
            <w:gridSpan w:val="2"/>
            <w:shd w:val="clear" w:color="auto" w:fill="005C5D"/>
          </w:tcPr>
          <w:p>
            <w:pPr>
              <w:jc w:val="center"/>
              <w:ind w:left="169"/>
              <w:spacing w:after="0"/>
              <w:rPr>
                <w:sz w:val="20"/>
                <w:szCs w:val="20"/>
                <w:color w:val="auto"/>
              </w:rPr>
            </w:pPr>
            <w:r>
              <w:rPr>
                <w:rFonts w:ascii="Arial" w:cs="Arial" w:eastAsia="Arial" w:hAnsi="Arial"/>
                <w:sz w:val="14"/>
                <w:szCs w:val="14"/>
                <w:color w:val="FFFFFF"/>
              </w:rPr>
              <w:t>FOLLOWING</w:t>
            </w:r>
          </w:p>
        </w:tc>
        <w:tc>
          <w:tcPr>
            <w:tcW w:w="0" w:type="dxa"/>
            <w:vAlign w:val="bottom"/>
          </w:tcPr>
          <w:p>
            <w:pPr>
              <w:spacing w:after="0"/>
              <w:rPr>
                <w:sz w:val="1"/>
                <w:szCs w:val="1"/>
                <w:color w:val="auto"/>
              </w:rPr>
            </w:pPr>
          </w:p>
        </w:tc>
      </w:tr>
      <w:tr>
        <w:trPr>
          <w:trHeight w:val="160"/>
        </w:trPr>
        <w:tc>
          <w:tcPr>
            <w:tcW w:w="4640" w:type="dxa"/>
            <w:vAlign w:val="bottom"/>
            <w:shd w:val="clear" w:color="auto" w:fill="005C5D"/>
          </w:tcPr>
          <w:p>
            <w:pPr>
              <w:spacing w:after="0"/>
              <w:rPr>
                <w:sz w:val="13"/>
                <w:szCs w:val="13"/>
                <w:color w:val="auto"/>
              </w:rPr>
            </w:pPr>
          </w:p>
        </w:tc>
        <w:tc>
          <w:tcPr>
            <w:tcW w:w="1660" w:type="dxa"/>
            <w:vAlign w:val="bottom"/>
            <w:gridSpan w:val="2"/>
            <w:shd w:val="clear" w:color="auto" w:fill="005C5D"/>
          </w:tcPr>
          <w:p>
            <w:pPr>
              <w:jc w:val="center"/>
              <w:ind w:left="429"/>
              <w:spacing w:after="0"/>
              <w:rPr>
                <w:sz w:val="20"/>
                <w:szCs w:val="20"/>
                <w:color w:val="auto"/>
              </w:rPr>
            </w:pPr>
            <w:r>
              <w:rPr>
                <w:rFonts w:ascii="Arial" w:cs="Arial" w:eastAsia="Arial" w:hAnsi="Arial"/>
                <w:sz w:val="14"/>
                <w:szCs w:val="14"/>
                <w:color w:val="FFFFFF"/>
              </w:rPr>
              <w:t>EXECUTIVE FOR</w:t>
            </w:r>
          </w:p>
        </w:tc>
        <w:tc>
          <w:tcPr>
            <w:tcW w:w="1880" w:type="dxa"/>
            <w:vAlign w:val="bottom"/>
            <w:gridSpan w:val="2"/>
            <w:shd w:val="clear" w:color="auto" w:fill="005C5D"/>
          </w:tcPr>
          <w:p>
            <w:pPr>
              <w:jc w:val="center"/>
              <w:ind w:left="189"/>
              <w:spacing w:after="0"/>
              <w:rPr>
                <w:sz w:val="20"/>
                <w:szCs w:val="20"/>
                <w:color w:val="auto"/>
              </w:rPr>
            </w:pPr>
            <w:r>
              <w:rPr>
                <w:rFonts w:ascii="Arial" w:cs="Arial" w:eastAsia="Arial" w:hAnsi="Arial"/>
                <w:sz w:val="14"/>
                <w:szCs w:val="14"/>
                <w:color w:val="FFFFFF"/>
              </w:rPr>
              <w:t>WITHOUT GOOD</w:t>
            </w:r>
          </w:p>
        </w:tc>
        <w:tc>
          <w:tcPr>
            <w:tcW w:w="340" w:type="dxa"/>
            <w:vAlign w:val="bottom"/>
            <w:shd w:val="clear" w:color="auto" w:fill="005C5D"/>
          </w:tcPr>
          <w:p>
            <w:pPr>
              <w:spacing w:after="0"/>
              <w:rPr>
                <w:sz w:val="13"/>
                <w:szCs w:val="13"/>
                <w:color w:val="auto"/>
              </w:rPr>
            </w:pPr>
          </w:p>
        </w:tc>
        <w:tc>
          <w:tcPr>
            <w:tcW w:w="1140" w:type="dxa"/>
            <w:vAlign w:val="bottom"/>
            <w:shd w:val="clear" w:color="auto" w:fill="005C5D"/>
          </w:tcPr>
          <w:p>
            <w:pPr>
              <w:jc w:val="center"/>
              <w:ind w:right="269"/>
              <w:spacing w:after="0"/>
              <w:rPr>
                <w:sz w:val="20"/>
                <w:szCs w:val="20"/>
                <w:color w:val="auto"/>
              </w:rPr>
            </w:pPr>
            <w:r>
              <w:rPr>
                <w:rFonts w:ascii="Arial" w:cs="Arial" w:eastAsia="Arial" w:hAnsi="Arial"/>
                <w:sz w:val="14"/>
                <w:szCs w:val="14"/>
                <w:color w:val="FFFFFF"/>
                <w:w w:val="99"/>
              </w:rPr>
              <w:t>CONTROL</w:t>
            </w:r>
          </w:p>
        </w:tc>
        <w:tc>
          <w:tcPr>
            <w:tcW w:w="1260" w:type="dxa"/>
            <w:vAlign w:val="bottom"/>
            <w:gridSpan w:val="2"/>
            <w:shd w:val="clear" w:color="auto" w:fill="005C5D"/>
          </w:tcPr>
          <w:p>
            <w:pPr>
              <w:jc w:val="center"/>
              <w:ind w:left="169"/>
              <w:spacing w:after="0"/>
              <w:rPr>
                <w:sz w:val="20"/>
                <w:szCs w:val="20"/>
                <w:color w:val="auto"/>
              </w:rPr>
            </w:pPr>
            <w:r>
              <w:rPr>
                <w:rFonts w:ascii="Arial" w:cs="Arial" w:eastAsia="Arial" w:hAnsi="Arial"/>
                <w:sz w:val="14"/>
                <w:szCs w:val="14"/>
                <w:color w:val="FFFFFF"/>
              </w:rPr>
              <w:t>DEATH OR</w:t>
            </w:r>
          </w:p>
        </w:tc>
        <w:tc>
          <w:tcPr>
            <w:tcW w:w="0" w:type="dxa"/>
            <w:vAlign w:val="bottom"/>
          </w:tcPr>
          <w:p>
            <w:pPr>
              <w:spacing w:after="0"/>
              <w:rPr>
                <w:sz w:val="1"/>
                <w:szCs w:val="1"/>
                <w:color w:val="auto"/>
              </w:rPr>
            </w:pPr>
          </w:p>
        </w:tc>
      </w:tr>
      <w:tr>
        <w:trPr>
          <w:trHeight w:val="217"/>
        </w:trPr>
        <w:tc>
          <w:tcPr>
            <w:tcW w:w="4640" w:type="dxa"/>
            <w:vAlign w:val="bottom"/>
            <w:tcBorders>
              <w:bottom w:val="single" w:sz="8" w:color="005C5D"/>
            </w:tcBorders>
            <w:shd w:val="clear" w:color="auto" w:fill="005C5D"/>
          </w:tcPr>
          <w:p>
            <w:pPr>
              <w:spacing w:after="0"/>
              <w:rPr>
                <w:sz w:val="18"/>
                <w:szCs w:val="18"/>
                <w:color w:val="auto"/>
              </w:rPr>
            </w:pPr>
          </w:p>
        </w:tc>
        <w:tc>
          <w:tcPr>
            <w:tcW w:w="1660" w:type="dxa"/>
            <w:vAlign w:val="bottom"/>
            <w:tcBorders>
              <w:bottom w:val="single" w:sz="8" w:color="005C5D"/>
            </w:tcBorders>
            <w:gridSpan w:val="2"/>
            <w:shd w:val="clear" w:color="auto" w:fill="005C5D"/>
          </w:tcPr>
          <w:p>
            <w:pPr>
              <w:jc w:val="center"/>
              <w:ind w:left="429"/>
              <w:spacing w:after="0"/>
              <w:rPr>
                <w:sz w:val="20"/>
                <w:szCs w:val="20"/>
                <w:color w:val="auto"/>
              </w:rPr>
            </w:pPr>
            <w:r>
              <w:rPr>
                <w:rFonts w:ascii="Arial" w:cs="Arial" w:eastAsia="Arial" w:hAnsi="Arial"/>
                <w:sz w:val="14"/>
                <w:szCs w:val="14"/>
                <w:color w:val="FFFFFF"/>
              </w:rPr>
              <w:t>GOOD REASON</w:t>
            </w:r>
          </w:p>
        </w:tc>
        <w:tc>
          <w:tcPr>
            <w:tcW w:w="760" w:type="dxa"/>
            <w:vAlign w:val="bottom"/>
            <w:tcBorders>
              <w:bottom w:val="single" w:sz="8" w:color="005C5D"/>
            </w:tcBorders>
            <w:shd w:val="clear" w:color="auto" w:fill="005C5D"/>
          </w:tcPr>
          <w:p>
            <w:pPr>
              <w:spacing w:after="0"/>
              <w:rPr>
                <w:sz w:val="18"/>
                <w:szCs w:val="18"/>
                <w:color w:val="auto"/>
              </w:rPr>
            </w:pPr>
          </w:p>
        </w:tc>
        <w:tc>
          <w:tcPr>
            <w:tcW w:w="1120" w:type="dxa"/>
            <w:vAlign w:val="bottom"/>
            <w:tcBorders>
              <w:bottom w:val="single" w:sz="8" w:color="005C5D"/>
            </w:tcBorders>
            <w:shd w:val="clear" w:color="auto" w:fill="005C5D"/>
          </w:tcPr>
          <w:p>
            <w:pPr>
              <w:jc w:val="center"/>
              <w:ind w:right="449"/>
              <w:spacing w:after="0"/>
              <w:rPr>
                <w:sz w:val="20"/>
                <w:szCs w:val="20"/>
                <w:color w:val="auto"/>
              </w:rPr>
            </w:pPr>
            <w:r>
              <w:rPr>
                <w:rFonts w:ascii="Arial" w:cs="Arial" w:eastAsia="Arial" w:hAnsi="Arial"/>
                <w:sz w:val="14"/>
                <w:szCs w:val="14"/>
                <w:color w:val="FFFFFF"/>
              </w:rPr>
              <w:t>REASON</w:t>
            </w:r>
          </w:p>
        </w:tc>
        <w:tc>
          <w:tcPr>
            <w:tcW w:w="1480" w:type="dxa"/>
            <w:vAlign w:val="bottom"/>
            <w:tcBorders>
              <w:bottom w:val="single" w:sz="8" w:color="005C5D"/>
            </w:tcBorders>
            <w:gridSpan w:val="2"/>
            <w:shd w:val="clear" w:color="auto" w:fill="005C5D"/>
          </w:tcPr>
          <w:p>
            <w:pPr>
              <w:jc w:val="center"/>
              <w:spacing w:after="0"/>
              <w:rPr>
                <w:sz w:val="20"/>
                <w:szCs w:val="20"/>
                <w:color w:val="auto"/>
              </w:rPr>
            </w:pPr>
            <w:r>
              <w:rPr>
                <w:rFonts w:ascii="Arial" w:cs="Arial" w:eastAsia="Arial" w:hAnsi="Arial"/>
                <w:sz w:val="14"/>
                <w:szCs w:val="14"/>
                <w:color w:val="FFFFFF"/>
                <w:w w:val="99"/>
              </w:rPr>
              <w:t>TERMINATION</w:t>
            </w:r>
          </w:p>
        </w:tc>
        <w:tc>
          <w:tcPr>
            <w:tcW w:w="1260" w:type="dxa"/>
            <w:vAlign w:val="bottom"/>
            <w:tcBorders>
              <w:bottom w:val="single" w:sz="8" w:color="005C5D"/>
            </w:tcBorders>
            <w:gridSpan w:val="2"/>
            <w:shd w:val="clear" w:color="auto" w:fill="005C5D"/>
          </w:tcPr>
          <w:p>
            <w:pPr>
              <w:jc w:val="center"/>
              <w:ind w:left="169"/>
              <w:spacing w:after="0"/>
              <w:rPr>
                <w:sz w:val="20"/>
                <w:szCs w:val="20"/>
                <w:color w:val="auto"/>
              </w:rPr>
            </w:pPr>
            <w:r>
              <w:rPr>
                <w:rFonts w:ascii="Arial" w:cs="Arial" w:eastAsia="Arial" w:hAnsi="Arial"/>
                <w:sz w:val="14"/>
                <w:szCs w:val="14"/>
                <w:color w:val="FFFFFF"/>
                <w:w w:val="98"/>
              </w:rPr>
              <w:t>DISABILITY</w:t>
            </w:r>
            <w:r>
              <w:rPr>
                <w:rFonts w:ascii="Arial" w:cs="Arial" w:eastAsia="Arial" w:hAnsi="Arial"/>
                <w:sz w:val="14"/>
                <w:szCs w:val="14"/>
                <w:color w:val="FFFFFF"/>
                <w:w w:val="98"/>
                <w:vertAlign w:val="superscript"/>
              </w:rPr>
              <w:t>(1)</w:t>
            </w:r>
          </w:p>
        </w:tc>
        <w:tc>
          <w:tcPr>
            <w:tcW w:w="0" w:type="dxa"/>
            <w:vAlign w:val="bottom"/>
          </w:tcPr>
          <w:p>
            <w:pPr>
              <w:spacing w:after="0"/>
              <w:rPr>
                <w:sz w:val="1"/>
                <w:szCs w:val="1"/>
                <w:color w:val="auto"/>
              </w:rPr>
            </w:pPr>
          </w:p>
        </w:tc>
      </w:tr>
      <w:tr>
        <w:trPr>
          <w:trHeight w:val="227"/>
        </w:trPr>
        <w:tc>
          <w:tcPr>
            <w:tcW w:w="4640" w:type="dxa"/>
            <w:vAlign w:val="bottom"/>
          </w:tcPr>
          <w:p>
            <w:pPr>
              <w:ind w:left="80"/>
              <w:spacing w:after="0" w:line="227" w:lineRule="exact"/>
              <w:rPr>
                <w:sz w:val="20"/>
                <w:szCs w:val="20"/>
                <w:color w:val="auto"/>
              </w:rPr>
            </w:pPr>
            <w:r>
              <w:rPr>
                <w:rFonts w:ascii="Arial" w:cs="Arial" w:eastAsia="Arial" w:hAnsi="Arial"/>
                <w:sz w:val="14"/>
                <w:szCs w:val="14"/>
                <w:b w:val="1"/>
                <w:bCs w:val="1"/>
                <w:color w:val="005C5D"/>
              </w:rPr>
              <w:t>Ian Bickley</w:t>
            </w:r>
            <w:r>
              <w:rPr>
                <w:rFonts w:ascii="Arial" w:cs="Arial" w:eastAsia="Arial" w:hAnsi="Arial"/>
                <w:sz w:val="21"/>
                <w:szCs w:val="21"/>
                <w:b w:val="1"/>
                <w:bCs w:val="1"/>
                <w:color w:val="337C7D"/>
                <w:vertAlign w:val="superscript"/>
              </w:rPr>
              <w:t>(2)</w:t>
            </w:r>
          </w:p>
        </w:tc>
        <w:tc>
          <w:tcPr>
            <w:tcW w:w="760" w:type="dxa"/>
            <w:vAlign w:val="bottom"/>
            <w:shd w:val="clear" w:color="auto" w:fill="FCEFEB"/>
          </w:tcPr>
          <w:p>
            <w:pPr>
              <w:spacing w:after="0"/>
              <w:rPr>
                <w:sz w:val="19"/>
                <w:szCs w:val="19"/>
                <w:color w:val="auto"/>
              </w:rPr>
            </w:pPr>
          </w:p>
        </w:tc>
        <w:tc>
          <w:tcPr>
            <w:tcW w:w="900" w:type="dxa"/>
            <w:vAlign w:val="bottom"/>
            <w:shd w:val="clear" w:color="auto" w:fill="FCEFEB"/>
          </w:tcPr>
          <w:p>
            <w:pPr>
              <w:spacing w:after="0"/>
              <w:rPr>
                <w:sz w:val="19"/>
                <w:szCs w:val="19"/>
                <w:color w:val="auto"/>
              </w:rPr>
            </w:pPr>
          </w:p>
        </w:tc>
        <w:tc>
          <w:tcPr>
            <w:tcW w:w="760" w:type="dxa"/>
            <w:vAlign w:val="bottom"/>
            <w:shd w:val="clear" w:color="auto" w:fill="FCEFEB"/>
          </w:tcPr>
          <w:p>
            <w:pPr>
              <w:spacing w:after="0"/>
              <w:rPr>
                <w:sz w:val="19"/>
                <w:szCs w:val="19"/>
                <w:color w:val="auto"/>
              </w:rPr>
            </w:pPr>
          </w:p>
        </w:tc>
        <w:tc>
          <w:tcPr>
            <w:tcW w:w="1120" w:type="dxa"/>
            <w:vAlign w:val="bottom"/>
            <w:shd w:val="clear" w:color="auto" w:fill="FCEFEB"/>
          </w:tcPr>
          <w:p>
            <w:pPr>
              <w:spacing w:after="0"/>
              <w:rPr>
                <w:sz w:val="19"/>
                <w:szCs w:val="19"/>
                <w:color w:val="auto"/>
              </w:rPr>
            </w:pPr>
          </w:p>
        </w:tc>
        <w:tc>
          <w:tcPr>
            <w:tcW w:w="340" w:type="dxa"/>
            <w:vAlign w:val="bottom"/>
            <w:shd w:val="clear" w:color="auto" w:fill="FCEFEB"/>
          </w:tcPr>
          <w:p>
            <w:pPr>
              <w:spacing w:after="0"/>
              <w:rPr>
                <w:sz w:val="19"/>
                <w:szCs w:val="19"/>
                <w:color w:val="auto"/>
              </w:rPr>
            </w:pPr>
          </w:p>
        </w:tc>
        <w:tc>
          <w:tcPr>
            <w:tcW w:w="1140" w:type="dxa"/>
            <w:vAlign w:val="bottom"/>
            <w:shd w:val="clear" w:color="auto" w:fill="FCEFEB"/>
          </w:tcPr>
          <w:p>
            <w:pPr>
              <w:spacing w:after="0"/>
              <w:rPr>
                <w:sz w:val="19"/>
                <w:szCs w:val="19"/>
                <w:color w:val="auto"/>
              </w:rPr>
            </w:pPr>
          </w:p>
        </w:tc>
        <w:tc>
          <w:tcPr>
            <w:tcW w:w="500" w:type="dxa"/>
            <w:vAlign w:val="bottom"/>
            <w:shd w:val="clear" w:color="auto" w:fill="FCEFEB"/>
          </w:tcPr>
          <w:p>
            <w:pPr>
              <w:spacing w:after="0"/>
              <w:rPr>
                <w:sz w:val="19"/>
                <w:szCs w:val="19"/>
                <w:color w:val="auto"/>
              </w:rPr>
            </w:pPr>
          </w:p>
        </w:tc>
        <w:tc>
          <w:tcPr>
            <w:tcW w:w="760" w:type="dxa"/>
            <w:vAlign w:val="bottom"/>
            <w:shd w:val="clear" w:color="auto" w:fill="FCEFEB"/>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Cash</w:t>
            </w:r>
          </w:p>
        </w:tc>
        <w:tc>
          <w:tcPr>
            <w:tcW w:w="76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COBRA</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Value of unvested shares that would be accelerated</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spacing w:after="0"/>
              <w:rPr>
                <w:sz w:val="13"/>
                <w:szCs w:val="13"/>
                <w:color w:val="auto"/>
              </w:rPr>
            </w:pP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spacing w:after="0"/>
              <w:rPr>
                <w:sz w:val="13"/>
                <w:szCs w:val="13"/>
                <w:color w:val="auto"/>
              </w:rPr>
            </w:pP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spacing w:after="0"/>
              <w:rPr>
                <w:sz w:val="13"/>
                <w:szCs w:val="13"/>
                <w:color w:val="auto"/>
              </w:rPr>
            </w:pP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—TRSU</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—PRSU</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227"/>
        </w:trPr>
        <w:tc>
          <w:tcPr>
            <w:tcW w:w="4640" w:type="dxa"/>
            <w:vAlign w:val="bottom"/>
          </w:tcPr>
          <w:p>
            <w:pPr>
              <w:ind w:left="80"/>
              <w:spacing w:after="0"/>
              <w:rPr>
                <w:sz w:val="20"/>
                <w:szCs w:val="20"/>
                <w:color w:val="auto"/>
              </w:rPr>
            </w:pPr>
            <w:r>
              <w:rPr>
                <w:rFonts w:ascii="Arial" w:cs="Arial" w:eastAsia="Arial" w:hAnsi="Arial"/>
                <w:sz w:val="14"/>
                <w:szCs w:val="14"/>
                <w:color w:val="333333"/>
              </w:rPr>
              <w:t>Other</w:t>
            </w:r>
          </w:p>
        </w:tc>
        <w:tc>
          <w:tcPr>
            <w:tcW w:w="760" w:type="dxa"/>
            <w:vAlign w:val="bottom"/>
            <w:tcBorders>
              <w:bottom w:val="single" w:sz="8" w:color="FCEFEB"/>
            </w:tcBorders>
            <w:shd w:val="clear" w:color="auto" w:fill="FCEFEB"/>
          </w:tcPr>
          <w:p>
            <w:pPr>
              <w:spacing w:after="0"/>
              <w:rPr>
                <w:sz w:val="19"/>
                <w:szCs w:val="19"/>
                <w:color w:val="auto"/>
              </w:rPr>
            </w:pPr>
          </w:p>
        </w:tc>
        <w:tc>
          <w:tcPr>
            <w:tcW w:w="900" w:type="dxa"/>
            <w:vAlign w:val="bottom"/>
            <w:tcBorders>
              <w:bottom w:val="single" w:sz="8" w:color="FCEFEB"/>
            </w:tcBorders>
            <w:shd w:val="clear" w:color="auto" w:fill="FCEFEB"/>
          </w:tcPr>
          <w:p>
            <w:pPr>
              <w:jc w:val="right"/>
              <w:ind w:right="109"/>
              <w:spacing w:after="0"/>
              <w:rPr>
                <w:sz w:val="20"/>
                <w:szCs w:val="20"/>
                <w:color w:val="auto"/>
              </w:rPr>
            </w:pPr>
            <w:r>
              <w:rPr>
                <w:rFonts w:ascii="Arial" w:cs="Arial" w:eastAsia="Arial" w:hAnsi="Arial"/>
                <w:sz w:val="14"/>
                <w:szCs w:val="14"/>
                <w:color w:val="333333"/>
              </w:rPr>
              <w:t>—</w:t>
            </w:r>
          </w:p>
        </w:tc>
        <w:tc>
          <w:tcPr>
            <w:tcW w:w="760" w:type="dxa"/>
            <w:vAlign w:val="bottom"/>
            <w:tcBorders>
              <w:bottom w:val="single" w:sz="8" w:color="FCEFEB"/>
            </w:tcBorders>
            <w:shd w:val="clear" w:color="auto" w:fill="FCEFEB"/>
          </w:tcPr>
          <w:p>
            <w:pPr>
              <w:spacing w:after="0"/>
              <w:rPr>
                <w:sz w:val="19"/>
                <w:szCs w:val="19"/>
                <w:color w:val="auto"/>
              </w:rPr>
            </w:pPr>
          </w:p>
        </w:tc>
        <w:tc>
          <w:tcPr>
            <w:tcW w:w="1120" w:type="dxa"/>
            <w:vAlign w:val="bottom"/>
            <w:tcBorders>
              <w:bottom w:val="single" w:sz="8" w:color="FCEFEB"/>
            </w:tcBorders>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tcBorders>
              <w:bottom w:val="single" w:sz="8" w:color="FCEFEB"/>
            </w:tcBorders>
            <w:shd w:val="clear" w:color="auto" w:fill="FCEFEB"/>
          </w:tcPr>
          <w:p>
            <w:pPr>
              <w:spacing w:after="0"/>
              <w:rPr>
                <w:sz w:val="19"/>
                <w:szCs w:val="19"/>
                <w:color w:val="auto"/>
              </w:rPr>
            </w:pPr>
          </w:p>
        </w:tc>
        <w:tc>
          <w:tcPr>
            <w:tcW w:w="1140" w:type="dxa"/>
            <w:vAlign w:val="bottom"/>
            <w:tcBorders>
              <w:bottom w:val="single" w:sz="8" w:color="FCEFEB"/>
            </w:tcBorders>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tcBorders>
              <w:bottom w:val="single" w:sz="8" w:color="FCEFEB"/>
            </w:tcBorders>
            <w:shd w:val="clear" w:color="auto" w:fill="FCEFEB"/>
          </w:tcPr>
          <w:p>
            <w:pPr>
              <w:spacing w:after="0"/>
              <w:rPr>
                <w:sz w:val="19"/>
                <w:szCs w:val="19"/>
                <w:color w:val="auto"/>
              </w:rPr>
            </w:pPr>
          </w:p>
        </w:tc>
        <w:tc>
          <w:tcPr>
            <w:tcW w:w="760" w:type="dxa"/>
            <w:vAlign w:val="bottom"/>
            <w:tcBorders>
              <w:bottom w:val="single" w:sz="8" w:color="FCEFEB"/>
            </w:tcBorders>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207"/>
        </w:trPr>
        <w:tc>
          <w:tcPr>
            <w:tcW w:w="4640" w:type="dxa"/>
            <w:vAlign w:val="bottom"/>
            <w:tcBorders>
              <w:top w:val="single" w:sz="8" w:color="005C5D"/>
            </w:tcBorders>
          </w:tcPr>
          <w:p>
            <w:pPr>
              <w:ind w:left="80"/>
              <w:spacing w:after="0" w:line="208" w:lineRule="exact"/>
              <w:rPr>
                <w:sz w:val="20"/>
                <w:szCs w:val="20"/>
                <w:color w:val="auto"/>
              </w:rPr>
            </w:pPr>
            <w:r>
              <w:rPr>
                <w:rFonts w:ascii="Arial" w:cs="Arial" w:eastAsia="Arial" w:hAnsi="Arial"/>
                <w:sz w:val="14"/>
                <w:szCs w:val="14"/>
                <w:b w:val="1"/>
                <w:bCs w:val="1"/>
                <w:color w:val="005C5D"/>
              </w:rPr>
              <w:t>Jacqueline Ardrey</w:t>
            </w:r>
            <w:r>
              <w:rPr>
                <w:rFonts w:ascii="Arial" w:cs="Arial" w:eastAsia="Arial" w:hAnsi="Arial"/>
                <w:sz w:val="21"/>
                <w:szCs w:val="21"/>
                <w:b w:val="1"/>
                <w:bCs w:val="1"/>
                <w:color w:val="337C7D"/>
                <w:vertAlign w:val="superscript"/>
              </w:rPr>
              <w:t>(3)</w:t>
            </w:r>
          </w:p>
        </w:tc>
        <w:tc>
          <w:tcPr>
            <w:tcW w:w="760" w:type="dxa"/>
            <w:vAlign w:val="bottom"/>
            <w:tcBorders>
              <w:top w:val="single" w:sz="8" w:color="005C5D"/>
            </w:tcBorders>
            <w:shd w:val="clear" w:color="auto" w:fill="FCEFEB"/>
          </w:tcPr>
          <w:p>
            <w:pPr>
              <w:spacing w:after="0"/>
              <w:rPr>
                <w:sz w:val="18"/>
                <w:szCs w:val="18"/>
                <w:color w:val="auto"/>
              </w:rPr>
            </w:pPr>
          </w:p>
        </w:tc>
        <w:tc>
          <w:tcPr>
            <w:tcW w:w="900" w:type="dxa"/>
            <w:vAlign w:val="bottom"/>
            <w:tcBorders>
              <w:top w:val="single" w:sz="8" w:color="005C5D"/>
            </w:tcBorders>
            <w:shd w:val="clear" w:color="auto" w:fill="FCEFEB"/>
          </w:tcPr>
          <w:p>
            <w:pPr>
              <w:spacing w:after="0"/>
              <w:rPr>
                <w:sz w:val="18"/>
                <w:szCs w:val="18"/>
                <w:color w:val="auto"/>
              </w:rPr>
            </w:pPr>
          </w:p>
        </w:tc>
        <w:tc>
          <w:tcPr>
            <w:tcW w:w="760" w:type="dxa"/>
            <w:vAlign w:val="bottom"/>
            <w:tcBorders>
              <w:top w:val="single" w:sz="8" w:color="005C5D"/>
            </w:tcBorders>
            <w:shd w:val="clear" w:color="auto" w:fill="FCEFEB"/>
          </w:tcPr>
          <w:p>
            <w:pPr>
              <w:spacing w:after="0"/>
              <w:rPr>
                <w:sz w:val="18"/>
                <w:szCs w:val="18"/>
                <w:color w:val="auto"/>
              </w:rPr>
            </w:pPr>
          </w:p>
        </w:tc>
        <w:tc>
          <w:tcPr>
            <w:tcW w:w="1120" w:type="dxa"/>
            <w:vAlign w:val="bottom"/>
            <w:tcBorders>
              <w:top w:val="single" w:sz="8" w:color="005C5D"/>
            </w:tcBorders>
            <w:shd w:val="clear" w:color="auto" w:fill="FCEFEB"/>
          </w:tcPr>
          <w:p>
            <w:pPr>
              <w:spacing w:after="0"/>
              <w:rPr>
                <w:sz w:val="18"/>
                <w:szCs w:val="18"/>
                <w:color w:val="auto"/>
              </w:rPr>
            </w:pPr>
          </w:p>
        </w:tc>
        <w:tc>
          <w:tcPr>
            <w:tcW w:w="340" w:type="dxa"/>
            <w:vAlign w:val="bottom"/>
            <w:tcBorders>
              <w:top w:val="single" w:sz="8" w:color="005C5D"/>
            </w:tcBorders>
            <w:shd w:val="clear" w:color="auto" w:fill="FCEFEB"/>
          </w:tcPr>
          <w:p>
            <w:pPr>
              <w:spacing w:after="0"/>
              <w:rPr>
                <w:sz w:val="18"/>
                <w:szCs w:val="18"/>
                <w:color w:val="auto"/>
              </w:rPr>
            </w:pPr>
          </w:p>
        </w:tc>
        <w:tc>
          <w:tcPr>
            <w:tcW w:w="1140" w:type="dxa"/>
            <w:vAlign w:val="bottom"/>
            <w:tcBorders>
              <w:top w:val="single" w:sz="8" w:color="005C5D"/>
            </w:tcBorders>
            <w:shd w:val="clear" w:color="auto" w:fill="FCEFEB"/>
          </w:tcPr>
          <w:p>
            <w:pPr>
              <w:spacing w:after="0"/>
              <w:rPr>
                <w:sz w:val="18"/>
                <w:szCs w:val="18"/>
                <w:color w:val="auto"/>
              </w:rPr>
            </w:pPr>
          </w:p>
        </w:tc>
        <w:tc>
          <w:tcPr>
            <w:tcW w:w="500" w:type="dxa"/>
            <w:vAlign w:val="bottom"/>
            <w:tcBorders>
              <w:top w:val="single" w:sz="8" w:color="005C5D"/>
            </w:tcBorders>
            <w:shd w:val="clear" w:color="auto" w:fill="FCEFEB"/>
          </w:tcPr>
          <w:p>
            <w:pPr>
              <w:spacing w:after="0"/>
              <w:rPr>
                <w:sz w:val="18"/>
                <w:szCs w:val="18"/>
                <w:color w:val="auto"/>
              </w:rPr>
            </w:pPr>
          </w:p>
        </w:tc>
        <w:tc>
          <w:tcPr>
            <w:tcW w:w="760" w:type="dxa"/>
            <w:vAlign w:val="bottom"/>
            <w:tcBorders>
              <w:top w:val="single" w:sz="8" w:color="005C5D"/>
            </w:tcBorders>
            <w:shd w:val="clear" w:color="auto" w:fill="FCEFEB"/>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Cash</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2,039,094</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COBRA</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Value of unvested shares that would be accelerated</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spacing w:after="0"/>
              <w:rPr>
                <w:sz w:val="13"/>
                <w:szCs w:val="13"/>
                <w:color w:val="auto"/>
              </w:rPr>
            </w:pP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spacing w:after="0"/>
              <w:rPr>
                <w:sz w:val="13"/>
                <w:szCs w:val="13"/>
                <w:color w:val="auto"/>
              </w:rPr>
            </w:pP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spacing w:after="0"/>
              <w:rPr>
                <w:sz w:val="13"/>
                <w:szCs w:val="13"/>
                <w:color w:val="auto"/>
              </w:rPr>
            </w:pP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—TRSU</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—PRSU</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176,218</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227"/>
        </w:trPr>
        <w:tc>
          <w:tcPr>
            <w:tcW w:w="4640" w:type="dxa"/>
            <w:vAlign w:val="bottom"/>
          </w:tcPr>
          <w:p>
            <w:pPr>
              <w:ind w:left="80"/>
              <w:spacing w:after="0"/>
              <w:rPr>
                <w:sz w:val="20"/>
                <w:szCs w:val="20"/>
                <w:color w:val="auto"/>
              </w:rPr>
            </w:pPr>
            <w:r>
              <w:rPr>
                <w:rFonts w:ascii="Arial" w:cs="Arial" w:eastAsia="Arial" w:hAnsi="Arial"/>
                <w:sz w:val="14"/>
                <w:szCs w:val="14"/>
                <w:color w:val="333333"/>
              </w:rPr>
              <w:t>Other</w:t>
            </w:r>
          </w:p>
        </w:tc>
        <w:tc>
          <w:tcPr>
            <w:tcW w:w="760" w:type="dxa"/>
            <w:vAlign w:val="bottom"/>
            <w:tcBorders>
              <w:bottom w:val="single" w:sz="8" w:color="FCEFEB"/>
            </w:tcBorders>
            <w:shd w:val="clear" w:color="auto" w:fill="FCEFEB"/>
          </w:tcPr>
          <w:p>
            <w:pPr>
              <w:spacing w:after="0"/>
              <w:rPr>
                <w:sz w:val="19"/>
                <w:szCs w:val="19"/>
                <w:color w:val="auto"/>
              </w:rPr>
            </w:pPr>
          </w:p>
        </w:tc>
        <w:tc>
          <w:tcPr>
            <w:tcW w:w="900" w:type="dxa"/>
            <w:vAlign w:val="bottom"/>
            <w:tcBorders>
              <w:bottom w:val="single" w:sz="8" w:color="FCEFEB"/>
            </w:tcBorders>
            <w:shd w:val="clear" w:color="auto" w:fill="FCEFEB"/>
          </w:tcPr>
          <w:p>
            <w:pPr>
              <w:jc w:val="right"/>
              <w:ind w:right="109"/>
              <w:spacing w:after="0"/>
              <w:rPr>
                <w:sz w:val="20"/>
                <w:szCs w:val="20"/>
                <w:color w:val="auto"/>
              </w:rPr>
            </w:pPr>
            <w:r>
              <w:rPr>
                <w:rFonts w:ascii="Arial" w:cs="Arial" w:eastAsia="Arial" w:hAnsi="Arial"/>
                <w:sz w:val="14"/>
                <w:szCs w:val="14"/>
                <w:color w:val="333333"/>
              </w:rPr>
              <w:t>44,617</w:t>
            </w:r>
          </w:p>
        </w:tc>
        <w:tc>
          <w:tcPr>
            <w:tcW w:w="760" w:type="dxa"/>
            <w:vAlign w:val="bottom"/>
            <w:tcBorders>
              <w:bottom w:val="single" w:sz="8" w:color="FCEFEB"/>
            </w:tcBorders>
            <w:shd w:val="clear" w:color="auto" w:fill="FCEFEB"/>
          </w:tcPr>
          <w:p>
            <w:pPr>
              <w:spacing w:after="0"/>
              <w:rPr>
                <w:sz w:val="19"/>
                <w:szCs w:val="19"/>
                <w:color w:val="auto"/>
              </w:rPr>
            </w:pPr>
          </w:p>
        </w:tc>
        <w:tc>
          <w:tcPr>
            <w:tcW w:w="1120" w:type="dxa"/>
            <w:vAlign w:val="bottom"/>
            <w:tcBorders>
              <w:bottom w:val="single" w:sz="8" w:color="FCEFEB"/>
            </w:tcBorders>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tcBorders>
              <w:bottom w:val="single" w:sz="8" w:color="FCEFEB"/>
            </w:tcBorders>
            <w:shd w:val="clear" w:color="auto" w:fill="FCEFEB"/>
          </w:tcPr>
          <w:p>
            <w:pPr>
              <w:spacing w:after="0"/>
              <w:rPr>
                <w:sz w:val="19"/>
                <w:szCs w:val="19"/>
                <w:color w:val="auto"/>
              </w:rPr>
            </w:pPr>
          </w:p>
        </w:tc>
        <w:tc>
          <w:tcPr>
            <w:tcW w:w="1140" w:type="dxa"/>
            <w:vAlign w:val="bottom"/>
            <w:tcBorders>
              <w:bottom w:val="single" w:sz="8" w:color="FCEFEB"/>
            </w:tcBorders>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tcBorders>
              <w:bottom w:val="single" w:sz="8" w:color="FCEFEB"/>
            </w:tcBorders>
            <w:shd w:val="clear" w:color="auto" w:fill="FCEFEB"/>
          </w:tcPr>
          <w:p>
            <w:pPr>
              <w:spacing w:after="0"/>
              <w:rPr>
                <w:sz w:val="19"/>
                <w:szCs w:val="19"/>
                <w:color w:val="auto"/>
              </w:rPr>
            </w:pPr>
          </w:p>
        </w:tc>
        <w:tc>
          <w:tcPr>
            <w:tcW w:w="760" w:type="dxa"/>
            <w:vAlign w:val="bottom"/>
            <w:tcBorders>
              <w:bottom w:val="single" w:sz="8" w:color="FCEFEB"/>
            </w:tcBorders>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207"/>
        </w:trPr>
        <w:tc>
          <w:tcPr>
            <w:tcW w:w="4640" w:type="dxa"/>
            <w:vAlign w:val="bottom"/>
            <w:tcBorders>
              <w:top w:val="single" w:sz="8" w:color="005C5D"/>
            </w:tcBorders>
          </w:tcPr>
          <w:p>
            <w:pPr>
              <w:ind w:left="80"/>
              <w:spacing w:after="0"/>
              <w:rPr>
                <w:sz w:val="20"/>
                <w:szCs w:val="20"/>
                <w:color w:val="auto"/>
              </w:rPr>
            </w:pPr>
            <w:r>
              <w:rPr>
                <w:rFonts w:ascii="Arial" w:cs="Arial" w:eastAsia="Arial" w:hAnsi="Arial"/>
                <w:sz w:val="14"/>
                <w:szCs w:val="14"/>
                <w:b w:val="1"/>
                <w:bCs w:val="1"/>
                <w:color w:val="005C5D"/>
              </w:rPr>
              <w:t>Martin Layding</w:t>
            </w:r>
            <w:r>
              <w:rPr>
                <w:rFonts w:ascii="Arial" w:cs="Arial" w:eastAsia="Arial" w:hAnsi="Arial"/>
                <w:sz w:val="8"/>
                <w:szCs w:val="8"/>
                <w:b w:val="1"/>
                <w:bCs w:val="1"/>
                <w:color w:val="337C7D"/>
              </w:rPr>
              <w:t>(4)</w:t>
            </w:r>
          </w:p>
        </w:tc>
        <w:tc>
          <w:tcPr>
            <w:tcW w:w="760" w:type="dxa"/>
            <w:vAlign w:val="bottom"/>
            <w:tcBorders>
              <w:top w:val="single" w:sz="8" w:color="005C5D"/>
            </w:tcBorders>
            <w:shd w:val="clear" w:color="auto" w:fill="FCEFEB"/>
          </w:tcPr>
          <w:p>
            <w:pPr>
              <w:spacing w:after="0"/>
              <w:rPr>
                <w:sz w:val="18"/>
                <w:szCs w:val="18"/>
                <w:color w:val="auto"/>
              </w:rPr>
            </w:pPr>
          </w:p>
        </w:tc>
        <w:tc>
          <w:tcPr>
            <w:tcW w:w="900" w:type="dxa"/>
            <w:vAlign w:val="bottom"/>
            <w:tcBorders>
              <w:top w:val="single" w:sz="8" w:color="005C5D"/>
            </w:tcBorders>
            <w:shd w:val="clear" w:color="auto" w:fill="FCEFEB"/>
          </w:tcPr>
          <w:p>
            <w:pPr>
              <w:spacing w:after="0"/>
              <w:rPr>
                <w:sz w:val="18"/>
                <w:szCs w:val="18"/>
                <w:color w:val="auto"/>
              </w:rPr>
            </w:pPr>
          </w:p>
        </w:tc>
        <w:tc>
          <w:tcPr>
            <w:tcW w:w="760" w:type="dxa"/>
            <w:vAlign w:val="bottom"/>
            <w:tcBorders>
              <w:top w:val="single" w:sz="8" w:color="005C5D"/>
            </w:tcBorders>
            <w:shd w:val="clear" w:color="auto" w:fill="FCEFEB"/>
          </w:tcPr>
          <w:p>
            <w:pPr>
              <w:spacing w:after="0"/>
              <w:rPr>
                <w:sz w:val="18"/>
                <w:szCs w:val="18"/>
                <w:color w:val="auto"/>
              </w:rPr>
            </w:pPr>
          </w:p>
        </w:tc>
        <w:tc>
          <w:tcPr>
            <w:tcW w:w="1120" w:type="dxa"/>
            <w:vAlign w:val="bottom"/>
            <w:tcBorders>
              <w:top w:val="single" w:sz="8" w:color="005C5D"/>
            </w:tcBorders>
            <w:shd w:val="clear" w:color="auto" w:fill="FCEFEB"/>
          </w:tcPr>
          <w:p>
            <w:pPr>
              <w:spacing w:after="0"/>
              <w:rPr>
                <w:sz w:val="18"/>
                <w:szCs w:val="18"/>
                <w:color w:val="auto"/>
              </w:rPr>
            </w:pPr>
          </w:p>
        </w:tc>
        <w:tc>
          <w:tcPr>
            <w:tcW w:w="340" w:type="dxa"/>
            <w:vAlign w:val="bottom"/>
            <w:tcBorders>
              <w:top w:val="single" w:sz="8" w:color="005C5D"/>
            </w:tcBorders>
            <w:shd w:val="clear" w:color="auto" w:fill="FCEFEB"/>
          </w:tcPr>
          <w:p>
            <w:pPr>
              <w:spacing w:after="0"/>
              <w:rPr>
                <w:sz w:val="18"/>
                <w:szCs w:val="18"/>
                <w:color w:val="auto"/>
              </w:rPr>
            </w:pPr>
          </w:p>
        </w:tc>
        <w:tc>
          <w:tcPr>
            <w:tcW w:w="1140" w:type="dxa"/>
            <w:vAlign w:val="bottom"/>
            <w:tcBorders>
              <w:top w:val="single" w:sz="8" w:color="005C5D"/>
            </w:tcBorders>
            <w:shd w:val="clear" w:color="auto" w:fill="FCEFEB"/>
          </w:tcPr>
          <w:p>
            <w:pPr>
              <w:spacing w:after="0"/>
              <w:rPr>
                <w:sz w:val="18"/>
                <w:szCs w:val="18"/>
                <w:color w:val="auto"/>
              </w:rPr>
            </w:pPr>
          </w:p>
        </w:tc>
        <w:tc>
          <w:tcPr>
            <w:tcW w:w="500" w:type="dxa"/>
            <w:vAlign w:val="bottom"/>
            <w:tcBorders>
              <w:top w:val="single" w:sz="8" w:color="005C5D"/>
            </w:tcBorders>
            <w:shd w:val="clear" w:color="auto" w:fill="FCEFEB"/>
          </w:tcPr>
          <w:p>
            <w:pPr>
              <w:spacing w:after="0"/>
              <w:rPr>
                <w:sz w:val="18"/>
                <w:szCs w:val="18"/>
                <w:color w:val="auto"/>
              </w:rPr>
            </w:pPr>
          </w:p>
        </w:tc>
        <w:tc>
          <w:tcPr>
            <w:tcW w:w="760" w:type="dxa"/>
            <w:vAlign w:val="bottom"/>
            <w:tcBorders>
              <w:top w:val="single" w:sz="8" w:color="005C5D"/>
            </w:tcBorders>
            <w:shd w:val="clear" w:color="auto" w:fill="FCEFEB"/>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Cash</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COBRA</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Value of unvested shares that would be accelerated</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spacing w:after="0"/>
              <w:rPr>
                <w:sz w:val="13"/>
                <w:szCs w:val="13"/>
                <w:color w:val="auto"/>
              </w:rPr>
            </w:pP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spacing w:after="0"/>
              <w:rPr>
                <w:sz w:val="13"/>
                <w:szCs w:val="13"/>
                <w:color w:val="auto"/>
              </w:rPr>
            </w:pP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spacing w:after="0"/>
              <w:rPr>
                <w:sz w:val="13"/>
                <w:szCs w:val="13"/>
                <w:color w:val="auto"/>
              </w:rPr>
            </w:pP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—TRSU</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147"/>
        </w:trPr>
        <w:tc>
          <w:tcPr>
            <w:tcW w:w="4640" w:type="dxa"/>
            <w:vAlign w:val="bottom"/>
          </w:tcPr>
          <w:p>
            <w:pPr>
              <w:ind w:left="80"/>
              <w:spacing w:after="0" w:line="147" w:lineRule="exact"/>
              <w:rPr>
                <w:sz w:val="20"/>
                <w:szCs w:val="20"/>
                <w:color w:val="auto"/>
              </w:rPr>
            </w:pPr>
            <w:r>
              <w:rPr>
                <w:rFonts w:ascii="Arial" w:cs="Arial" w:eastAsia="Arial" w:hAnsi="Arial"/>
                <w:sz w:val="14"/>
                <w:szCs w:val="14"/>
                <w:color w:val="333333"/>
              </w:rPr>
              <w:t>—PRSU</w:t>
            </w:r>
          </w:p>
        </w:tc>
        <w:tc>
          <w:tcPr>
            <w:tcW w:w="760" w:type="dxa"/>
            <w:vAlign w:val="bottom"/>
            <w:shd w:val="clear" w:color="auto" w:fill="FCEFEB"/>
          </w:tcPr>
          <w:p>
            <w:pPr>
              <w:spacing w:after="0"/>
              <w:rPr>
                <w:sz w:val="12"/>
                <w:szCs w:val="12"/>
                <w:color w:val="auto"/>
              </w:rPr>
            </w:pPr>
          </w:p>
        </w:tc>
        <w:tc>
          <w:tcPr>
            <w:tcW w:w="900" w:type="dxa"/>
            <w:vAlign w:val="bottom"/>
            <w:shd w:val="clear" w:color="auto" w:fill="FCEFEB"/>
          </w:tcPr>
          <w:p>
            <w:pPr>
              <w:jc w:val="right"/>
              <w:ind w:right="109"/>
              <w:spacing w:after="0" w:line="147" w:lineRule="exact"/>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spacing w:after="0"/>
              <w:rPr>
                <w:sz w:val="12"/>
                <w:szCs w:val="12"/>
                <w:color w:val="auto"/>
              </w:rPr>
            </w:pPr>
          </w:p>
        </w:tc>
        <w:tc>
          <w:tcPr>
            <w:tcW w:w="1120" w:type="dxa"/>
            <w:vAlign w:val="bottom"/>
            <w:shd w:val="clear" w:color="auto" w:fill="FCEFEB"/>
          </w:tcPr>
          <w:p>
            <w:pPr>
              <w:jc w:val="right"/>
              <w:ind w:right="349"/>
              <w:spacing w:after="0" w:line="147" w:lineRule="exact"/>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2"/>
                <w:szCs w:val="12"/>
                <w:color w:val="auto"/>
              </w:rPr>
            </w:pPr>
          </w:p>
        </w:tc>
        <w:tc>
          <w:tcPr>
            <w:tcW w:w="1140" w:type="dxa"/>
            <w:vAlign w:val="bottom"/>
            <w:shd w:val="clear" w:color="auto" w:fill="FCEFEB"/>
          </w:tcPr>
          <w:p>
            <w:pPr>
              <w:jc w:val="right"/>
              <w:ind w:right="429"/>
              <w:spacing w:after="0" w:line="147" w:lineRule="exact"/>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2"/>
                <w:szCs w:val="12"/>
                <w:color w:val="auto"/>
              </w:rPr>
            </w:pPr>
          </w:p>
        </w:tc>
        <w:tc>
          <w:tcPr>
            <w:tcW w:w="760" w:type="dxa"/>
            <w:vAlign w:val="bottom"/>
            <w:shd w:val="clear" w:color="auto" w:fill="FCEFEB"/>
          </w:tcPr>
          <w:p>
            <w:pPr>
              <w:jc w:val="right"/>
              <w:ind w:right="169"/>
              <w:spacing w:after="0" w:line="147" w:lineRule="exact"/>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241"/>
        </w:trPr>
        <w:tc>
          <w:tcPr>
            <w:tcW w:w="4640" w:type="dxa"/>
            <w:vAlign w:val="bottom"/>
            <w:tcBorders>
              <w:bottom w:val="single" w:sz="8" w:color="005C5D"/>
            </w:tcBorders>
          </w:tcPr>
          <w:p>
            <w:pPr>
              <w:ind w:left="80"/>
              <w:spacing w:after="0"/>
              <w:rPr>
                <w:sz w:val="20"/>
                <w:szCs w:val="20"/>
                <w:color w:val="auto"/>
              </w:rPr>
            </w:pPr>
            <w:r>
              <w:rPr>
                <w:rFonts w:ascii="Arial" w:cs="Arial" w:eastAsia="Arial" w:hAnsi="Arial"/>
                <w:sz w:val="14"/>
                <w:szCs w:val="14"/>
                <w:color w:val="333333"/>
              </w:rPr>
              <w:t>Other</w:t>
            </w:r>
            <w:r>
              <w:rPr>
                <w:rFonts w:ascii="Arial" w:cs="Arial" w:eastAsia="Arial" w:hAnsi="Arial"/>
                <w:sz w:val="21"/>
                <w:szCs w:val="21"/>
                <w:color w:val="333333"/>
                <w:vertAlign w:val="superscript"/>
              </w:rPr>
              <w:t>(13)</w:t>
            </w:r>
          </w:p>
        </w:tc>
        <w:tc>
          <w:tcPr>
            <w:tcW w:w="760" w:type="dxa"/>
            <w:vAlign w:val="bottom"/>
            <w:tcBorders>
              <w:bottom w:val="single" w:sz="8" w:color="005C5D"/>
            </w:tcBorders>
            <w:shd w:val="clear" w:color="auto" w:fill="FCEFEB"/>
          </w:tcPr>
          <w:p>
            <w:pPr>
              <w:spacing w:after="0"/>
              <w:rPr>
                <w:sz w:val="20"/>
                <w:szCs w:val="20"/>
                <w:color w:val="auto"/>
              </w:rPr>
            </w:pPr>
          </w:p>
        </w:tc>
        <w:tc>
          <w:tcPr>
            <w:tcW w:w="900" w:type="dxa"/>
            <w:vAlign w:val="bottom"/>
            <w:tcBorders>
              <w:bottom w:val="single" w:sz="8" w:color="005C5D"/>
            </w:tcBorders>
            <w:shd w:val="clear" w:color="auto" w:fill="FCEFEB"/>
          </w:tcPr>
          <w:p>
            <w:pPr>
              <w:jc w:val="right"/>
              <w:ind w:right="109"/>
              <w:spacing w:after="0"/>
              <w:rPr>
                <w:sz w:val="20"/>
                <w:szCs w:val="20"/>
                <w:color w:val="auto"/>
              </w:rPr>
            </w:pPr>
            <w:r>
              <w:rPr>
                <w:rFonts w:ascii="Arial" w:cs="Arial" w:eastAsia="Arial" w:hAnsi="Arial"/>
                <w:sz w:val="14"/>
                <w:szCs w:val="14"/>
                <w:color w:val="333333"/>
              </w:rPr>
              <w:t>50,058</w:t>
            </w:r>
          </w:p>
        </w:tc>
        <w:tc>
          <w:tcPr>
            <w:tcW w:w="760" w:type="dxa"/>
            <w:vAlign w:val="bottom"/>
            <w:tcBorders>
              <w:bottom w:val="single" w:sz="8" w:color="005C5D"/>
            </w:tcBorders>
            <w:shd w:val="clear" w:color="auto" w:fill="FCEFEB"/>
          </w:tcPr>
          <w:p>
            <w:pPr>
              <w:spacing w:after="0"/>
              <w:rPr>
                <w:sz w:val="20"/>
                <w:szCs w:val="20"/>
                <w:color w:val="auto"/>
              </w:rPr>
            </w:pPr>
          </w:p>
        </w:tc>
        <w:tc>
          <w:tcPr>
            <w:tcW w:w="1120" w:type="dxa"/>
            <w:vAlign w:val="bottom"/>
            <w:tcBorders>
              <w:bottom w:val="single" w:sz="8" w:color="005C5D"/>
            </w:tcBorders>
            <w:shd w:val="clear" w:color="auto" w:fill="FCEFEB"/>
          </w:tcPr>
          <w:p>
            <w:pPr>
              <w:jc w:val="right"/>
              <w:ind w:right="349"/>
              <w:spacing w:after="0"/>
              <w:rPr>
                <w:sz w:val="20"/>
                <w:szCs w:val="20"/>
                <w:color w:val="auto"/>
              </w:rPr>
            </w:pPr>
            <w:r>
              <w:rPr>
                <w:rFonts w:ascii="Arial" w:cs="Arial" w:eastAsia="Arial" w:hAnsi="Arial"/>
                <w:sz w:val="14"/>
                <w:szCs w:val="14"/>
                <w:color w:val="333333"/>
              </w:rPr>
              <w:t>50,058</w:t>
            </w:r>
          </w:p>
        </w:tc>
        <w:tc>
          <w:tcPr>
            <w:tcW w:w="340" w:type="dxa"/>
            <w:vAlign w:val="bottom"/>
            <w:tcBorders>
              <w:bottom w:val="single" w:sz="8" w:color="005C5D"/>
            </w:tcBorders>
            <w:shd w:val="clear" w:color="auto" w:fill="FCEFEB"/>
          </w:tcPr>
          <w:p>
            <w:pPr>
              <w:spacing w:after="0"/>
              <w:rPr>
                <w:sz w:val="20"/>
                <w:szCs w:val="20"/>
                <w:color w:val="auto"/>
              </w:rPr>
            </w:pPr>
          </w:p>
        </w:tc>
        <w:tc>
          <w:tcPr>
            <w:tcW w:w="1140" w:type="dxa"/>
            <w:vAlign w:val="bottom"/>
            <w:tcBorders>
              <w:bottom w:val="single" w:sz="8" w:color="005C5D"/>
            </w:tcBorders>
            <w:shd w:val="clear" w:color="auto" w:fill="FCEFEB"/>
          </w:tcPr>
          <w:p>
            <w:pPr>
              <w:jc w:val="right"/>
              <w:ind w:right="429"/>
              <w:spacing w:after="0"/>
              <w:rPr>
                <w:sz w:val="20"/>
                <w:szCs w:val="20"/>
                <w:color w:val="auto"/>
              </w:rPr>
            </w:pPr>
            <w:r>
              <w:rPr>
                <w:rFonts w:ascii="Arial" w:cs="Arial" w:eastAsia="Arial" w:hAnsi="Arial"/>
                <w:sz w:val="14"/>
                <w:szCs w:val="14"/>
                <w:color w:val="333333"/>
              </w:rPr>
              <w:t>50,058</w:t>
            </w:r>
          </w:p>
        </w:tc>
        <w:tc>
          <w:tcPr>
            <w:tcW w:w="500" w:type="dxa"/>
            <w:vAlign w:val="bottom"/>
            <w:tcBorders>
              <w:bottom w:val="single" w:sz="8" w:color="005C5D"/>
            </w:tcBorders>
            <w:shd w:val="clear" w:color="auto" w:fill="FCEFEB"/>
          </w:tcPr>
          <w:p>
            <w:pPr>
              <w:spacing w:after="0"/>
              <w:rPr>
                <w:sz w:val="20"/>
                <w:szCs w:val="20"/>
                <w:color w:val="auto"/>
              </w:rPr>
            </w:pPr>
          </w:p>
        </w:tc>
        <w:tc>
          <w:tcPr>
            <w:tcW w:w="760" w:type="dxa"/>
            <w:vAlign w:val="bottom"/>
            <w:tcBorders>
              <w:bottom w:val="single" w:sz="8" w:color="005C5D"/>
            </w:tcBorders>
            <w:shd w:val="clear" w:color="auto" w:fill="FCEFEB"/>
          </w:tcPr>
          <w:p>
            <w:pPr>
              <w:jc w:val="right"/>
              <w:ind w:right="169"/>
              <w:spacing w:after="0"/>
              <w:rPr>
                <w:sz w:val="20"/>
                <w:szCs w:val="20"/>
                <w:color w:val="auto"/>
              </w:rPr>
            </w:pPr>
            <w:r>
              <w:rPr>
                <w:rFonts w:ascii="Arial" w:cs="Arial" w:eastAsia="Arial" w:hAnsi="Arial"/>
                <w:sz w:val="14"/>
                <w:szCs w:val="14"/>
                <w:color w:val="333333"/>
              </w:rPr>
              <w:t>50,058</w:t>
            </w:r>
          </w:p>
        </w:tc>
        <w:tc>
          <w:tcPr>
            <w:tcW w:w="0" w:type="dxa"/>
            <w:vAlign w:val="bottom"/>
          </w:tcPr>
          <w:p>
            <w:pPr>
              <w:spacing w:after="0"/>
              <w:rPr>
                <w:sz w:val="1"/>
                <w:szCs w:val="1"/>
                <w:color w:val="auto"/>
              </w:rPr>
            </w:pPr>
          </w:p>
        </w:tc>
      </w:tr>
      <w:tr>
        <w:trPr>
          <w:trHeight w:val="207"/>
        </w:trPr>
        <w:tc>
          <w:tcPr>
            <w:tcW w:w="4640" w:type="dxa"/>
            <w:vAlign w:val="bottom"/>
          </w:tcPr>
          <w:p>
            <w:pPr>
              <w:ind w:left="80"/>
              <w:spacing w:after="0" w:line="208" w:lineRule="exact"/>
              <w:rPr>
                <w:sz w:val="20"/>
                <w:szCs w:val="20"/>
                <w:color w:val="auto"/>
              </w:rPr>
            </w:pPr>
            <w:r>
              <w:rPr>
                <w:rFonts w:ascii="Arial" w:cs="Arial" w:eastAsia="Arial" w:hAnsi="Arial"/>
                <w:sz w:val="14"/>
                <w:szCs w:val="14"/>
                <w:b w:val="1"/>
                <w:bCs w:val="1"/>
                <w:color w:val="005C5D"/>
              </w:rPr>
              <w:t>Michael Schwindle</w:t>
            </w:r>
            <w:r>
              <w:rPr>
                <w:rFonts w:ascii="Arial" w:cs="Arial" w:eastAsia="Arial" w:hAnsi="Arial"/>
                <w:sz w:val="21"/>
                <w:szCs w:val="21"/>
                <w:b w:val="1"/>
                <w:bCs w:val="1"/>
                <w:color w:val="337C7D"/>
                <w:vertAlign w:val="superscript"/>
              </w:rPr>
              <w:t>(5)</w:t>
            </w:r>
          </w:p>
        </w:tc>
        <w:tc>
          <w:tcPr>
            <w:tcW w:w="760" w:type="dxa"/>
            <w:vAlign w:val="bottom"/>
            <w:shd w:val="clear" w:color="auto" w:fill="FCEFEB"/>
          </w:tcPr>
          <w:p>
            <w:pPr>
              <w:spacing w:after="0"/>
              <w:rPr>
                <w:sz w:val="18"/>
                <w:szCs w:val="18"/>
                <w:color w:val="auto"/>
              </w:rPr>
            </w:pPr>
          </w:p>
        </w:tc>
        <w:tc>
          <w:tcPr>
            <w:tcW w:w="900" w:type="dxa"/>
            <w:vAlign w:val="bottom"/>
            <w:shd w:val="clear" w:color="auto" w:fill="FCEFEB"/>
          </w:tcPr>
          <w:p>
            <w:pPr>
              <w:spacing w:after="0"/>
              <w:rPr>
                <w:sz w:val="18"/>
                <w:szCs w:val="18"/>
                <w:color w:val="auto"/>
              </w:rPr>
            </w:pPr>
          </w:p>
        </w:tc>
        <w:tc>
          <w:tcPr>
            <w:tcW w:w="760" w:type="dxa"/>
            <w:vAlign w:val="bottom"/>
            <w:shd w:val="clear" w:color="auto" w:fill="FCEFEB"/>
          </w:tcPr>
          <w:p>
            <w:pPr>
              <w:spacing w:after="0"/>
              <w:rPr>
                <w:sz w:val="18"/>
                <w:szCs w:val="18"/>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8"/>
                <w:szCs w:val="18"/>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8"/>
                <w:szCs w:val="18"/>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Cash</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687,843</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COBRA</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spacing w:after="0"/>
              <w:rPr>
                <w:sz w:val="13"/>
                <w:szCs w:val="13"/>
                <w:color w:val="auto"/>
              </w:rPr>
            </w:pP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spacing w:after="0"/>
              <w:rPr>
                <w:sz w:val="13"/>
                <w:szCs w:val="13"/>
                <w:color w:val="auto"/>
              </w:rPr>
            </w:pP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Value of unvested shares that would be accelerated</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spacing w:after="0"/>
              <w:rPr>
                <w:sz w:val="13"/>
                <w:szCs w:val="13"/>
                <w:color w:val="auto"/>
              </w:rPr>
            </w:pP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—TRSU</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—PRSU</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227"/>
        </w:trPr>
        <w:tc>
          <w:tcPr>
            <w:tcW w:w="4640" w:type="dxa"/>
            <w:vAlign w:val="bottom"/>
          </w:tcPr>
          <w:p>
            <w:pPr>
              <w:ind w:left="80"/>
              <w:spacing w:after="0"/>
              <w:rPr>
                <w:sz w:val="20"/>
                <w:szCs w:val="20"/>
                <w:color w:val="auto"/>
              </w:rPr>
            </w:pPr>
            <w:r>
              <w:rPr>
                <w:rFonts w:ascii="Arial" w:cs="Arial" w:eastAsia="Arial" w:hAnsi="Arial"/>
                <w:sz w:val="14"/>
                <w:szCs w:val="14"/>
                <w:color w:val="333333"/>
              </w:rPr>
              <w:t>Other</w:t>
            </w:r>
          </w:p>
        </w:tc>
        <w:tc>
          <w:tcPr>
            <w:tcW w:w="760" w:type="dxa"/>
            <w:vAlign w:val="bottom"/>
            <w:tcBorders>
              <w:bottom w:val="single" w:sz="8" w:color="FCEFEB"/>
            </w:tcBorders>
            <w:shd w:val="clear" w:color="auto" w:fill="FCEFEB"/>
          </w:tcPr>
          <w:p>
            <w:pPr>
              <w:spacing w:after="0"/>
              <w:rPr>
                <w:sz w:val="19"/>
                <w:szCs w:val="19"/>
                <w:color w:val="auto"/>
              </w:rPr>
            </w:pPr>
          </w:p>
        </w:tc>
        <w:tc>
          <w:tcPr>
            <w:tcW w:w="900" w:type="dxa"/>
            <w:vAlign w:val="bottom"/>
            <w:tcBorders>
              <w:bottom w:val="single" w:sz="8" w:color="FCEFEB"/>
            </w:tcBorders>
            <w:shd w:val="clear" w:color="auto" w:fill="FCEFEB"/>
          </w:tcPr>
          <w:p>
            <w:pPr>
              <w:jc w:val="right"/>
              <w:ind w:right="109"/>
              <w:spacing w:after="0"/>
              <w:rPr>
                <w:sz w:val="20"/>
                <w:szCs w:val="20"/>
                <w:color w:val="auto"/>
              </w:rPr>
            </w:pPr>
            <w:r>
              <w:rPr>
                <w:rFonts w:ascii="Arial" w:cs="Arial" w:eastAsia="Arial" w:hAnsi="Arial"/>
                <w:sz w:val="14"/>
                <w:szCs w:val="14"/>
                <w:color w:val="333333"/>
              </w:rPr>
              <w:t>16,222</w:t>
            </w:r>
          </w:p>
        </w:tc>
        <w:tc>
          <w:tcPr>
            <w:tcW w:w="760" w:type="dxa"/>
            <w:vAlign w:val="bottom"/>
            <w:tcBorders>
              <w:bottom w:val="single" w:sz="8" w:color="FCEFEB"/>
            </w:tcBorders>
            <w:shd w:val="clear" w:color="auto" w:fill="FCEFEB"/>
          </w:tcPr>
          <w:p>
            <w:pPr>
              <w:spacing w:after="0"/>
              <w:rPr>
                <w:sz w:val="19"/>
                <w:szCs w:val="19"/>
                <w:color w:val="auto"/>
              </w:rPr>
            </w:pPr>
          </w:p>
        </w:tc>
        <w:tc>
          <w:tcPr>
            <w:tcW w:w="1120" w:type="dxa"/>
            <w:vAlign w:val="bottom"/>
            <w:tcBorders>
              <w:bottom w:val="single" w:sz="8" w:color="FCEFEB"/>
            </w:tcBorders>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tcBorders>
              <w:bottom w:val="single" w:sz="8" w:color="FCEFEB"/>
            </w:tcBorders>
            <w:shd w:val="clear" w:color="auto" w:fill="FCEFEB"/>
          </w:tcPr>
          <w:p>
            <w:pPr>
              <w:spacing w:after="0"/>
              <w:rPr>
                <w:sz w:val="19"/>
                <w:szCs w:val="19"/>
                <w:color w:val="auto"/>
              </w:rPr>
            </w:pPr>
          </w:p>
        </w:tc>
        <w:tc>
          <w:tcPr>
            <w:tcW w:w="1140" w:type="dxa"/>
            <w:vAlign w:val="bottom"/>
            <w:tcBorders>
              <w:bottom w:val="single" w:sz="8" w:color="FCEFEB"/>
            </w:tcBorders>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tcBorders>
              <w:bottom w:val="single" w:sz="8" w:color="FCEFEB"/>
            </w:tcBorders>
            <w:shd w:val="clear" w:color="auto" w:fill="FCEFEB"/>
          </w:tcPr>
          <w:p>
            <w:pPr>
              <w:spacing w:after="0"/>
              <w:rPr>
                <w:sz w:val="19"/>
                <w:szCs w:val="19"/>
                <w:color w:val="auto"/>
              </w:rPr>
            </w:pPr>
          </w:p>
        </w:tc>
        <w:tc>
          <w:tcPr>
            <w:tcW w:w="760" w:type="dxa"/>
            <w:vAlign w:val="bottom"/>
            <w:tcBorders>
              <w:bottom w:val="single" w:sz="8" w:color="FCEFEB"/>
            </w:tcBorders>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207"/>
        </w:trPr>
        <w:tc>
          <w:tcPr>
            <w:tcW w:w="4640" w:type="dxa"/>
            <w:vAlign w:val="bottom"/>
            <w:tcBorders>
              <w:top w:val="single" w:sz="8" w:color="005C5D"/>
            </w:tcBorders>
          </w:tcPr>
          <w:p>
            <w:pPr>
              <w:ind w:left="80"/>
              <w:spacing w:after="0"/>
              <w:rPr>
                <w:sz w:val="20"/>
                <w:szCs w:val="20"/>
                <w:color w:val="auto"/>
              </w:rPr>
            </w:pPr>
            <w:r>
              <w:rPr>
                <w:rFonts w:ascii="Arial" w:cs="Arial" w:eastAsia="Arial" w:hAnsi="Arial"/>
                <w:sz w:val="14"/>
                <w:szCs w:val="14"/>
                <w:b w:val="1"/>
                <w:bCs w:val="1"/>
                <w:color w:val="005C5D"/>
              </w:rPr>
              <w:t>Mark C. Dely</w:t>
            </w:r>
          </w:p>
        </w:tc>
        <w:tc>
          <w:tcPr>
            <w:tcW w:w="760" w:type="dxa"/>
            <w:vAlign w:val="bottom"/>
            <w:tcBorders>
              <w:top w:val="single" w:sz="8" w:color="005C5D"/>
            </w:tcBorders>
            <w:shd w:val="clear" w:color="auto" w:fill="FCEFEB"/>
          </w:tcPr>
          <w:p>
            <w:pPr>
              <w:spacing w:after="0"/>
              <w:rPr>
                <w:sz w:val="18"/>
                <w:szCs w:val="18"/>
                <w:color w:val="auto"/>
              </w:rPr>
            </w:pPr>
          </w:p>
        </w:tc>
        <w:tc>
          <w:tcPr>
            <w:tcW w:w="900" w:type="dxa"/>
            <w:vAlign w:val="bottom"/>
            <w:tcBorders>
              <w:top w:val="single" w:sz="8" w:color="005C5D"/>
            </w:tcBorders>
            <w:vMerge w:val="restart"/>
            <w:shd w:val="clear" w:color="auto" w:fill="FCEFEB"/>
          </w:tcPr>
          <w:p>
            <w:pPr>
              <w:jc w:val="right"/>
              <w:spacing w:after="0"/>
              <w:rPr>
                <w:sz w:val="20"/>
                <w:szCs w:val="20"/>
                <w:color w:val="auto"/>
              </w:rPr>
            </w:pPr>
            <w:r>
              <w:rPr>
                <w:rFonts w:ascii="Arial" w:cs="Arial" w:eastAsia="Arial" w:hAnsi="Arial"/>
                <w:sz w:val="14"/>
                <w:szCs w:val="14"/>
                <w:color w:val="333333"/>
              </w:rPr>
              <w:t>972,030</w:t>
            </w:r>
            <w:r>
              <w:rPr>
                <w:rFonts w:ascii="Arial" w:cs="Arial" w:eastAsia="Arial" w:hAnsi="Arial"/>
                <w:sz w:val="21"/>
                <w:szCs w:val="21"/>
                <w:color w:val="333333"/>
                <w:vertAlign w:val="superscript"/>
              </w:rPr>
              <w:t>(6)</w:t>
            </w:r>
          </w:p>
        </w:tc>
        <w:tc>
          <w:tcPr>
            <w:tcW w:w="760" w:type="dxa"/>
            <w:vAlign w:val="bottom"/>
            <w:tcBorders>
              <w:top w:val="single" w:sz="8" w:color="005C5D"/>
            </w:tcBorders>
            <w:shd w:val="clear" w:color="auto" w:fill="FCEFEB"/>
          </w:tcPr>
          <w:p>
            <w:pPr>
              <w:spacing w:after="0"/>
              <w:rPr>
                <w:sz w:val="18"/>
                <w:szCs w:val="18"/>
                <w:color w:val="auto"/>
              </w:rPr>
            </w:pPr>
          </w:p>
        </w:tc>
        <w:tc>
          <w:tcPr>
            <w:tcW w:w="1120" w:type="dxa"/>
            <w:vAlign w:val="bottom"/>
            <w:tcBorders>
              <w:top w:val="single" w:sz="8" w:color="005C5D"/>
            </w:tcBorders>
            <w:shd w:val="clear" w:color="auto" w:fill="FCEFEB"/>
          </w:tcPr>
          <w:p>
            <w:pPr>
              <w:spacing w:after="0"/>
              <w:rPr>
                <w:sz w:val="18"/>
                <w:szCs w:val="18"/>
                <w:color w:val="auto"/>
              </w:rPr>
            </w:pPr>
          </w:p>
        </w:tc>
        <w:tc>
          <w:tcPr>
            <w:tcW w:w="340" w:type="dxa"/>
            <w:vAlign w:val="bottom"/>
            <w:tcBorders>
              <w:top w:val="single" w:sz="8" w:color="005C5D"/>
            </w:tcBorders>
            <w:shd w:val="clear" w:color="auto" w:fill="FCEFEB"/>
          </w:tcPr>
          <w:p>
            <w:pPr>
              <w:spacing w:after="0"/>
              <w:rPr>
                <w:sz w:val="18"/>
                <w:szCs w:val="18"/>
                <w:color w:val="auto"/>
              </w:rPr>
            </w:pPr>
          </w:p>
        </w:tc>
        <w:tc>
          <w:tcPr>
            <w:tcW w:w="1140" w:type="dxa"/>
            <w:vAlign w:val="bottom"/>
            <w:tcBorders>
              <w:top w:val="single" w:sz="8" w:color="005C5D"/>
            </w:tcBorders>
            <w:vMerge w:val="restart"/>
            <w:shd w:val="clear" w:color="auto" w:fill="FCEFEB"/>
          </w:tcPr>
          <w:p>
            <w:pPr>
              <w:jc w:val="right"/>
              <w:ind w:right="289"/>
              <w:spacing w:after="0"/>
              <w:rPr>
                <w:sz w:val="20"/>
                <w:szCs w:val="20"/>
                <w:color w:val="auto"/>
              </w:rPr>
            </w:pPr>
            <w:r>
              <w:rPr>
                <w:rFonts w:ascii="Arial" w:cs="Arial" w:eastAsia="Arial" w:hAnsi="Arial"/>
                <w:sz w:val="14"/>
                <w:szCs w:val="14"/>
                <w:color w:val="333333"/>
                <w:w w:val="95"/>
              </w:rPr>
              <w:t>1,342,830</w:t>
            </w:r>
            <w:r>
              <w:rPr>
                <w:rFonts w:ascii="Arial" w:cs="Arial" w:eastAsia="Arial" w:hAnsi="Arial"/>
                <w:sz w:val="21"/>
                <w:szCs w:val="21"/>
                <w:color w:val="333333"/>
                <w:w w:val="95"/>
                <w:vertAlign w:val="superscript"/>
              </w:rPr>
              <w:t>(7)</w:t>
            </w:r>
          </w:p>
        </w:tc>
        <w:tc>
          <w:tcPr>
            <w:tcW w:w="500" w:type="dxa"/>
            <w:vAlign w:val="bottom"/>
            <w:tcBorders>
              <w:top w:val="single" w:sz="8" w:color="005C5D"/>
            </w:tcBorders>
            <w:shd w:val="clear" w:color="auto" w:fill="FCEFEB"/>
          </w:tcPr>
          <w:p>
            <w:pPr>
              <w:spacing w:after="0"/>
              <w:rPr>
                <w:sz w:val="18"/>
                <w:szCs w:val="18"/>
                <w:color w:val="auto"/>
              </w:rPr>
            </w:pPr>
          </w:p>
        </w:tc>
        <w:tc>
          <w:tcPr>
            <w:tcW w:w="760" w:type="dxa"/>
            <w:vAlign w:val="bottom"/>
            <w:tcBorders>
              <w:top w:val="single" w:sz="8" w:color="005C5D"/>
            </w:tcBorders>
            <w:vMerge w:val="restart"/>
            <w:shd w:val="clear" w:color="auto" w:fill="FCEFEB"/>
          </w:tcPr>
          <w:p>
            <w:pPr>
              <w:jc w:val="right"/>
              <w:ind w:right="29"/>
              <w:spacing w:after="0"/>
              <w:rPr>
                <w:sz w:val="20"/>
                <w:szCs w:val="20"/>
                <w:color w:val="auto"/>
              </w:rPr>
            </w:pPr>
            <w:r>
              <w:rPr>
                <w:rFonts w:ascii="Arial" w:cs="Arial" w:eastAsia="Arial" w:hAnsi="Arial"/>
                <w:sz w:val="14"/>
                <w:szCs w:val="14"/>
                <w:color w:val="333333"/>
              </w:rPr>
              <w:t>45,029</w:t>
            </w:r>
            <w:r>
              <w:rPr>
                <w:rFonts w:ascii="Arial" w:cs="Arial" w:eastAsia="Arial" w:hAnsi="Arial"/>
                <w:sz w:val="21"/>
                <w:szCs w:val="21"/>
                <w:color w:val="333333"/>
                <w:vertAlign w:val="superscript"/>
              </w:rPr>
              <w:t>(8)</w:t>
            </w:r>
          </w:p>
        </w:tc>
        <w:tc>
          <w:tcPr>
            <w:tcW w:w="0" w:type="dxa"/>
            <w:vAlign w:val="bottom"/>
          </w:tcPr>
          <w:p>
            <w:pPr>
              <w:spacing w:after="0"/>
              <w:rPr>
                <w:sz w:val="1"/>
                <w:szCs w:val="1"/>
                <w:color w:val="auto"/>
              </w:rPr>
            </w:pPr>
          </w:p>
        </w:tc>
      </w:tr>
      <w:tr>
        <w:trPr>
          <w:trHeight w:val="147"/>
        </w:trPr>
        <w:tc>
          <w:tcPr>
            <w:tcW w:w="4640" w:type="dxa"/>
            <w:vAlign w:val="bottom"/>
          </w:tcPr>
          <w:p>
            <w:pPr>
              <w:ind w:left="80"/>
              <w:spacing w:after="0" w:line="147" w:lineRule="exact"/>
              <w:rPr>
                <w:sz w:val="20"/>
                <w:szCs w:val="20"/>
                <w:color w:val="auto"/>
              </w:rPr>
            </w:pPr>
            <w:r>
              <w:rPr>
                <w:rFonts w:ascii="Arial" w:cs="Arial" w:eastAsia="Arial" w:hAnsi="Arial"/>
                <w:sz w:val="14"/>
                <w:szCs w:val="14"/>
                <w:color w:val="333333"/>
              </w:rPr>
              <w:t>Cash</w:t>
            </w:r>
          </w:p>
        </w:tc>
        <w:tc>
          <w:tcPr>
            <w:tcW w:w="760" w:type="dxa"/>
            <w:vAlign w:val="bottom"/>
            <w:shd w:val="clear" w:color="auto" w:fill="FCEFEB"/>
          </w:tcPr>
          <w:p>
            <w:pPr>
              <w:spacing w:after="0"/>
              <w:rPr>
                <w:sz w:val="12"/>
                <w:szCs w:val="12"/>
                <w:color w:val="auto"/>
              </w:rPr>
            </w:pPr>
          </w:p>
        </w:tc>
        <w:tc>
          <w:tcPr>
            <w:tcW w:w="900" w:type="dxa"/>
            <w:vAlign w:val="bottom"/>
            <w:vMerge w:val="continue"/>
            <w:shd w:val="clear" w:color="auto" w:fill="FCEFEB"/>
          </w:tcPr>
          <w:p>
            <w:pPr>
              <w:spacing w:after="0"/>
              <w:rPr>
                <w:sz w:val="12"/>
                <w:szCs w:val="12"/>
                <w:color w:val="auto"/>
              </w:rPr>
            </w:pPr>
          </w:p>
        </w:tc>
        <w:tc>
          <w:tcPr>
            <w:tcW w:w="760" w:type="dxa"/>
            <w:vAlign w:val="bottom"/>
            <w:shd w:val="clear" w:color="auto" w:fill="FCEFEB"/>
          </w:tcPr>
          <w:p>
            <w:pPr>
              <w:spacing w:after="0"/>
              <w:rPr>
                <w:sz w:val="12"/>
                <w:szCs w:val="12"/>
                <w:color w:val="auto"/>
              </w:rPr>
            </w:pPr>
          </w:p>
        </w:tc>
        <w:tc>
          <w:tcPr>
            <w:tcW w:w="1120" w:type="dxa"/>
            <w:vAlign w:val="bottom"/>
            <w:shd w:val="clear" w:color="auto" w:fill="FCEFEB"/>
          </w:tcPr>
          <w:p>
            <w:pPr>
              <w:jc w:val="right"/>
              <w:ind w:right="349"/>
              <w:spacing w:after="0" w:line="147" w:lineRule="exact"/>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2"/>
                <w:szCs w:val="12"/>
                <w:color w:val="auto"/>
              </w:rPr>
            </w:pPr>
          </w:p>
        </w:tc>
        <w:tc>
          <w:tcPr>
            <w:tcW w:w="1140" w:type="dxa"/>
            <w:vAlign w:val="bottom"/>
            <w:vMerge w:val="continue"/>
            <w:shd w:val="clear" w:color="auto" w:fill="FCEFEB"/>
          </w:tcPr>
          <w:p>
            <w:pPr>
              <w:spacing w:after="0"/>
              <w:rPr>
                <w:sz w:val="12"/>
                <w:szCs w:val="12"/>
                <w:color w:val="auto"/>
              </w:rPr>
            </w:pPr>
          </w:p>
        </w:tc>
        <w:tc>
          <w:tcPr>
            <w:tcW w:w="500" w:type="dxa"/>
            <w:vAlign w:val="bottom"/>
            <w:shd w:val="clear" w:color="auto" w:fill="FCEFEB"/>
          </w:tcPr>
          <w:p>
            <w:pPr>
              <w:spacing w:after="0"/>
              <w:rPr>
                <w:sz w:val="12"/>
                <w:szCs w:val="12"/>
                <w:color w:val="auto"/>
              </w:rPr>
            </w:pPr>
          </w:p>
        </w:tc>
        <w:tc>
          <w:tcPr>
            <w:tcW w:w="760" w:type="dxa"/>
            <w:vAlign w:val="bottom"/>
            <w:vMerge w:val="continue"/>
            <w:shd w:val="clear" w:color="auto" w:fill="FCEFEB"/>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line="161" w:lineRule="exact"/>
              <w:rPr>
                <w:sz w:val="20"/>
                <w:szCs w:val="20"/>
                <w:color w:val="auto"/>
              </w:rPr>
            </w:pPr>
            <w:r>
              <w:rPr>
                <w:rFonts w:ascii="Arial" w:cs="Arial" w:eastAsia="Arial" w:hAnsi="Arial"/>
                <w:sz w:val="12"/>
                <w:szCs w:val="12"/>
                <w:color w:val="333333"/>
              </w:rPr>
              <w:t>COBRA</w:t>
            </w:r>
            <w:r>
              <w:rPr>
                <w:rFonts w:ascii="Arial" w:cs="Arial" w:eastAsia="Arial" w:hAnsi="Arial"/>
                <w:sz w:val="18"/>
                <w:szCs w:val="18"/>
                <w:color w:val="333333"/>
                <w:vertAlign w:val="superscript"/>
              </w:rPr>
              <w:t>(9)</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14,626</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14,626</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14,626</w:t>
            </w:r>
          </w:p>
        </w:tc>
        <w:tc>
          <w:tcPr>
            <w:tcW w:w="0" w:type="dxa"/>
            <w:vAlign w:val="bottom"/>
          </w:tcPr>
          <w:p>
            <w:pPr>
              <w:spacing w:after="0"/>
              <w:rPr>
                <w:sz w:val="1"/>
                <w:szCs w:val="1"/>
                <w:color w:val="auto"/>
              </w:rPr>
            </w:pPr>
          </w:p>
        </w:tc>
      </w:tr>
      <w:tr>
        <w:trPr>
          <w:trHeight w:val="174"/>
        </w:trPr>
        <w:tc>
          <w:tcPr>
            <w:tcW w:w="4640" w:type="dxa"/>
            <w:vAlign w:val="bottom"/>
          </w:tcPr>
          <w:p>
            <w:pPr>
              <w:ind w:left="80"/>
              <w:spacing w:after="0" w:line="174" w:lineRule="exact"/>
              <w:rPr>
                <w:sz w:val="20"/>
                <w:szCs w:val="20"/>
                <w:color w:val="auto"/>
              </w:rPr>
            </w:pPr>
            <w:r>
              <w:rPr>
                <w:rFonts w:ascii="Arial" w:cs="Arial" w:eastAsia="Arial" w:hAnsi="Arial"/>
                <w:sz w:val="14"/>
                <w:szCs w:val="14"/>
                <w:color w:val="333333"/>
              </w:rPr>
              <w:t>Value of unvested shares that would be accelerated</w:t>
            </w:r>
            <w:r>
              <w:rPr>
                <w:rFonts w:ascii="Arial" w:cs="Arial" w:eastAsia="Arial" w:hAnsi="Arial"/>
                <w:sz w:val="20"/>
                <w:szCs w:val="20"/>
                <w:color w:val="333333"/>
                <w:vertAlign w:val="superscript"/>
              </w:rPr>
              <w:t>(10)</w:t>
            </w:r>
          </w:p>
        </w:tc>
        <w:tc>
          <w:tcPr>
            <w:tcW w:w="760" w:type="dxa"/>
            <w:vAlign w:val="bottom"/>
            <w:shd w:val="clear" w:color="auto" w:fill="FCEFEB"/>
          </w:tcPr>
          <w:p>
            <w:pPr>
              <w:spacing w:after="0"/>
              <w:rPr>
                <w:sz w:val="15"/>
                <w:szCs w:val="15"/>
                <w:color w:val="auto"/>
              </w:rPr>
            </w:pPr>
          </w:p>
        </w:tc>
        <w:tc>
          <w:tcPr>
            <w:tcW w:w="900" w:type="dxa"/>
            <w:vAlign w:val="bottom"/>
            <w:shd w:val="clear" w:color="auto" w:fill="FCEFEB"/>
          </w:tcPr>
          <w:p>
            <w:pPr>
              <w:spacing w:after="0"/>
              <w:rPr>
                <w:sz w:val="15"/>
                <w:szCs w:val="15"/>
                <w:color w:val="auto"/>
              </w:rPr>
            </w:pPr>
          </w:p>
        </w:tc>
        <w:tc>
          <w:tcPr>
            <w:tcW w:w="760" w:type="dxa"/>
            <w:vAlign w:val="bottom"/>
            <w:shd w:val="clear" w:color="auto" w:fill="FCEFEB"/>
          </w:tcPr>
          <w:p>
            <w:pPr>
              <w:spacing w:after="0"/>
              <w:rPr>
                <w:sz w:val="15"/>
                <w:szCs w:val="15"/>
                <w:color w:val="auto"/>
              </w:rPr>
            </w:pPr>
          </w:p>
        </w:tc>
        <w:tc>
          <w:tcPr>
            <w:tcW w:w="1120" w:type="dxa"/>
            <w:vAlign w:val="bottom"/>
            <w:shd w:val="clear" w:color="auto" w:fill="FCEFEB"/>
          </w:tcPr>
          <w:p>
            <w:pPr>
              <w:spacing w:after="0"/>
              <w:rPr>
                <w:sz w:val="15"/>
                <w:szCs w:val="15"/>
                <w:color w:val="auto"/>
              </w:rPr>
            </w:pPr>
          </w:p>
        </w:tc>
        <w:tc>
          <w:tcPr>
            <w:tcW w:w="340" w:type="dxa"/>
            <w:vAlign w:val="bottom"/>
            <w:shd w:val="clear" w:color="auto" w:fill="FCEFEB"/>
          </w:tcPr>
          <w:p>
            <w:pPr>
              <w:spacing w:after="0"/>
              <w:rPr>
                <w:sz w:val="15"/>
                <w:szCs w:val="15"/>
                <w:color w:val="auto"/>
              </w:rPr>
            </w:pPr>
          </w:p>
        </w:tc>
        <w:tc>
          <w:tcPr>
            <w:tcW w:w="1140" w:type="dxa"/>
            <w:vAlign w:val="bottom"/>
            <w:vMerge w:val="restart"/>
            <w:shd w:val="clear" w:color="auto" w:fill="FCEFEB"/>
          </w:tcPr>
          <w:p>
            <w:pPr>
              <w:jc w:val="right"/>
              <w:ind w:right="229"/>
              <w:spacing w:after="0"/>
              <w:rPr>
                <w:sz w:val="20"/>
                <w:szCs w:val="20"/>
                <w:color w:val="auto"/>
              </w:rPr>
            </w:pPr>
            <w:r>
              <w:rPr>
                <w:rFonts w:ascii="Arial" w:cs="Arial" w:eastAsia="Arial" w:hAnsi="Arial"/>
                <w:sz w:val="14"/>
                <w:szCs w:val="14"/>
                <w:color w:val="333333"/>
              </w:rPr>
              <w:t>551,722</w:t>
            </w:r>
            <w:r>
              <w:rPr>
                <w:rFonts w:ascii="Arial" w:cs="Arial" w:eastAsia="Arial" w:hAnsi="Arial"/>
                <w:sz w:val="21"/>
                <w:szCs w:val="21"/>
                <w:color w:val="333333"/>
                <w:vertAlign w:val="superscript"/>
              </w:rPr>
              <w:t>(11)</w:t>
            </w:r>
          </w:p>
        </w:tc>
        <w:tc>
          <w:tcPr>
            <w:tcW w:w="500" w:type="dxa"/>
            <w:vAlign w:val="bottom"/>
            <w:shd w:val="clear" w:color="auto" w:fill="FCEFEB"/>
          </w:tcPr>
          <w:p>
            <w:pPr>
              <w:spacing w:after="0"/>
              <w:rPr>
                <w:sz w:val="15"/>
                <w:szCs w:val="15"/>
                <w:color w:val="auto"/>
              </w:rPr>
            </w:pPr>
          </w:p>
        </w:tc>
        <w:tc>
          <w:tcPr>
            <w:tcW w:w="760" w:type="dxa"/>
            <w:vAlign w:val="bottom"/>
            <w:vMerge w:val="restart"/>
            <w:shd w:val="clear" w:color="auto" w:fill="FCEFEB"/>
          </w:tcPr>
          <w:p>
            <w:pPr>
              <w:jc w:val="right"/>
              <w:spacing w:after="0"/>
              <w:rPr>
                <w:sz w:val="20"/>
                <w:szCs w:val="20"/>
                <w:color w:val="auto"/>
              </w:rPr>
            </w:pPr>
            <w:r>
              <w:rPr>
                <w:rFonts w:ascii="Arial" w:cs="Arial" w:eastAsia="Arial" w:hAnsi="Arial"/>
                <w:sz w:val="14"/>
                <w:szCs w:val="14"/>
                <w:color w:val="333333"/>
                <w:w w:val="90"/>
              </w:rPr>
              <w:t>551,722</w:t>
            </w:r>
            <w:r>
              <w:rPr>
                <w:rFonts w:ascii="Arial" w:cs="Arial" w:eastAsia="Arial" w:hAnsi="Arial"/>
                <w:sz w:val="21"/>
                <w:szCs w:val="21"/>
                <w:color w:val="333333"/>
                <w:w w:val="90"/>
                <w:vertAlign w:val="superscript"/>
              </w:rPr>
              <w:t>(11)</w:t>
            </w:r>
          </w:p>
        </w:tc>
        <w:tc>
          <w:tcPr>
            <w:tcW w:w="0" w:type="dxa"/>
            <w:vAlign w:val="bottom"/>
          </w:tcPr>
          <w:p>
            <w:pPr>
              <w:spacing w:after="0"/>
              <w:rPr>
                <w:sz w:val="1"/>
                <w:szCs w:val="1"/>
                <w:color w:val="auto"/>
              </w:rPr>
            </w:pPr>
          </w:p>
        </w:tc>
      </w:tr>
      <w:tr>
        <w:trPr>
          <w:trHeight w:val="147"/>
        </w:trPr>
        <w:tc>
          <w:tcPr>
            <w:tcW w:w="4640" w:type="dxa"/>
            <w:vAlign w:val="bottom"/>
          </w:tcPr>
          <w:p>
            <w:pPr>
              <w:ind w:left="80"/>
              <w:spacing w:after="0" w:line="147" w:lineRule="exact"/>
              <w:rPr>
                <w:sz w:val="20"/>
                <w:szCs w:val="20"/>
                <w:color w:val="auto"/>
              </w:rPr>
            </w:pPr>
            <w:r>
              <w:rPr>
                <w:rFonts w:ascii="Arial" w:cs="Arial" w:eastAsia="Arial" w:hAnsi="Arial"/>
                <w:sz w:val="14"/>
                <w:szCs w:val="14"/>
                <w:color w:val="333333"/>
              </w:rPr>
              <w:t>—TRSU</w:t>
            </w:r>
          </w:p>
        </w:tc>
        <w:tc>
          <w:tcPr>
            <w:tcW w:w="760" w:type="dxa"/>
            <w:vAlign w:val="bottom"/>
            <w:shd w:val="clear" w:color="auto" w:fill="FCEFEB"/>
          </w:tcPr>
          <w:p>
            <w:pPr>
              <w:spacing w:after="0"/>
              <w:rPr>
                <w:sz w:val="12"/>
                <w:szCs w:val="12"/>
                <w:color w:val="auto"/>
              </w:rPr>
            </w:pPr>
          </w:p>
        </w:tc>
        <w:tc>
          <w:tcPr>
            <w:tcW w:w="900" w:type="dxa"/>
            <w:vAlign w:val="bottom"/>
            <w:shd w:val="clear" w:color="auto" w:fill="FCEFEB"/>
          </w:tcPr>
          <w:p>
            <w:pPr>
              <w:jc w:val="right"/>
              <w:ind w:right="109"/>
              <w:spacing w:after="0" w:line="147" w:lineRule="exact"/>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spacing w:after="0"/>
              <w:rPr>
                <w:sz w:val="12"/>
                <w:szCs w:val="12"/>
                <w:color w:val="auto"/>
              </w:rPr>
            </w:pPr>
          </w:p>
        </w:tc>
        <w:tc>
          <w:tcPr>
            <w:tcW w:w="1120" w:type="dxa"/>
            <w:vAlign w:val="bottom"/>
            <w:shd w:val="clear" w:color="auto" w:fill="FCEFEB"/>
          </w:tcPr>
          <w:p>
            <w:pPr>
              <w:jc w:val="right"/>
              <w:ind w:right="349"/>
              <w:spacing w:after="0" w:line="147" w:lineRule="exact"/>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2"/>
                <w:szCs w:val="12"/>
                <w:color w:val="auto"/>
              </w:rPr>
            </w:pPr>
          </w:p>
        </w:tc>
        <w:tc>
          <w:tcPr>
            <w:tcW w:w="1140" w:type="dxa"/>
            <w:vAlign w:val="bottom"/>
            <w:vMerge w:val="continue"/>
            <w:shd w:val="clear" w:color="auto" w:fill="FCEFEB"/>
          </w:tcPr>
          <w:p>
            <w:pPr>
              <w:spacing w:after="0"/>
              <w:rPr>
                <w:sz w:val="12"/>
                <w:szCs w:val="12"/>
                <w:color w:val="auto"/>
              </w:rPr>
            </w:pPr>
          </w:p>
        </w:tc>
        <w:tc>
          <w:tcPr>
            <w:tcW w:w="500" w:type="dxa"/>
            <w:vAlign w:val="bottom"/>
            <w:shd w:val="clear" w:color="auto" w:fill="FCEFEB"/>
          </w:tcPr>
          <w:p>
            <w:pPr>
              <w:spacing w:after="0"/>
              <w:rPr>
                <w:sz w:val="12"/>
                <w:szCs w:val="12"/>
                <w:color w:val="auto"/>
              </w:rPr>
            </w:pPr>
          </w:p>
        </w:tc>
        <w:tc>
          <w:tcPr>
            <w:tcW w:w="760" w:type="dxa"/>
            <w:vAlign w:val="bottom"/>
            <w:vMerge w:val="continue"/>
            <w:shd w:val="clear" w:color="auto" w:fill="FCEFEB"/>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—PRSU</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229"/>
              <w:spacing w:after="0" w:line="161" w:lineRule="exact"/>
              <w:rPr>
                <w:sz w:val="20"/>
                <w:szCs w:val="20"/>
                <w:color w:val="auto"/>
              </w:rPr>
            </w:pPr>
            <w:r>
              <w:rPr>
                <w:rFonts w:ascii="Arial" w:cs="Arial" w:eastAsia="Arial" w:hAnsi="Arial"/>
                <w:sz w:val="12"/>
                <w:szCs w:val="12"/>
                <w:color w:val="333333"/>
              </w:rPr>
              <w:t>120,067</w:t>
            </w:r>
            <w:r>
              <w:rPr>
                <w:rFonts w:ascii="Arial" w:cs="Arial" w:eastAsia="Arial" w:hAnsi="Arial"/>
                <w:sz w:val="18"/>
                <w:szCs w:val="18"/>
                <w:color w:val="333333"/>
                <w:vertAlign w:val="superscript"/>
              </w:rPr>
              <w:t>(12)</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spacing w:after="0" w:line="161" w:lineRule="exact"/>
              <w:rPr>
                <w:sz w:val="20"/>
                <w:szCs w:val="20"/>
                <w:color w:val="auto"/>
              </w:rPr>
            </w:pPr>
            <w:r>
              <w:rPr>
                <w:rFonts w:ascii="Arial" w:cs="Arial" w:eastAsia="Arial" w:hAnsi="Arial"/>
                <w:sz w:val="12"/>
                <w:szCs w:val="12"/>
                <w:color w:val="333333"/>
              </w:rPr>
              <w:t>97,037</w:t>
            </w:r>
            <w:r>
              <w:rPr>
                <w:rFonts w:ascii="Arial" w:cs="Arial" w:eastAsia="Arial" w:hAnsi="Arial"/>
                <w:sz w:val="18"/>
                <w:szCs w:val="18"/>
                <w:color w:val="333333"/>
                <w:vertAlign w:val="superscript"/>
              </w:rPr>
              <w:t>(12)</w:t>
            </w:r>
          </w:p>
        </w:tc>
        <w:tc>
          <w:tcPr>
            <w:tcW w:w="0" w:type="dxa"/>
            <w:vAlign w:val="bottom"/>
          </w:tcPr>
          <w:p>
            <w:pPr>
              <w:spacing w:after="0"/>
              <w:rPr>
                <w:sz w:val="1"/>
                <w:szCs w:val="1"/>
                <w:color w:val="auto"/>
              </w:rPr>
            </w:pPr>
          </w:p>
        </w:tc>
      </w:tr>
      <w:tr>
        <w:trPr>
          <w:trHeight w:val="241"/>
        </w:trPr>
        <w:tc>
          <w:tcPr>
            <w:tcW w:w="4640" w:type="dxa"/>
            <w:vAlign w:val="bottom"/>
            <w:tcBorders>
              <w:bottom w:val="single" w:sz="8" w:color="005C5D"/>
            </w:tcBorders>
          </w:tcPr>
          <w:p>
            <w:pPr>
              <w:ind w:left="80"/>
              <w:spacing w:after="0"/>
              <w:rPr>
                <w:sz w:val="20"/>
                <w:szCs w:val="20"/>
                <w:color w:val="auto"/>
              </w:rPr>
            </w:pPr>
            <w:r>
              <w:rPr>
                <w:rFonts w:ascii="Arial" w:cs="Arial" w:eastAsia="Arial" w:hAnsi="Arial"/>
                <w:sz w:val="14"/>
                <w:szCs w:val="14"/>
                <w:color w:val="333333"/>
              </w:rPr>
              <w:t>Other</w:t>
            </w:r>
            <w:r>
              <w:rPr>
                <w:rFonts w:ascii="Arial" w:cs="Arial" w:eastAsia="Arial" w:hAnsi="Arial"/>
                <w:sz w:val="21"/>
                <w:szCs w:val="21"/>
                <w:color w:val="333333"/>
                <w:vertAlign w:val="superscript"/>
              </w:rPr>
              <w:t>(13)</w:t>
            </w:r>
          </w:p>
        </w:tc>
        <w:tc>
          <w:tcPr>
            <w:tcW w:w="760" w:type="dxa"/>
            <w:vAlign w:val="bottom"/>
            <w:tcBorders>
              <w:bottom w:val="single" w:sz="8" w:color="005C5D"/>
            </w:tcBorders>
            <w:shd w:val="clear" w:color="auto" w:fill="FCEFEB"/>
          </w:tcPr>
          <w:p>
            <w:pPr>
              <w:spacing w:after="0"/>
              <w:rPr>
                <w:sz w:val="20"/>
                <w:szCs w:val="20"/>
                <w:color w:val="auto"/>
              </w:rPr>
            </w:pPr>
          </w:p>
        </w:tc>
        <w:tc>
          <w:tcPr>
            <w:tcW w:w="900" w:type="dxa"/>
            <w:vAlign w:val="bottom"/>
            <w:tcBorders>
              <w:bottom w:val="single" w:sz="8" w:color="005C5D"/>
            </w:tcBorders>
            <w:shd w:val="clear" w:color="auto" w:fill="FCEFEB"/>
          </w:tcPr>
          <w:p>
            <w:pPr>
              <w:jc w:val="right"/>
              <w:ind w:right="109"/>
              <w:spacing w:after="0"/>
              <w:rPr>
                <w:sz w:val="20"/>
                <w:szCs w:val="20"/>
                <w:color w:val="auto"/>
              </w:rPr>
            </w:pPr>
            <w:r>
              <w:rPr>
                <w:rFonts w:ascii="Arial" w:cs="Arial" w:eastAsia="Arial" w:hAnsi="Arial"/>
                <w:sz w:val="14"/>
                <w:szCs w:val="14"/>
                <w:color w:val="333333"/>
              </w:rPr>
              <w:t>27,632</w:t>
            </w:r>
          </w:p>
        </w:tc>
        <w:tc>
          <w:tcPr>
            <w:tcW w:w="760" w:type="dxa"/>
            <w:vAlign w:val="bottom"/>
            <w:tcBorders>
              <w:bottom w:val="single" w:sz="8" w:color="005C5D"/>
            </w:tcBorders>
            <w:shd w:val="clear" w:color="auto" w:fill="FCEFEB"/>
          </w:tcPr>
          <w:p>
            <w:pPr>
              <w:spacing w:after="0"/>
              <w:rPr>
                <w:sz w:val="20"/>
                <w:szCs w:val="20"/>
                <w:color w:val="auto"/>
              </w:rPr>
            </w:pPr>
          </w:p>
        </w:tc>
        <w:tc>
          <w:tcPr>
            <w:tcW w:w="1120" w:type="dxa"/>
            <w:vAlign w:val="bottom"/>
            <w:tcBorders>
              <w:bottom w:val="single" w:sz="8" w:color="005C5D"/>
            </w:tcBorders>
            <w:shd w:val="clear" w:color="auto" w:fill="FCEFEB"/>
          </w:tcPr>
          <w:p>
            <w:pPr>
              <w:jc w:val="right"/>
              <w:ind w:right="349"/>
              <w:spacing w:after="0"/>
              <w:rPr>
                <w:sz w:val="20"/>
                <w:szCs w:val="20"/>
                <w:color w:val="auto"/>
              </w:rPr>
            </w:pPr>
            <w:r>
              <w:rPr>
                <w:rFonts w:ascii="Arial" w:cs="Arial" w:eastAsia="Arial" w:hAnsi="Arial"/>
                <w:sz w:val="14"/>
                <w:szCs w:val="14"/>
                <w:color w:val="333333"/>
              </w:rPr>
              <w:t>27,632</w:t>
            </w:r>
          </w:p>
        </w:tc>
        <w:tc>
          <w:tcPr>
            <w:tcW w:w="340" w:type="dxa"/>
            <w:vAlign w:val="bottom"/>
            <w:tcBorders>
              <w:bottom w:val="single" w:sz="8" w:color="005C5D"/>
            </w:tcBorders>
            <w:shd w:val="clear" w:color="auto" w:fill="FCEFEB"/>
          </w:tcPr>
          <w:p>
            <w:pPr>
              <w:spacing w:after="0"/>
              <w:rPr>
                <w:sz w:val="20"/>
                <w:szCs w:val="20"/>
                <w:color w:val="auto"/>
              </w:rPr>
            </w:pPr>
          </w:p>
        </w:tc>
        <w:tc>
          <w:tcPr>
            <w:tcW w:w="1140" w:type="dxa"/>
            <w:vAlign w:val="bottom"/>
            <w:tcBorders>
              <w:bottom w:val="single" w:sz="8" w:color="005C5D"/>
            </w:tcBorders>
            <w:shd w:val="clear" w:color="auto" w:fill="FCEFEB"/>
          </w:tcPr>
          <w:p>
            <w:pPr>
              <w:jc w:val="right"/>
              <w:ind w:right="429"/>
              <w:spacing w:after="0"/>
              <w:rPr>
                <w:sz w:val="20"/>
                <w:szCs w:val="20"/>
                <w:color w:val="auto"/>
              </w:rPr>
            </w:pPr>
            <w:r>
              <w:rPr>
                <w:rFonts w:ascii="Arial" w:cs="Arial" w:eastAsia="Arial" w:hAnsi="Arial"/>
                <w:sz w:val="14"/>
                <w:szCs w:val="14"/>
                <w:color w:val="333333"/>
              </w:rPr>
              <w:t>57,632</w:t>
            </w:r>
          </w:p>
        </w:tc>
        <w:tc>
          <w:tcPr>
            <w:tcW w:w="500" w:type="dxa"/>
            <w:vAlign w:val="bottom"/>
            <w:tcBorders>
              <w:bottom w:val="single" w:sz="8" w:color="005C5D"/>
            </w:tcBorders>
            <w:shd w:val="clear" w:color="auto" w:fill="FCEFEB"/>
          </w:tcPr>
          <w:p>
            <w:pPr>
              <w:spacing w:after="0"/>
              <w:rPr>
                <w:sz w:val="20"/>
                <w:szCs w:val="20"/>
                <w:color w:val="auto"/>
              </w:rPr>
            </w:pPr>
          </w:p>
        </w:tc>
        <w:tc>
          <w:tcPr>
            <w:tcW w:w="760" w:type="dxa"/>
            <w:vAlign w:val="bottom"/>
            <w:tcBorders>
              <w:bottom w:val="single" w:sz="8" w:color="005C5D"/>
            </w:tcBorders>
            <w:shd w:val="clear" w:color="auto" w:fill="FCEFEB"/>
          </w:tcPr>
          <w:p>
            <w:pPr>
              <w:jc w:val="right"/>
              <w:ind w:right="169"/>
              <w:spacing w:after="0"/>
              <w:rPr>
                <w:sz w:val="20"/>
                <w:szCs w:val="20"/>
                <w:color w:val="auto"/>
              </w:rPr>
            </w:pPr>
            <w:r>
              <w:rPr>
                <w:rFonts w:ascii="Arial" w:cs="Arial" w:eastAsia="Arial" w:hAnsi="Arial"/>
                <w:sz w:val="14"/>
                <w:szCs w:val="14"/>
                <w:color w:val="333333"/>
              </w:rPr>
              <w:t>27,632</w:t>
            </w:r>
          </w:p>
        </w:tc>
        <w:tc>
          <w:tcPr>
            <w:tcW w:w="0" w:type="dxa"/>
            <w:vAlign w:val="bottom"/>
          </w:tcPr>
          <w:p>
            <w:pPr>
              <w:spacing w:after="0"/>
              <w:rPr>
                <w:sz w:val="1"/>
                <w:szCs w:val="1"/>
                <w:color w:val="auto"/>
              </w:rPr>
            </w:pPr>
          </w:p>
        </w:tc>
      </w:tr>
      <w:tr>
        <w:trPr>
          <w:trHeight w:val="207"/>
        </w:trPr>
        <w:tc>
          <w:tcPr>
            <w:tcW w:w="4640" w:type="dxa"/>
            <w:vAlign w:val="bottom"/>
          </w:tcPr>
          <w:p>
            <w:pPr>
              <w:ind w:left="80"/>
              <w:spacing w:after="0" w:line="208" w:lineRule="exact"/>
              <w:rPr>
                <w:sz w:val="20"/>
                <w:szCs w:val="20"/>
                <w:color w:val="auto"/>
              </w:rPr>
            </w:pPr>
            <w:r>
              <w:rPr>
                <w:rFonts w:ascii="Arial" w:cs="Arial" w:eastAsia="Arial" w:hAnsi="Arial"/>
                <w:sz w:val="14"/>
                <w:szCs w:val="14"/>
                <w:b w:val="1"/>
                <w:bCs w:val="1"/>
                <w:color w:val="005C5D"/>
              </w:rPr>
              <w:t>Alison Hiatt</w:t>
            </w:r>
            <w:r>
              <w:rPr>
                <w:rFonts w:ascii="Arial" w:cs="Arial" w:eastAsia="Arial" w:hAnsi="Arial"/>
                <w:sz w:val="21"/>
                <w:szCs w:val="21"/>
                <w:b w:val="1"/>
                <w:bCs w:val="1"/>
                <w:color w:val="337C7D"/>
                <w:vertAlign w:val="superscript"/>
              </w:rPr>
              <w:t>(14)</w:t>
            </w:r>
          </w:p>
        </w:tc>
        <w:tc>
          <w:tcPr>
            <w:tcW w:w="760" w:type="dxa"/>
            <w:vAlign w:val="bottom"/>
            <w:shd w:val="clear" w:color="auto" w:fill="FCEFEB"/>
          </w:tcPr>
          <w:p>
            <w:pPr>
              <w:spacing w:after="0"/>
              <w:rPr>
                <w:sz w:val="18"/>
                <w:szCs w:val="18"/>
                <w:color w:val="auto"/>
              </w:rPr>
            </w:pPr>
          </w:p>
        </w:tc>
        <w:tc>
          <w:tcPr>
            <w:tcW w:w="900" w:type="dxa"/>
            <w:vAlign w:val="bottom"/>
            <w:shd w:val="clear" w:color="auto" w:fill="FCEFEB"/>
          </w:tcPr>
          <w:p>
            <w:pPr>
              <w:spacing w:after="0"/>
              <w:rPr>
                <w:sz w:val="18"/>
                <w:szCs w:val="18"/>
                <w:color w:val="auto"/>
              </w:rPr>
            </w:pPr>
          </w:p>
        </w:tc>
        <w:tc>
          <w:tcPr>
            <w:tcW w:w="760" w:type="dxa"/>
            <w:vAlign w:val="bottom"/>
            <w:shd w:val="clear" w:color="auto" w:fill="FCEFEB"/>
          </w:tcPr>
          <w:p>
            <w:pPr>
              <w:spacing w:after="0"/>
              <w:rPr>
                <w:sz w:val="18"/>
                <w:szCs w:val="18"/>
                <w:color w:val="auto"/>
              </w:rPr>
            </w:pPr>
          </w:p>
        </w:tc>
        <w:tc>
          <w:tcPr>
            <w:tcW w:w="1120" w:type="dxa"/>
            <w:vAlign w:val="bottom"/>
            <w:shd w:val="clear" w:color="auto" w:fill="FCEFEB"/>
          </w:tcPr>
          <w:p>
            <w:pPr>
              <w:spacing w:after="0"/>
              <w:rPr>
                <w:sz w:val="18"/>
                <w:szCs w:val="18"/>
                <w:color w:val="auto"/>
              </w:rPr>
            </w:pPr>
          </w:p>
        </w:tc>
        <w:tc>
          <w:tcPr>
            <w:tcW w:w="340" w:type="dxa"/>
            <w:vAlign w:val="bottom"/>
            <w:shd w:val="clear" w:color="auto" w:fill="FCEFEB"/>
          </w:tcPr>
          <w:p>
            <w:pPr>
              <w:spacing w:after="0"/>
              <w:rPr>
                <w:sz w:val="18"/>
                <w:szCs w:val="18"/>
                <w:color w:val="auto"/>
              </w:rPr>
            </w:pPr>
          </w:p>
        </w:tc>
        <w:tc>
          <w:tcPr>
            <w:tcW w:w="1140" w:type="dxa"/>
            <w:vAlign w:val="bottom"/>
            <w:shd w:val="clear" w:color="auto" w:fill="FCEFEB"/>
          </w:tcPr>
          <w:p>
            <w:pPr>
              <w:spacing w:after="0"/>
              <w:rPr>
                <w:sz w:val="18"/>
                <w:szCs w:val="18"/>
                <w:color w:val="auto"/>
              </w:rPr>
            </w:pPr>
          </w:p>
        </w:tc>
        <w:tc>
          <w:tcPr>
            <w:tcW w:w="500" w:type="dxa"/>
            <w:vAlign w:val="bottom"/>
            <w:shd w:val="clear" w:color="auto" w:fill="FCEFEB"/>
          </w:tcPr>
          <w:p>
            <w:pPr>
              <w:spacing w:after="0"/>
              <w:rPr>
                <w:sz w:val="18"/>
                <w:szCs w:val="18"/>
                <w:color w:val="auto"/>
              </w:rPr>
            </w:pPr>
          </w:p>
        </w:tc>
        <w:tc>
          <w:tcPr>
            <w:tcW w:w="760" w:type="dxa"/>
            <w:vAlign w:val="bottom"/>
            <w:shd w:val="clear" w:color="auto" w:fill="FCEFEB"/>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Cash</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312,764</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COBRA</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Value of unvested shares that would be accelerated</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spacing w:after="0"/>
              <w:rPr>
                <w:sz w:val="13"/>
                <w:szCs w:val="13"/>
                <w:color w:val="auto"/>
              </w:rPr>
            </w:pP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spacing w:after="0"/>
              <w:rPr>
                <w:sz w:val="13"/>
                <w:szCs w:val="13"/>
                <w:color w:val="auto"/>
              </w:rPr>
            </w:pP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spacing w:after="0"/>
              <w:rPr>
                <w:sz w:val="13"/>
                <w:szCs w:val="13"/>
                <w:color w:val="auto"/>
              </w:rPr>
            </w:pP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TRSU</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96,914</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PRSU</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48,242</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227"/>
        </w:trPr>
        <w:tc>
          <w:tcPr>
            <w:tcW w:w="4640" w:type="dxa"/>
            <w:vAlign w:val="bottom"/>
          </w:tcPr>
          <w:p>
            <w:pPr>
              <w:ind w:left="80"/>
              <w:spacing w:after="0"/>
              <w:rPr>
                <w:sz w:val="20"/>
                <w:szCs w:val="20"/>
                <w:color w:val="auto"/>
              </w:rPr>
            </w:pPr>
            <w:r>
              <w:rPr>
                <w:rFonts w:ascii="Arial" w:cs="Arial" w:eastAsia="Arial" w:hAnsi="Arial"/>
                <w:sz w:val="14"/>
                <w:szCs w:val="14"/>
                <w:color w:val="333333"/>
              </w:rPr>
              <w:t>Other</w:t>
            </w:r>
          </w:p>
        </w:tc>
        <w:tc>
          <w:tcPr>
            <w:tcW w:w="760" w:type="dxa"/>
            <w:vAlign w:val="bottom"/>
            <w:tcBorders>
              <w:bottom w:val="single" w:sz="8" w:color="FCEFEB"/>
            </w:tcBorders>
            <w:shd w:val="clear" w:color="auto" w:fill="FCEFEB"/>
          </w:tcPr>
          <w:p>
            <w:pPr>
              <w:spacing w:after="0"/>
              <w:rPr>
                <w:sz w:val="19"/>
                <w:szCs w:val="19"/>
                <w:color w:val="auto"/>
              </w:rPr>
            </w:pPr>
          </w:p>
        </w:tc>
        <w:tc>
          <w:tcPr>
            <w:tcW w:w="900" w:type="dxa"/>
            <w:vAlign w:val="bottom"/>
            <w:tcBorders>
              <w:bottom w:val="single" w:sz="8" w:color="FCEFEB"/>
            </w:tcBorders>
            <w:shd w:val="clear" w:color="auto" w:fill="FCEFEB"/>
          </w:tcPr>
          <w:p>
            <w:pPr>
              <w:jc w:val="right"/>
              <w:ind w:right="109"/>
              <w:spacing w:after="0"/>
              <w:rPr>
                <w:sz w:val="20"/>
                <w:szCs w:val="20"/>
                <w:color w:val="auto"/>
              </w:rPr>
            </w:pPr>
            <w:r>
              <w:rPr>
                <w:rFonts w:ascii="Arial" w:cs="Arial" w:eastAsia="Arial" w:hAnsi="Arial"/>
                <w:sz w:val="14"/>
                <w:szCs w:val="14"/>
                <w:color w:val="333333"/>
              </w:rPr>
              <w:t>20,600</w:t>
            </w:r>
          </w:p>
        </w:tc>
        <w:tc>
          <w:tcPr>
            <w:tcW w:w="760" w:type="dxa"/>
            <w:vAlign w:val="bottom"/>
            <w:tcBorders>
              <w:bottom w:val="single" w:sz="8" w:color="FCEFEB"/>
            </w:tcBorders>
            <w:shd w:val="clear" w:color="auto" w:fill="FCEFEB"/>
          </w:tcPr>
          <w:p>
            <w:pPr>
              <w:spacing w:after="0"/>
              <w:rPr>
                <w:sz w:val="19"/>
                <w:szCs w:val="19"/>
                <w:color w:val="auto"/>
              </w:rPr>
            </w:pPr>
          </w:p>
        </w:tc>
        <w:tc>
          <w:tcPr>
            <w:tcW w:w="1120" w:type="dxa"/>
            <w:vAlign w:val="bottom"/>
            <w:tcBorders>
              <w:bottom w:val="single" w:sz="8" w:color="FCEFEB"/>
            </w:tcBorders>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tcBorders>
              <w:bottom w:val="single" w:sz="8" w:color="FCEFEB"/>
            </w:tcBorders>
            <w:shd w:val="clear" w:color="auto" w:fill="FCEFEB"/>
          </w:tcPr>
          <w:p>
            <w:pPr>
              <w:spacing w:after="0"/>
              <w:rPr>
                <w:sz w:val="19"/>
                <w:szCs w:val="19"/>
                <w:color w:val="auto"/>
              </w:rPr>
            </w:pPr>
          </w:p>
        </w:tc>
        <w:tc>
          <w:tcPr>
            <w:tcW w:w="1140" w:type="dxa"/>
            <w:vAlign w:val="bottom"/>
            <w:tcBorders>
              <w:bottom w:val="single" w:sz="8" w:color="FCEFEB"/>
            </w:tcBorders>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tcBorders>
              <w:bottom w:val="single" w:sz="8" w:color="FCEFEB"/>
            </w:tcBorders>
            <w:shd w:val="clear" w:color="auto" w:fill="FCEFEB"/>
          </w:tcPr>
          <w:p>
            <w:pPr>
              <w:spacing w:after="0"/>
              <w:rPr>
                <w:sz w:val="19"/>
                <w:szCs w:val="19"/>
                <w:color w:val="auto"/>
              </w:rPr>
            </w:pPr>
          </w:p>
        </w:tc>
        <w:tc>
          <w:tcPr>
            <w:tcW w:w="760" w:type="dxa"/>
            <w:vAlign w:val="bottom"/>
            <w:tcBorders>
              <w:bottom w:val="single" w:sz="8" w:color="FCEFEB"/>
            </w:tcBorders>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207"/>
        </w:trPr>
        <w:tc>
          <w:tcPr>
            <w:tcW w:w="4640" w:type="dxa"/>
            <w:vAlign w:val="bottom"/>
            <w:tcBorders>
              <w:top w:val="single" w:sz="8" w:color="005C5D"/>
            </w:tcBorders>
          </w:tcPr>
          <w:p>
            <w:pPr>
              <w:ind w:left="80"/>
              <w:spacing w:after="0"/>
              <w:rPr>
                <w:sz w:val="20"/>
                <w:szCs w:val="20"/>
                <w:color w:val="auto"/>
              </w:rPr>
            </w:pPr>
            <w:r>
              <w:rPr>
                <w:rFonts w:ascii="Arial" w:cs="Arial" w:eastAsia="Arial" w:hAnsi="Arial"/>
                <w:sz w:val="14"/>
                <w:szCs w:val="14"/>
                <w:b w:val="1"/>
                <w:bCs w:val="1"/>
                <w:color w:val="005C5D"/>
              </w:rPr>
              <w:t>Melinda Paraie</w:t>
            </w:r>
            <w:r>
              <w:rPr>
                <w:rFonts w:ascii="Arial" w:cs="Arial" w:eastAsia="Arial" w:hAnsi="Arial"/>
                <w:sz w:val="8"/>
                <w:szCs w:val="8"/>
                <w:b w:val="1"/>
                <w:bCs w:val="1"/>
                <w:color w:val="337C7D"/>
              </w:rPr>
              <w:t>(4)</w:t>
            </w:r>
          </w:p>
        </w:tc>
        <w:tc>
          <w:tcPr>
            <w:tcW w:w="760" w:type="dxa"/>
            <w:vAlign w:val="bottom"/>
            <w:tcBorders>
              <w:top w:val="single" w:sz="8" w:color="005C5D"/>
            </w:tcBorders>
            <w:shd w:val="clear" w:color="auto" w:fill="FCEFEB"/>
          </w:tcPr>
          <w:p>
            <w:pPr>
              <w:spacing w:after="0"/>
              <w:rPr>
                <w:sz w:val="18"/>
                <w:szCs w:val="18"/>
                <w:color w:val="auto"/>
              </w:rPr>
            </w:pPr>
          </w:p>
        </w:tc>
        <w:tc>
          <w:tcPr>
            <w:tcW w:w="900" w:type="dxa"/>
            <w:vAlign w:val="bottom"/>
            <w:tcBorders>
              <w:top w:val="single" w:sz="8" w:color="005C5D"/>
            </w:tcBorders>
            <w:shd w:val="clear" w:color="auto" w:fill="FCEFEB"/>
          </w:tcPr>
          <w:p>
            <w:pPr>
              <w:spacing w:after="0"/>
              <w:rPr>
                <w:sz w:val="18"/>
                <w:szCs w:val="18"/>
                <w:color w:val="auto"/>
              </w:rPr>
            </w:pPr>
          </w:p>
        </w:tc>
        <w:tc>
          <w:tcPr>
            <w:tcW w:w="760" w:type="dxa"/>
            <w:vAlign w:val="bottom"/>
            <w:tcBorders>
              <w:top w:val="single" w:sz="8" w:color="005C5D"/>
            </w:tcBorders>
            <w:shd w:val="clear" w:color="auto" w:fill="FCEFEB"/>
          </w:tcPr>
          <w:p>
            <w:pPr>
              <w:spacing w:after="0"/>
              <w:rPr>
                <w:sz w:val="18"/>
                <w:szCs w:val="18"/>
                <w:color w:val="auto"/>
              </w:rPr>
            </w:pPr>
          </w:p>
        </w:tc>
        <w:tc>
          <w:tcPr>
            <w:tcW w:w="1120" w:type="dxa"/>
            <w:vAlign w:val="bottom"/>
            <w:tcBorders>
              <w:top w:val="single" w:sz="8" w:color="005C5D"/>
            </w:tcBorders>
            <w:shd w:val="clear" w:color="auto" w:fill="FCEFEB"/>
          </w:tcPr>
          <w:p>
            <w:pPr>
              <w:spacing w:after="0"/>
              <w:rPr>
                <w:sz w:val="18"/>
                <w:szCs w:val="18"/>
                <w:color w:val="auto"/>
              </w:rPr>
            </w:pPr>
          </w:p>
        </w:tc>
        <w:tc>
          <w:tcPr>
            <w:tcW w:w="340" w:type="dxa"/>
            <w:vAlign w:val="bottom"/>
            <w:tcBorders>
              <w:top w:val="single" w:sz="8" w:color="005C5D"/>
            </w:tcBorders>
            <w:shd w:val="clear" w:color="auto" w:fill="FCEFEB"/>
          </w:tcPr>
          <w:p>
            <w:pPr>
              <w:spacing w:after="0"/>
              <w:rPr>
                <w:sz w:val="18"/>
                <w:szCs w:val="18"/>
                <w:color w:val="auto"/>
              </w:rPr>
            </w:pPr>
          </w:p>
        </w:tc>
        <w:tc>
          <w:tcPr>
            <w:tcW w:w="1140" w:type="dxa"/>
            <w:vAlign w:val="bottom"/>
            <w:tcBorders>
              <w:top w:val="single" w:sz="8" w:color="005C5D"/>
            </w:tcBorders>
            <w:shd w:val="clear" w:color="auto" w:fill="FCEFEB"/>
          </w:tcPr>
          <w:p>
            <w:pPr>
              <w:spacing w:after="0"/>
              <w:rPr>
                <w:sz w:val="18"/>
                <w:szCs w:val="18"/>
                <w:color w:val="auto"/>
              </w:rPr>
            </w:pPr>
          </w:p>
        </w:tc>
        <w:tc>
          <w:tcPr>
            <w:tcW w:w="500" w:type="dxa"/>
            <w:vAlign w:val="bottom"/>
            <w:tcBorders>
              <w:top w:val="single" w:sz="8" w:color="005C5D"/>
            </w:tcBorders>
            <w:shd w:val="clear" w:color="auto" w:fill="FCEFEB"/>
          </w:tcPr>
          <w:p>
            <w:pPr>
              <w:spacing w:after="0"/>
              <w:rPr>
                <w:sz w:val="18"/>
                <w:szCs w:val="18"/>
                <w:color w:val="auto"/>
              </w:rPr>
            </w:pPr>
          </w:p>
        </w:tc>
        <w:tc>
          <w:tcPr>
            <w:tcW w:w="760" w:type="dxa"/>
            <w:vAlign w:val="bottom"/>
            <w:tcBorders>
              <w:top w:val="single" w:sz="8" w:color="005C5D"/>
            </w:tcBorders>
            <w:shd w:val="clear" w:color="auto" w:fill="FCEFEB"/>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Cash</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COBRA</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Value of unvested shares that would be accelerated</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spacing w:after="0"/>
              <w:rPr>
                <w:sz w:val="13"/>
                <w:szCs w:val="13"/>
                <w:color w:val="auto"/>
              </w:rPr>
            </w:pP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spacing w:after="0"/>
              <w:rPr>
                <w:sz w:val="13"/>
                <w:szCs w:val="13"/>
                <w:color w:val="auto"/>
              </w:rPr>
            </w:pP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spacing w:after="0"/>
              <w:rPr>
                <w:sz w:val="13"/>
                <w:szCs w:val="13"/>
                <w:color w:val="auto"/>
              </w:rPr>
            </w:pP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40" w:type="dxa"/>
            <w:vAlign w:val="bottom"/>
          </w:tcPr>
          <w:p>
            <w:pPr>
              <w:ind w:left="80"/>
              <w:spacing w:after="0"/>
              <w:rPr>
                <w:sz w:val="20"/>
                <w:szCs w:val="20"/>
                <w:color w:val="auto"/>
              </w:rPr>
            </w:pPr>
            <w:r>
              <w:rPr>
                <w:rFonts w:ascii="Arial" w:cs="Arial" w:eastAsia="Arial" w:hAnsi="Arial"/>
                <w:sz w:val="14"/>
                <w:szCs w:val="14"/>
                <w:color w:val="333333"/>
              </w:rPr>
              <w:t>—TRSU</w:t>
            </w:r>
          </w:p>
        </w:tc>
        <w:tc>
          <w:tcPr>
            <w:tcW w:w="760" w:type="dxa"/>
            <w:vAlign w:val="bottom"/>
            <w:shd w:val="clear" w:color="auto" w:fill="FCEFEB"/>
          </w:tcPr>
          <w:p>
            <w:pPr>
              <w:spacing w:after="0"/>
              <w:rPr>
                <w:sz w:val="13"/>
                <w:szCs w:val="13"/>
                <w:color w:val="auto"/>
              </w:rPr>
            </w:pPr>
          </w:p>
        </w:tc>
        <w:tc>
          <w:tcPr>
            <w:tcW w:w="900" w:type="dxa"/>
            <w:vAlign w:val="bottom"/>
            <w:shd w:val="clear" w:color="auto" w:fill="FCEFEB"/>
          </w:tcPr>
          <w:p>
            <w:pPr>
              <w:jc w:val="right"/>
              <w:ind w:right="109"/>
              <w:spacing w:after="0"/>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spacing w:after="0"/>
              <w:rPr>
                <w:sz w:val="13"/>
                <w:szCs w:val="13"/>
                <w:color w:val="auto"/>
              </w:rPr>
            </w:pPr>
          </w:p>
        </w:tc>
        <w:tc>
          <w:tcPr>
            <w:tcW w:w="1120" w:type="dxa"/>
            <w:vAlign w:val="bottom"/>
            <w:shd w:val="clear" w:color="auto" w:fill="FCEFEB"/>
          </w:tcPr>
          <w:p>
            <w:pPr>
              <w:jc w:val="right"/>
              <w:ind w:right="349"/>
              <w:spacing w:after="0"/>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3"/>
                <w:szCs w:val="13"/>
                <w:color w:val="auto"/>
              </w:rPr>
            </w:pPr>
          </w:p>
        </w:tc>
        <w:tc>
          <w:tcPr>
            <w:tcW w:w="1140" w:type="dxa"/>
            <w:vAlign w:val="bottom"/>
            <w:shd w:val="clear" w:color="auto" w:fill="FCEFEB"/>
          </w:tcPr>
          <w:p>
            <w:pPr>
              <w:jc w:val="right"/>
              <w:ind w:right="429"/>
              <w:spacing w:after="0"/>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3"/>
                <w:szCs w:val="13"/>
                <w:color w:val="auto"/>
              </w:rPr>
            </w:pPr>
          </w:p>
        </w:tc>
        <w:tc>
          <w:tcPr>
            <w:tcW w:w="760" w:type="dxa"/>
            <w:vAlign w:val="bottom"/>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147"/>
        </w:trPr>
        <w:tc>
          <w:tcPr>
            <w:tcW w:w="4640" w:type="dxa"/>
            <w:vAlign w:val="bottom"/>
          </w:tcPr>
          <w:p>
            <w:pPr>
              <w:ind w:left="80"/>
              <w:spacing w:after="0" w:line="147" w:lineRule="exact"/>
              <w:rPr>
                <w:sz w:val="20"/>
                <w:szCs w:val="20"/>
                <w:color w:val="auto"/>
              </w:rPr>
            </w:pPr>
            <w:r>
              <w:rPr>
                <w:rFonts w:ascii="Arial" w:cs="Arial" w:eastAsia="Arial" w:hAnsi="Arial"/>
                <w:sz w:val="14"/>
                <w:szCs w:val="14"/>
                <w:color w:val="333333"/>
              </w:rPr>
              <w:t>—PRSU</w:t>
            </w:r>
          </w:p>
        </w:tc>
        <w:tc>
          <w:tcPr>
            <w:tcW w:w="760" w:type="dxa"/>
            <w:vAlign w:val="bottom"/>
            <w:shd w:val="clear" w:color="auto" w:fill="FCEFEB"/>
          </w:tcPr>
          <w:p>
            <w:pPr>
              <w:spacing w:after="0"/>
              <w:rPr>
                <w:sz w:val="12"/>
                <w:szCs w:val="12"/>
                <w:color w:val="auto"/>
              </w:rPr>
            </w:pPr>
          </w:p>
        </w:tc>
        <w:tc>
          <w:tcPr>
            <w:tcW w:w="900" w:type="dxa"/>
            <w:vAlign w:val="bottom"/>
            <w:shd w:val="clear" w:color="auto" w:fill="FCEFEB"/>
          </w:tcPr>
          <w:p>
            <w:pPr>
              <w:jc w:val="right"/>
              <w:ind w:right="109"/>
              <w:spacing w:after="0" w:line="147" w:lineRule="exact"/>
              <w:rPr>
                <w:sz w:val="20"/>
                <w:szCs w:val="20"/>
                <w:color w:val="auto"/>
              </w:rPr>
            </w:pPr>
            <w:r>
              <w:rPr>
                <w:rFonts w:ascii="Arial" w:cs="Arial" w:eastAsia="Arial" w:hAnsi="Arial"/>
                <w:sz w:val="14"/>
                <w:szCs w:val="14"/>
                <w:color w:val="333333"/>
              </w:rPr>
              <w:t>—</w:t>
            </w:r>
          </w:p>
        </w:tc>
        <w:tc>
          <w:tcPr>
            <w:tcW w:w="760" w:type="dxa"/>
            <w:vAlign w:val="bottom"/>
            <w:shd w:val="clear" w:color="auto" w:fill="FCEFEB"/>
          </w:tcPr>
          <w:p>
            <w:pPr>
              <w:spacing w:after="0"/>
              <w:rPr>
                <w:sz w:val="12"/>
                <w:szCs w:val="12"/>
                <w:color w:val="auto"/>
              </w:rPr>
            </w:pPr>
          </w:p>
        </w:tc>
        <w:tc>
          <w:tcPr>
            <w:tcW w:w="1120" w:type="dxa"/>
            <w:vAlign w:val="bottom"/>
            <w:shd w:val="clear" w:color="auto" w:fill="FCEFEB"/>
          </w:tcPr>
          <w:p>
            <w:pPr>
              <w:jc w:val="right"/>
              <w:ind w:right="349"/>
              <w:spacing w:after="0" w:line="147" w:lineRule="exact"/>
              <w:rPr>
                <w:sz w:val="20"/>
                <w:szCs w:val="20"/>
                <w:color w:val="auto"/>
              </w:rPr>
            </w:pPr>
            <w:r>
              <w:rPr>
                <w:rFonts w:ascii="Arial" w:cs="Arial" w:eastAsia="Arial" w:hAnsi="Arial"/>
                <w:sz w:val="14"/>
                <w:szCs w:val="14"/>
                <w:color w:val="333333"/>
              </w:rPr>
              <w:t>—</w:t>
            </w:r>
          </w:p>
        </w:tc>
        <w:tc>
          <w:tcPr>
            <w:tcW w:w="340" w:type="dxa"/>
            <w:vAlign w:val="bottom"/>
            <w:shd w:val="clear" w:color="auto" w:fill="FCEFEB"/>
          </w:tcPr>
          <w:p>
            <w:pPr>
              <w:spacing w:after="0"/>
              <w:rPr>
                <w:sz w:val="12"/>
                <w:szCs w:val="12"/>
                <w:color w:val="auto"/>
              </w:rPr>
            </w:pPr>
          </w:p>
        </w:tc>
        <w:tc>
          <w:tcPr>
            <w:tcW w:w="1140" w:type="dxa"/>
            <w:vAlign w:val="bottom"/>
            <w:shd w:val="clear" w:color="auto" w:fill="FCEFEB"/>
          </w:tcPr>
          <w:p>
            <w:pPr>
              <w:jc w:val="right"/>
              <w:ind w:right="429"/>
              <w:spacing w:after="0" w:line="147" w:lineRule="exact"/>
              <w:rPr>
                <w:sz w:val="20"/>
                <w:szCs w:val="20"/>
                <w:color w:val="auto"/>
              </w:rPr>
            </w:pPr>
            <w:r>
              <w:rPr>
                <w:rFonts w:ascii="Arial" w:cs="Arial" w:eastAsia="Arial" w:hAnsi="Arial"/>
                <w:sz w:val="14"/>
                <w:szCs w:val="14"/>
                <w:color w:val="333333"/>
              </w:rPr>
              <w:t>—</w:t>
            </w:r>
          </w:p>
        </w:tc>
        <w:tc>
          <w:tcPr>
            <w:tcW w:w="500" w:type="dxa"/>
            <w:vAlign w:val="bottom"/>
            <w:shd w:val="clear" w:color="auto" w:fill="FCEFEB"/>
          </w:tcPr>
          <w:p>
            <w:pPr>
              <w:spacing w:after="0"/>
              <w:rPr>
                <w:sz w:val="12"/>
                <w:szCs w:val="12"/>
                <w:color w:val="auto"/>
              </w:rPr>
            </w:pPr>
          </w:p>
        </w:tc>
        <w:tc>
          <w:tcPr>
            <w:tcW w:w="760" w:type="dxa"/>
            <w:vAlign w:val="bottom"/>
            <w:shd w:val="clear" w:color="auto" w:fill="FCEFEB"/>
          </w:tcPr>
          <w:p>
            <w:pPr>
              <w:jc w:val="right"/>
              <w:ind w:right="169"/>
              <w:spacing w:after="0" w:line="147" w:lineRule="exact"/>
              <w:rPr>
                <w:sz w:val="20"/>
                <w:szCs w:val="20"/>
                <w:color w:val="auto"/>
              </w:rPr>
            </w:pPr>
            <w:r>
              <w:rPr>
                <w:rFonts w:ascii="Arial" w:cs="Arial" w:eastAsia="Arial" w:hAnsi="Arial"/>
                <w:sz w:val="14"/>
                <w:szCs w:val="14"/>
                <w:color w:val="333333"/>
              </w:rPr>
              <w:t>—</w:t>
            </w:r>
          </w:p>
        </w:tc>
        <w:tc>
          <w:tcPr>
            <w:tcW w:w="0" w:type="dxa"/>
            <w:vAlign w:val="bottom"/>
          </w:tcPr>
          <w:p>
            <w:pPr>
              <w:spacing w:after="0"/>
              <w:rPr>
                <w:sz w:val="1"/>
                <w:szCs w:val="1"/>
                <w:color w:val="auto"/>
              </w:rPr>
            </w:pPr>
          </w:p>
        </w:tc>
      </w:tr>
      <w:tr>
        <w:trPr>
          <w:trHeight w:val="247"/>
        </w:trPr>
        <w:tc>
          <w:tcPr>
            <w:tcW w:w="4640" w:type="dxa"/>
            <w:vAlign w:val="bottom"/>
            <w:tcBorders>
              <w:bottom w:val="single" w:sz="8" w:color="005C5D"/>
            </w:tcBorders>
          </w:tcPr>
          <w:p>
            <w:pPr>
              <w:ind w:left="80"/>
              <w:spacing w:after="0"/>
              <w:rPr>
                <w:sz w:val="20"/>
                <w:szCs w:val="20"/>
                <w:color w:val="auto"/>
              </w:rPr>
            </w:pPr>
            <w:r>
              <w:rPr>
                <w:rFonts w:ascii="Arial" w:cs="Arial" w:eastAsia="Arial" w:hAnsi="Arial"/>
                <w:sz w:val="14"/>
                <w:szCs w:val="14"/>
                <w:color w:val="333333"/>
              </w:rPr>
              <w:t>Other</w:t>
            </w:r>
            <w:r>
              <w:rPr>
                <w:rFonts w:ascii="Arial" w:cs="Arial" w:eastAsia="Arial" w:hAnsi="Arial"/>
                <w:sz w:val="21"/>
                <w:szCs w:val="21"/>
                <w:color w:val="333333"/>
                <w:vertAlign w:val="superscript"/>
              </w:rPr>
              <w:t>(13)</w:t>
            </w:r>
          </w:p>
        </w:tc>
        <w:tc>
          <w:tcPr>
            <w:tcW w:w="760" w:type="dxa"/>
            <w:vAlign w:val="bottom"/>
            <w:tcBorders>
              <w:bottom w:val="single" w:sz="8" w:color="005C5D"/>
            </w:tcBorders>
            <w:shd w:val="clear" w:color="auto" w:fill="FCEFEB"/>
          </w:tcPr>
          <w:p>
            <w:pPr>
              <w:spacing w:after="0"/>
              <w:rPr>
                <w:sz w:val="21"/>
                <w:szCs w:val="21"/>
                <w:color w:val="auto"/>
              </w:rPr>
            </w:pPr>
          </w:p>
        </w:tc>
        <w:tc>
          <w:tcPr>
            <w:tcW w:w="900" w:type="dxa"/>
            <w:vAlign w:val="bottom"/>
            <w:tcBorders>
              <w:bottom w:val="single" w:sz="8" w:color="005C5D"/>
            </w:tcBorders>
            <w:shd w:val="clear" w:color="auto" w:fill="FCEFEB"/>
          </w:tcPr>
          <w:p>
            <w:pPr>
              <w:jc w:val="right"/>
              <w:ind w:right="109"/>
              <w:spacing w:after="0"/>
              <w:rPr>
                <w:sz w:val="20"/>
                <w:szCs w:val="20"/>
                <w:color w:val="auto"/>
              </w:rPr>
            </w:pPr>
            <w:r>
              <w:rPr>
                <w:rFonts w:ascii="Arial" w:cs="Arial" w:eastAsia="Arial" w:hAnsi="Arial"/>
                <w:sz w:val="14"/>
                <w:szCs w:val="14"/>
                <w:color w:val="333333"/>
              </w:rPr>
              <w:t>12,560</w:t>
            </w:r>
          </w:p>
        </w:tc>
        <w:tc>
          <w:tcPr>
            <w:tcW w:w="760" w:type="dxa"/>
            <w:vAlign w:val="bottom"/>
            <w:tcBorders>
              <w:bottom w:val="single" w:sz="8" w:color="005C5D"/>
            </w:tcBorders>
            <w:shd w:val="clear" w:color="auto" w:fill="FCEFEB"/>
          </w:tcPr>
          <w:p>
            <w:pPr>
              <w:spacing w:after="0"/>
              <w:rPr>
                <w:sz w:val="21"/>
                <w:szCs w:val="21"/>
                <w:color w:val="auto"/>
              </w:rPr>
            </w:pPr>
          </w:p>
        </w:tc>
        <w:tc>
          <w:tcPr>
            <w:tcW w:w="1120" w:type="dxa"/>
            <w:vAlign w:val="bottom"/>
            <w:tcBorders>
              <w:bottom w:val="single" w:sz="8" w:color="005C5D"/>
            </w:tcBorders>
            <w:shd w:val="clear" w:color="auto" w:fill="FCEFEB"/>
          </w:tcPr>
          <w:p>
            <w:pPr>
              <w:jc w:val="right"/>
              <w:ind w:right="349"/>
              <w:spacing w:after="0"/>
              <w:rPr>
                <w:sz w:val="20"/>
                <w:szCs w:val="20"/>
                <w:color w:val="auto"/>
              </w:rPr>
            </w:pPr>
            <w:r>
              <w:rPr>
                <w:rFonts w:ascii="Arial" w:cs="Arial" w:eastAsia="Arial" w:hAnsi="Arial"/>
                <w:sz w:val="14"/>
                <w:szCs w:val="14"/>
                <w:color w:val="333333"/>
              </w:rPr>
              <w:t>12,560</w:t>
            </w:r>
          </w:p>
        </w:tc>
        <w:tc>
          <w:tcPr>
            <w:tcW w:w="340" w:type="dxa"/>
            <w:vAlign w:val="bottom"/>
            <w:tcBorders>
              <w:bottom w:val="single" w:sz="8" w:color="005C5D"/>
            </w:tcBorders>
            <w:shd w:val="clear" w:color="auto" w:fill="FCEFEB"/>
          </w:tcPr>
          <w:p>
            <w:pPr>
              <w:spacing w:after="0"/>
              <w:rPr>
                <w:sz w:val="21"/>
                <w:szCs w:val="21"/>
                <w:color w:val="auto"/>
              </w:rPr>
            </w:pPr>
          </w:p>
        </w:tc>
        <w:tc>
          <w:tcPr>
            <w:tcW w:w="1140" w:type="dxa"/>
            <w:vAlign w:val="bottom"/>
            <w:tcBorders>
              <w:bottom w:val="single" w:sz="8" w:color="005C5D"/>
            </w:tcBorders>
            <w:shd w:val="clear" w:color="auto" w:fill="FCEFEB"/>
          </w:tcPr>
          <w:p>
            <w:pPr>
              <w:jc w:val="right"/>
              <w:ind w:right="429"/>
              <w:spacing w:after="0"/>
              <w:rPr>
                <w:sz w:val="20"/>
                <w:szCs w:val="20"/>
                <w:color w:val="auto"/>
              </w:rPr>
            </w:pPr>
            <w:r>
              <w:rPr>
                <w:rFonts w:ascii="Arial" w:cs="Arial" w:eastAsia="Arial" w:hAnsi="Arial"/>
                <w:sz w:val="14"/>
                <w:szCs w:val="14"/>
                <w:color w:val="333333"/>
              </w:rPr>
              <w:t>12,560</w:t>
            </w:r>
          </w:p>
        </w:tc>
        <w:tc>
          <w:tcPr>
            <w:tcW w:w="500" w:type="dxa"/>
            <w:vAlign w:val="bottom"/>
            <w:tcBorders>
              <w:bottom w:val="single" w:sz="8" w:color="005C5D"/>
            </w:tcBorders>
            <w:shd w:val="clear" w:color="auto" w:fill="FCEFEB"/>
          </w:tcPr>
          <w:p>
            <w:pPr>
              <w:spacing w:after="0"/>
              <w:rPr>
                <w:sz w:val="21"/>
                <w:szCs w:val="21"/>
                <w:color w:val="auto"/>
              </w:rPr>
            </w:pPr>
          </w:p>
        </w:tc>
        <w:tc>
          <w:tcPr>
            <w:tcW w:w="760" w:type="dxa"/>
            <w:vAlign w:val="bottom"/>
            <w:tcBorders>
              <w:bottom w:val="single" w:sz="8" w:color="005C5D"/>
            </w:tcBorders>
            <w:shd w:val="clear" w:color="auto" w:fill="FCEFEB"/>
          </w:tcPr>
          <w:p>
            <w:pPr>
              <w:jc w:val="right"/>
              <w:ind w:right="169"/>
              <w:spacing w:after="0"/>
              <w:rPr>
                <w:sz w:val="20"/>
                <w:szCs w:val="20"/>
                <w:color w:val="auto"/>
              </w:rPr>
            </w:pPr>
            <w:r>
              <w:rPr>
                <w:rFonts w:ascii="Arial" w:cs="Arial" w:eastAsia="Arial" w:hAnsi="Arial"/>
                <w:sz w:val="14"/>
                <w:szCs w:val="14"/>
                <w:color w:val="333333"/>
              </w:rPr>
              <w:t>12,560</w:t>
            </w:r>
          </w:p>
        </w:tc>
        <w:tc>
          <w:tcPr>
            <w:tcW w:w="0" w:type="dxa"/>
            <w:vAlign w:val="bottom"/>
          </w:tcPr>
          <w:p>
            <w:pPr>
              <w:spacing w:after="0"/>
              <w:rPr>
                <w:sz w:val="1"/>
                <w:szCs w:val="1"/>
                <w:color w:val="auto"/>
              </w:rPr>
            </w:pPr>
          </w:p>
        </w:tc>
      </w:tr>
      <w:tr>
        <w:trPr>
          <w:trHeight w:val="333"/>
        </w:trPr>
        <w:tc>
          <w:tcPr>
            <w:tcW w:w="4640" w:type="dxa"/>
            <w:vAlign w:val="bottom"/>
          </w:tcPr>
          <w:p>
            <w:pPr>
              <w:spacing w:after="0"/>
              <w:rPr>
                <w:sz w:val="20"/>
                <w:szCs w:val="20"/>
                <w:color w:val="auto"/>
              </w:rPr>
            </w:pPr>
            <w:r>
              <w:rPr>
                <w:rFonts w:ascii="Arial" w:cs="Arial" w:eastAsia="Arial" w:hAnsi="Arial"/>
                <w:sz w:val="14"/>
                <w:szCs w:val="14"/>
                <w:color w:val="005C5D"/>
              </w:rPr>
              <w:t xml:space="preserve">36 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005C5D"/>
              </w:rPr>
              <w:t>VERA BRADLEY, INC.</w:t>
            </w: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78"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99" w:lineRule="exact"/>
        <w:rPr>
          <w:sz w:val="20"/>
          <w:szCs w:val="20"/>
          <w:color w:val="auto"/>
        </w:rPr>
      </w:pPr>
    </w:p>
    <w:p>
      <w:pPr>
        <w:ind w:left="480" w:hanging="313"/>
        <w:spacing w:after="0"/>
        <w:tabs>
          <w:tab w:leader="none" w:pos="480" w:val="left"/>
        </w:tabs>
        <w:numPr>
          <w:ilvl w:val="0"/>
          <w:numId w:val="45"/>
        </w:numPr>
        <w:rPr>
          <w:rFonts w:ascii="Arial" w:cs="Arial" w:eastAsia="Arial" w:hAnsi="Arial"/>
          <w:sz w:val="12"/>
          <w:szCs w:val="12"/>
          <w:color w:val="333333"/>
        </w:rPr>
      </w:pPr>
      <w:r>
        <w:rPr>
          <w:rFonts w:ascii="Arial" w:cs="Arial" w:eastAsia="Arial" w:hAnsi="Arial"/>
          <w:sz w:val="12"/>
          <w:szCs w:val="12"/>
          <w:color w:val="333333"/>
        </w:rPr>
        <w:t>As none of the NEOs met or exceeded the age of 65, the normal retirement age of the Company, as of January 31, 2026, severance benefits due to retirement were excluded.</w:t>
      </w:r>
    </w:p>
    <w:p>
      <w:pPr>
        <w:spacing w:after="0" w:line="7" w:lineRule="exact"/>
        <w:rPr>
          <w:rFonts w:ascii="Arial" w:cs="Arial" w:eastAsia="Arial" w:hAnsi="Arial"/>
          <w:sz w:val="12"/>
          <w:szCs w:val="12"/>
          <w:color w:val="333333"/>
        </w:rPr>
      </w:pPr>
    </w:p>
    <w:p>
      <w:pPr>
        <w:ind w:left="480" w:right="20" w:hanging="313"/>
        <w:spacing w:after="0" w:line="232" w:lineRule="auto"/>
        <w:tabs>
          <w:tab w:leader="none" w:pos="480" w:val="left"/>
        </w:tabs>
        <w:numPr>
          <w:ilvl w:val="0"/>
          <w:numId w:val="45"/>
        </w:numPr>
        <w:rPr>
          <w:rFonts w:ascii="Arial" w:cs="Arial" w:eastAsia="Arial" w:hAnsi="Arial"/>
          <w:sz w:val="12"/>
          <w:szCs w:val="12"/>
          <w:color w:val="333333"/>
        </w:rPr>
      </w:pPr>
      <w:r>
        <w:rPr>
          <w:rFonts w:ascii="Arial" w:cs="Arial" w:eastAsia="Arial" w:hAnsi="Arial"/>
          <w:sz w:val="12"/>
          <w:szCs w:val="12"/>
          <w:color w:val="333333"/>
        </w:rPr>
        <w:t>Due to Mr. Bickley’s role as Executive Chairman as of January 31, 2026, he was not under a formal employment agreement. Effective March 12, 2026, Mr. Bickley was appointed CEO. His employment agreement, executed in fiscal 2027, includes severance benefits.</w:t>
      </w:r>
    </w:p>
    <w:p>
      <w:pPr>
        <w:jc w:val="both"/>
        <w:ind w:left="480" w:hanging="313"/>
        <w:spacing w:after="0" w:line="232" w:lineRule="auto"/>
        <w:tabs>
          <w:tab w:leader="none" w:pos="480" w:val="left"/>
        </w:tabs>
        <w:numPr>
          <w:ilvl w:val="0"/>
          <w:numId w:val="45"/>
        </w:numPr>
        <w:rPr>
          <w:rFonts w:ascii="Arial" w:cs="Arial" w:eastAsia="Arial" w:hAnsi="Arial"/>
          <w:sz w:val="12"/>
          <w:szCs w:val="12"/>
          <w:color w:val="333333"/>
        </w:rPr>
      </w:pPr>
      <w:r>
        <w:rPr>
          <w:rFonts w:ascii="Arial" w:cs="Arial" w:eastAsia="Arial" w:hAnsi="Arial"/>
          <w:sz w:val="12"/>
          <w:szCs w:val="12"/>
          <w:color w:val="333333"/>
        </w:rPr>
        <w:t>Ms. Ardrey’s employment from the Company was terminated on July 31, 2025 and the figures presented represent actual benefits received. Her cash severance payment was $2,000,000, a pro rata portion of the amount of the annual bonus, as a result of Ms. Ardrey’s termination date occurring after the last day of the first fiscal quarter, was $39,904, and her accrued vacation payment was $44,617. Pursuant to Ms. Ardrey’s separation agreement, her PRSU with a vesting date of March 31, 2026 was not forfeited, all other unvested shares were forfeited.</w:t>
      </w:r>
    </w:p>
    <w:p>
      <w:pPr>
        <w:spacing w:after="0" w:line="1" w:lineRule="exact"/>
        <w:rPr>
          <w:rFonts w:ascii="Arial" w:cs="Arial" w:eastAsia="Arial" w:hAnsi="Arial"/>
          <w:sz w:val="12"/>
          <w:szCs w:val="12"/>
          <w:color w:val="333333"/>
        </w:rPr>
      </w:pPr>
    </w:p>
    <w:p>
      <w:pPr>
        <w:ind w:left="480" w:hanging="313"/>
        <w:spacing w:after="0" w:line="232" w:lineRule="auto"/>
        <w:tabs>
          <w:tab w:leader="none" w:pos="480" w:val="left"/>
        </w:tabs>
        <w:numPr>
          <w:ilvl w:val="0"/>
          <w:numId w:val="45"/>
        </w:numPr>
        <w:rPr>
          <w:rFonts w:ascii="Arial" w:cs="Arial" w:eastAsia="Arial" w:hAnsi="Arial"/>
          <w:sz w:val="12"/>
          <w:szCs w:val="12"/>
          <w:color w:val="333333"/>
        </w:rPr>
      </w:pPr>
      <w:r>
        <w:rPr>
          <w:rFonts w:ascii="Arial" w:cs="Arial" w:eastAsia="Arial" w:hAnsi="Arial"/>
          <w:sz w:val="12"/>
          <w:szCs w:val="12"/>
          <w:color w:val="333333"/>
        </w:rPr>
        <w:t>Mr. Layding and Ms. Paraie are not members of the Severance Plan.</w:t>
      </w:r>
    </w:p>
    <w:p>
      <w:pPr>
        <w:jc w:val="both"/>
        <w:ind w:left="480" w:hanging="313"/>
        <w:spacing w:after="0" w:line="232" w:lineRule="auto"/>
        <w:tabs>
          <w:tab w:leader="none" w:pos="480" w:val="left"/>
        </w:tabs>
        <w:numPr>
          <w:ilvl w:val="0"/>
          <w:numId w:val="45"/>
        </w:numPr>
        <w:rPr>
          <w:rFonts w:ascii="Arial" w:cs="Arial" w:eastAsia="Arial" w:hAnsi="Arial"/>
          <w:sz w:val="12"/>
          <w:szCs w:val="12"/>
          <w:color w:val="333333"/>
        </w:rPr>
      </w:pPr>
      <w:r>
        <w:rPr>
          <w:rFonts w:ascii="Arial" w:cs="Arial" w:eastAsia="Arial" w:hAnsi="Arial"/>
          <w:sz w:val="12"/>
          <w:szCs w:val="12"/>
          <w:color w:val="333333"/>
        </w:rPr>
        <w:t>Mr. Schwindle’s employment from the Company was terminated on June 30, 2025 and the figures presented represent actual benefits received. His cash severance payment was $675,938, a pro rata portion of the amount of the annual bonus, as a result of Mr. Schwindle’s termination date occurring after the last day of the first fiscal quarter, was $11,905, and his accrued vacation payment was $16,222.</w:t>
      </w:r>
    </w:p>
    <w:p>
      <w:pPr>
        <w:spacing w:after="0" w:line="1" w:lineRule="exact"/>
        <w:rPr>
          <w:rFonts w:ascii="Arial" w:cs="Arial" w:eastAsia="Arial" w:hAnsi="Arial"/>
          <w:sz w:val="12"/>
          <w:szCs w:val="12"/>
          <w:color w:val="333333"/>
        </w:rPr>
      </w:pPr>
    </w:p>
    <w:p>
      <w:pPr>
        <w:jc w:val="both"/>
        <w:ind w:left="480" w:hanging="313"/>
        <w:spacing w:after="0"/>
        <w:tabs>
          <w:tab w:leader="none" w:pos="480" w:val="left"/>
        </w:tabs>
        <w:numPr>
          <w:ilvl w:val="0"/>
          <w:numId w:val="45"/>
        </w:numPr>
        <w:rPr>
          <w:rFonts w:ascii="Arial" w:cs="Arial" w:eastAsia="Arial" w:hAnsi="Arial"/>
          <w:sz w:val="12"/>
          <w:szCs w:val="12"/>
          <w:color w:val="333333"/>
        </w:rPr>
      </w:pPr>
      <w:r>
        <w:rPr>
          <w:rFonts w:ascii="Arial" w:cs="Arial" w:eastAsia="Arial" w:hAnsi="Arial"/>
          <w:sz w:val="12"/>
          <w:szCs w:val="12"/>
          <w:color w:val="333333"/>
        </w:rPr>
        <w:t>Pursuant to the Severance Plan (as described below), upon a termination by the Company without cause or by the executive for good reason, he or she is entitled to a cash payment equal to a pro rata portion of the amount of bonus that he or she would have received for the year in which his or her employment terminated, and a lump sum payment equal to one and one-quarter times the sum of his or her annual base salary rate plus target bonus in the year of termination. For purposes of this table, the pro rata bonus has been assumed at the actual fiscal 2026 bonus payout.</w:t>
      </w:r>
    </w:p>
    <w:p>
      <w:pPr>
        <w:spacing w:after="0" w:line="120" w:lineRule="exact"/>
        <w:rPr>
          <w:rFonts w:ascii="Arial" w:cs="Arial" w:eastAsia="Arial" w:hAnsi="Arial"/>
          <w:sz w:val="12"/>
          <w:szCs w:val="12"/>
          <w:color w:val="333333"/>
        </w:rPr>
      </w:pPr>
    </w:p>
    <w:p>
      <w:pPr>
        <w:jc w:val="both"/>
        <w:ind w:left="480" w:hanging="313"/>
        <w:spacing w:after="0" w:line="232" w:lineRule="auto"/>
        <w:tabs>
          <w:tab w:leader="none" w:pos="480" w:val="left"/>
        </w:tabs>
        <w:numPr>
          <w:ilvl w:val="0"/>
          <w:numId w:val="45"/>
        </w:numPr>
        <w:rPr>
          <w:rFonts w:ascii="Arial" w:cs="Arial" w:eastAsia="Arial" w:hAnsi="Arial"/>
          <w:sz w:val="12"/>
          <w:szCs w:val="12"/>
          <w:color w:val="333333"/>
        </w:rPr>
      </w:pPr>
      <w:r>
        <w:rPr>
          <w:rFonts w:ascii="Arial" w:cs="Arial" w:eastAsia="Arial" w:hAnsi="Arial"/>
          <w:sz w:val="12"/>
          <w:szCs w:val="12"/>
          <w:color w:val="333333"/>
        </w:rPr>
        <w:t>Pursuant to the Severance Plan, upon a termination in anticipation of, upon or within 24 months following a change in control, the executive is entitled to a cash payment equal to any bonus for the prior fiscal year which has been earned but is unpaid, a lump sum payment equal to one and three-quarters times the sum of his or her annual base salary rate plus target bonus in the year of termination, and a payment equal to his or her target bonus in the year of termination prorated for the number of weeks the executive was employed for the fiscal year. For purposes of this table, the current year bonus has been assumed at the actual fiscal 2026 bonus payout.</w:t>
      </w:r>
    </w:p>
    <w:p>
      <w:pPr>
        <w:spacing w:after="0" w:line="1" w:lineRule="exact"/>
        <w:rPr>
          <w:rFonts w:ascii="Arial" w:cs="Arial" w:eastAsia="Arial" w:hAnsi="Arial"/>
          <w:sz w:val="12"/>
          <w:szCs w:val="12"/>
          <w:color w:val="333333"/>
        </w:rPr>
      </w:pPr>
    </w:p>
    <w:p>
      <w:pPr>
        <w:jc w:val="both"/>
        <w:ind w:left="480" w:right="20" w:hanging="313"/>
        <w:spacing w:after="0"/>
        <w:tabs>
          <w:tab w:leader="none" w:pos="480" w:val="left"/>
        </w:tabs>
        <w:numPr>
          <w:ilvl w:val="0"/>
          <w:numId w:val="45"/>
        </w:numPr>
        <w:rPr>
          <w:rFonts w:ascii="Arial" w:cs="Arial" w:eastAsia="Arial" w:hAnsi="Arial"/>
          <w:sz w:val="12"/>
          <w:szCs w:val="12"/>
          <w:color w:val="333333"/>
        </w:rPr>
      </w:pPr>
      <w:r>
        <w:rPr>
          <w:rFonts w:ascii="Arial" w:cs="Arial" w:eastAsia="Arial" w:hAnsi="Arial"/>
          <w:sz w:val="12"/>
          <w:szCs w:val="12"/>
          <w:color w:val="333333"/>
        </w:rPr>
        <w:t>Pursuant to the Severance Plan, upon a termination for death or disability, the executive or his or her estate is entitled to a cash payment equal to a pro rata portion of the amount of bonus that he or she would have received for the year in which his or her employment terminated. For purposes of this table, the current year bonus has been assumed at the actual fiscal 2026 bonus payout.</w:t>
      </w:r>
    </w:p>
    <w:p>
      <w:pPr>
        <w:spacing w:after="0" w:line="125" w:lineRule="exact"/>
        <w:rPr>
          <w:rFonts w:ascii="Arial" w:cs="Arial" w:eastAsia="Arial" w:hAnsi="Arial"/>
          <w:sz w:val="12"/>
          <w:szCs w:val="12"/>
          <w:color w:val="333333"/>
        </w:rPr>
      </w:pPr>
    </w:p>
    <w:p>
      <w:pPr>
        <w:ind w:left="480" w:right="20" w:hanging="313"/>
        <w:spacing w:after="0" w:line="232" w:lineRule="auto"/>
        <w:tabs>
          <w:tab w:leader="none" w:pos="480" w:val="left"/>
        </w:tabs>
        <w:numPr>
          <w:ilvl w:val="0"/>
          <w:numId w:val="45"/>
        </w:numPr>
        <w:rPr>
          <w:rFonts w:ascii="Arial" w:cs="Arial" w:eastAsia="Arial" w:hAnsi="Arial"/>
          <w:sz w:val="12"/>
          <w:szCs w:val="12"/>
          <w:color w:val="333333"/>
        </w:rPr>
      </w:pPr>
      <w:r>
        <w:rPr>
          <w:rFonts w:ascii="Arial" w:cs="Arial" w:eastAsia="Arial" w:hAnsi="Arial"/>
          <w:sz w:val="12"/>
          <w:szCs w:val="12"/>
          <w:color w:val="333333"/>
        </w:rPr>
        <w:t>COBRA continuation coverage reflects monthly payments made by the Company for a period of 12 months for Mr. Dely and is based upon coverage elections in place as of January 31, 2026. This amount assumes the NEO elects COBRA coverage and is eligible to participate in COBRA for the payment period.</w:t>
      </w:r>
    </w:p>
    <w:p>
      <w:pPr>
        <w:ind w:left="480" w:hanging="313"/>
        <w:spacing w:after="0" w:line="232" w:lineRule="auto"/>
        <w:tabs>
          <w:tab w:leader="none" w:pos="480" w:val="left"/>
        </w:tabs>
        <w:numPr>
          <w:ilvl w:val="0"/>
          <w:numId w:val="45"/>
        </w:numPr>
        <w:rPr>
          <w:rFonts w:ascii="Arial" w:cs="Arial" w:eastAsia="Arial" w:hAnsi="Arial"/>
          <w:sz w:val="12"/>
          <w:szCs w:val="12"/>
          <w:color w:val="333333"/>
        </w:rPr>
      </w:pPr>
      <w:r>
        <w:rPr>
          <w:rFonts w:ascii="Arial" w:cs="Arial" w:eastAsia="Arial" w:hAnsi="Arial"/>
          <w:sz w:val="12"/>
          <w:szCs w:val="12"/>
          <w:color w:val="333333"/>
        </w:rPr>
        <w:t>Based on the closing price of $2.40 of the Company’s common shares on January 30, 2026 (the last trading day prior to the end of the fiscal year) as reported by The NASDAQ Stock Market.</w:t>
      </w:r>
    </w:p>
    <w:p>
      <w:pPr>
        <w:ind w:left="480" w:hanging="313"/>
        <w:spacing w:after="0" w:line="232" w:lineRule="auto"/>
        <w:tabs>
          <w:tab w:leader="none" w:pos="480" w:val="left"/>
        </w:tabs>
        <w:numPr>
          <w:ilvl w:val="0"/>
          <w:numId w:val="45"/>
        </w:numPr>
        <w:rPr>
          <w:rFonts w:ascii="Arial" w:cs="Arial" w:eastAsia="Arial" w:hAnsi="Arial"/>
          <w:sz w:val="12"/>
          <w:szCs w:val="12"/>
          <w:color w:val="333333"/>
        </w:rPr>
      </w:pPr>
      <w:r>
        <w:rPr>
          <w:rFonts w:ascii="Arial" w:cs="Arial" w:eastAsia="Arial" w:hAnsi="Arial"/>
          <w:sz w:val="12"/>
          <w:szCs w:val="12"/>
          <w:color w:val="333333"/>
        </w:rPr>
        <w:t>Figure includes grants of TRSUs which would vest in the event of death, disability, or upon a change in control.</w:t>
      </w:r>
    </w:p>
    <w:p>
      <w:pPr>
        <w:jc w:val="both"/>
        <w:ind w:left="480" w:hanging="313"/>
        <w:spacing w:after="0" w:line="232" w:lineRule="auto"/>
        <w:tabs>
          <w:tab w:leader="none" w:pos="480" w:val="left"/>
        </w:tabs>
        <w:numPr>
          <w:ilvl w:val="0"/>
          <w:numId w:val="45"/>
        </w:numPr>
        <w:rPr>
          <w:rFonts w:ascii="Arial" w:cs="Arial" w:eastAsia="Arial" w:hAnsi="Arial"/>
          <w:sz w:val="12"/>
          <w:szCs w:val="12"/>
          <w:color w:val="333333"/>
        </w:rPr>
      </w:pPr>
      <w:r>
        <w:rPr>
          <w:rFonts w:ascii="Arial" w:cs="Arial" w:eastAsia="Arial" w:hAnsi="Arial"/>
          <w:sz w:val="12"/>
          <w:szCs w:val="12"/>
          <w:color w:val="333333"/>
        </w:rPr>
        <w:t>Figure includes grants of PRSUs which would vest in the event of death, disability, or upon a change in control. For completed performance years, the number of shares reflects earned shares based on actual performance to goal. For incomplete performance years, upon a change in control, the shares above are reflected at target. In the event of death or disability, the grants would be prorated based on the number of full fiscal months in which the executive provided service during the performance period.</w:t>
      </w:r>
    </w:p>
    <w:p>
      <w:pPr>
        <w:spacing w:after="0" w:line="1" w:lineRule="exact"/>
        <w:rPr>
          <w:rFonts w:ascii="Arial" w:cs="Arial" w:eastAsia="Arial" w:hAnsi="Arial"/>
          <w:sz w:val="12"/>
          <w:szCs w:val="12"/>
          <w:color w:val="333333"/>
        </w:rPr>
      </w:pPr>
    </w:p>
    <w:p>
      <w:pPr>
        <w:ind w:left="480" w:hanging="313"/>
        <w:spacing w:after="0" w:line="232" w:lineRule="auto"/>
        <w:tabs>
          <w:tab w:leader="none" w:pos="480" w:val="left"/>
        </w:tabs>
        <w:numPr>
          <w:ilvl w:val="0"/>
          <w:numId w:val="45"/>
        </w:numPr>
        <w:rPr>
          <w:rFonts w:ascii="Arial" w:cs="Arial" w:eastAsia="Arial" w:hAnsi="Arial"/>
          <w:sz w:val="12"/>
          <w:szCs w:val="12"/>
          <w:color w:val="333333"/>
        </w:rPr>
      </w:pPr>
      <w:r>
        <w:rPr>
          <w:rFonts w:ascii="Arial" w:cs="Arial" w:eastAsia="Arial" w:hAnsi="Arial"/>
          <w:sz w:val="12"/>
          <w:szCs w:val="12"/>
          <w:color w:val="333333"/>
        </w:rPr>
        <w:t>Figure includes accrued vacation of 219 hours for Mr. Layding, 124 hours for Mr. Dely, and 55 hours for Ms. Paraie. In the event of a change in control, this amount also includes a maximum of $30,000 for Mr. Dely.</w:t>
      </w:r>
    </w:p>
    <w:p>
      <w:pPr>
        <w:jc w:val="both"/>
        <w:ind w:left="480" w:hanging="313"/>
        <w:spacing w:after="0" w:line="245" w:lineRule="auto"/>
        <w:tabs>
          <w:tab w:leader="none" w:pos="480" w:val="left"/>
        </w:tabs>
        <w:numPr>
          <w:ilvl w:val="0"/>
          <w:numId w:val="45"/>
        </w:numPr>
        <w:rPr>
          <w:rFonts w:ascii="Arial" w:cs="Arial" w:eastAsia="Arial" w:hAnsi="Arial"/>
          <w:sz w:val="12"/>
          <w:szCs w:val="12"/>
          <w:color w:val="333333"/>
        </w:rPr>
      </w:pPr>
      <w:r>
        <w:rPr>
          <w:rFonts w:ascii="Arial" w:cs="Arial" w:eastAsia="Arial" w:hAnsi="Arial"/>
          <w:sz w:val="12"/>
          <w:szCs w:val="12"/>
          <w:color w:val="333333"/>
        </w:rPr>
        <w:t>Ms. Hiatt’s employment from the Company was terminated on October 9, 2025 and the figures presented represent actual benefits received. Her cash severance payment was $300,000, a pro rata portion of the amount of the annual bonus, as a result of Ms. Hiatt’s termination date occurring after the last day of the first fiscal quarter, was $12,764, and her accrued vacation payment was $20,600. Ms. Hiatt forfeited all unvested TRSUs and PRSUs with the exception of those with a vesting date between March 31, 2026 and April 5, 2026.</w:t>
      </w:r>
    </w:p>
    <w:p>
      <w:pPr>
        <w:spacing w:after="0" w:line="122" w:lineRule="exact"/>
        <w:rPr>
          <w:sz w:val="20"/>
          <w:szCs w:val="20"/>
          <w:color w:val="auto"/>
        </w:rPr>
      </w:pPr>
    </w:p>
    <w:p>
      <w:pPr>
        <w:ind w:left="4940"/>
        <w:spacing w:after="0"/>
        <w:tabs>
          <w:tab w:leader="none" w:pos="9080" w:val="left"/>
          <w:tab w:leader="none" w:pos="1090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37</w:t>
      </w:r>
    </w:p>
    <w:p>
      <w:pPr>
        <w:sectPr>
          <w:pgSz w:w="11900" w:h="16838" w:orient="portrait"/>
          <w:cols w:equalWidth="0" w:num="1">
            <w:col w:w="11080"/>
          </w:cols>
          <w:pgMar w:left="320" w:top="478"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SEVERANCE AGREEMENTS AND ARRANGEMENTS</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333333"/>
        </w:rPr>
        <w:t>Chief Executive Officer</w:t>
      </w:r>
      <w:r>
        <w:rPr>
          <w:rFonts w:ascii="Arial" w:cs="Arial" w:eastAsia="Arial" w:hAnsi="Arial"/>
          <w:sz w:val="16"/>
          <w:szCs w:val="16"/>
          <w:color w:val="333333"/>
        </w:rPr>
        <w:t>.</w:t>
      </w:r>
    </w:p>
    <w:p>
      <w:pPr>
        <w:spacing w:after="0" w:line="137" w:lineRule="exact"/>
        <w:rPr>
          <w:sz w:val="20"/>
          <w:szCs w:val="20"/>
          <w:color w:val="auto"/>
        </w:rPr>
      </w:pPr>
    </w:p>
    <w:p>
      <w:pPr>
        <w:jc w:val="both"/>
        <w:ind w:left="160"/>
        <w:spacing w:after="0" w:line="247" w:lineRule="auto"/>
        <w:rPr>
          <w:sz w:val="20"/>
          <w:szCs w:val="20"/>
          <w:color w:val="auto"/>
        </w:rPr>
      </w:pPr>
      <w:r>
        <w:rPr>
          <w:rFonts w:ascii="Arial" w:cs="Arial" w:eastAsia="Arial" w:hAnsi="Arial"/>
          <w:sz w:val="16"/>
          <w:szCs w:val="16"/>
          <w:color w:val="333333"/>
        </w:rPr>
        <w:t>Mr. Bickley was named Chief Executive Officer on March 12, 2026 Under the Employment Agreement, if the Company terminates Mr. Bickley’s employment without Cause or Mr. Bickley terminates his employment for Good Reason (each as defined in the Employment Agreement), Mr. Bickley will be entitled to (i) the accrued amounts, as soon as reasonably practicable following the date of termination, (ii) any Bonus earned in the fiscal year prior to the employment termination that has not yet been paid,</w:t>
      </w:r>
    </w:p>
    <w:p>
      <w:pPr>
        <w:spacing w:after="0" w:line="1" w:lineRule="exact"/>
        <w:rPr>
          <w:sz w:val="20"/>
          <w:szCs w:val="20"/>
          <w:color w:val="auto"/>
        </w:rPr>
      </w:pPr>
    </w:p>
    <w:p>
      <w:pPr>
        <w:jc w:val="both"/>
        <w:ind w:left="160" w:firstLine="7"/>
        <w:spacing w:after="0" w:line="245" w:lineRule="auto"/>
        <w:tabs>
          <w:tab w:leader="none" w:pos="428" w:val="left"/>
        </w:tabs>
        <w:numPr>
          <w:ilvl w:val="0"/>
          <w:numId w:val="46"/>
        </w:numPr>
        <w:rPr>
          <w:rFonts w:ascii="Arial" w:cs="Arial" w:eastAsia="Arial" w:hAnsi="Arial"/>
          <w:sz w:val="16"/>
          <w:szCs w:val="16"/>
          <w:color w:val="333333"/>
        </w:rPr>
      </w:pPr>
      <w:r>
        <w:rPr>
          <w:rFonts w:ascii="Arial" w:cs="Arial" w:eastAsia="Arial" w:hAnsi="Arial"/>
          <w:sz w:val="16"/>
          <w:szCs w:val="16"/>
          <w:color w:val="333333"/>
        </w:rPr>
        <w:t>a pro rata portion of the amount of Bonus, if any, that he would have received for the year in which his employment terminated, (iv) a lump sum payment equal to one and a half times the sum of his Base Salary for the fiscal year of termination, and (v) immediate accelerated full vesting of the time-based restricted stock units under the Sign-On Award. All other equity compensation awards outstanding shall vest as if he was employed for eighteen months following his termination date, unless the terms of the plan or agreement under which such awards were granted would allow for more favorable vesting treatment for Mr. Bickley. To the extent that Mr. Bickley remains on the Board of Directors after he leaves the employment, no award shall be forfeited, and all awards shall continue to vest until such time as Mr. Bickley is no longer a member of the Corporation’s Board of Directors. He will also receive monthly cash reimbursement of COBRA premiums.</w:t>
      </w:r>
    </w:p>
    <w:p>
      <w:pPr>
        <w:spacing w:after="0" w:line="123" w:lineRule="exact"/>
        <w:rPr>
          <w:sz w:val="20"/>
          <w:szCs w:val="20"/>
          <w:color w:val="auto"/>
        </w:rPr>
      </w:pPr>
    </w:p>
    <w:p>
      <w:pPr>
        <w:jc w:val="both"/>
        <w:ind w:left="160"/>
        <w:spacing w:after="0" w:line="246" w:lineRule="auto"/>
        <w:rPr>
          <w:sz w:val="20"/>
          <w:szCs w:val="20"/>
          <w:color w:val="auto"/>
        </w:rPr>
      </w:pPr>
      <w:r>
        <w:rPr>
          <w:rFonts w:ascii="Arial" w:cs="Arial" w:eastAsia="Arial" w:hAnsi="Arial"/>
          <w:sz w:val="16"/>
          <w:szCs w:val="16"/>
          <w:color w:val="333333"/>
        </w:rPr>
        <w:t>If the Company terminates Mr. Bickley’s employment without Cause or Mr. Bickley terminates his employment for Good Reason and such termination is within 24 months after a Change in Control of the Company, Mr. Bickley will receive, in addition to the payments and benefit described in the preceding sentence, (i) an additional lump sum payment equal to one and a half times his Base Salary, (ii) in exchange for his continued compliance with the Restrictive Covenants set forth in the Employment Agreement after the Change in Control, an additional lump sum payment equal to his Base Salary, (iii) any equity compensation awards held shall become fully vested and non-forfeitable. If the payments and benefits to Mr. Bickley under the Employment Agreement, together with all other amounts payable to his following a Change in Control (the “Total Payments”), would be subject to an excise tax under the provisions of Code Section 4999 (the “Excise Tax”), then Mr. Bickley will receive either the Total Payments or the Total Payments will be reduced so that the amount of the Total Payments (after reduction) is $1.00 less than the amount that would cause the payments to be subject to the Excise Tax, which would provide his with a greater after-tax value of amounts received.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
        <w:spacing w:after="0" w:line="279" w:lineRule="auto"/>
        <w:rPr>
          <w:sz w:val="20"/>
          <w:szCs w:val="20"/>
          <w:color w:val="auto"/>
        </w:rPr>
      </w:pPr>
      <w:r>
        <w:rPr>
          <w:rFonts w:ascii="Arial" w:cs="Arial" w:eastAsia="Arial" w:hAnsi="Arial"/>
          <w:sz w:val="16"/>
          <w:szCs w:val="16"/>
          <w:color w:val="333333"/>
        </w:rPr>
        <w:t>If Mr. Bickley’s employment is terminated by death or disability, Mr. Bickley or his estate will be entitled to:</w:t>
      </w:r>
    </w:p>
    <w:p>
      <w:pPr>
        <w:spacing w:after="0" w:line="80" w:lineRule="exact"/>
        <w:rPr>
          <w:sz w:val="20"/>
          <w:szCs w:val="20"/>
          <w:color w:val="auto"/>
        </w:rPr>
      </w:pPr>
    </w:p>
    <w:p>
      <w:pPr>
        <w:jc w:val="both"/>
        <w:ind w:left="7" w:right="20" w:hanging="7"/>
        <w:spacing w:after="0" w:line="262" w:lineRule="auto"/>
        <w:tabs>
          <w:tab w:leader="none" w:pos="214" w:val="left"/>
        </w:tabs>
        <w:numPr>
          <w:ilvl w:val="0"/>
          <w:numId w:val="47"/>
        </w:numPr>
        <w:rPr>
          <w:rFonts w:ascii="Arial" w:cs="Arial" w:eastAsia="Arial" w:hAnsi="Arial"/>
          <w:sz w:val="16"/>
          <w:szCs w:val="16"/>
          <w:color w:val="333333"/>
        </w:rPr>
      </w:pPr>
      <w:r>
        <w:rPr>
          <w:rFonts w:ascii="Arial" w:cs="Arial" w:eastAsia="Arial" w:hAnsi="Arial"/>
          <w:sz w:val="16"/>
          <w:szCs w:val="16"/>
          <w:color w:val="333333"/>
        </w:rPr>
        <w:t>any bonus that has been earned but not paid; (ii) a prorated bonus, if any, Mr. Bickley would have received for the year in which his employment terminated;</w:t>
      </w:r>
    </w:p>
    <w:p>
      <w:pPr>
        <w:spacing w:after="0" w:line="106" w:lineRule="exact"/>
        <w:rPr>
          <w:sz w:val="20"/>
          <w:szCs w:val="20"/>
          <w:color w:val="auto"/>
        </w:rPr>
      </w:pPr>
    </w:p>
    <w:p>
      <w:pPr>
        <w:ind w:left="7" w:right="20" w:hanging="7"/>
        <w:spacing w:after="0" w:line="279" w:lineRule="auto"/>
        <w:tabs>
          <w:tab w:leader="none" w:pos="296" w:val="left"/>
        </w:tabs>
        <w:numPr>
          <w:ilvl w:val="0"/>
          <w:numId w:val="48"/>
        </w:numPr>
        <w:rPr>
          <w:rFonts w:ascii="Arial" w:cs="Arial" w:eastAsia="Arial" w:hAnsi="Arial"/>
          <w:sz w:val="16"/>
          <w:szCs w:val="16"/>
          <w:color w:val="333333"/>
        </w:rPr>
      </w:pPr>
      <w:r>
        <w:rPr>
          <w:rFonts w:ascii="Arial" w:cs="Arial" w:eastAsia="Arial" w:hAnsi="Arial"/>
          <w:sz w:val="16"/>
          <w:szCs w:val="16"/>
          <w:color w:val="333333"/>
        </w:rPr>
        <w:t>the Sign-On Bonus and the Sign-On Award; and (iv) in the case of termination due to disability, reimbursements of COBRA premiums.</w:t>
      </w:r>
    </w:p>
    <w:p>
      <w:pPr>
        <w:spacing w:after="0" w:line="80" w:lineRule="exact"/>
        <w:rPr>
          <w:sz w:val="20"/>
          <w:szCs w:val="20"/>
          <w:color w:val="auto"/>
        </w:rPr>
      </w:pPr>
    </w:p>
    <w:p>
      <w:pPr>
        <w:jc w:val="both"/>
        <w:ind w:left="7"/>
        <w:spacing w:after="0" w:line="250" w:lineRule="auto"/>
        <w:rPr>
          <w:sz w:val="20"/>
          <w:szCs w:val="20"/>
          <w:color w:val="auto"/>
        </w:rPr>
      </w:pPr>
      <w:r>
        <w:rPr>
          <w:rFonts w:ascii="Arial" w:cs="Arial" w:eastAsia="Arial" w:hAnsi="Arial"/>
          <w:sz w:val="16"/>
          <w:szCs w:val="16"/>
          <w:i w:val="1"/>
          <w:iCs w:val="1"/>
          <w:color w:val="333333"/>
        </w:rPr>
        <w:t xml:space="preserve">Severance Plan. </w:t>
      </w:r>
      <w:r>
        <w:rPr>
          <w:rFonts w:ascii="Arial" w:cs="Arial" w:eastAsia="Arial" w:hAnsi="Arial"/>
          <w:sz w:val="16"/>
          <w:szCs w:val="16"/>
          <w:color w:val="333333"/>
        </w:rPr>
        <w:t>On May 21, 2014, the Committee adopted the Vera</w:t>
      </w:r>
      <w:r>
        <w:rPr>
          <w:rFonts w:ascii="Arial" w:cs="Arial" w:eastAsia="Arial" w:hAnsi="Arial"/>
          <w:sz w:val="16"/>
          <w:szCs w:val="16"/>
          <w:i w:val="1"/>
          <w:iCs w:val="1"/>
          <w:color w:val="333333"/>
        </w:rPr>
        <w:t xml:space="preserve"> </w:t>
      </w:r>
      <w:r>
        <w:rPr>
          <w:rFonts w:ascii="Arial" w:cs="Arial" w:eastAsia="Arial" w:hAnsi="Arial"/>
          <w:sz w:val="16"/>
          <w:szCs w:val="16"/>
          <w:color w:val="333333"/>
        </w:rPr>
        <w:t>Bradley, Inc. 2014 Executive Severance Plan (the “Severance Plan”). The Severance Plan was amended on May 30, 2018 to remove the reference to Executive Vice President and Senior Vice President position levels and replacing it with an executive officer level only. Beginning in May 2025, the Committee made the decision to not add any additional members to the Severance Plan.</w:t>
      </w:r>
    </w:p>
    <w:p>
      <w:pPr>
        <w:spacing w:after="0" w:line="116" w:lineRule="exact"/>
        <w:rPr>
          <w:sz w:val="20"/>
          <w:szCs w:val="20"/>
          <w:color w:val="auto"/>
        </w:rPr>
      </w:pPr>
    </w:p>
    <w:p>
      <w:pPr>
        <w:jc w:val="both"/>
        <w:ind w:left="7"/>
        <w:spacing w:after="0" w:line="246" w:lineRule="auto"/>
        <w:rPr>
          <w:sz w:val="20"/>
          <w:szCs w:val="20"/>
          <w:color w:val="auto"/>
        </w:rPr>
      </w:pPr>
      <w:r>
        <w:rPr>
          <w:rFonts w:ascii="Arial" w:cs="Arial" w:eastAsia="Arial" w:hAnsi="Arial"/>
          <w:sz w:val="16"/>
          <w:szCs w:val="16"/>
          <w:color w:val="333333"/>
        </w:rPr>
        <w:t>Under the Severance Plan, if the Company terminates a participant’s employment without cause or the participant terminates his or her employment for good reason (each as defined in the Severance Plan), the participant will be entitled to (i) any bonus earned in the fiscal year prior to the employment termination that has not yet been paid; (ii) a pro rata portion of the amount of the target bonus (as defined in the Severance Plan), if any, that he or she would have received for the year in which his or her employment terminated; (iii) a lump sum payment equal to one and one-quarter times the sum of his or her (a) annual base salary rate and</w:t>
      </w:r>
    </w:p>
    <w:p>
      <w:pPr>
        <w:spacing w:after="0" w:line="4" w:lineRule="exact"/>
        <w:rPr>
          <w:sz w:val="20"/>
          <w:szCs w:val="20"/>
          <w:color w:val="auto"/>
        </w:rPr>
      </w:pPr>
    </w:p>
    <w:p>
      <w:pPr>
        <w:ind w:left="7" w:hanging="7"/>
        <w:spacing w:after="0" w:line="258" w:lineRule="auto"/>
        <w:tabs>
          <w:tab w:leader="none" w:pos="277" w:val="left"/>
        </w:tabs>
        <w:numPr>
          <w:ilvl w:val="0"/>
          <w:numId w:val="49"/>
        </w:numPr>
        <w:rPr>
          <w:rFonts w:ascii="Arial" w:cs="Arial" w:eastAsia="Arial" w:hAnsi="Arial"/>
          <w:sz w:val="16"/>
          <w:szCs w:val="16"/>
          <w:color w:val="333333"/>
        </w:rPr>
      </w:pPr>
      <w:r>
        <w:rPr>
          <w:rFonts w:ascii="Arial" w:cs="Arial" w:eastAsia="Arial" w:hAnsi="Arial"/>
          <w:sz w:val="16"/>
          <w:szCs w:val="16"/>
          <w:color w:val="333333"/>
        </w:rPr>
        <w:t>target bonus for the fiscal year of termination; and (v) monthly cash reimbursement of COBRA premiums for a period of twelve months.</w:t>
      </w:r>
    </w:p>
    <w:p>
      <w:pPr>
        <w:spacing w:after="0" w:line="110" w:lineRule="exact"/>
        <w:rPr>
          <w:sz w:val="20"/>
          <w:szCs w:val="20"/>
          <w:color w:val="auto"/>
        </w:rPr>
      </w:pPr>
    </w:p>
    <w:p>
      <w:pPr>
        <w:jc w:val="both"/>
        <w:ind w:left="7"/>
        <w:spacing w:after="0" w:line="248" w:lineRule="auto"/>
        <w:rPr>
          <w:sz w:val="20"/>
          <w:szCs w:val="20"/>
          <w:color w:val="auto"/>
        </w:rPr>
      </w:pPr>
      <w:r>
        <w:rPr>
          <w:rFonts w:ascii="Arial" w:cs="Arial" w:eastAsia="Arial" w:hAnsi="Arial"/>
          <w:sz w:val="16"/>
          <w:szCs w:val="16"/>
          <w:color w:val="333333"/>
        </w:rPr>
        <w:t>If the Company terminates a participant’s employment without cause or a participant terminates his or her employment for good reason and such termination is within 24 months after a change in control (as defined in the Severance Plan) of the Company, the participant will receive, (i) any bonus earned in the fiscal year prior to the employment termination that has not yet been paid; (ii) a pro rata portion of the target bonus for the year in which his or her employment terminated; (iii) a lump sum payment equal to one and three-quarter times the sum of his or her (a) annual base salary rate and (b) target bonus for the fiscal year of termination; and (v) monthly cash reimbursement of COBRA premiums for a period of twelve months.</w:t>
      </w:r>
    </w:p>
    <w:p>
      <w:pPr>
        <w:spacing w:after="0" w:line="105" w:lineRule="exact"/>
        <w:rPr>
          <w:sz w:val="20"/>
          <w:szCs w:val="20"/>
          <w:color w:val="auto"/>
        </w:rPr>
      </w:pPr>
    </w:p>
    <w:p>
      <w:pPr>
        <w:jc w:val="both"/>
        <w:ind w:left="7"/>
        <w:spacing w:after="0" w:line="262" w:lineRule="auto"/>
        <w:rPr>
          <w:sz w:val="20"/>
          <w:szCs w:val="20"/>
          <w:color w:val="auto"/>
        </w:rPr>
      </w:pPr>
      <w:r>
        <w:rPr>
          <w:rFonts w:ascii="Arial" w:cs="Arial" w:eastAsia="Arial" w:hAnsi="Arial"/>
          <w:sz w:val="16"/>
          <w:szCs w:val="16"/>
          <w:color w:val="333333"/>
        </w:rPr>
        <w:t>If a participant’s employment is terminated by death or disability, the participant or his or her estate will be entitled to receive (i) any bonus earned in the fiscal year</w:t>
      </w:r>
    </w:p>
    <w:p>
      <w:pPr>
        <w:spacing w:after="0" w:line="200" w:lineRule="exact"/>
        <w:rPr>
          <w:sz w:val="20"/>
          <w:szCs w:val="20"/>
          <w:color w:val="auto"/>
        </w:rPr>
      </w:pPr>
    </w:p>
    <w:p>
      <w:pPr>
        <w:sectPr>
          <w:pgSz w:w="11900" w:h="16838" w:orient="portrait"/>
          <w:cols w:equalWidth="0" w:num="2">
            <w:col w:w="5400" w:space="333"/>
            <w:col w:w="5347"/>
          </w:cols>
          <w:pgMar w:left="320" w:top="478" w:right="499" w:bottom="1440" w:gutter="0" w:footer="0" w:header="0"/>
          <w:type w:val="continuous"/>
        </w:sectPr>
      </w:pPr>
    </w:p>
    <w:p>
      <w:pPr>
        <w:spacing w:after="0" w:line="58" w:lineRule="exact"/>
        <w:rPr>
          <w:sz w:val="20"/>
          <w:szCs w:val="20"/>
          <w:color w:val="auto"/>
        </w:rPr>
      </w:pPr>
    </w:p>
    <w:p>
      <w:pPr>
        <w:ind w:left="160"/>
        <w:spacing w:after="0"/>
        <w:tabs>
          <w:tab w:leader="none" w:pos="4920" w:val="left"/>
        </w:tabs>
        <w:rPr>
          <w:sz w:val="20"/>
          <w:szCs w:val="20"/>
          <w:color w:val="auto"/>
        </w:rPr>
      </w:pPr>
      <w:r>
        <w:rPr>
          <w:rFonts w:ascii="Arial" w:cs="Arial" w:eastAsia="Arial" w:hAnsi="Arial"/>
          <w:sz w:val="14"/>
          <w:szCs w:val="14"/>
          <w:color w:val="005C5D"/>
        </w:rPr>
        <w:t xml:space="preserve">38 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1080"/>
          </w:cols>
          <w:pgMar w:left="320" w:top="478" w:right="4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both"/>
        <w:ind w:left="160"/>
        <w:spacing w:after="0" w:line="251" w:lineRule="auto"/>
        <w:rPr>
          <w:sz w:val="20"/>
          <w:szCs w:val="20"/>
          <w:color w:val="auto"/>
        </w:rPr>
      </w:pPr>
      <w:r>
        <w:rPr>
          <w:rFonts w:ascii="Arial" w:cs="Arial" w:eastAsia="Arial" w:hAnsi="Arial"/>
          <w:sz w:val="16"/>
          <w:szCs w:val="16"/>
          <w:color w:val="333333"/>
        </w:rPr>
        <w:t>prior to the employment termination that has not yet been paid; (ii) a pro rata portion of the amount of bonus (as defined in the Severance Plan), if any, that he or she would have received for the year in which his or her employment terminated; and (iii) in the case of termination due to disability, monthly cash reimbursement of COBRA premiums for a period of twelve months.</w:t>
      </w:r>
    </w:p>
    <w:p>
      <w:pPr>
        <w:spacing w:after="0" w:line="103" w:lineRule="exact"/>
        <w:rPr>
          <w:sz w:val="20"/>
          <w:szCs w:val="20"/>
          <w:color w:val="auto"/>
        </w:rPr>
      </w:pPr>
    </w:p>
    <w:p>
      <w:pPr>
        <w:jc w:val="both"/>
        <w:ind w:left="160"/>
        <w:spacing w:after="0" w:line="246" w:lineRule="auto"/>
        <w:rPr>
          <w:sz w:val="20"/>
          <w:szCs w:val="20"/>
          <w:color w:val="auto"/>
        </w:rPr>
      </w:pPr>
      <w:r>
        <w:rPr>
          <w:rFonts w:ascii="Arial" w:cs="Arial" w:eastAsia="Arial" w:hAnsi="Arial"/>
          <w:sz w:val="16"/>
          <w:szCs w:val="16"/>
          <w:color w:val="333333"/>
        </w:rPr>
        <w:t>The Severance Plan contains customary non-competition and confidentiality provisions. During the period of each participant’s employment and for a period of one year following termination of employment for any reason, the participants may not associate, directly or indirectly, as an employee, officer, director, agent, partner, owner, stockholder, representative, consultant, or vendor with, for or on behalf of any competitor (as defined below), unless the Committee has approved such an association. For purposes of the Severance Plan, the term “competitor” means any entity, company, enterprise, or group which engages in the sale of duffel bags, backpacks, totes, or handbags and whose annual sales revenue is less than three hundred million dollars or those added to a list which the Committee reviews biannually. In addition, participants may not solicit or accept if offered the services of any person who is a then-current employee of the Company (or was an employee of the Company during the year preceding such solicitation) to terminate employment or an engagement with the Company, not including any general, non-targeted advertising or agree to hire any then-current employee (or an individual who was an employee of the Company during the year preceding such hire) of the Company into employment with the participant or any company, individual or other entity.</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05C5D"/>
        </w:rPr>
        <w:t>Treatment of Equity Awards</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C5D"/>
        </w:rPr>
        <w:t>Grants under the 2020 Equity and Incentive Plans</w:t>
      </w:r>
    </w:p>
    <w:p>
      <w:pPr>
        <w:spacing w:after="0" w:line="110" w:lineRule="exact"/>
        <w:rPr>
          <w:sz w:val="20"/>
          <w:szCs w:val="20"/>
          <w:color w:val="auto"/>
        </w:rPr>
      </w:pPr>
    </w:p>
    <w:p>
      <w:pPr>
        <w:jc w:val="both"/>
        <w:ind w:left="160"/>
        <w:spacing w:after="0" w:line="256" w:lineRule="auto"/>
        <w:rPr>
          <w:sz w:val="20"/>
          <w:szCs w:val="20"/>
          <w:color w:val="auto"/>
        </w:rPr>
      </w:pPr>
      <w:r>
        <w:rPr>
          <w:rFonts w:ascii="Arial" w:cs="Arial" w:eastAsia="Arial" w:hAnsi="Arial"/>
          <w:sz w:val="16"/>
          <w:szCs w:val="16"/>
          <w:b w:val="1"/>
          <w:bCs w:val="1"/>
          <w:color w:val="337C7D"/>
        </w:rPr>
        <w:t xml:space="preserve">Generally. </w:t>
      </w:r>
      <w:r>
        <w:rPr>
          <w:rFonts w:ascii="Arial" w:cs="Arial" w:eastAsia="Arial" w:hAnsi="Arial"/>
          <w:sz w:val="16"/>
          <w:szCs w:val="16"/>
          <w:color w:val="333333"/>
        </w:rPr>
        <w:t>Except in the case of a change in control or the executive’s</w:t>
      </w:r>
      <w:r>
        <w:rPr>
          <w:rFonts w:ascii="Arial" w:cs="Arial" w:eastAsia="Arial" w:hAnsi="Arial"/>
          <w:sz w:val="16"/>
          <w:szCs w:val="16"/>
          <w:b w:val="1"/>
          <w:bCs w:val="1"/>
          <w:color w:val="337C7D"/>
        </w:rPr>
        <w:t xml:space="preserve"> </w:t>
      </w:r>
      <w:r>
        <w:rPr>
          <w:rFonts w:ascii="Arial" w:cs="Arial" w:eastAsia="Arial" w:hAnsi="Arial"/>
          <w:sz w:val="16"/>
          <w:szCs w:val="16"/>
          <w:color w:val="333333"/>
        </w:rPr>
        <w:t>death, disability, or retirement, upon an executive’s termination in service from the Company all unearned and unvested grants of both time-based and performance-based RSUs will be forfeited.</w:t>
      </w:r>
    </w:p>
    <w:p>
      <w:pPr>
        <w:spacing w:after="0" w:line="111" w:lineRule="exact"/>
        <w:rPr>
          <w:sz w:val="20"/>
          <w:szCs w:val="20"/>
          <w:color w:val="auto"/>
        </w:rPr>
      </w:pPr>
    </w:p>
    <w:p>
      <w:pPr>
        <w:jc w:val="both"/>
        <w:ind w:left="160"/>
        <w:spacing w:after="0" w:line="249" w:lineRule="auto"/>
        <w:rPr>
          <w:sz w:val="20"/>
          <w:szCs w:val="20"/>
          <w:color w:val="auto"/>
        </w:rPr>
      </w:pPr>
      <w:r>
        <w:rPr>
          <w:rFonts w:ascii="Arial" w:cs="Arial" w:eastAsia="Arial" w:hAnsi="Arial"/>
          <w:sz w:val="16"/>
          <w:szCs w:val="16"/>
          <w:b w:val="1"/>
          <w:bCs w:val="1"/>
          <w:color w:val="337C7D"/>
        </w:rPr>
        <w:t xml:space="preserve">Change in Control. </w:t>
      </w:r>
      <w:r>
        <w:rPr>
          <w:rFonts w:ascii="Arial" w:cs="Arial" w:eastAsia="Arial" w:hAnsi="Arial"/>
          <w:sz w:val="16"/>
          <w:szCs w:val="16"/>
          <w:color w:val="333333"/>
        </w:rPr>
        <w:t>Under the terms of the grant agreements, all</w:t>
      </w:r>
      <w:r>
        <w:rPr>
          <w:rFonts w:ascii="Arial" w:cs="Arial" w:eastAsia="Arial" w:hAnsi="Arial"/>
          <w:sz w:val="16"/>
          <w:szCs w:val="16"/>
          <w:b w:val="1"/>
          <w:bCs w:val="1"/>
          <w:color w:val="337C7D"/>
        </w:rPr>
        <w:t xml:space="preserve"> </w:t>
      </w:r>
      <w:r>
        <w:rPr>
          <w:rFonts w:ascii="Arial" w:cs="Arial" w:eastAsia="Arial" w:hAnsi="Arial"/>
          <w:sz w:val="16"/>
          <w:szCs w:val="16"/>
          <w:color w:val="333333"/>
        </w:rPr>
        <w:t>unvested performance-based RSUs will vest in the event of a change in control. With respect to performance years that have been completed at the time of a change in control, unvested performance-based RSUs will be earned and vested to the extent of actual performance for such performance year. With respect to performance years that have not been completed at the time of a change in control, performance-based RSUs 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both"/>
        <w:ind w:left="7" w:right="20"/>
        <w:spacing w:after="0" w:line="279" w:lineRule="auto"/>
        <w:rPr>
          <w:sz w:val="20"/>
          <w:szCs w:val="20"/>
          <w:color w:val="auto"/>
        </w:rPr>
      </w:pPr>
      <w:r>
        <w:rPr>
          <w:rFonts w:ascii="Arial" w:cs="Arial" w:eastAsia="Arial" w:hAnsi="Arial"/>
          <w:sz w:val="16"/>
          <w:szCs w:val="16"/>
          <w:color w:val="333333"/>
        </w:rPr>
        <w:t>be deemed to be earned at the target level, with any such earned units becoming fully vested.</w:t>
      </w:r>
    </w:p>
    <w:p>
      <w:pPr>
        <w:spacing w:after="0" w:line="80" w:lineRule="exact"/>
        <w:rPr>
          <w:sz w:val="20"/>
          <w:szCs w:val="20"/>
          <w:color w:val="auto"/>
        </w:rPr>
      </w:pPr>
    </w:p>
    <w:p>
      <w:pPr>
        <w:jc w:val="both"/>
        <w:ind w:left="7"/>
        <w:spacing w:after="0" w:line="256" w:lineRule="auto"/>
        <w:rPr>
          <w:sz w:val="20"/>
          <w:szCs w:val="20"/>
          <w:color w:val="auto"/>
        </w:rPr>
      </w:pPr>
      <w:r>
        <w:rPr>
          <w:rFonts w:ascii="Arial" w:cs="Arial" w:eastAsia="Arial" w:hAnsi="Arial"/>
          <w:sz w:val="16"/>
          <w:szCs w:val="16"/>
          <w:color w:val="333333"/>
        </w:rPr>
        <w:t>With respect to time-based RSUs, upon a change in control that portion of any outstanding award that is not yet vested as of the date of the change in control will become immediately and fully vested and paid immediately prior to the change in control.</w:t>
      </w:r>
    </w:p>
    <w:p>
      <w:pPr>
        <w:spacing w:after="0" w:line="111" w:lineRule="exact"/>
        <w:rPr>
          <w:sz w:val="20"/>
          <w:szCs w:val="20"/>
          <w:color w:val="auto"/>
        </w:rPr>
      </w:pPr>
    </w:p>
    <w:p>
      <w:pPr>
        <w:jc w:val="both"/>
        <w:ind w:left="7"/>
        <w:spacing w:after="0" w:line="245" w:lineRule="auto"/>
        <w:rPr>
          <w:sz w:val="20"/>
          <w:szCs w:val="20"/>
          <w:color w:val="auto"/>
        </w:rPr>
      </w:pPr>
      <w:r>
        <w:rPr>
          <w:rFonts w:ascii="Arial" w:cs="Arial" w:eastAsia="Arial" w:hAnsi="Arial"/>
          <w:sz w:val="16"/>
          <w:szCs w:val="16"/>
          <w:color w:val="333333"/>
        </w:rPr>
        <w:t>The Incentive Plan defines a “change in control” to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the award), other than: (i) Barbara Baekgaard, Patricia Miller, Michael Ray and Kim Colby and their respective heirs and descendants and any trust established for their benefit; (ii) the Company or a corporation owned directly or indirectly by the shareholders of the Company in substantially the same proportions as their ownership of stock of the Company; or (iii) any employee benefit plan (or related trust) sponsored or maintained by the Company or any of its affiliates, of securities of the Company representing more than twenty-five percent (25%) of the combined voting power of the Company’s then outstanding securities; (b) the occupation of a majority of the seats (other than vacant seats) on the board of directors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119" w:lineRule="exact"/>
        <w:rPr>
          <w:sz w:val="20"/>
          <w:szCs w:val="20"/>
          <w:color w:val="auto"/>
        </w:rPr>
      </w:pPr>
    </w:p>
    <w:p>
      <w:pPr>
        <w:jc w:val="both"/>
        <w:ind w:left="7"/>
        <w:spacing w:after="0" w:line="247" w:lineRule="auto"/>
        <w:rPr>
          <w:sz w:val="20"/>
          <w:szCs w:val="20"/>
          <w:color w:val="auto"/>
        </w:rPr>
      </w:pPr>
      <w:r>
        <w:rPr>
          <w:rFonts w:ascii="Arial" w:cs="Arial" w:eastAsia="Arial" w:hAnsi="Arial"/>
          <w:sz w:val="16"/>
          <w:szCs w:val="16"/>
          <w:b w:val="1"/>
          <w:bCs w:val="1"/>
          <w:color w:val="337C7D"/>
        </w:rPr>
        <w:t xml:space="preserve">Death or Disability. </w:t>
      </w:r>
      <w:r>
        <w:rPr>
          <w:rFonts w:ascii="Arial" w:cs="Arial" w:eastAsia="Arial" w:hAnsi="Arial"/>
          <w:sz w:val="16"/>
          <w:szCs w:val="16"/>
          <w:color w:val="333333"/>
        </w:rPr>
        <w:t>Under the terms of the grant agreements, all unvested</w:t>
      </w:r>
      <w:r>
        <w:rPr>
          <w:rFonts w:ascii="Arial" w:cs="Arial" w:eastAsia="Arial" w:hAnsi="Arial"/>
          <w:sz w:val="16"/>
          <w:szCs w:val="16"/>
          <w:b w:val="1"/>
          <w:bCs w:val="1"/>
          <w:color w:val="337C7D"/>
        </w:rPr>
        <w:t xml:space="preserve"> </w:t>
      </w:r>
      <w:r>
        <w:rPr>
          <w:rFonts w:ascii="Arial" w:cs="Arial" w:eastAsia="Arial" w:hAnsi="Arial"/>
          <w:sz w:val="16"/>
          <w:szCs w:val="16"/>
          <w:color w:val="333333"/>
        </w:rPr>
        <w:t>performance-based RSUs will vest in the event that an executive’s service with the Company terminates as a result of death or disability during the performance period, (i) with respect to performance years that have been completed at the time of death or disability, each tranche will be earned only to the extent of actual performance in the performance year; and</w:t>
      </w:r>
    </w:p>
    <w:p>
      <w:pPr>
        <w:spacing w:after="0" w:line="3" w:lineRule="exact"/>
        <w:rPr>
          <w:sz w:val="20"/>
          <w:szCs w:val="20"/>
          <w:color w:val="auto"/>
        </w:rPr>
      </w:pPr>
    </w:p>
    <w:p>
      <w:pPr>
        <w:ind w:left="7" w:hanging="7"/>
        <w:spacing w:after="0" w:line="258" w:lineRule="auto"/>
        <w:tabs>
          <w:tab w:leader="none" w:pos="235" w:val="left"/>
        </w:tabs>
        <w:numPr>
          <w:ilvl w:val="0"/>
          <w:numId w:val="50"/>
        </w:numPr>
        <w:rPr>
          <w:rFonts w:ascii="Arial" w:cs="Arial" w:eastAsia="Arial" w:hAnsi="Arial"/>
          <w:sz w:val="16"/>
          <w:szCs w:val="16"/>
          <w:color w:val="333333"/>
        </w:rPr>
      </w:pPr>
      <w:r>
        <w:rPr>
          <w:rFonts w:ascii="Arial" w:cs="Arial" w:eastAsia="Arial" w:hAnsi="Arial"/>
          <w:sz w:val="16"/>
          <w:szCs w:val="16"/>
          <w:color w:val="333333"/>
        </w:rPr>
        <w:t xml:space="preserve">with respect to performance years that have </w:t>
      </w:r>
      <w:r>
        <w:rPr>
          <w:rFonts w:ascii="Arial" w:cs="Arial" w:eastAsia="Arial" w:hAnsi="Arial"/>
          <w:sz w:val="16"/>
          <w:szCs w:val="16"/>
          <w:b w:val="1"/>
          <w:bCs w:val="1"/>
          <w:color w:val="333333"/>
        </w:rPr>
        <w:t>not</w:t>
      </w:r>
      <w:r>
        <w:rPr>
          <w:rFonts w:ascii="Arial" w:cs="Arial" w:eastAsia="Arial" w:hAnsi="Arial"/>
          <w:sz w:val="16"/>
          <w:szCs w:val="16"/>
          <w:color w:val="333333"/>
        </w:rPr>
        <w:t xml:space="preserve"> been completed at the time of death or disability,</w:t>
      </w:r>
    </w:p>
    <w:p>
      <w:pPr>
        <w:spacing w:after="0" w:line="486" w:lineRule="exact"/>
        <w:rPr>
          <w:sz w:val="20"/>
          <w:szCs w:val="20"/>
          <w:color w:val="auto"/>
        </w:rPr>
      </w:pPr>
    </w:p>
    <w:p>
      <w:pPr>
        <w:sectPr>
          <w:pgSz w:w="11900" w:h="16838" w:orient="portrait"/>
          <w:cols w:equalWidth="0" w:num="2">
            <w:col w:w="5400" w:space="333"/>
            <w:col w:w="5347"/>
          </w:cols>
          <w:pgMar w:left="320" w:top="478" w:right="499" w:bottom="1440" w:gutter="0" w:footer="0" w:header="0"/>
          <w:type w:val="continuous"/>
        </w:sectPr>
      </w:pPr>
    </w:p>
    <w:p>
      <w:pPr>
        <w:spacing w:after="0" w:line="56" w:lineRule="exact"/>
        <w:rPr>
          <w:sz w:val="20"/>
          <w:szCs w:val="20"/>
          <w:color w:val="auto"/>
        </w:rPr>
      </w:pPr>
    </w:p>
    <w:p>
      <w:pPr>
        <w:ind w:left="4940"/>
        <w:spacing w:after="0"/>
        <w:tabs>
          <w:tab w:leader="none" w:pos="9080" w:val="left"/>
          <w:tab w:leader="none" w:pos="1090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39</w:t>
      </w:r>
    </w:p>
    <w:p>
      <w:pPr>
        <w:sectPr>
          <w:pgSz w:w="11900" w:h="16838" w:orient="portrait"/>
          <w:cols w:equalWidth="0" w:num="1">
            <w:col w:w="11080"/>
          </w:cols>
          <w:pgMar w:left="320" w:top="478" w:right="4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82" w:lineRule="exact"/>
        <w:rPr>
          <w:sz w:val="20"/>
          <w:szCs w:val="20"/>
          <w:color w:val="auto"/>
        </w:rPr>
      </w:pPr>
    </w:p>
    <w:p>
      <w:pPr>
        <w:jc w:val="both"/>
        <w:ind w:left="160"/>
        <w:spacing w:after="0" w:line="256" w:lineRule="auto"/>
        <w:rPr>
          <w:sz w:val="20"/>
          <w:szCs w:val="20"/>
          <w:color w:val="auto"/>
        </w:rPr>
      </w:pPr>
      <w:r>
        <w:rPr>
          <w:rFonts w:ascii="Arial" w:cs="Arial" w:eastAsia="Arial" w:hAnsi="Arial"/>
          <w:sz w:val="16"/>
          <w:szCs w:val="16"/>
          <w:color w:val="333333"/>
        </w:rPr>
        <w:t>each tranche will be deemed to be earned based on the “target” level of performance for such performance year, but prorated based on the number of full fiscal months in which the executive provided service during the performance period.</w:t>
      </w:r>
    </w:p>
    <w:p>
      <w:pPr>
        <w:spacing w:after="0" w:line="98" w:lineRule="exact"/>
        <w:rPr>
          <w:sz w:val="20"/>
          <w:szCs w:val="20"/>
          <w:color w:val="auto"/>
        </w:rPr>
      </w:pPr>
    </w:p>
    <w:p>
      <w:pPr>
        <w:jc w:val="both"/>
        <w:ind w:left="160"/>
        <w:spacing w:after="0" w:line="254" w:lineRule="auto"/>
        <w:rPr>
          <w:sz w:val="20"/>
          <w:szCs w:val="20"/>
          <w:color w:val="auto"/>
        </w:rPr>
      </w:pPr>
      <w:r>
        <w:rPr>
          <w:rFonts w:ascii="Arial" w:cs="Arial" w:eastAsia="Arial" w:hAnsi="Arial"/>
          <w:sz w:val="16"/>
          <w:szCs w:val="16"/>
          <w:color w:val="333333"/>
        </w:rPr>
        <w:t>With respect to time-based RSUs, in the event of the executive’s death or disability, any portion of any</w:t>
      </w:r>
    </w:p>
    <w:p>
      <w:pPr>
        <w:spacing w:after="0" w:line="1" w:lineRule="exact"/>
        <w:rPr>
          <w:sz w:val="20"/>
          <w:szCs w:val="20"/>
          <w:color w:val="auto"/>
        </w:rPr>
      </w:pPr>
    </w:p>
    <w:p>
      <w:pPr>
        <w:jc w:val="both"/>
        <w:ind w:left="160"/>
        <w:spacing w:after="0" w:line="258" w:lineRule="auto"/>
        <w:rPr>
          <w:sz w:val="20"/>
          <w:szCs w:val="20"/>
          <w:color w:val="auto"/>
        </w:rPr>
      </w:pPr>
      <w:r>
        <w:rPr>
          <w:rFonts w:ascii="Arial" w:cs="Arial" w:eastAsia="Arial" w:hAnsi="Arial"/>
          <w:sz w:val="16"/>
          <w:szCs w:val="16"/>
          <w:color w:val="333333"/>
        </w:rPr>
        <w:t>outstanding award that is not yet vested as of the date of death or disability shall become immediately and fully vested.</w:t>
      </w:r>
    </w:p>
    <w:p>
      <w:pPr>
        <w:spacing w:after="0" w:line="110" w:lineRule="exact"/>
        <w:rPr>
          <w:sz w:val="20"/>
          <w:szCs w:val="20"/>
          <w:color w:val="auto"/>
        </w:rPr>
      </w:pPr>
    </w:p>
    <w:p>
      <w:pPr>
        <w:jc w:val="both"/>
        <w:ind w:left="160"/>
        <w:spacing w:after="0" w:line="246" w:lineRule="auto"/>
        <w:rPr>
          <w:sz w:val="20"/>
          <w:szCs w:val="20"/>
          <w:color w:val="auto"/>
        </w:rPr>
      </w:pPr>
      <w:r>
        <w:rPr>
          <w:rFonts w:ascii="Arial" w:cs="Arial" w:eastAsia="Arial" w:hAnsi="Arial"/>
          <w:sz w:val="16"/>
          <w:szCs w:val="16"/>
          <w:color w:val="333333"/>
        </w:rPr>
        <w:t>The Incentive Plan states that “disability” may be defined in any employment, consulting, or other agreement between the Company and the executive or, in the absence of such an agreement, “disability” will mean (i) any permanent physical or mental incapacity or disability rendering the Participant unable or unfit to perform effectively the duties and obligations of the executive’s service or (ii) any illness, accident, injury, physical or mental incapacity or other disability, which condition is expected to be permanent or long-lasting and has rendered the executive unable or unfit to perform effectively the duties and obligations of the Participant’s service for a period of at least 180 days in any twelve-consecutive month period (in either case, as determined in the good faith judgment of the Committee). There are no outstanding employment, consulting or other agreements between the Company and any executive which otherwise define the term “disability.”</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color w:val="337C7D"/>
        </w:rPr>
        <w:t xml:space="preserve">Retirement. </w:t>
      </w:r>
      <w:r>
        <w:rPr>
          <w:rFonts w:ascii="Arial" w:cs="Arial" w:eastAsia="Arial" w:hAnsi="Arial"/>
          <w:sz w:val="16"/>
          <w:szCs w:val="16"/>
          <w:color w:val="333333"/>
        </w:rPr>
        <w:t>Under the terms of the grant agreements, all unvested</w:t>
      </w:r>
      <w:r>
        <w:rPr>
          <w:rFonts w:ascii="Arial" w:cs="Arial" w:eastAsia="Arial" w:hAnsi="Arial"/>
          <w:sz w:val="16"/>
          <w:szCs w:val="16"/>
          <w:b w:val="1"/>
          <w:bCs w:val="1"/>
          <w:color w:val="337C7D"/>
        </w:rPr>
        <w:t xml:space="preserve"> </w:t>
      </w:r>
      <w:r>
        <w:rPr>
          <w:rFonts w:ascii="Arial" w:cs="Arial" w:eastAsia="Arial" w:hAnsi="Arial"/>
          <w:sz w:val="16"/>
          <w:szCs w:val="16"/>
          <w:color w:val="333333"/>
        </w:rPr>
        <w:t xml:space="preserve">performance-based RSUs will vest in the event that an executive’s service with the Company terminates as a result of retirement during the performance period, (i) with respect to performance years that have been completed at the time of retirement, each tranche will be earned only to the extent of actual performance in the performance year; and (ii) with respect to performance years that have </w:t>
      </w:r>
      <w:r>
        <w:rPr>
          <w:rFonts w:ascii="Arial" w:cs="Arial" w:eastAsia="Arial" w:hAnsi="Arial"/>
          <w:sz w:val="16"/>
          <w:szCs w:val="16"/>
          <w:b w:val="1"/>
          <w:bCs w:val="1"/>
          <w:color w:val="333333"/>
        </w:rPr>
        <w:t>not</w:t>
      </w:r>
      <w:r>
        <w:rPr>
          <w:rFonts w:ascii="Arial" w:cs="Arial" w:eastAsia="Arial" w:hAnsi="Arial"/>
          <w:sz w:val="16"/>
          <w:szCs w:val="16"/>
          <w:color w:val="333333"/>
        </w:rPr>
        <w:t xml:space="preserve"> been completed at the time of retirement, each tranche will be deemed to be earned based on the “target” level of performance for such performance year, but prorated based on the number of full fiscal months in which the executive provided service during the performance period.</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With respect to time-based RSUs, in the event of the executive’s retirement, any portion of any outstanding award that is not yet vested as of the date of retirement shall become immediately and fully vested but prorated based on the number of full fiscal months in which the executive provided service.</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333333"/>
        </w:rPr>
        <w:t>The Incentive Plan states that “retirement” means a termination of service on or after reaching the age established by the Company as the normal retirement age in any unexpired employment, consulting or other agreement between the executive and the Company, or, if different, a qualified retirement plan sponsored by the Company. There are no outstanding employment, consulting, or other agreements between the Company and any executive which otherwise define the term “retirement.”</w:t>
      </w:r>
    </w:p>
    <w:p>
      <w:pPr>
        <w:spacing w:after="0" w:line="200"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55" w:lineRule="exact"/>
        <w:rPr>
          <w:sz w:val="20"/>
          <w:szCs w:val="20"/>
          <w:color w:val="auto"/>
        </w:rPr>
      </w:pPr>
    </w:p>
    <w:p>
      <w:pPr>
        <w:ind w:left="160"/>
        <w:spacing w:after="0"/>
        <w:tabs>
          <w:tab w:leader="none" w:pos="4920" w:val="left"/>
        </w:tabs>
        <w:rPr>
          <w:sz w:val="20"/>
          <w:szCs w:val="20"/>
          <w:color w:val="auto"/>
        </w:rPr>
      </w:pPr>
      <w:r>
        <w:rPr>
          <w:rFonts w:ascii="Arial" w:cs="Arial" w:eastAsia="Arial" w:hAnsi="Arial"/>
          <w:sz w:val="14"/>
          <w:szCs w:val="14"/>
          <w:color w:val="005C5D"/>
        </w:rPr>
        <w:t xml:space="preserve">40 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1080"/>
          </w:cols>
          <w:pgMar w:left="320" w:top="478" w:right="4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27"/>
          <w:szCs w:val="27"/>
          <w:b w:val="1"/>
          <w:bCs w:val="1"/>
          <w:color w:val="005C5D"/>
        </w:rPr>
        <w:t>PAY RATIO DISCLOSURE</w:t>
      </w:r>
    </w:p>
    <w:p>
      <w:pPr>
        <w:sectPr>
          <w:pgSz w:w="11900" w:h="16838" w:orient="portrait"/>
          <w:cols w:equalWidth="0" w:num="1">
            <w:col w:w="11080"/>
          </w:cols>
          <w:pgMar w:left="320" w:top="478" w:right="499" w:bottom="1440" w:gutter="0" w:footer="0" w:header="0"/>
        </w:sectPr>
      </w:pPr>
    </w:p>
    <w:p>
      <w:pPr>
        <w:spacing w:after="0" w:line="186" w:lineRule="exact"/>
        <w:rPr>
          <w:sz w:val="20"/>
          <w:szCs w:val="20"/>
          <w:color w:val="auto"/>
        </w:rPr>
      </w:pPr>
    </w:p>
    <w:p>
      <w:pPr>
        <w:jc w:val="both"/>
        <w:ind w:left="160"/>
        <w:spacing w:after="0" w:line="249" w:lineRule="auto"/>
        <w:rPr>
          <w:sz w:val="20"/>
          <w:szCs w:val="20"/>
          <w:color w:val="auto"/>
        </w:rPr>
      </w:pPr>
      <w:r>
        <w:rPr>
          <w:rFonts w:ascii="Arial" w:cs="Arial" w:eastAsia="Arial" w:hAnsi="Arial"/>
          <w:sz w:val="16"/>
          <w:szCs w:val="16"/>
          <w:color w:val="333333"/>
        </w:rPr>
        <w:t>In August 2015, the SEC adopted a rule mandated by section 953(b) of the Dodd-Frank Wall Street Reform and Consumer Protection Act that requires most registrants to disclose the ratio of the total annual compensation of their principal executive officer (“PEO”) to the total annual compensation of their median employee. For Mr. Bickley’s compensation, we utilized his salary and incentive compensation for fiscal 2026 including the stock awards and all other compensation disclosed in the summary compensation table.</w:t>
      </w:r>
    </w:p>
    <w:p>
      <w:pPr>
        <w:spacing w:after="0" w:line="78"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color w:val="333333"/>
        </w:rPr>
        <w:t>In determining the median employee, we included employees other than the PEO who were employed as of January 31, 2026, which is the Company’s fiscal 2026 year end. There were no changes in the employee population or overall compensation arrangements that we believe would significantly impact the pay ratio disclosure.</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In calculating the median employee, we:</w:t>
      </w:r>
    </w:p>
    <w:p>
      <w:pPr>
        <w:spacing w:after="0" w:line="124" w:lineRule="exact"/>
        <w:rPr>
          <w:sz w:val="20"/>
          <w:szCs w:val="20"/>
          <w:color w:val="auto"/>
        </w:rPr>
      </w:pPr>
    </w:p>
    <w:p>
      <w:pPr>
        <w:ind w:left="360" w:hanging="193"/>
        <w:spacing w:after="0"/>
        <w:tabs>
          <w:tab w:leader="none" w:pos="360" w:val="left"/>
        </w:tabs>
        <w:numPr>
          <w:ilvl w:val="0"/>
          <w:numId w:val="51"/>
        </w:numPr>
        <w:rPr>
          <w:rFonts w:ascii="Arial" w:cs="Arial" w:eastAsia="Arial" w:hAnsi="Arial"/>
          <w:sz w:val="16"/>
          <w:szCs w:val="16"/>
          <w:color w:val="333333"/>
        </w:rPr>
      </w:pPr>
      <w:r>
        <w:rPr>
          <w:rFonts w:ascii="Arial" w:cs="Arial" w:eastAsia="Arial" w:hAnsi="Arial"/>
          <w:sz w:val="16"/>
          <w:szCs w:val="16"/>
          <w:color w:val="333333"/>
        </w:rPr>
        <w:t>Used gross compensation for fiscal year 2026;</w:t>
      </w:r>
    </w:p>
    <w:p>
      <w:pPr>
        <w:spacing w:after="0" w:line="123" w:lineRule="exact"/>
        <w:rPr>
          <w:rFonts w:ascii="Arial" w:cs="Arial" w:eastAsia="Arial" w:hAnsi="Arial"/>
          <w:sz w:val="16"/>
          <w:szCs w:val="16"/>
          <w:color w:val="333333"/>
        </w:rPr>
      </w:pPr>
    </w:p>
    <w:p>
      <w:pPr>
        <w:jc w:val="both"/>
        <w:ind w:left="360" w:hanging="193"/>
        <w:spacing w:after="0" w:line="262" w:lineRule="auto"/>
        <w:tabs>
          <w:tab w:leader="none" w:pos="360" w:val="left"/>
        </w:tabs>
        <w:numPr>
          <w:ilvl w:val="0"/>
          <w:numId w:val="51"/>
        </w:numPr>
        <w:rPr>
          <w:rFonts w:ascii="Arial" w:cs="Arial" w:eastAsia="Arial" w:hAnsi="Arial"/>
          <w:sz w:val="16"/>
          <w:szCs w:val="16"/>
          <w:color w:val="333333"/>
        </w:rPr>
      </w:pPr>
      <w:r>
        <w:rPr>
          <w:rFonts w:ascii="Arial" w:cs="Arial" w:eastAsia="Arial" w:hAnsi="Arial"/>
          <w:sz w:val="16"/>
          <w:szCs w:val="16"/>
          <w:color w:val="333333"/>
        </w:rPr>
        <w:t>Annualized salaries for part-time and full-time employees who were not employed for the entire 2025 fiscal year (but did not annualize temporary and seasonal employees);</w:t>
      </w:r>
    </w:p>
    <w:p>
      <w:pPr>
        <w:spacing w:after="0" w:line="79" w:lineRule="exact"/>
        <w:rPr>
          <w:rFonts w:ascii="Arial" w:cs="Arial" w:eastAsia="Arial" w:hAnsi="Arial"/>
          <w:sz w:val="16"/>
          <w:szCs w:val="16"/>
          <w:color w:val="333333"/>
        </w:rPr>
      </w:pPr>
    </w:p>
    <w:p>
      <w:pPr>
        <w:ind w:left="360" w:hanging="193"/>
        <w:spacing w:after="0"/>
        <w:tabs>
          <w:tab w:leader="none" w:pos="360" w:val="left"/>
        </w:tabs>
        <w:numPr>
          <w:ilvl w:val="0"/>
          <w:numId w:val="51"/>
        </w:numPr>
        <w:rPr>
          <w:rFonts w:ascii="Arial" w:cs="Arial" w:eastAsia="Arial" w:hAnsi="Arial"/>
          <w:sz w:val="16"/>
          <w:szCs w:val="16"/>
          <w:color w:val="333333"/>
        </w:rPr>
      </w:pPr>
      <w:r>
        <w:rPr>
          <w:rFonts w:ascii="Arial" w:cs="Arial" w:eastAsia="Arial" w:hAnsi="Arial"/>
          <w:sz w:val="16"/>
          <w:szCs w:val="16"/>
          <w:color w:val="333333"/>
        </w:rPr>
        <w:t>Excluded health care benefits; and</w:t>
      </w:r>
    </w:p>
    <w:p>
      <w:pPr>
        <w:spacing w:after="0" w:line="123" w:lineRule="exact"/>
        <w:rPr>
          <w:rFonts w:ascii="Arial" w:cs="Arial" w:eastAsia="Arial" w:hAnsi="Arial"/>
          <w:sz w:val="16"/>
          <w:szCs w:val="16"/>
          <w:color w:val="333333"/>
        </w:rPr>
      </w:pPr>
    </w:p>
    <w:p>
      <w:pPr>
        <w:jc w:val="both"/>
        <w:ind w:left="360" w:hanging="193"/>
        <w:spacing w:after="0" w:line="262" w:lineRule="auto"/>
        <w:tabs>
          <w:tab w:leader="none" w:pos="360" w:val="left"/>
        </w:tabs>
        <w:numPr>
          <w:ilvl w:val="0"/>
          <w:numId w:val="51"/>
        </w:numPr>
        <w:rPr>
          <w:rFonts w:ascii="Arial" w:cs="Arial" w:eastAsia="Arial" w:hAnsi="Arial"/>
          <w:sz w:val="16"/>
          <w:szCs w:val="16"/>
          <w:color w:val="333333"/>
        </w:rPr>
      </w:pPr>
      <w:r>
        <w:rPr>
          <w:rFonts w:ascii="Arial" w:cs="Arial" w:eastAsia="Arial" w:hAnsi="Arial"/>
          <w:sz w:val="16"/>
          <w:szCs w:val="16"/>
          <w:color w:val="333333"/>
        </w:rPr>
        <w:t>Excluded employees at non-U.S. locations, which consisted of approximately 10 employees as of the end of fiscal year 2026 and represented only approximately 1% of total employees.</w:t>
      </w:r>
    </w:p>
    <w:p>
      <w:pPr>
        <w:spacing w:after="0" w:line="66"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color w:val="333333"/>
        </w:rPr>
        <w:t>Based on our calculations, the median employee was a part- time retail store associate with total annual</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333333"/>
        </w:rPr>
        <w:t>compensation of $14,850 (calculated under Item 402(c)(2)(x) of Regulation S-K) during fiscal 2026. The total annualized compensation during fiscal 2026 for Mr. Bickley was $2,251,339 which resulted in a ratio of the PEO compensation to the median employee compensation of 152 to 1.</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333333"/>
        </w:rPr>
        <w:t>As an alternative to the SEC required pay ratio, and to provide a look at a pay ratio of PEO compensation based on full-time employment, we annualized the median employee’s compensation and calculated another pay ratio. We did this by determining an effective hourly rate based on the total annual compensation and divided by the hours worked. We then multiplied the hourly rate by 2,080 hours and added any incentive compensation to approximate what the median employee would have earned if they worked full-time for the year. This annualized amount was $36,908. This resulted in a pay ratio of PEO compensation to the median employee compensation of 61 to 1. These ratios are supplemental and voluntarily provided. These ratios should not be used as a substitute for, or in isolation from, the pay ratio calculated in accordance with the rule adopted by the SEC.</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The pay ratio reported by other companies may not be comparable to the pay ratio reported by us, as the method, assumptions, adjustments, or estimates used to calculate the median employee may be different from those used by us. In addition, other companies may have different employment and compensation practices than we do.</w:t>
      </w:r>
    </w:p>
    <w:p>
      <w:pPr>
        <w:spacing w:after="0" w:line="1182"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32" w:lineRule="exact"/>
        <w:rPr>
          <w:sz w:val="20"/>
          <w:szCs w:val="20"/>
          <w:color w:val="auto"/>
        </w:rPr>
      </w:pPr>
    </w:p>
    <w:p>
      <w:pPr>
        <w:ind w:left="4940"/>
        <w:spacing w:after="0"/>
        <w:tabs>
          <w:tab w:leader="none" w:pos="9080" w:val="left"/>
          <w:tab w:leader="none" w:pos="1090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41</w:t>
      </w:r>
    </w:p>
    <w:p>
      <w:pPr>
        <w:sectPr>
          <w:pgSz w:w="11900" w:h="16838" w:orient="portrait"/>
          <w:cols w:equalWidth="0" w:num="1">
            <w:col w:w="11080"/>
          </w:cols>
          <w:pgMar w:left="320" w:top="478" w:right="4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ectPr>
          <w:pgSz w:w="11900" w:h="16838" w:orient="portrait"/>
          <w:cols w:equalWidth="0" w:num="1">
            <w:col w:w="10139"/>
          </w:cols>
          <w:pgMar w:left="320" w:top="478" w:right="1440" w:bottom="1440" w:gutter="0" w:footer="0" w:header="0"/>
        </w:sectPr>
      </w:pPr>
    </w:p>
    <w:bookmarkStart w:id="53" w:name="page54"/>
    <w:bookmarkEnd w:id="53"/>
    <w:p>
      <w:pPr>
        <w:spacing w:after="0"/>
        <w:rPr>
          <w:sz w:val="20"/>
          <w:szCs w:val="20"/>
          <w:color w:val="auto"/>
        </w:rPr>
      </w:pPr>
      <w:r>
        <w:rPr>
          <w:rFonts w:ascii="Arial" w:cs="Arial" w:eastAsia="Arial" w:hAnsi="Arial"/>
          <w:sz w:val="14"/>
          <w:szCs w:val="14"/>
          <w:color w:val="005C5D"/>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Pay Versus Performance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692975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27"/>
          <w:szCs w:val="27"/>
          <w:b w:val="1"/>
          <w:bCs w:val="1"/>
          <w:color w:val="005C5D"/>
        </w:rPr>
        <w:t>PAY VERSUS PERFORMANCE DISCLOSURE</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333333"/>
        </w:rPr>
        <w:t>Under rules adopted pursuant to the Dodd-Frank Act, we are required to disclose certain information about the relationship between the compensation actually paid to our named executive officers and certain measures of company performance. The material that follows is provided in compliance with these rules; however, additional information regarding our compensation philosophy, the structure of our performance-based compensation programs, and compensation decisions made this year is described above in our “Executive Compensation Discussion and Analysis.”</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333333"/>
        </w:rPr>
        <w:t>The following table contains information pertaining to executive compensation actually paid and certain financial performance of the Company for our Principal Executive Officers (PEOs) and other NEOs (Non-PEO NEOs) who served during the relevant fiscal years calculated in accordance with Item 402(v) of SEC Regulation S-K. The pay versus performance information herein was not considered in making compensation decisions for the years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640" w:type="dxa"/>
            <w:vAlign w:val="bottom"/>
          </w:tcPr>
          <w:p>
            <w:pPr>
              <w:spacing w:after="0"/>
              <w:rPr>
                <w:sz w:val="13"/>
                <w:szCs w:val="13"/>
                <w:color w:val="auto"/>
              </w:rPr>
            </w:pPr>
          </w:p>
        </w:tc>
        <w:tc>
          <w:tcPr>
            <w:tcW w:w="160" w:type="dxa"/>
            <w:vAlign w:val="bottom"/>
            <w:shd w:val="clear" w:color="auto" w:fill="FCEFEB"/>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shd w:val="clear" w:color="auto" w:fill="FCEFEB"/>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shd w:val="clear" w:color="auto" w:fill="FCEFEB"/>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shd w:val="clear" w:color="auto" w:fill="FCEFEB"/>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shd w:val="clear" w:color="auto" w:fill="FCEFEB"/>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shd w:val="clear" w:color="auto" w:fill="FCEFEB"/>
          </w:tcPr>
          <w:p>
            <w:pPr>
              <w:spacing w:after="0"/>
              <w:rPr>
                <w:sz w:val="13"/>
                <w:szCs w:val="13"/>
                <w:color w:val="auto"/>
              </w:rPr>
            </w:pPr>
          </w:p>
        </w:tc>
        <w:tc>
          <w:tcPr>
            <w:tcW w:w="440" w:type="dxa"/>
            <w:vAlign w:val="bottom"/>
            <w:shd w:val="clear" w:color="auto" w:fill="FCEFEB"/>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shd w:val="clear" w:color="auto" w:fill="FCEFEB"/>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shd w:val="clear" w:color="auto" w:fill="FCEFEB"/>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shd w:val="clear" w:color="auto" w:fill="FCEFEB"/>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shd w:val="clear" w:color="auto" w:fill="FCEFEB"/>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shd w:val="clear" w:color="auto" w:fill="FCEFEB"/>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40" w:type="dxa"/>
            <w:vAlign w:val="bottom"/>
            <w:shd w:val="clear" w:color="auto" w:fill="005C5D"/>
          </w:tcPr>
          <w:p>
            <w:pPr>
              <w:spacing w:after="0"/>
              <w:rPr>
                <w:sz w:val="15"/>
                <w:szCs w:val="15"/>
                <w:color w:val="auto"/>
              </w:rPr>
            </w:pPr>
          </w:p>
        </w:tc>
        <w:tc>
          <w:tcPr>
            <w:tcW w:w="160" w:type="dxa"/>
            <w:vAlign w:val="bottom"/>
            <w:shd w:val="clear" w:color="auto" w:fill="005C5D"/>
          </w:tcPr>
          <w:p>
            <w:pPr>
              <w:spacing w:after="0"/>
              <w:rPr>
                <w:sz w:val="15"/>
                <w:szCs w:val="15"/>
                <w:color w:val="auto"/>
              </w:rPr>
            </w:pPr>
          </w:p>
        </w:tc>
        <w:tc>
          <w:tcPr>
            <w:tcW w:w="60" w:type="dxa"/>
            <w:vAlign w:val="bottom"/>
            <w:shd w:val="clear" w:color="auto" w:fill="005C5D"/>
          </w:tcPr>
          <w:p>
            <w:pPr>
              <w:spacing w:after="0"/>
              <w:rPr>
                <w:sz w:val="15"/>
                <w:szCs w:val="15"/>
                <w:color w:val="auto"/>
              </w:rPr>
            </w:pPr>
          </w:p>
        </w:tc>
        <w:tc>
          <w:tcPr>
            <w:tcW w:w="920" w:type="dxa"/>
            <w:vAlign w:val="bottom"/>
            <w:shd w:val="clear" w:color="auto" w:fill="005C5D"/>
          </w:tcPr>
          <w:p>
            <w:pPr>
              <w:spacing w:after="0"/>
              <w:rPr>
                <w:sz w:val="15"/>
                <w:szCs w:val="15"/>
                <w:color w:val="auto"/>
              </w:rPr>
            </w:pPr>
          </w:p>
        </w:tc>
        <w:tc>
          <w:tcPr>
            <w:tcW w:w="80" w:type="dxa"/>
            <w:vAlign w:val="bottom"/>
            <w:shd w:val="clear" w:color="auto" w:fill="005C5D"/>
          </w:tcPr>
          <w:p>
            <w:pPr>
              <w:spacing w:after="0"/>
              <w:rPr>
                <w:sz w:val="15"/>
                <w:szCs w:val="15"/>
                <w:color w:val="auto"/>
              </w:rPr>
            </w:pPr>
          </w:p>
        </w:tc>
        <w:tc>
          <w:tcPr>
            <w:tcW w:w="920" w:type="dxa"/>
            <w:vAlign w:val="bottom"/>
            <w:shd w:val="clear" w:color="auto" w:fill="005C5D"/>
          </w:tcPr>
          <w:p>
            <w:pPr>
              <w:spacing w:after="0"/>
              <w:rPr>
                <w:sz w:val="15"/>
                <w:szCs w:val="15"/>
                <w:color w:val="auto"/>
              </w:rPr>
            </w:pPr>
          </w:p>
        </w:tc>
        <w:tc>
          <w:tcPr>
            <w:tcW w:w="60" w:type="dxa"/>
            <w:vAlign w:val="bottom"/>
            <w:shd w:val="clear" w:color="auto" w:fill="005C5D"/>
          </w:tcPr>
          <w:p>
            <w:pPr>
              <w:spacing w:after="0"/>
              <w:rPr>
                <w:sz w:val="15"/>
                <w:szCs w:val="15"/>
                <w:color w:val="auto"/>
              </w:rPr>
            </w:pPr>
          </w:p>
        </w:tc>
        <w:tc>
          <w:tcPr>
            <w:tcW w:w="920" w:type="dxa"/>
            <w:vAlign w:val="bottom"/>
            <w:shd w:val="clear" w:color="auto" w:fill="005C5D"/>
          </w:tcPr>
          <w:p>
            <w:pPr>
              <w:spacing w:after="0"/>
              <w:rPr>
                <w:sz w:val="15"/>
                <w:szCs w:val="15"/>
                <w:color w:val="auto"/>
              </w:rPr>
            </w:pPr>
          </w:p>
        </w:tc>
        <w:tc>
          <w:tcPr>
            <w:tcW w:w="140" w:type="dxa"/>
            <w:vAlign w:val="bottom"/>
            <w:shd w:val="clear" w:color="auto" w:fill="005C5D"/>
          </w:tcPr>
          <w:p>
            <w:pPr>
              <w:spacing w:after="0"/>
              <w:rPr>
                <w:sz w:val="15"/>
                <w:szCs w:val="15"/>
                <w:color w:val="auto"/>
              </w:rPr>
            </w:pPr>
          </w:p>
        </w:tc>
        <w:tc>
          <w:tcPr>
            <w:tcW w:w="940" w:type="dxa"/>
            <w:vAlign w:val="bottom"/>
            <w:shd w:val="clear" w:color="auto" w:fill="005C5D"/>
          </w:tcPr>
          <w:p>
            <w:pPr>
              <w:spacing w:after="0"/>
              <w:rPr>
                <w:sz w:val="15"/>
                <w:szCs w:val="15"/>
                <w:color w:val="auto"/>
              </w:rPr>
            </w:pPr>
          </w:p>
        </w:tc>
        <w:tc>
          <w:tcPr>
            <w:tcW w:w="60" w:type="dxa"/>
            <w:vAlign w:val="bottom"/>
            <w:shd w:val="clear" w:color="auto" w:fill="005C5D"/>
          </w:tcPr>
          <w:p>
            <w:pPr>
              <w:spacing w:after="0"/>
              <w:rPr>
                <w:sz w:val="15"/>
                <w:szCs w:val="15"/>
                <w:color w:val="auto"/>
              </w:rPr>
            </w:pPr>
          </w:p>
        </w:tc>
        <w:tc>
          <w:tcPr>
            <w:tcW w:w="480" w:type="dxa"/>
            <w:vAlign w:val="bottom"/>
            <w:shd w:val="clear" w:color="auto" w:fill="005C5D"/>
          </w:tcPr>
          <w:p>
            <w:pPr>
              <w:spacing w:after="0"/>
              <w:rPr>
                <w:sz w:val="15"/>
                <w:szCs w:val="15"/>
                <w:color w:val="auto"/>
              </w:rPr>
            </w:pPr>
          </w:p>
        </w:tc>
        <w:tc>
          <w:tcPr>
            <w:tcW w:w="440" w:type="dxa"/>
            <w:vAlign w:val="bottom"/>
            <w:shd w:val="clear" w:color="auto" w:fill="005C5D"/>
          </w:tcPr>
          <w:p>
            <w:pPr>
              <w:spacing w:after="0"/>
              <w:rPr>
                <w:sz w:val="15"/>
                <w:szCs w:val="15"/>
                <w:color w:val="auto"/>
              </w:rPr>
            </w:pPr>
          </w:p>
        </w:tc>
        <w:tc>
          <w:tcPr>
            <w:tcW w:w="60" w:type="dxa"/>
            <w:vAlign w:val="bottom"/>
            <w:shd w:val="clear" w:color="auto" w:fill="005C5D"/>
          </w:tcPr>
          <w:p>
            <w:pPr>
              <w:spacing w:after="0"/>
              <w:rPr>
                <w:sz w:val="15"/>
                <w:szCs w:val="15"/>
                <w:color w:val="auto"/>
              </w:rPr>
            </w:pPr>
          </w:p>
        </w:tc>
        <w:tc>
          <w:tcPr>
            <w:tcW w:w="940" w:type="dxa"/>
            <w:vAlign w:val="bottom"/>
            <w:shd w:val="clear" w:color="auto" w:fill="005C5D"/>
          </w:tcPr>
          <w:p>
            <w:pPr>
              <w:spacing w:after="0"/>
              <w:rPr>
                <w:sz w:val="15"/>
                <w:szCs w:val="15"/>
                <w:color w:val="auto"/>
              </w:rPr>
            </w:pPr>
          </w:p>
        </w:tc>
        <w:tc>
          <w:tcPr>
            <w:tcW w:w="200" w:type="dxa"/>
            <w:vAlign w:val="bottom"/>
            <w:shd w:val="clear" w:color="auto" w:fill="005C5D"/>
          </w:tcPr>
          <w:p>
            <w:pPr>
              <w:spacing w:after="0"/>
              <w:rPr>
                <w:sz w:val="15"/>
                <w:szCs w:val="15"/>
                <w:color w:val="auto"/>
              </w:rPr>
            </w:pPr>
          </w:p>
        </w:tc>
        <w:tc>
          <w:tcPr>
            <w:tcW w:w="1500" w:type="dxa"/>
            <w:vAlign w:val="bottom"/>
            <w:gridSpan w:val="3"/>
            <w:shd w:val="clear" w:color="auto" w:fill="005C5D"/>
          </w:tcPr>
          <w:p>
            <w:pPr>
              <w:jc w:val="right"/>
              <w:ind w:right="78"/>
              <w:spacing w:after="0"/>
              <w:rPr>
                <w:sz w:val="20"/>
                <w:szCs w:val="20"/>
                <w:color w:val="auto"/>
              </w:rPr>
            </w:pPr>
            <w:r>
              <w:rPr>
                <w:rFonts w:ascii="Arial" w:cs="Arial" w:eastAsia="Arial" w:hAnsi="Arial"/>
                <w:sz w:val="12"/>
                <w:szCs w:val="12"/>
                <w:b w:val="1"/>
                <w:bCs w:val="1"/>
                <w:color w:val="FFFFFF"/>
              </w:rPr>
              <w:t>Value of Initial Fixed</w:t>
            </w:r>
          </w:p>
        </w:tc>
        <w:tc>
          <w:tcPr>
            <w:tcW w:w="40" w:type="dxa"/>
            <w:vAlign w:val="bottom"/>
            <w:shd w:val="clear" w:color="auto" w:fill="005C5D"/>
          </w:tcPr>
          <w:p>
            <w:pPr>
              <w:spacing w:after="0"/>
              <w:rPr>
                <w:sz w:val="15"/>
                <w:szCs w:val="15"/>
                <w:color w:val="auto"/>
              </w:rPr>
            </w:pPr>
          </w:p>
        </w:tc>
        <w:tc>
          <w:tcPr>
            <w:tcW w:w="680" w:type="dxa"/>
            <w:vAlign w:val="bottom"/>
            <w:shd w:val="clear" w:color="auto" w:fill="005C5D"/>
          </w:tcPr>
          <w:p>
            <w:pPr>
              <w:spacing w:after="0"/>
              <w:rPr>
                <w:sz w:val="15"/>
                <w:szCs w:val="15"/>
                <w:color w:val="auto"/>
              </w:rPr>
            </w:pPr>
          </w:p>
        </w:tc>
        <w:tc>
          <w:tcPr>
            <w:tcW w:w="40" w:type="dxa"/>
            <w:vAlign w:val="bottom"/>
            <w:shd w:val="clear" w:color="auto" w:fill="005C5D"/>
          </w:tcPr>
          <w:p>
            <w:pPr>
              <w:spacing w:after="0"/>
              <w:rPr>
                <w:sz w:val="15"/>
                <w:szCs w:val="15"/>
                <w:color w:val="auto"/>
              </w:rPr>
            </w:pPr>
          </w:p>
        </w:tc>
        <w:tc>
          <w:tcPr>
            <w:tcW w:w="640" w:type="dxa"/>
            <w:vAlign w:val="bottom"/>
            <w:shd w:val="clear" w:color="auto" w:fill="005C5D"/>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640" w:type="dxa"/>
            <w:vAlign w:val="bottom"/>
            <w:shd w:val="clear" w:color="auto" w:fill="005C5D"/>
          </w:tcPr>
          <w:p>
            <w:pPr>
              <w:spacing w:after="0"/>
              <w:rPr>
                <w:sz w:val="11"/>
                <w:szCs w:val="11"/>
                <w:color w:val="auto"/>
              </w:rPr>
            </w:pPr>
          </w:p>
        </w:tc>
        <w:tc>
          <w:tcPr>
            <w:tcW w:w="160" w:type="dxa"/>
            <w:vAlign w:val="bottom"/>
            <w:shd w:val="clear" w:color="auto" w:fill="005C5D"/>
          </w:tcPr>
          <w:p>
            <w:pPr>
              <w:spacing w:after="0"/>
              <w:rPr>
                <w:sz w:val="11"/>
                <w:szCs w:val="11"/>
                <w:color w:val="auto"/>
              </w:rPr>
            </w:pPr>
          </w:p>
        </w:tc>
        <w:tc>
          <w:tcPr>
            <w:tcW w:w="60" w:type="dxa"/>
            <w:vAlign w:val="bottom"/>
            <w:shd w:val="clear" w:color="auto" w:fill="005C5D"/>
          </w:tcPr>
          <w:p>
            <w:pPr>
              <w:spacing w:after="0"/>
              <w:rPr>
                <w:sz w:val="11"/>
                <w:szCs w:val="11"/>
                <w:color w:val="auto"/>
              </w:rPr>
            </w:pPr>
          </w:p>
        </w:tc>
        <w:tc>
          <w:tcPr>
            <w:tcW w:w="920" w:type="dxa"/>
            <w:vAlign w:val="bottom"/>
            <w:shd w:val="clear" w:color="auto" w:fill="005C5D"/>
          </w:tcPr>
          <w:p>
            <w:pPr>
              <w:spacing w:after="0"/>
              <w:rPr>
                <w:sz w:val="11"/>
                <w:szCs w:val="11"/>
                <w:color w:val="auto"/>
              </w:rPr>
            </w:pPr>
          </w:p>
        </w:tc>
        <w:tc>
          <w:tcPr>
            <w:tcW w:w="80" w:type="dxa"/>
            <w:vAlign w:val="bottom"/>
            <w:shd w:val="clear" w:color="auto" w:fill="005C5D"/>
          </w:tcPr>
          <w:p>
            <w:pPr>
              <w:spacing w:after="0"/>
              <w:rPr>
                <w:sz w:val="11"/>
                <w:szCs w:val="11"/>
                <w:color w:val="auto"/>
              </w:rPr>
            </w:pPr>
          </w:p>
        </w:tc>
        <w:tc>
          <w:tcPr>
            <w:tcW w:w="920" w:type="dxa"/>
            <w:vAlign w:val="bottom"/>
            <w:shd w:val="clear" w:color="auto" w:fill="005C5D"/>
          </w:tcPr>
          <w:p>
            <w:pPr>
              <w:spacing w:after="0"/>
              <w:rPr>
                <w:sz w:val="11"/>
                <w:szCs w:val="11"/>
                <w:color w:val="auto"/>
              </w:rPr>
            </w:pPr>
          </w:p>
        </w:tc>
        <w:tc>
          <w:tcPr>
            <w:tcW w:w="60" w:type="dxa"/>
            <w:vAlign w:val="bottom"/>
            <w:shd w:val="clear" w:color="auto" w:fill="005C5D"/>
          </w:tcPr>
          <w:p>
            <w:pPr>
              <w:spacing w:after="0"/>
              <w:rPr>
                <w:sz w:val="11"/>
                <w:szCs w:val="11"/>
                <w:color w:val="auto"/>
              </w:rPr>
            </w:pPr>
          </w:p>
        </w:tc>
        <w:tc>
          <w:tcPr>
            <w:tcW w:w="920" w:type="dxa"/>
            <w:vAlign w:val="bottom"/>
            <w:shd w:val="clear" w:color="auto" w:fill="005C5D"/>
          </w:tcPr>
          <w:p>
            <w:pPr>
              <w:spacing w:after="0"/>
              <w:rPr>
                <w:sz w:val="11"/>
                <w:szCs w:val="11"/>
                <w:color w:val="auto"/>
              </w:rPr>
            </w:pPr>
          </w:p>
        </w:tc>
        <w:tc>
          <w:tcPr>
            <w:tcW w:w="140" w:type="dxa"/>
            <w:vAlign w:val="bottom"/>
            <w:shd w:val="clear" w:color="auto" w:fill="005C5D"/>
          </w:tcPr>
          <w:p>
            <w:pPr>
              <w:spacing w:after="0"/>
              <w:rPr>
                <w:sz w:val="11"/>
                <w:szCs w:val="11"/>
                <w:color w:val="auto"/>
              </w:rPr>
            </w:pPr>
          </w:p>
        </w:tc>
        <w:tc>
          <w:tcPr>
            <w:tcW w:w="940" w:type="dxa"/>
            <w:vAlign w:val="bottom"/>
            <w:shd w:val="clear" w:color="auto" w:fill="005C5D"/>
          </w:tcPr>
          <w:p>
            <w:pPr>
              <w:spacing w:after="0"/>
              <w:rPr>
                <w:sz w:val="11"/>
                <w:szCs w:val="11"/>
                <w:color w:val="auto"/>
              </w:rPr>
            </w:pPr>
          </w:p>
        </w:tc>
        <w:tc>
          <w:tcPr>
            <w:tcW w:w="60" w:type="dxa"/>
            <w:vAlign w:val="bottom"/>
            <w:shd w:val="clear" w:color="auto" w:fill="005C5D"/>
          </w:tcPr>
          <w:p>
            <w:pPr>
              <w:spacing w:after="0"/>
              <w:rPr>
                <w:sz w:val="11"/>
                <w:szCs w:val="11"/>
                <w:color w:val="auto"/>
              </w:rPr>
            </w:pPr>
          </w:p>
        </w:tc>
        <w:tc>
          <w:tcPr>
            <w:tcW w:w="480" w:type="dxa"/>
            <w:vAlign w:val="bottom"/>
            <w:shd w:val="clear" w:color="auto" w:fill="005C5D"/>
          </w:tcPr>
          <w:p>
            <w:pPr>
              <w:spacing w:after="0"/>
              <w:rPr>
                <w:sz w:val="11"/>
                <w:szCs w:val="11"/>
                <w:color w:val="auto"/>
              </w:rPr>
            </w:pPr>
          </w:p>
        </w:tc>
        <w:tc>
          <w:tcPr>
            <w:tcW w:w="440" w:type="dxa"/>
            <w:vAlign w:val="bottom"/>
            <w:shd w:val="clear" w:color="auto" w:fill="005C5D"/>
          </w:tcPr>
          <w:p>
            <w:pPr>
              <w:spacing w:after="0"/>
              <w:rPr>
                <w:sz w:val="11"/>
                <w:szCs w:val="11"/>
                <w:color w:val="auto"/>
              </w:rPr>
            </w:pPr>
          </w:p>
        </w:tc>
        <w:tc>
          <w:tcPr>
            <w:tcW w:w="60" w:type="dxa"/>
            <w:vAlign w:val="bottom"/>
            <w:shd w:val="clear" w:color="auto" w:fill="005C5D"/>
          </w:tcPr>
          <w:p>
            <w:pPr>
              <w:spacing w:after="0"/>
              <w:rPr>
                <w:sz w:val="11"/>
                <w:szCs w:val="11"/>
                <w:color w:val="auto"/>
              </w:rPr>
            </w:pPr>
          </w:p>
        </w:tc>
        <w:tc>
          <w:tcPr>
            <w:tcW w:w="940" w:type="dxa"/>
            <w:vAlign w:val="bottom"/>
            <w:shd w:val="clear" w:color="auto" w:fill="005C5D"/>
          </w:tcPr>
          <w:p>
            <w:pPr>
              <w:spacing w:after="0"/>
              <w:rPr>
                <w:sz w:val="11"/>
                <w:szCs w:val="11"/>
                <w:color w:val="auto"/>
              </w:rPr>
            </w:pPr>
          </w:p>
        </w:tc>
        <w:tc>
          <w:tcPr>
            <w:tcW w:w="200" w:type="dxa"/>
            <w:vAlign w:val="bottom"/>
            <w:shd w:val="clear" w:color="auto" w:fill="005C5D"/>
          </w:tcPr>
          <w:p>
            <w:pPr>
              <w:spacing w:after="0"/>
              <w:rPr>
                <w:sz w:val="11"/>
                <w:szCs w:val="11"/>
                <w:color w:val="auto"/>
              </w:rPr>
            </w:pPr>
          </w:p>
        </w:tc>
        <w:tc>
          <w:tcPr>
            <w:tcW w:w="1500" w:type="dxa"/>
            <w:vAlign w:val="bottom"/>
            <w:gridSpan w:val="3"/>
            <w:shd w:val="clear" w:color="auto" w:fill="005C5D"/>
          </w:tcPr>
          <w:p>
            <w:pPr>
              <w:jc w:val="right"/>
              <w:spacing w:after="0" w:line="134" w:lineRule="exact"/>
              <w:rPr>
                <w:sz w:val="20"/>
                <w:szCs w:val="20"/>
                <w:color w:val="auto"/>
              </w:rPr>
            </w:pPr>
            <w:r>
              <w:rPr>
                <w:rFonts w:ascii="Arial" w:cs="Arial" w:eastAsia="Arial" w:hAnsi="Arial"/>
                <w:sz w:val="12"/>
                <w:szCs w:val="12"/>
                <w:b w:val="1"/>
                <w:bCs w:val="1"/>
                <w:color w:val="FFFFFF"/>
              </w:rPr>
              <w:t>$100 investment based</w:t>
            </w:r>
          </w:p>
        </w:tc>
        <w:tc>
          <w:tcPr>
            <w:tcW w:w="40" w:type="dxa"/>
            <w:vAlign w:val="bottom"/>
            <w:shd w:val="clear" w:color="auto" w:fill="005C5D"/>
          </w:tcPr>
          <w:p>
            <w:pPr>
              <w:spacing w:after="0"/>
              <w:rPr>
                <w:sz w:val="11"/>
                <w:szCs w:val="11"/>
                <w:color w:val="auto"/>
              </w:rPr>
            </w:pPr>
          </w:p>
        </w:tc>
        <w:tc>
          <w:tcPr>
            <w:tcW w:w="680" w:type="dxa"/>
            <w:vAlign w:val="bottom"/>
            <w:shd w:val="clear" w:color="auto" w:fill="005C5D"/>
          </w:tcPr>
          <w:p>
            <w:pPr>
              <w:spacing w:after="0"/>
              <w:rPr>
                <w:sz w:val="11"/>
                <w:szCs w:val="11"/>
                <w:color w:val="auto"/>
              </w:rPr>
            </w:pPr>
          </w:p>
        </w:tc>
        <w:tc>
          <w:tcPr>
            <w:tcW w:w="40" w:type="dxa"/>
            <w:vAlign w:val="bottom"/>
            <w:shd w:val="clear" w:color="auto" w:fill="005C5D"/>
          </w:tcPr>
          <w:p>
            <w:pPr>
              <w:spacing w:after="0"/>
              <w:rPr>
                <w:sz w:val="11"/>
                <w:szCs w:val="11"/>
                <w:color w:val="auto"/>
              </w:rPr>
            </w:pPr>
          </w:p>
        </w:tc>
        <w:tc>
          <w:tcPr>
            <w:tcW w:w="640" w:type="dxa"/>
            <w:vAlign w:val="bottom"/>
            <w:shd w:val="clear" w:color="auto" w:fill="005C5D"/>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640" w:type="dxa"/>
            <w:vAlign w:val="bottom"/>
            <w:shd w:val="clear" w:color="auto" w:fill="005C5D"/>
          </w:tcPr>
          <w:p>
            <w:pPr>
              <w:spacing w:after="0"/>
              <w:rPr>
                <w:sz w:val="14"/>
                <w:szCs w:val="14"/>
                <w:color w:val="auto"/>
              </w:rPr>
            </w:pPr>
          </w:p>
        </w:tc>
        <w:tc>
          <w:tcPr>
            <w:tcW w:w="160" w:type="dxa"/>
            <w:vAlign w:val="bottom"/>
            <w:shd w:val="clear" w:color="auto" w:fill="005C5D"/>
          </w:tcPr>
          <w:p>
            <w:pPr>
              <w:spacing w:after="0"/>
              <w:rPr>
                <w:sz w:val="14"/>
                <w:szCs w:val="14"/>
                <w:color w:val="auto"/>
              </w:rPr>
            </w:pPr>
          </w:p>
        </w:tc>
        <w:tc>
          <w:tcPr>
            <w:tcW w:w="60" w:type="dxa"/>
            <w:vAlign w:val="bottom"/>
            <w:shd w:val="clear" w:color="auto" w:fill="005C5D"/>
          </w:tcPr>
          <w:p>
            <w:pPr>
              <w:spacing w:after="0"/>
              <w:rPr>
                <w:sz w:val="14"/>
                <w:szCs w:val="14"/>
                <w:color w:val="auto"/>
              </w:rPr>
            </w:pPr>
          </w:p>
        </w:tc>
        <w:tc>
          <w:tcPr>
            <w:tcW w:w="920" w:type="dxa"/>
            <w:vAlign w:val="bottom"/>
            <w:shd w:val="clear" w:color="auto" w:fill="005C5D"/>
          </w:tcPr>
          <w:p>
            <w:pPr>
              <w:spacing w:after="0"/>
              <w:rPr>
                <w:sz w:val="14"/>
                <w:szCs w:val="14"/>
                <w:color w:val="auto"/>
              </w:rPr>
            </w:pPr>
          </w:p>
        </w:tc>
        <w:tc>
          <w:tcPr>
            <w:tcW w:w="80" w:type="dxa"/>
            <w:vAlign w:val="bottom"/>
            <w:shd w:val="clear" w:color="auto" w:fill="005C5D"/>
          </w:tcPr>
          <w:p>
            <w:pPr>
              <w:spacing w:after="0"/>
              <w:rPr>
                <w:sz w:val="14"/>
                <w:szCs w:val="14"/>
                <w:color w:val="auto"/>
              </w:rPr>
            </w:pPr>
          </w:p>
        </w:tc>
        <w:tc>
          <w:tcPr>
            <w:tcW w:w="920" w:type="dxa"/>
            <w:vAlign w:val="bottom"/>
            <w:shd w:val="clear" w:color="auto" w:fill="005C5D"/>
          </w:tcPr>
          <w:p>
            <w:pPr>
              <w:spacing w:after="0"/>
              <w:rPr>
                <w:sz w:val="14"/>
                <w:szCs w:val="14"/>
                <w:color w:val="auto"/>
              </w:rPr>
            </w:pPr>
          </w:p>
        </w:tc>
        <w:tc>
          <w:tcPr>
            <w:tcW w:w="60" w:type="dxa"/>
            <w:vAlign w:val="bottom"/>
            <w:shd w:val="clear" w:color="auto" w:fill="005C5D"/>
          </w:tcPr>
          <w:p>
            <w:pPr>
              <w:spacing w:after="0"/>
              <w:rPr>
                <w:sz w:val="14"/>
                <w:szCs w:val="14"/>
                <w:color w:val="auto"/>
              </w:rPr>
            </w:pPr>
          </w:p>
        </w:tc>
        <w:tc>
          <w:tcPr>
            <w:tcW w:w="920" w:type="dxa"/>
            <w:vAlign w:val="bottom"/>
            <w:shd w:val="clear" w:color="auto" w:fill="005C5D"/>
          </w:tcPr>
          <w:p>
            <w:pPr>
              <w:spacing w:after="0"/>
              <w:rPr>
                <w:sz w:val="14"/>
                <w:szCs w:val="14"/>
                <w:color w:val="auto"/>
              </w:rPr>
            </w:pPr>
          </w:p>
        </w:tc>
        <w:tc>
          <w:tcPr>
            <w:tcW w:w="140" w:type="dxa"/>
            <w:vAlign w:val="bottom"/>
            <w:shd w:val="clear" w:color="auto" w:fill="005C5D"/>
          </w:tcPr>
          <w:p>
            <w:pPr>
              <w:spacing w:after="0"/>
              <w:rPr>
                <w:sz w:val="14"/>
                <w:szCs w:val="14"/>
                <w:color w:val="auto"/>
              </w:rPr>
            </w:pPr>
          </w:p>
        </w:tc>
        <w:tc>
          <w:tcPr>
            <w:tcW w:w="940" w:type="dxa"/>
            <w:vAlign w:val="bottom"/>
            <w:shd w:val="clear" w:color="auto" w:fill="005C5D"/>
          </w:tcPr>
          <w:p>
            <w:pPr>
              <w:spacing w:after="0"/>
              <w:rPr>
                <w:sz w:val="14"/>
                <w:szCs w:val="14"/>
                <w:color w:val="auto"/>
              </w:rPr>
            </w:pPr>
          </w:p>
        </w:tc>
        <w:tc>
          <w:tcPr>
            <w:tcW w:w="60" w:type="dxa"/>
            <w:vAlign w:val="bottom"/>
            <w:shd w:val="clear" w:color="auto" w:fill="005C5D"/>
          </w:tcPr>
          <w:p>
            <w:pPr>
              <w:spacing w:after="0"/>
              <w:rPr>
                <w:sz w:val="14"/>
                <w:szCs w:val="14"/>
                <w:color w:val="auto"/>
              </w:rPr>
            </w:pPr>
          </w:p>
        </w:tc>
        <w:tc>
          <w:tcPr>
            <w:tcW w:w="480" w:type="dxa"/>
            <w:vAlign w:val="bottom"/>
            <w:shd w:val="clear" w:color="auto" w:fill="005C5D"/>
          </w:tcPr>
          <w:p>
            <w:pPr>
              <w:spacing w:after="0"/>
              <w:rPr>
                <w:sz w:val="14"/>
                <w:szCs w:val="14"/>
                <w:color w:val="auto"/>
              </w:rPr>
            </w:pPr>
          </w:p>
        </w:tc>
        <w:tc>
          <w:tcPr>
            <w:tcW w:w="440" w:type="dxa"/>
            <w:vAlign w:val="bottom"/>
            <w:shd w:val="clear" w:color="auto" w:fill="005C5D"/>
          </w:tcPr>
          <w:p>
            <w:pPr>
              <w:spacing w:after="0"/>
              <w:rPr>
                <w:sz w:val="14"/>
                <w:szCs w:val="14"/>
                <w:color w:val="auto"/>
              </w:rPr>
            </w:pPr>
          </w:p>
        </w:tc>
        <w:tc>
          <w:tcPr>
            <w:tcW w:w="60" w:type="dxa"/>
            <w:vAlign w:val="bottom"/>
            <w:shd w:val="clear" w:color="auto" w:fill="005C5D"/>
          </w:tcPr>
          <w:p>
            <w:pPr>
              <w:spacing w:after="0"/>
              <w:rPr>
                <w:sz w:val="14"/>
                <w:szCs w:val="14"/>
                <w:color w:val="auto"/>
              </w:rPr>
            </w:pPr>
          </w:p>
        </w:tc>
        <w:tc>
          <w:tcPr>
            <w:tcW w:w="940" w:type="dxa"/>
            <w:vAlign w:val="bottom"/>
            <w:shd w:val="clear" w:color="auto" w:fill="005C5D"/>
          </w:tcPr>
          <w:p>
            <w:pPr>
              <w:spacing w:after="0"/>
              <w:rPr>
                <w:sz w:val="14"/>
                <w:szCs w:val="14"/>
                <w:color w:val="auto"/>
              </w:rPr>
            </w:pPr>
          </w:p>
        </w:tc>
        <w:tc>
          <w:tcPr>
            <w:tcW w:w="200" w:type="dxa"/>
            <w:vAlign w:val="bottom"/>
            <w:shd w:val="clear" w:color="auto" w:fill="005C5D"/>
          </w:tcPr>
          <w:p>
            <w:pPr>
              <w:spacing w:after="0"/>
              <w:rPr>
                <w:sz w:val="14"/>
                <w:szCs w:val="14"/>
                <w:color w:val="auto"/>
              </w:rPr>
            </w:pPr>
          </w:p>
        </w:tc>
        <w:tc>
          <w:tcPr>
            <w:tcW w:w="660" w:type="dxa"/>
            <w:vAlign w:val="bottom"/>
            <w:shd w:val="clear" w:color="auto" w:fill="005C5D"/>
          </w:tcPr>
          <w:p>
            <w:pPr>
              <w:spacing w:after="0"/>
              <w:rPr>
                <w:sz w:val="14"/>
                <w:szCs w:val="14"/>
                <w:color w:val="auto"/>
              </w:rPr>
            </w:pPr>
          </w:p>
        </w:tc>
        <w:tc>
          <w:tcPr>
            <w:tcW w:w="840" w:type="dxa"/>
            <w:vAlign w:val="bottom"/>
            <w:gridSpan w:val="2"/>
            <w:shd w:val="clear" w:color="auto" w:fill="005C5D"/>
          </w:tcPr>
          <w:p>
            <w:pPr>
              <w:spacing w:after="0"/>
              <w:rPr>
                <w:sz w:val="20"/>
                <w:szCs w:val="20"/>
                <w:color w:val="auto"/>
              </w:rPr>
            </w:pPr>
            <w:r>
              <w:rPr>
                <w:rFonts w:ascii="Arial" w:cs="Arial" w:eastAsia="Arial" w:hAnsi="Arial"/>
                <w:sz w:val="12"/>
                <w:szCs w:val="12"/>
                <w:b w:val="1"/>
                <w:bCs w:val="1"/>
                <w:color w:val="FFFFFF"/>
              </w:rPr>
              <w:t>on:</w:t>
            </w:r>
          </w:p>
        </w:tc>
        <w:tc>
          <w:tcPr>
            <w:tcW w:w="40" w:type="dxa"/>
            <w:vAlign w:val="bottom"/>
            <w:shd w:val="clear" w:color="auto" w:fill="005C5D"/>
          </w:tcPr>
          <w:p>
            <w:pPr>
              <w:spacing w:after="0"/>
              <w:rPr>
                <w:sz w:val="14"/>
                <w:szCs w:val="14"/>
                <w:color w:val="auto"/>
              </w:rPr>
            </w:pPr>
          </w:p>
        </w:tc>
        <w:tc>
          <w:tcPr>
            <w:tcW w:w="680" w:type="dxa"/>
            <w:vAlign w:val="bottom"/>
            <w:shd w:val="clear" w:color="auto" w:fill="005C5D"/>
          </w:tcPr>
          <w:p>
            <w:pPr>
              <w:spacing w:after="0"/>
              <w:rPr>
                <w:sz w:val="14"/>
                <w:szCs w:val="14"/>
                <w:color w:val="auto"/>
              </w:rPr>
            </w:pPr>
          </w:p>
        </w:tc>
        <w:tc>
          <w:tcPr>
            <w:tcW w:w="40" w:type="dxa"/>
            <w:vAlign w:val="bottom"/>
            <w:shd w:val="clear" w:color="auto" w:fill="005C5D"/>
          </w:tcPr>
          <w:p>
            <w:pPr>
              <w:spacing w:after="0"/>
              <w:rPr>
                <w:sz w:val="14"/>
                <w:szCs w:val="14"/>
                <w:color w:val="auto"/>
              </w:rPr>
            </w:pPr>
          </w:p>
        </w:tc>
        <w:tc>
          <w:tcPr>
            <w:tcW w:w="640" w:type="dxa"/>
            <w:vAlign w:val="bottom"/>
            <w:shd w:val="clear" w:color="auto" w:fill="005C5D"/>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005C5D"/>
          </w:tcPr>
          <w:p>
            <w:pPr>
              <w:spacing w:after="0"/>
              <w:rPr>
                <w:sz w:val="20"/>
                <w:szCs w:val="20"/>
                <w:color w:val="auto"/>
              </w:rPr>
            </w:pPr>
          </w:p>
        </w:tc>
        <w:tc>
          <w:tcPr>
            <w:tcW w:w="160" w:type="dxa"/>
            <w:vAlign w:val="bottom"/>
            <w:shd w:val="clear" w:color="auto" w:fill="005C5D"/>
          </w:tcPr>
          <w:p>
            <w:pPr>
              <w:spacing w:after="0"/>
              <w:rPr>
                <w:sz w:val="20"/>
                <w:szCs w:val="20"/>
                <w:color w:val="auto"/>
              </w:rPr>
            </w:pPr>
          </w:p>
        </w:tc>
        <w:tc>
          <w:tcPr>
            <w:tcW w:w="60" w:type="dxa"/>
            <w:vAlign w:val="bottom"/>
            <w:shd w:val="clear" w:color="auto" w:fill="005C5D"/>
          </w:tcPr>
          <w:p>
            <w:pPr>
              <w:spacing w:after="0"/>
              <w:rPr>
                <w:sz w:val="20"/>
                <w:szCs w:val="20"/>
                <w:color w:val="auto"/>
              </w:rPr>
            </w:pPr>
          </w:p>
        </w:tc>
        <w:tc>
          <w:tcPr>
            <w:tcW w:w="920" w:type="dxa"/>
            <w:vAlign w:val="bottom"/>
            <w:shd w:val="clear" w:color="auto" w:fill="005C5D"/>
          </w:tcPr>
          <w:p>
            <w:pPr>
              <w:spacing w:after="0"/>
              <w:rPr>
                <w:sz w:val="20"/>
                <w:szCs w:val="20"/>
                <w:color w:val="auto"/>
              </w:rPr>
            </w:pPr>
          </w:p>
        </w:tc>
        <w:tc>
          <w:tcPr>
            <w:tcW w:w="80" w:type="dxa"/>
            <w:vAlign w:val="bottom"/>
            <w:shd w:val="clear" w:color="auto" w:fill="005C5D"/>
          </w:tcPr>
          <w:p>
            <w:pPr>
              <w:spacing w:after="0"/>
              <w:rPr>
                <w:sz w:val="20"/>
                <w:szCs w:val="20"/>
                <w:color w:val="auto"/>
              </w:rPr>
            </w:pPr>
          </w:p>
        </w:tc>
        <w:tc>
          <w:tcPr>
            <w:tcW w:w="920" w:type="dxa"/>
            <w:vAlign w:val="bottom"/>
            <w:shd w:val="clear" w:color="auto" w:fill="005C5D"/>
          </w:tcPr>
          <w:p>
            <w:pPr>
              <w:spacing w:after="0"/>
              <w:rPr>
                <w:sz w:val="20"/>
                <w:szCs w:val="20"/>
                <w:color w:val="auto"/>
              </w:rPr>
            </w:pPr>
          </w:p>
        </w:tc>
        <w:tc>
          <w:tcPr>
            <w:tcW w:w="60" w:type="dxa"/>
            <w:vAlign w:val="bottom"/>
            <w:shd w:val="clear" w:color="auto" w:fill="005C5D"/>
          </w:tcPr>
          <w:p>
            <w:pPr>
              <w:spacing w:after="0"/>
              <w:rPr>
                <w:sz w:val="20"/>
                <w:szCs w:val="20"/>
                <w:color w:val="auto"/>
              </w:rPr>
            </w:pPr>
          </w:p>
        </w:tc>
        <w:tc>
          <w:tcPr>
            <w:tcW w:w="920" w:type="dxa"/>
            <w:vAlign w:val="bottom"/>
            <w:shd w:val="clear" w:color="auto" w:fill="005C5D"/>
          </w:tcPr>
          <w:p>
            <w:pPr>
              <w:spacing w:after="0"/>
              <w:rPr>
                <w:sz w:val="20"/>
                <w:szCs w:val="20"/>
                <w:color w:val="auto"/>
              </w:rPr>
            </w:pPr>
          </w:p>
        </w:tc>
        <w:tc>
          <w:tcPr>
            <w:tcW w:w="140" w:type="dxa"/>
            <w:vAlign w:val="bottom"/>
            <w:shd w:val="clear" w:color="auto" w:fill="005C5D"/>
          </w:tcPr>
          <w:p>
            <w:pPr>
              <w:spacing w:after="0"/>
              <w:rPr>
                <w:sz w:val="20"/>
                <w:szCs w:val="20"/>
                <w:color w:val="auto"/>
              </w:rPr>
            </w:pPr>
          </w:p>
        </w:tc>
        <w:tc>
          <w:tcPr>
            <w:tcW w:w="940" w:type="dxa"/>
            <w:vAlign w:val="bottom"/>
            <w:shd w:val="clear" w:color="auto" w:fill="005C5D"/>
          </w:tcPr>
          <w:p>
            <w:pPr>
              <w:spacing w:after="0"/>
              <w:rPr>
                <w:sz w:val="20"/>
                <w:szCs w:val="20"/>
                <w:color w:val="auto"/>
              </w:rPr>
            </w:pPr>
          </w:p>
        </w:tc>
        <w:tc>
          <w:tcPr>
            <w:tcW w:w="60" w:type="dxa"/>
            <w:vAlign w:val="bottom"/>
            <w:shd w:val="clear" w:color="auto" w:fill="005C5D"/>
          </w:tcPr>
          <w:p>
            <w:pPr>
              <w:spacing w:after="0"/>
              <w:rPr>
                <w:sz w:val="20"/>
                <w:szCs w:val="20"/>
                <w:color w:val="auto"/>
              </w:rPr>
            </w:pPr>
          </w:p>
        </w:tc>
        <w:tc>
          <w:tcPr>
            <w:tcW w:w="920" w:type="dxa"/>
            <w:vAlign w:val="bottom"/>
            <w:gridSpan w:val="2"/>
            <w:vMerge w:val="restart"/>
            <w:shd w:val="clear" w:color="auto" w:fill="005C5D"/>
          </w:tcPr>
          <w:p>
            <w:pPr>
              <w:jc w:val="center"/>
              <w:ind w:right="201"/>
              <w:spacing w:after="0"/>
              <w:rPr>
                <w:sz w:val="20"/>
                <w:szCs w:val="20"/>
                <w:color w:val="auto"/>
              </w:rPr>
            </w:pPr>
            <w:r>
              <w:rPr>
                <w:rFonts w:ascii="Arial" w:cs="Arial" w:eastAsia="Arial" w:hAnsi="Arial"/>
                <w:sz w:val="12"/>
                <w:szCs w:val="12"/>
                <w:color w:val="FFFFFF"/>
              </w:rPr>
              <w:t>Average</w:t>
            </w:r>
          </w:p>
        </w:tc>
        <w:tc>
          <w:tcPr>
            <w:tcW w:w="60" w:type="dxa"/>
            <w:vAlign w:val="bottom"/>
            <w:shd w:val="clear" w:color="auto" w:fill="005C5D"/>
          </w:tcPr>
          <w:p>
            <w:pPr>
              <w:spacing w:after="0"/>
              <w:rPr>
                <w:sz w:val="20"/>
                <w:szCs w:val="20"/>
                <w:color w:val="auto"/>
              </w:rPr>
            </w:pPr>
          </w:p>
        </w:tc>
        <w:tc>
          <w:tcPr>
            <w:tcW w:w="940" w:type="dxa"/>
            <w:vAlign w:val="bottom"/>
            <w:vMerge w:val="restart"/>
            <w:shd w:val="clear" w:color="auto" w:fill="005C5D"/>
          </w:tcPr>
          <w:p>
            <w:pPr>
              <w:jc w:val="center"/>
              <w:ind w:right="178"/>
              <w:spacing w:after="0"/>
              <w:rPr>
                <w:sz w:val="20"/>
                <w:szCs w:val="20"/>
                <w:color w:val="auto"/>
              </w:rPr>
            </w:pPr>
            <w:r>
              <w:rPr>
                <w:rFonts w:ascii="Arial" w:cs="Arial" w:eastAsia="Arial" w:hAnsi="Arial"/>
                <w:sz w:val="12"/>
                <w:szCs w:val="12"/>
                <w:color w:val="FFFFFF"/>
              </w:rPr>
              <w:t>Average</w:t>
            </w:r>
          </w:p>
        </w:tc>
        <w:tc>
          <w:tcPr>
            <w:tcW w:w="200" w:type="dxa"/>
            <w:vAlign w:val="bottom"/>
            <w:shd w:val="clear" w:color="auto" w:fill="005C5D"/>
          </w:tcPr>
          <w:p>
            <w:pPr>
              <w:spacing w:after="0"/>
              <w:rPr>
                <w:sz w:val="20"/>
                <w:szCs w:val="20"/>
                <w:color w:val="auto"/>
              </w:rPr>
            </w:pPr>
          </w:p>
        </w:tc>
        <w:tc>
          <w:tcPr>
            <w:tcW w:w="660" w:type="dxa"/>
            <w:vAlign w:val="bottom"/>
            <w:shd w:val="clear" w:color="auto" w:fill="005C5D"/>
          </w:tcPr>
          <w:p>
            <w:pPr>
              <w:spacing w:after="0"/>
              <w:rPr>
                <w:sz w:val="20"/>
                <w:szCs w:val="20"/>
                <w:color w:val="auto"/>
              </w:rPr>
            </w:pPr>
          </w:p>
        </w:tc>
        <w:tc>
          <w:tcPr>
            <w:tcW w:w="200" w:type="dxa"/>
            <w:vAlign w:val="bottom"/>
            <w:shd w:val="clear" w:color="auto" w:fill="005C5D"/>
          </w:tcPr>
          <w:p>
            <w:pPr>
              <w:spacing w:after="0"/>
              <w:rPr>
                <w:sz w:val="20"/>
                <w:szCs w:val="20"/>
                <w:color w:val="auto"/>
              </w:rPr>
            </w:pPr>
          </w:p>
        </w:tc>
        <w:tc>
          <w:tcPr>
            <w:tcW w:w="640" w:type="dxa"/>
            <w:vAlign w:val="bottom"/>
            <w:shd w:val="clear" w:color="auto" w:fill="005C5D"/>
          </w:tcPr>
          <w:p>
            <w:pPr>
              <w:spacing w:after="0"/>
              <w:rPr>
                <w:sz w:val="20"/>
                <w:szCs w:val="20"/>
                <w:color w:val="auto"/>
              </w:rPr>
            </w:pPr>
          </w:p>
        </w:tc>
        <w:tc>
          <w:tcPr>
            <w:tcW w:w="40" w:type="dxa"/>
            <w:vAlign w:val="bottom"/>
            <w:shd w:val="clear" w:color="auto" w:fill="005C5D"/>
          </w:tcPr>
          <w:p>
            <w:pPr>
              <w:spacing w:after="0"/>
              <w:rPr>
                <w:sz w:val="20"/>
                <w:szCs w:val="20"/>
                <w:color w:val="auto"/>
              </w:rPr>
            </w:pPr>
          </w:p>
        </w:tc>
        <w:tc>
          <w:tcPr>
            <w:tcW w:w="680" w:type="dxa"/>
            <w:vAlign w:val="bottom"/>
            <w:shd w:val="clear" w:color="auto" w:fill="005C5D"/>
          </w:tcPr>
          <w:p>
            <w:pPr>
              <w:jc w:val="center"/>
              <w:ind w:right="138"/>
              <w:spacing w:after="0"/>
              <w:rPr>
                <w:sz w:val="20"/>
                <w:szCs w:val="20"/>
                <w:color w:val="auto"/>
              </w:rPr>
            </w:pPr>
            <w:r>
              <w:rPr>
                <w:rFonts w:ascii="Arial" w:cs="Arial" w:eastAsia="Arial" w:hAnsi="Arial"/>
                <w:sz w:val="12"/>
                <w:szCs w:val="12"/>
                <w:color w:val="FFFFFF"/>
              </w:rPr>
              <w:t>GAAP</w:t>
            </w:r>
          </w:p>
        </w:tc>
        <w:tc>
          <w:tcPr>
            <w:tcW w:w="40" w:type="dxa"/>
            <w:vAlign w:val="bottom"/>
            <w:shd w:val="clear" w:color="auto" w:fill="005C5D"/>
          </w:tcPr>
          <w:p>
            <w:pPr>
              <w:spacing w:after="0"/>
              <w:rPr>
                <w:sz w:val="20"/>
                <w:szCs w:val="20"/>
                <w:color w:val="auto"/>
              </w:rPr>
            </w:pPr>
          </w:p>
        </w:tc>
        <w:tc>
          <w:tcPr>
            <w:tcW w:w="640" w:type="dxa"/>
            <w:vAlign w:val="bottom"/>
            <w:shd w:val="clear" w:color="auto" w:fill="005C5D"/>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640" w:type="dxa"/>
            <w:vAlign w:val="bottom"/>
            <w:shd w:val="clear" w:color="auto" w:fill="005C5D"/>
          </w:tcPr>
          <w:p>
            <w:pPr>
              <w:spacing w:after="0"/>
              <w:rPr>
                <w:sz w:val="4"/>
                <w:szCs w:val="4"/>
                <w:color w:val="auto"/>
              </w:rPr>
            </w:pPr>
          </w:p>
        </w:tc>
        <w:tc>
          <w:tcPr>
            <w:tcW w:w="160" w:type="dxa"/>
            <w:vAlign w:val="bottom"/>
            <w:shd w:val="clear" w:color="auto" w:fill="005C5D"/>
          </w:tcPr>
          <w:p>
            <w:pPr>
              <w:spacing w:after="0"/>
              <w:rPr>
                <w:sz w:val="4"/>
                <w:szCs w:val="4"/>
                <w:color w:val="auto"/>
              </w:rPr>
            </w:pPr>
          </w:p>
        </w:tc>
        <w:tc>
          <w:tcPr>
            <w:tcW w:w="60" w:type="dxa"/>
            <w:vAlign w:val="bottom"/>
            <w:shd w:val="clear" w:color="auto" w:fill="005C5D"/>
          </w:tcPr>
          <w:p>
            <w:pPr>
              <w:spacing w:after="0"/>
              <w:rPr>
                <w:sz w:val="4"/>
                <w:szCs w:val="4"/>
                <w:color w:val="auto"/>
              </w:rPr>
            </w:pPr>
          </w:p>
        </w:tc>
        <w:tc>
          <w:tcPr>
            <w:tcW w:w="920" w:type="dxa"/>
            <w:vAlign w:val="bottom"/>
            <w:shd w:val="clear" w:color="auto" w:fill="005C5D"/>
          </w:tcPr>
          <w:p>
            <w:pPr>
              <w:spacing w:after="0"/>
              <w:rPr>
                <w:sz w:val="4"/>
                <w:szCs w:val="4"/>
                <w:color w:val="auto"/>
              </w:rPr>
            </w:pPr>
          </w:p>
        </w:tc>
        <w:tc>
          <w:tcPr>
            <w:tcW w:w="80" w:type="dxa"/>
            <w:vAlign w:val="bottom"/>
            <w:shd w:val="clear" w:color="auto" w:fill="005C5D"/>
          </w:tcPr>
          <w:p>
            <w:pPr>
              <w:spacing w:after="0"/>
              <w:rPr>
                <w:sz w:val="4"/>
                <w:szCs w:val="4"/>
                <w:color w:val="auto"/>
              </w:rPr>
            </w:pPr>
          </w:p>
        </w:tc>
        <w:tc>
          <w:tcPr>
            <w:tcW w:w="920" w:type="dxa"/>
            <w:vAlign w:val="bottom"/>
            <w:shd w:val="clear" w:color="auto" w:fill="005C5D"/>
          </w:tcPr>
          <w:p>
            <w:pPr>
              <w:spacing w:after="0"/>
              <w:rPr>
                <w:sz w:val="4"/>
                <w:szCs w:val="4"/>
                <w:color w:val="auto"/>
              </w:rPr>
            </w:pPr>
          </w:p>
        </w:tc>
        <w:tc>
          <w:tcPr>
            <w:tcW w:w="60" w:type="dxa"/>
            <w:vAlign w:val="bottom"/>
            <w:shd w:val="clear" w:color="auto" w:fill="005C5D"/>
          </w:tcPr>
          <w:p>
            <w:pPr>
              <w:spacing w:after="0"/>
              <w:rPr>
                <w:sz w:val="4"/>
                <w:szCs w:val="4"/>
                <w:color w:val="auto"/>
              </w:rPr>
            </w:pPr>
          </w:p>
        </w:tc>
        <w:tc>
          <w:tcPr>
            <w:tcW w:w="920" w:type="dxa"/>
            <w:vAlign w:val="bottom"/>
            <w:shd w:val="clear" w:color="auto" w:fill="005C5D"/>
          </w:tcPr>
          <w:p>
            <w:pPr>
              <w:spacing w:after="0"/>
              <w:rPr>
                <w:sz w:val="4"/>
                <w:szCs w:val="4"/>
                <w:color w:val="auto"/>
              </w:rPr>
            </w:pPr>
          </w:p>
        </w:tc>
        <w:tc>
          <w:tcPr>
            <w:tcW w:w="140" w:type="dxa"/>
            <w:vAlign w:val="bottom"/>
            <w:shd w:val="clear" w:color="auto" w:fill="005C5D"/>
          </w:tcPr>
          <w:p>
            <w:pPr>
              <w:spacing w:after="0"/>
              <w:rPr>
                <w:sz w:val="4"/>
                <w:szCs w:val="4"/>
                <w:color w:val="auto"/>
              </w:rPr>
            </w:pPr>
          </w:p>
        </w:tc>
        <w:tc>
          <w:tcPr>
            <w:tcW w:w="940" w:type="dxa"/>
            <w:vAlign w:val="bottom"/>
            <w:shd w:val="clear" w:color="auto" w:fill="005C5D"/>
          </w:tcPr>
          <w:p>
            <w:pPr>
              <w:spacing w:after="0"/>
              <w:rPr>
                <w:sz w:val="4"/>
                <w:szCs w:val="4"/>
                <w:color w:val="auto"/>
              </w:rPr>
            </w:pPr>
          </w:p>
        </w:tc>
        <w:tc>
          <w:tcPr>
            <w:tcW w:w="60" w:type="dxa"/>
            <w:vAlign w:val="bottom"/>
            <w:shd w:val="clear" w:color="auto" w:fill="005C5D"/>
          </w:tcPr>
          <w:p>
            <w:pPr>
              <w:spacing w:after="0"/>
              <w:rPr>
                <w:sz w:val="4"/>
                <w:szCs w:val="4"/>
                <w:color w:val="auto"/>
              </w:rPr>
            </w:pPr>
          </w:p>
        </w:tc>
        <w:tc>
          <w:tcPr>
            <w:tcW w:w="920" w:type="dxa"/>
            <w:vAlign w:val="bottom"/>
            <w:gridSpan w:val="2"/>
            <w:vMerge w:val="continue"/>
            <w:shd w:val="clear" w:color="auto" w:fill="005C5D"/>
          </w:tcPr>
          <w:p>
            <w:pPr>
              <w:spacing w:after="0"/>
              <w:rPr>
                <w:sz w:val="4"/>
                <w:szCs w:val="4"/>
                <w:color w:val="auto"/>
              </w:rPr>
            </w:pPr>
          </w:p>
        </w:tc>
        <w:tc>
          <w:tcPr>
            <w:tcW w:w="60" w:type="dxa"/>
            <w:vAlign w:val="bottom"/>
            <w:shd w:val="clear" w:color="auto" w:fill="005C5D"/>
          </w:tcPr>
          <w:p>
            <w:pPr>
              <w:spacing w:after="0"/>
              <w:rPr>
                <w:sz w:val="4"/>
                <w:szCs w:val="4"/>
                <w:color w:val="auto"/>
              </w:rPr>
            </w:pPr>
          </w:p>
        </w:tc>
        <w:tc>
          <w:tcPr>
            <w:tcW w:w="940" w:type="dxa"/>
            <w:vAlign w:val="bottom"/>
            <w:vMerge w:val="continue"/>
            <w:shd w:val="clear" w:color="auto" w:fill="005C5D"/>
          </w:tcPr>
          <w:p>
            <w:pPr>
              <w:spacing w:after="0"/>
              <w:rPr>
                <w:sz w:val="4"/>
                <w:szCs w:val="4"/>
                <w:color w:val="auto"/>
              </w:rPr>
            </w:pPr>
          </w:p>
        </w:tc>
        <w:tc>
          <w:tcPr>
            <w:tcW w:w="200" w:type="dxa"/>
            <w:vAlign w:val="bottom"/>
            <w:shd w:val="clear" w:color="auto" w:fill="005C5D"/>
          </w:tcPr>
          <w:p>
            <w:pPr>
              <w:spacing w:after="0"/>
              <w:rPr>
                <w:sz w:val="4"/>
                <w:szCs w:val="4"/>
                <w:color w:val="auto"/>
              </w:rPr>
            </w:pPr>
          </w:p>
        </w:tc>
        <w:tc>
          <w:tcPr>
            <w:tcW w:w="660" w:type="dxa"/>
            <w:vAlign w:val="bottom"/>
            <w:shd w:val="clear" w:color="auto" w:fill="005C5D"/>
          </w:tcPr>
          <w:p>
            <w:pPr>
              <w:spacing w:after="0"/>
              <w:rPr>
                <w:sz w:val="4"/>
                <w:szCs w:val="4"/>
                <w:color w:val="auto"/>
              </w:rPr>
            </w:pPr>
          </w:p>
        </w:tc>
        <w:tc>
          <w:tcPr>
            <w:tcW w:w="200" w:type="dxa"/>
            <w:vAlign w:val="bottom"/>
            <w:shd w:val="clear" w:color="auto" w:fill="005C5D"/>
          </w:tcPr>
          <w:p>
            <w:pPr>
              <w:spacing w:after="0"/>
              <w:rPr>
                <w:sz w:val="4"/>
                <w:szCs w:val="4"/>
                <w:color w:val="auto"/>
              </w:rPr>
            </w:pPr>
          </w:p>
        </w:tc>
        <w:tc>
          <w:tcPr>
            <w:tcW w:w="640" w:type="dxa"/>
            <w:vAlign w:val="bottom"/>
            <w:shd w:val="clear" w:color="auto" w:fill="005C5D"/>
          </w:tcPr>
          <w:p>
            <w:pPr>
              <w:spacing w:after="0"/>
              <w:rPr>
                <w:sz w:val="4"/>
                <w:szCs w:val="4"/>
                <w:color w:val="auto"/>
              </w:rPr>
            </w:pPr>
          </w:p>
        </w:tc>
        <w:tc>
          <w:tcPr>
            <w:tcW w:w="40" w:type="dxa"/>
            <w:vAlign w:val="bottom"/>
            <w:shd w:val="clear" w:color="auto" w:fill="005C5D"/>
          </w:tcPr>
          <w:p>
            <w:pPr>
              <w:spacing w:after="0"/>
              <w:rPr>
                <w:sz w:val="4"/>
                <w:szCs w:val="4"/>
                <w:color w:val="auto"/>
              </w:rPr>
            </w:pPr>
          </w:p>
        </w:tc>
        <w:tc>
          <w:tcPr>
            <w:tcW w:w="680" w:type="dxa"/>
            <w:vAlign w:val="bottom"/>
            <w:vMerge w:val="restart"/>
            <w:shd w:val="clear" w:color="auto" w:fill="005C5D"/>
          </w:tcPr>
          <w:p>
            <w:pPr>
              <w:jc w:val="center"/>
              <w:ind w:right="138"/>
              <w:spacing w:after="0" w:line="134" w:lineRule="exact"/>
              <w:rPr>
                <w:sz w:val="20"/>
                <w:szCs w:val="20"/>
                <w:color w:val="auto"/>
              </w:rPr>
            </w:pPr>
            <w:r>
              <w:rPr>
                <w:rFonts w:ascii="Arial" w:cs="Arial" w:eastAsia="Arial" w:hAnsi="Arial"/>
                <w:sz w:val="12"/>
                <w:szCs w:val="12"/>
                <w:color w:val="FFFFFF"/>
              </w:rPr>
              <w:t>Net</w:t>
            </w:r>
          </w:p>
        </w:tc>
        <w:tc>
          <w:tcPr>
            <w:tcW w:w="40" w:type="dxa"/>
            <w:vAlign w:val="bottom"/>
            <w:shd w:val="clear" w:color="auto" w:fill="005C5D"/>
          </w:tcPr>
          <w:p>
            <w:pPr>
              <w:spacing w:after="0"/>
              <w:rPr>
                <w:sz w:val="4"/>
                <w:szCs w:val="4"/>
                <w:color w:val="auto"/>
              </w:rPr>
            </w:pPr>
          </w:p>
        </w:tc>
        <w:tc>
          <w:tcPr>
            <w:tcW w:w="640" w:type="dxa"/>
            <w:vAlign w:val="bottom"/>
            <w:shd w:val="clear" w:color="auto" w:fill="005C5D"/>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40" w:type="dxa"/>
            <w:vAlign w:val="bottom"/>
            <w:shd w:val="clear" w:color="auto" w:fill="005C5D"/>
          </w:tcPr>
          <w:p>
            <w:pPr>
              <w:spacing w:after="0"/>
              <w:rPr>
                <w:sz w:val="6"/>
                <w:szCs w:val="6"/>
                <w:color w:val="auto"/>
              </w:rPr>
            </w:pPr>
          </w:p>
        </w:tc>
        <w:tc>
          <w:tcPr>
            <w:tcW w:w="160" w:type="dxa"/>
            <w:vAlign w:val="bottom"/>
            <w:shd w:val="clear" w:color="auto" w:fill="005C5D"/>
          </w:tcPr>
          <w:p>
            <w:pPr>
              <w:spacing w:after="0"/>
              <w:rPr>
                <w:sz w:val="6"/>
                <w:szCs w:val="6"/>
                <w:color w:val="auto"/>
              </w:rPr>
            </w:pPr>
          </w:p>
        </w:tc>
        <w:tc>
          <w:tcPr>
            <w:tcW w:w="60" w:type="dxa"/>
            <w:vAlign w:val="bottom"/>
            <w:shd w:val="clear" w:color="auto" w:fill="005C5D"/>
          </w:tcPr>
          <w:p>
            <w:pPr>
              <w:spacing w:after="0"/>
              <w:rPr>
                <w:sz w:val="6"/>
                <w:szCs w:val="6"/>
                <w:color w:val="auto"/>
              </w:rPr>
            </w:pPr>
          </w:p>
        </w:tc>
        <w:tc>
          <w:tcPr>
            <w:tcW w:w="920" w:type="dxa"/>
            <w:vAlign w:val="bottom"/>
            <w:vMerge w:val="restart"/>
            <w:shd w:val="clear" w:color="auto" w:fill="005C5D"/>
          </w:tcPr>
          <w:p>
            <w:pPr>
              <w:jc w:val="center"/>
              <w:ind w:right="155"/>
              <w:spacing w:after="0" w:line="134" w:lineRule="exact"/>
              <w:rPr>
                <w:sz w:val="20"/>
                <w:szCs w:val="20"/>
                <w:color w:val="auto"/>
              </w:rPr>
            </w:pPr>
            <w:r>
              <w:rPr>
                <w:rFonts w:ascii="Arial" w:cs="Arial" w:eastAsia="Arial" w:hAnsi="Arial"/>
                <w:sz w:val="12"/>
                <w:szCs w:val="12"/>
                <w:color w:val="FFFFFF"/>
              </w:rPr>
              <w:t>Summary</w:t>
            </w:r>
          </w:p>
        </w:tc>
        <w:tc>
          <w:tcPr>
            <w:tcW w:w="1000" w:type="dxa"/>
            <w:vAlign w:val="bottom"/>
            <w:gridSpan w:val="2"/>
            <w:vMerge w:val="restart"/>
            <w:shd w:val="clear" w:color="auto" w:fill="005C5D"/>
          </w:tcPr>
          <w:p>
            <w:pPr>
              <w:jc w:val="center"/>
              <w:ind w:right="94"/>
              <w:spacing w:after="0" w:line="134" w:lineRule="exact"/>
              <w:rPr>
                <w:sz w:val="20"/>
                <w:szCs w:val="20"/>
                <w:color w:val="auto"/>
              </w:rPr>
            </w:pPr>
            <w:r>
              <w:rPr>
                <w:rFonts w:ascii="Arial" w:cs="Arial" w:eastAsia="Arial" w:hAnsi="Arial"/>
                <w:sz w:val="12"/>
                <w:szCs w:val="12"/>
                <w:color w:val="FFFFFF"/>
              </w:rPr>
              <w:t>Compensation</w:t>
            </w:r>
          </w:p>
        </w:tc>
        <w:tc>
          <w:tcPr>
            <w:tcW w:w="60" w:type="dxa"/>
            <w:vAlign w:val="bottom"/>
            <w:shd w:val="clear" w:color="auto" w:fill="005C5D"/>
          </w:tcPr>
          <w:p>
            <w:pPr>
              <w:spacing w:after="0"/>
              <w:rPr>
                <w:sz w:val="6"/>
                <w:szCs w:val="6"/>
                <w:color w:val="auto"/>
              </w:rPr>
            </w:pPr>
          </w:p>
        </w:tc>
        <w:tc>
          <w:tcPr>
            <w:tcW w:w="920" w:type="dxa"/>
            <w:vAlign w:val="bottom"/>
            <w:vMerge w:val="restart"/>
            <w:shd w:val="clear" w:color="auto" w:fill="005C5D"/>
          </w:tcPr>
          <w:p>
            <w:pPr>
              <w:jc w:val="center"/>
              <w:ind w:right="158"/>
              <w:spacing w:after="0" w:line="134" w:lineRule="exact"/>
              <w:rPr>
                <w:sz w:val="20"/>
                <w:szCs w:val="20"/>
                <w:color w:val="auto"/>
              </w:rPr>
            </w:pPr>
            <w:r>
              <w:rPr>
                <w:rFonts w:ascii="Arial" w:cs="Arial" w:eastAsia="Arial" w:hAnsi="Arial"/>
                <w:sz w:val="12"/>
                <w:szCs w:val="12"/>
                <w:color w:val="FFFFFF"/>
              </w:rPr>
              <w:t>Summary</w:t>
            </w:r>
          </w:p>
        </w:tc>
        <w:tc>
          <w:tcPr>
            <w:tcW w:w="140" w:type="dxa"/>
            <w:vAlign w:val="bottom"/>
            <w:shd w:val="clear" w:color="auto" w:fill="005C5D"/>
          </w:tcPr>
          <w:p>
            <w:pPr>
              <w:spacing w:after="0"/>
              <w:rPr>
                <w:sz w:val="6"/>
                <w:szCs w:val="6"/>
                <w:color w:val="auto"/>
              </w:rPr>
            </w:pPr>
          </w:p>
        </w:tc>
        <w:tc>
          <w:tcPr>
            <w:tcW w:w="940" w:type="dxa"/>
            <w:vAlign w:val="bottom"/>
            <w:shd w:val="clear" w:color="auto" w:fill="005C5D"/>
          </w:tcPr>
          <w:p>
            <w:pPr>
              <w:spacing w:after="0"/>
              <w:rPr>
                <w:sz w:val="6"/>
                <w:szCs w:val="6"/>
                <w:color w:val="auto"/>
              </w:rPr>
            </w:pPr>
          </w:p>
        </w:tc>
        <w:tc>
          <w:tcPr>
            <w:tcW w:w="60" w:type="dxa"/>
            <w:vAlign w:val="bottom"/>
            <w:shd w:val="clear" w:color="auto" w:fill="005C5D"/>
          </w:tcPr>
          <w:p>
            <w:pPr>
              <w:spacing w:after="0"/>
              <w:rPr>
                <w:sz w:val="6"/>
                <w:szCs w:val="6"/>
                <w:color w:val="auto"/>
              </w:rPr>
            </w:pPr>
          </w:p>
        </w:tc>
        <w:tc>
          <w:tcPr>
            <w:tcW w:w="920" w:type="dxa"/>
            <w:vAlign w:val="bottom"/>
            <w:gridSpan w:val="2"/>
            <w:vMerge w:val="restart"/>
            <w:shd w:val="clear" w:color="auto" w:fill="005C5D"/>
          </w:tcPr>
          <w:p>
            <w:pPr>
              <w:jc w:val="center"/>
              <w:ind w:right="201"/>
              <w:spacing w:after="0" w:line="134" w:lineRule="exact"/>
              <w:rPr>
                <w:sz w:val="20"/>
                <w:szCs w:val="20"/>
                <w:color w:val="auto"/>
              </w:rPr>
            </w:pPr>
            <w:r>
              <w:rPr>
                <w:rFonts w:ascii="Arial" w:cs="Arial" w:eastAsia="Arial" w:hAnsi="Arial"/>
                <w:sz w:val="12"/>
                <w:szCs w:val="12"/>
                <w:color w:val="FFFFFF"/>
              </w:rPr>
              <w:t>Summary</w:t>
            </w:r>
          </w:p>
        </w:tc>
        <w:tc>
          <w:tcPr>
            <w:tcW w:w="1000" w:type="dxa"/>
            <w:vAlign w:val="bottom"/>
            <w:gridSpan w:val="2"/>
            <w:vMerge w:val="restart"/>
            <w:shd w:val="clear" w:color="auto" w:fill="005C5D"/>
          </w:tcPr>
          <w:p>
            <w:pPr>
              <w:jc w:val="center"/>
              <w:ind w:right="98"/>
              <w:spacing w:after="0" w:line="134" w:lineRule="exact"/>
              <w:rPr>
                <w:sz w:val="20"/>
                <w:szCs w:val="20"/>
                <w:color w:val="auto"/>
              </w:rPr>
            </w:pPr>
            <w:r>
              <w:rPr>
                <w:rFonts w:ascii="Arial" w:cs="Arial" w:eastAsia="Arial" w:hAnsi="Arial"/>
                <w:sz w:val="12"/>
                <w:szCs w:val="12"/>
                <w:color w:val="FFFFFF"/>
              </w:rPr>
              <w:t>Compensation</w:t>
            </w:r>
          </w:p>
        </w:tc>
        <w:tc>
          <w:tcPr>
            <w:tcW w:w="200" w:type="dxa"/>
            <w:vAlign w:val="bottom"/>
            <w:shd w:val="clear" w:color="auto" w:fill="005C5D"/>
          </w:tcPr>
          <w:p>
            <w:pPr>
              <w:spacing w:after="0"/>
              <w:rPr>
                <w:sz w:val="6"/>
                <w:szCs w:val="6"/>
                <w:color w:val="auto"/>
              </w:rPr>
            </w:pPr>
          </w:p>
        </w:tc>
        <w:tc>
          <w:tcPr>
            <w:tcW w:w="660" w:type="dxa"/>
            <w:vAlign w:val="bottom"/>
            <w:shd w:val="clear" w:color="auto" w:fill="005C5D"/>
          </w:tcPr>
          <w:p>
            <w:pPr>
              <w:spacing w:after="0"/>
              <w:rPr>
                <w:sz w:val="6"/>
                <w:szCs w:val="6"/>
                <w:color w:val="auto"/>
              </w:rPr>
            </w:pPr>
          </w:p>
        </w:tc>
        <w:tc>
          <w:tcPr>
            <w:tcW w:w="200" w:type="dxa"/>
            <w:vAlign w:val="bottom"/>
            <w:shd w:val="clear" w:color="auto" w:fill="005C5D"/>
          </w:tcPr>
          <w:p>
            <w:pPr>
              <w:spacing w:after="0"/>
              <w:rPr>
                <w:sz w:val="6"/>
                <w:szCs w:val="6"/>
                <w:color w:val="auto"/>
              </w:rPr>
            </w:pPr>
          </w:p>
        </w:tc>
        <w:tc>
          <w:tcPr>
            <w:tcW w:w="640" w:type="dxa"/>
            <w:vAlign w:val="bottom"/>
            <w:shd w:val="clear" w:color="auto" w:fill="005C5D"/>
          </w:tcPr>
          <w:p>
            <w:pPr>
              <w:spacing w:after="0"/>
              <w:rPr>
                <w:sz w:val="6"/>
                <w:szCs w:val="6"/>
                <w:color w:val="auto"/>
              </w:rPr>
            </w:pPr>
          </w:p>
        </w:tc>
        <w:tc>
          <w:tcPr>
            <w:tcW w:w="40" w:type="dxa"/>
            <w:vAlign w:val="bottom"/>
            <w:shd w:val="clear" w:color="auto" w:fill="005C5D"/>
          </w:tcPr>
          <w:p>
            <w:pPr>
              <w:spacing w:after="0"/>
              <w:rPr>
                <w:sz w:val="6"/>
                <w:szCs w:val="6"/>
                <w:color w:val="auto"/>
              </w:rPr>
            </w:pPr>
          </w:p>
        </w:tc>
        <w:tc>
          <w:tcPr>
            <w:tcW w:w="680" w:type="dxa"/>
            <w:vAlign w:val="bottom"/>
            <w:vMerge w:val="continue"/>
            <w:shd w:val="clear" w:color="auto" w:fill="005C5D"/>
          </w:tcPr>
          <w:p>
            <w:pPr>
              <w:spacing w:after="0"/>
              <w:rPr>
                <w:sz w:val="6"/>
                <w:szCs w:val="6"/>
                <w:color w:val="auto"/>
              </w:rPr>
            </w:pPr>
          </w:p>
        </w:tc>
        <w:tc>
          <w:tcPr>
            <w:tcW w:w="40" w:type="dxa"/>
            <w:vAlign w:val="bottom"/>
            <w:shd w:val="clear" w:color="auto" w:fill="005C5D"/>
          </w:tcPr>
          <w:p>
            <w:pPr>
              <w:spacing w:after="0"/>
              <w:rPr>
                <w:sz w:val="6"/>
                <w:szCs w:val="6"/>
                <w:color w:val="auto"/>
              </w:rPr>
            </w:pPr>
          </w:p>
        </w:tc>
        <w:tc>
          <w:tcPr>
            <w:tcW w:w="640" w:type="dxa"/>
            <w:vAlign w:val="bottom"/>
            <w:shd w:val="clear" w:color="auto" w:fill="005C5D"/>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1640" w:type="dxa"/>
            <w:vAlign w:val="bottom"/>
            <w:shd w:val="clear" w:color="auto" w:fill="005C5D"/>
          </w:tcPr>
          <w:p>
            <w:pPr>
              <w:spacing w:after="0"/>
              <w:rPr>
                <w:sz w:val="4"/>
                <w:szCs w:val="4"/>
                <w:color w:val="auto"/>
              </w:rPr>
            </w:pPr>
          </w:p>
        </w:tc>
        <w:tc>
          <w:tcPr>
            <w:tcW w:w="160" w:type="dxa"/>
            <w:vAlign w:val="bottom"/>
            <w:shd w:val="clear" w:color="auto" w:fill="005C5D"/>
          </w:tcPr>
          <w:p>
            <w:pPr>
              <w:spacing w:after="0"/>
              <w:rPr>
                <w:sz w:val="4"/>
                <w:szCs w:val="4"/>
                <w:color w:val="auto"/>
              </w:rPr>
            </w:pPr>
          </w:p>
        </w:tc>
        <w:tc>
          <w:tcPr>
            <w:tcW w:w="60" w:type="dxa"/>
            <w:vAlign w:val="bottom"/>
            <w:shd w:val="clear" w:color="auto" w:fill="005C5D"/>
          </w:tcPr>
          <w:p>
            <w:pPr>
              <w:spacing w:after="0"/>
              <w:rPr>
                <w:sz w:val="4"/>
                <w:szCs w:val="4"/>
                <w:color w:val="auto"/>
              </w:rPr>
            </w:pPr>
          </w:p>
        </w:tc>
        <w:tc>
          <w:tcPr>
            <w:tcW w:w="920" w:type="dxa"/>
            <w:vAlign w:val="bottom"/>
            <w:vMerge w:val="continue"/>
            <w:shd w:val="clear" w:color="auto" w:fill="005C5D"/>
          </w:tcPr>
          <w:p>
            <w:pPr>
              <w:spacing w:after="0"/>
              <w:rPr>
                <w:sz w:val="4"/>
                <w:szCs w:val="4"/>
                <w:color w:val="auto"/>
              </w:rPr>
            </w:pPr>
          </w:p>
        </w:tc>
        <w:tc>
          <w:tcPr>
            <w:tcW w:w="1000" w:type="dxa"/>
            <w:vAlign w:val="bottom"/>
            <w:gridSpan w:val="2"/>
            <w:vMerge w:val="continue"/>
            <w:shd w:val="clear" w:color="auto" w:fill="005C5D"/>
          </w:tcPr>
          <w:p>
            <w:pPr>
              <w:spacing w:after="0"/>
              <w:rPr>
                <w:sz w:val="4"/>
                <w:szCs w:val="4"/>
                <w:color w:val="auto"/>
              </w:rPr>
            </w:pPr>
          </w:p>
        </w:tc>
        <w:tc>
          <w:tcPr>
            <w:tcW w:w="60" w:type="dxa"/>
            <w:vAlign w:val="bottom"/>
            <w:shd w:val="clear" w:color="auto" w:fill="005C5D"/>
          </w:tcPr>
          <w:p>
            <w:pPr>
              <w:spacing w:after="0"/>
              <w:rPr>
                <w:sz w:val="4"/>
                <w:szCs w:val="4"/>
                <w:color w:val="auto"/>
              </w:rPr>
            </w:pPr>
          </w:p>
        </w:tc>
        <w:tc>
          <w:tcPr>
            <w:tcW w:w="920" w:type="dxa"/>
            <w:vAlign w:val="bottom"/>
            <w:vMerge w:val="continue"/>
            <w:shd w:val="clear" w:color="auto" w:fill="005C5D"/>
          </w:tcPr>
          <w:p>
            <w:pPr>
              <w:spacing w:after="0"/>
              <w:rPr>
                <w:sz w:val="4"/>
                <w:szCs w:val="4"/>
                <w:color w:val="auto"/>
              </w:rPr>
            </w:pPr>
          </w:p>
        </w:tc>
        <w:tc>
          <w:tcPr>
            <w:tcW w:w="140" w:type="dxa"/>
            <w:vAlign w:val="bottom"/>
            <w:shd w:val="clear" w:color="auto" w:fill="005C5D"/>
          </w:tcPr>
          <w:p>
            <w:pPr>
              <w:spacing w:after="0"/>
              <w:rPr>
                <w:sz w:val="4"/>
                <w:szCs w:val="4"/>
                <w:color w:val="auto"/>
              </w:rPr>
            </w:pPr>
          </w:p>
        </w:tc>
        <w:tc>
          <w:tcPr>
            <w:tcW w:w="940" w:type="dxa"/>
            <w:vAlign w:val="bottom"/>
            <w:shd w:val="clear" w:color="auto" w:fill="005C5D"/>
          </w:tcPr>
          <w:p>
            <w:pPr>
              <w:spacing w:after="0"/>
              <w:rPr>
                <w:sz w:val="4"/>
                <w:szCs w:val="4"/>
                <w:color w:val="auto"/>
              </w:rPr>
            </w:pPr>
          </w:p>
        </w:tc>
        <w:tc>
          <w:tcPr>
            <w:tcW w:w="60" w:type="dxa"/>
            <w:vAlign w:val="bottom"/>
            <w:shd w:val="clear" w:color="auto" w:fill="005C5D"/>
          </w:tcPr>
          <w:p>
            <w:pPr>
              <w:spacing w:after="0"/>
              <w:rPr>
                <w:sz w:val="4"/>
                <w:szCs w:val="4"/>
                <w:color w:val="auto"/>
              </w:rPr>
            </w:pPr>
          </w:p>
        </w:tc>
        <w:tc>
          <w:tcPr>
            <w:tcW w:w="920" w:type="dxa"/>
            <w:vAlign w:val="bottom"/>
            <w:gridSpan w:val="2"/>
            <w:vMerge w:val="continue"/>
            <w:shd w:val="clear" w:color="auto" w:fill="005C5D"/>
          </w:tcPr>
          <w:p>
            <w:pPr>
              <w:spacing w:after="0"/>
              <w:rPr>
                <w:sz w:val="4"/>
                <w:szCs w:val="4"/>
                <w:color w:val="auto"/>
              </w:rPr>
            </w:pPr>
          </w:p>
        </w:tc>
        <w:tc>
          <w:tcPr>
            <w:tcW w:w="1000" w:type="dxa"/>
            <w:vAlign w:val="bottom"/>
            <w:gridSpan w:val="2"/>
            <w:vMerge w:val="continue"/>
            <w:shd w:val="clear" w:color="auto" w:fill="005C5D"/>
          </w:tcPr>
          <w:p>
            <w:pPr>
              <w:spacing w:after="0"/>
              <w:rPr>
                <w:sz w:val="4"/>
                <w:szCs w:val="4"/>
                <w:color w:val="auto"/>
              </w:rPr>
            </w:pPr>
          </w:p>
        </w:tc>
        <w:tc>
          <w:tcPr>
            <w:tcW w:w="200" w:type="dxa"/>
            <w:vAlign w:val="bottom"/>
            <w:shd w:val="clear" w:color="auto" w:fill="005C5D"/>
          </w:tcPr>
          <w:p>
            <w:pPr>
              <w:spacing w:after="0"/>
              <w:rPr>
                <w:sz w:val="4"/>
                <w:szCs w:val="4"/>
                <w:color w:val="auto"/>
              </w:rPr>
            </w:pPr>
          </w:p>
        </w:tc>
        <w:tc>
          <w:tcPr>
            <w:tcW w:w="660" w:type="dxa"/>
            <w:vAlign w:val="bottom"/>
            <w:shd w:val="clear" w:color="auto" w:fill="005C5D"/>
          </w:tcPr>
          <w:p>
            <w:pPr>
              <w:spacing w:after="0"/>
              <w:rPr>
                <w:sz w:val="4"/>
                <w:szCs w:val="4"/>
                <w:color w:val="auto"/>
              </w:rPr>
            </w:pPr>
          </w:p>
        </w:tc>
        <w:tc>
          <w:tcPr>
            <w:tcW w:w="200" w:type="dxa"/>
            <w:vAlign w:val="bottom"/>
            <w:shd w:val="clear" w:color="auto" w:fill="005C5D"/>
          </w:tcPr>
          <w:p>
            <w:pPr>
              <w:spacing w:after="0"/>
              <w:rPr>
                <w:sz w:val="4"/>
                <w:szCs w:val="4"/>
                <w:color w:val="auto"/>
              </w:rPr>
            </w:pPr>
          </w:p>
        </w:tc>
        <w:tc>
          <w:tcPr>
            <w:tcW w:w="640" w:type="dxa"/>
            <w:vAlign w:val="bottom"/>
            <w:shd w:val="clear" w:color="auto" w:fill="005C5D"/>
          </w:tcPr>
          <w:p>
            <w:pPr>
              <w:spacing w:after="0"/>
              <w:rPr>
                <w:sz w:val="4"/>
                <w:szCs w:val="4"/>
                <w:color w:val="auto"/>
              </w:rPr>
            </w:pPr>
          </w:p>
        </w:tc>
        <w:tc>
          <w:tcPr>
            <w:tcW w:w="40" w:type="dxa"/>
            <w:vAlign w:val="bottom"/>
            <w:shd w:val="clear" w:color="auto" w:fill="005C5D"/>
          </w:tcPr>
          <w:p>
            <w:pPr>
              <w:spacing w:after="0"/>
              <w:rPr>
                <w:sz w:val="4"/>
                <w:szCs w:val="4"/>
                <w:color w:val="auto"/>
              </w:rPr>
            </w:pPr>
          </w:p>
        </w:tc>
        <w:tc>
          <w:tcPr>
            <w:tcW w:w="680" w:type="dxa"/>
            <w:vAlign w:val="bottom"/>
            <w:vMerge w:val="restart"/>
            <w:shd w:val="clear" w:color="auto" w:fill="005C5D"/>
          </w:tcPr>
          <w:p>
            <w:pPr>
              <w:jc w:val="center"/>
              <w:ind w:right="138"/>
              <w:spacing w:after="0" w:line="134" w:lineRule="exact"/>
              <w:rPr>
                <w:sz w:val="20"/>
                <w:szCs w:val="20"/>
                <w:color w:val="auto"/>
              </w:rPr>
            </w:pPr>
            <w:r>
              <w:rPr>
                <w:rFonts w:ascii="Arial" w:cs="Arial" w:eastAsia="Arial" w:hAnsi="Arial"/>
                <w:sz w:val="12"/>
                <w:szCs w:val="12"/>
                <w:color w:val="FFFFFF"/>
              </w:rPr>
              <w:t>(Loss)</w:t>
            </w:r>
          </w:p>
        </w:tc>
        <w:tc>
          <w:tcPr>
            <w:tcW w:w="40" w:type="dxa"/>
            <w:vAlign w:val="bottom"/>
            <w:shd w:val="clear" w:color="auto" w:fill="005C5D"/>
          </w:tcPr>
          <w:p>
            <w:pPr>
              <w:spacing w:after="0"/>
              <w:rPr>
                <w:sz w:val="4"/>
                <w:szCs w:val="4"/>
                <w:color w:val="auto"/>
              </w:rPr>
            </w:pPr>
          </w:p>
        </w:tc>
        <w:tc>
          <w:tcPr>
            <w:tcW w:w="640" w:type="dxa"/>
            <w:vAlign w:val="bottom"/>
            <w:shd w:val="clear" w:color="auto" w:fill="005C5D"/>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40" w:type="dxa"/>
            <w:vAlign w:val="bottom"/>
            <w:shd w:val="clear" w:color="auto" w:fill="005C5D"/>
          </w:tcPr>
          <w:p>
            <w:pPr>
              <w:spacing w:after="0"/>
              <w:rPr>
                <w:sz w:val="6"/>
                <w:szCs w:val="6"/>
                <w:color w:val="auto"/>
              </w:rPr>
            </w:pPr>
          </w:p>
        </w:tc>
        <w:tc>
          <w:tcPr>
            <w:tcW w:w="160" w:type="dxa"/>
            <w:vAlign w:val="bottom"/>
            <w:shd w:val="clear" w:color="auto" w:fill="005C5D"/>
          </w:tcPr>
          <w:p>
            <w:pPr>
              <w:spacing w:after="0"/>
              <w:rPr>
                <w:sz w:val="6"/>
                <w:szCs w:val="6"/>
                <w:color w:val="auto"/>
              </w:rPr>
            </w:pPr>
          </w:p>
        </w:tc>
        <w:tc>
          <w:tcPr>
            <w:tcW w:w="980" w:type="dxa"/>
            <w:vAlign w:val="bottom"/>
            <w:gridSpan w:val="2"/>
            <w:vMerge w:val="restart"/>
            <w:shd w:val="clear" w:color="auto" w:fill="005C5D"/>
          </w:tcPr>
          <w:p>
            <w:pPr>
              <w:jc w:val="center"/>
              <w:ind w:right="115"/>
              <w:spacing w:after="0" w:line="134" w:lineRule="exact"/>
              <w:rPr>
                <w:sz w:val="20"/>
                <w:szCs w:val="20"/>
                <w:color w:val="auto"/>
              </w:rPr>
            </w:pPr>
            <w:r>
              <w:rPr>
                <w:rFonts w:ascii="Arial" w:cs="Arial" w:eastAsia="Arial" w:hAnsi="Arial"/>
                <w:sz w:val="12"/>
                <w:szCs w:val="12"/>
                <w:color w:val="FFFFFF"/>
              </w:rPr>
              <w:t>Compensation</w:t>
            </w:r>
          </w:p>
        </w:tc>
        <w:tc>
          <w:tcPr>
            <w:tcW w:w="80" w:type="dxa"/>
            <w:vAlign w:val="bottom"/>
            <w:shd w:val="clear" w:color="auto" w:fill="005C5D"/>
          </w:tcPr>
          <w:p>
            <w:pPr>
              <w:spacing w:after="0"/>
              <w:rPr>
                <w:sz w:val="6"/>
                <w:szCs w:val="6"/>
                <w:color w:val="auto"/>
              </w:rPr>
            </w:pPr>
          </w:p>
        </w:tc>
        <w:tc>
          <w:tcPr>
            <w:tcW w:w="920" w:type="dxa"/>
            <w:vAlign w:val="bottom"/>
            <w:vMerge w:val="restart"/>
            <w:shd w:val="clear" w:color="auto" w:fill="005C5D"/>
          </w:tcPr>
          <w:p>
            <w:pPr>
              <w:jc w:val="center"/>
              <w:ind w:right="174"/>
              <w:spacing w:after="0" w:line="134" w:lineRule="exact"/>
              <w:rPr>
                <w:sz w:val="20"/>
                <w:szCs w:val="20"/>
                <w:color w:val="auto"/>
              </w:rPr>
            </w:pPr>
            <w:r>
              <w:rPr>
                <w:rFonts w:ascii="Arial" w:cs="Arial" w:eastAsia="Arial" w:hAnsi="Arial"/>
                <w:sz w:val="12"/>
                <w:szCs w:val="12"/>
                <w:color w:val="FFFFFF"/>
              </w:rPr>
              <w:t>Actually</w:t>
            </w:r>
          </w:p>
        </w:tc>
        <w:tc>
          <w:tcPr>
            <w:tcW w:w="980" w:type="dxa"/>
            <w:vAlign w:val="bottom"/>
            <w:gridSpan w:val="2"/>
            <w:vMerge w:val="restart"/>
            <w:shd w:val="clear" w:color="auto" w:fill="005C5D"/>
          </w:tcPr>
          <w:p>
            <w:pPr>
              <w:jc w:val="center"/>
              <w:ind w:right="118"/>
              <w:spacing w:after="0" w:line="134" w:lineRule="exact"/>
              <w:rPr>
                <w:sz w:val="20"/>
                <w:szCs w:val="20"/>
                <w:color w:val="auto"/>
              </w:rPr>
            </w:pPr>
            <w:r>
              <w:rPr>
                <w:rFonts w:ascii="Arial" w:cs="Arial" w:eastAsia="Arial" w:hAnsi="Arial"/>
                <w:sz w:val="12"/>
                <w:szCs w:val="12"/>
                <w:color w:val="FFFFFF"/>
              </w:rPr>
              <w:t>Compensation</w:t>
            </w:r>
          </w:p>
        </w:tc>
        <w:tc>
          <w:tcPr>
            <w:tcW w:w="1080" w:type="dxa"/>
            <w:vAlign w:val="bottom"/>
            <w:gridSpan w:val="2"/>
            <w:vMerge w:val="restart"/>
            <w:shd w:val="clear" w:color="auto" w:fill="005C5D"/>
          </w:tcPr>
          <w:p>
            <w:pPr>
              <w:jc w:val="center"/>
              <w:ind w:right="98"/>
              <w:spacing w:after="0" w:line="134" w:lineRule="exact"/>
              <w:rPr>
                <w:sz w:val="20"/>
                <w:szCs w:val="20"/>
                <w:color w:val="auto"/>
              </w:rPr>
            </w:pPr>
            <w:r>
              <w:rPr>
                <w:rFonts w:ascii="Arial" w:cs="Arial" w:eastAsia="Arial" w:hAnsi="Arial"/>
                <w:sz w:val="12"/>
                <w:szCs w:val="12"/>
                <w:color w:val="FFFFFF"/>
              </w:rPr>
              <w:t>Compensation</w:t>
            </w:r>
          </w:p>
        </w:tc>
        <w:tc>
          <w:tcPr>
            <w:tcW w:w="980" w:type="dxa"/>
            <w:vAlign w:val="bottom"/>
            <w:gridSpan w:val="3"/>
            <w:vMerge w:val="restart"/>
            <w:shd w:val="clear" w:color="auto" w:fill="005C5D"/>
          </w:tcPr>
          <w:p>
            <w:pPr>
              <w:jc w:val="center"/>
              <w:ind w:right="161"/>
              <w:spacing w:after="0" w:line="134" w:lineRule="exact"/>
              <w:rPr>
                <w:sz w:val="20"/>
                <w:szCs w:val="20"/>
                <w:color w:val="auto"/>
              </w:rPr>
            </w:pPr>
            <w:r>
              <w:rPr>
                <w:rFonts w:ascii="Arial" w:cs="Arial" w:eastAsia="Arial" w:hAnsi="Arial"/>
                <w:sz w:val="12"/>
                <w:szCs w:val="12"/>
                <w:color w:val="FFFFFF"/>
              </w:rPr>
              <w:t>Compensation</w:t>
            </w:r>
          </w:p>
        </w:tc>
        <w:tc>
          <w:tcPr>
            <w:tcW w:w="1000" w:type="dxa"/>
            <w:vAlign w:val="bottom"/>
            <w:gridSpan w:val="2"/>
            <w:vMerge w:val="restart"/>
            <w:shd w:val="clear" w:color="auto" w:fill="005C5D"/>
          </w:tcPr>
          <w:p>
            <w:pPr>
              <w:jc w:val="center"/>
              <w:ind w:right="98"/>
              <w:spacing w:after="0" w:line="134" w:lineRule="exact"/>
              <w:rPr>
                <w:sz w:val="20"/>
                <w:szCs w:val="20"/>
                <w:color w:val="auto"/>
              </w:rPr>
            </w:pPr>
            <w:r>
              <w:rPr>
                <w:rFonts w:ascii="Arial" w:cs="Arial" w:eastAsia="Arial" w:hAnsi="Arial"/>
                <w:sz w:val="12"/>
                <w:szCs w:val="12"/>
                <w:color w:val="FFFFFF"/>
              </w:rPr>
              <w:t>Actually Paid</w:t>
            </w:r>
          </w:p>
        </w:tc>
        <w:tc>
          <w:tcPr>
            <w:tcW w:w="200" w:type="dxa"/>
            <w:vAlign w:val="bottom"/>
            <w:shd w:val="clear" w:color="auto" w:fill="005C5D"/>
          </w:tcPr>
          <w:p>
            <w:pPr>
              <w:spacing w:after="0"/>
              <w:rPr>
                <w:sz w:val="6"/>
                <w:szCs w:val="6"/>
                <w:color w:val="auto"/>
              </w:rPr>
            </w:pPr>
          </w:p>
        </w:tc>
        <w:tc>
          <w:tcPr>
            <w:tcW w:w="660" w:type="dxa"/>
            <w:vAlign w:val="bottom"/>
            <w:vMerge w:val="restart"/>
            <w:shd w:val="clear" w:color="auto" w:fill="005C5D"/>
          </w:tcPr>
          <w:p>
            <w:pPr>
              <w:jc w:val="center"/>
              <w:ind w:right="318"/>
              <w:spacing w:after="0" w:line="134" w:lineRule="exact"/>
              <w:rPr>
                <w:sz w:val="20"/>
                <w:szCs w:val="20"/>
                <w:color w:val="auto"/>
              </w:rPr>
            </w:pPr>
            <w:r>
              <w:rPr>
                <w:rFonts w:ascii="Arial" w:cs="Arial" w:eastAsia="Arial" w:hAnsi="Arial"/>
                <w:sz w:val="12"/>
                <w:szCs w:val="12"/>
                <w:color w:val="FFFFFF"/>
              </w:rPr>
              <w:t>Total</w:t>
            </w:r>
          </w:p>
        </w:tc>
        <w:tc>
          <w:tcPr>
            <w:tcW w:w="840" w:type="dxa"/>
            <w:vAlign w:val="bottom"/>
            <w:gridSpan w:val="2"/>
            <w:vMerge w:val="restart"/>
            <w:shd w:val="clear" w:color="auto" w:fill="005C5D"/>
          </w:tcPr>
          <w:p>
            <w:pPr>
              <w:ind w:left="20"/>
              <w:spacing w:after="0" w:line="134" w:lineRule="exact"/>
              <w:rPr>
                <w:sz w:val="20"/>
                <w:szCs w:val="20"/>
                <w:color w:val="auto"/>
              </w:rPr>
            </w:pPr>
            <w:r>
              <w:rPr>
                <w:rFonts w:ascii="Arial" w:cs="Arial" w:eastAsia="Arial" w:hAnsi="Arial"/>
                <w:sz w:val="12"/>
                <w:szCs w:val="12"/>
                <w:color w:val="FFFFFF"/>
              </w:rPr>
              <w:t>Peer Group</w:t>
            </w:r>
          </w:p>
        </w:tc>
        <w:tc>
          <w:tcPr>
            <w:tcW w:w="40" w:type="dxa"/>
            <w:vAlign w:val="bottom"/>
            <w:shd w:val="clear" w:color="auto" w:fill="005C5D"/>
          </w:tcPr>
          <w:p>
            <w:pPr>
              <w:spacing w:after="0"/>
              <w:rPr>
                <w:sz w:val="6"/>
                <w:szCs w:val="6"/>
                <w:color w:val="auto"/>
              </w:rPr>
            </w:pPr>
          </w:p>
        </w:tc>
        <w:tc>
          <w:tcPr>
            <w:tcW w:w="680" w:type="dxa"/>
            <w:vAlign w:val="bottom"/>
            <w:vMerge w:val="continue"/>
            <w:shd w:val="clear" w:color="auto" w:fill="005C5D"/>
          </w:tcPr>
          <w:p>
            <w:pPr>
              <w:spacing w:after="0"/>
              <w:rPr>
                <w:sz w:val="6"/>
                <w:szCs w:val="6"/>
                <w:color w:val="auto"/>
              </w:rPr>
            </w:pPr>
          </w:p>
        </w:tc>
        <w:tc>
          <w:tcPr>
            <w:tcW w:w="40" w:type="dxa"/>
            <w:vAlign w:val="bottom"/>
            <w:shd w:val="clear" w:color="auto" w:fill="005C5D"/>
          </w:tcPr>
          <w:p>
            <w:pPr>
              <w:spacing w:after="0"/>
              <w:rPr>
                <w:sz w:val="6"/>
                <w:szCs w:val="6"/>
                <w:color w:val="auto"/>
              </w:rPr>
            </w:pPr>
          </w:p>
        </w:tc>
        <w:tc>
          <w:tcPr>
            <w:tcW w:w="640" w:type="dxa"/>
            <w:vAlign w:val="bottom"/>
            <w:shd w:val="clear" w:color="auto" w:fill="005C5D"/>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1640" w:type="dxa"/>
            <w:vAlign w:val="bottom"/>
            <w:shd w:val="clear" w:color="auto" w:fill="005C5D"/>
          </w:tcPr>
          <w:p>
            <w:pPr>
              <w:spacing w:after="0"/>
              <w:rPr>
                <w:sz w:val="4"/>
                <w:szCs w:val="4"/>
                <w:color w:val="auto"/>
              </w:rPr>
            </w:pPr>
          </w:p>
        </w:tc>
        <w:tc>
          <w:tcPr>
            <w:tcW w:w="160" w:type="dxa"/>
            <w:vAlign w:val="bottom"/>
            <w:shd w:val="clear" w:color="auto" w:fill="005C5D"/>
          </w:tcPr>
          <w:p>
            <w:pPr>
              <w:spacing w:after="0"/>
              <w:rPr>
                <w:sz w:val="4"/>
                <w:szCs w:val="4"/>
                <w:color w:val="auto"/>
              </w:rPr>
            </w:pPr>
          </w:p>
        </w:tc>
        <w:tc>
          <w:tcPr>
            <w:tcW w:w="980" w:type="dxa"/>
            <w:vAlign w:val="bottom"/>
            <w:gridSpan w:val="2"/>
            <w:vMerge w:val="continue"/>
            <w:shd w:val="clear" w:color="auto" w:fill="005C5D"/>
          </w:tcPr>
          <w:p>
            <w:pPr>
              <w:spacing w:after="0"/>
              <w:rPr>
                <w:sz w:val="4"/>
                <w:szCs w:val="4"/>
                <w:color w:val="auto"/>
              </w:rPr>
            </w:pPr>
          </w:p>
        </w:tc>
        <w:tc>
          <w:tcPr>
            <w:tcW w:w="80" w:type="dxa"/>
            <w:vAlign w:val="bottom"/>
            <w:shd w:val="clear" w:color="auto" w:fill="005C5D"/>
          </w:tcPr>
          <w:p>
            <w:pPr>
              <w:spacing w:after="0"/>
              <w:rPr>
                <w:sz w:val="4"/>
                <w:szCs w:val="4"/>
                <w:color w:val="auto"/>
              </w:rPr>
            </w:pPr>
          </w:p>
        </w:tc>
        <w:tc>
          <w:tcPr>
            <w:tcW w:w="920" w:type="dxa"/>
            <w:vAlign w:val="bottom"/>
            <w:vMerge w:val="continue"/>
            <w:shd w:val="clear" w:color="auto" w:fill="005C5D"/>
          </w:tcPr>
          <w:p>
            <w:pPr>
              <w:spacing w:after="0"/>
              <w:rPr>
                <w:sz w:val="4"/>
                <w:szCs w:val="4"/>
                <w:color w:val="auto"/>
              </w:rPr>
            </w:pPr>
          </w:p>
        </w:tc>
        <w:tc>
          <w:tcPr>
            <w:tcW w:w="980" w:type="dxa"/>
            <w:vAlign w:val="bottom"/>
            <w:gridSpan w:val="2"/>
            <w:vMerge w:val="continue"/>
            <w:shd w:val="clear" w:color="auto" w:fill="005C5D"/>
          </w:tcPr>
          <w:p>
            <w:pPr>
              <w:spacing w:after="0"/>
              <w:rPr>
                <w:sz w:val="4"/>
                <w:szCs w:val="4"/>
                <w:color w:val="auto"/>
              </w:rPr>
            </w:pPr>
          </w:p>
        </w:tc>
        <w:tc>
          <w:tcPr>
            <w:tcW w:w="1080" w:type="dxa"/>
            <w:vAlign w:val="bottom"/>
            <w:gridSpan w:val="2"/>
            <w:vMerge w:val="continue"/>
            <w:shd w:val="clear" w:color="auto" w:fill="005C5D"/>
          </w:tcPr>
          <w:p>
            <w:pPr>
              <w:spacing w:after="0"/>
              <w:rPr>
                <w:sz w:val="4"/>
                <w:szCs w:val="4"/>
                <w:color w:val="auto"/>
              </w:rPr>
            </w:pPr>
          </w:p>
        </w:tc>
        <w:tc>
          <w:tcPr>
            <w:tcW w:w="980" w:type="dxa"/>
            <w:vAlign w:val="bottom"/>
            <w:gridSpan w:val="3"/>
            <w:vMerge w:val="continue"/>
            <w:shd w:val="clear" w:color="auto" w:fill="005C5D"/>
          </w:tcPr>
          <w:p>
            <w:pPr>
              <w:spacing w:after="0"/>
              <w:rPr>
                <w:sz w:val="4"/>
                <w:szCs w:val="4"/>
                <w:color w:val="auto"/>
              </w:rPr>
            </w:pPr>
          </w:p>
        </w:tc>
        <w:tc>
          <w:tcPr>
            <w:tcW w:w="1000" w:type="dxa"/>
            <w:vAlign w:val="bottom"/>
            <w:gridSpan w:val="2"/>
            <w:vMerge w:val="continue"/>
            <w:shd w:val="clear" w:color="auto" w:fill="005C5D"/>
          </w:tcPr>
          <w:p>
            <w:pPr>
              <w:spacing w:after="0"/>
              <w:rPr>
                <w:sz w:val="4"/>
                <w:szCs w:val="4"/>
                <w:color w:val="auto"/>
              </w:rPr>
            </w:pPr>
          </w:p>
        </w:tc>
        <w:tc>
          <w:tcPr>
            <w:tcW w:w="200" w:type="dxa"/>
            <w:vAlign w:val="bottom"/>
            <w:shd w:val="clear" w:color="auto" w:fill="005C5D"/>
          </w:tcPr>
          <w:p>
            <w:pPr>
              <w:spacing w:after="0"/>
              <w:rPr>
                <w:sz w:val="4"/>
                <w:szCs w:val="4"/>
                <w:color w:val="auto"/>
              </w:rPr>
            </w:pPr>
          </w:p>
        </w:tc>
        <w:tc>
          <w:tcPr>
            <w:tcW w:w="660" w:type="dxa"/>
            <w:vAlign w:val="bottom"/>
            <w:vMerge w:val="continue"/>
            <w:shd w:val="clear" w:color="auto" w:fill="005C5D"/>
          </w:tcPr>
          <w:p>
            <w:pPr>
              <w:spacing w:after="0"/>
              <w:rPr>
                <w:sz w:val="4"/>
                <w:szCs w:val="4"/>
                <w:color w:val="auto"/>
              </w:rPr>
            </w:pPr>
          </w:p>
        </w:tc>
        <w:tc>
          <w:tcPr>
            <w:tcW w:w="840" w:type="dxa"/>
            <w:vAlign w:val="bottom"/>
            <w:gridSpan w:val="2"/>
            <w:vMerge w:val="continue"/>
            <w:shd w:val="clear" w:color="auto" w:fill="005C5D"/>
          </w:tcPr>
          <w:p>
            <w:pPr>
              <w:spacing w:after="0"/>
              <w:rPr>
                <w:sz w:val="4"/>
                <w:szCs w:val="4"/>
                <w:color w:val="auto"/>
              </w:rPr>
            </w:pPr>
          </w:p>
        </w:tc>
        <w:tc>
          <w:tcPr>
            <w:tcW w:w="40" w:type="dxa"/>
            <w:vAlign w:val="bottom"/>
            <w:shd w:val="clear" w:color="auto" w:fill="005C5D"/>
          </w:tcPr>
          <w:p>
            <w:pPr>
              <w:spacing w:after="0"/>
              <w:rPr>
                <w:sz w:val="4"/>
                <w:szCs w:val="4"/>
                <w:color w:val="auto"/>
              </w:rPr>
            </w:pPr>
          </w:p>
        </w:tc>
        <w:tc>
          <w:tcPr>
            <w:tcW w:w="680" w:type="dxa"/>
            <w:vAlign w:val="bottom"/>
            <w:vMerge w:val="restart"/>
            <w:shd w:val="clear" w:color="auto" w:fill="005C5D"/>
          </w:tcPr>
          <w:p>
            <w:pPr>
              <w:jc w:val="center"/>
              <w:ind w:right="138"/>
              <w:spacing w:after="0" w:line="134" w:lineRule="exact"/>
              <w:rPr>
                <w:sz w:val="20"/>
                <w:szCs w:val="20"/>
                <w:color w:val="auto"/>
              </w:rPr>
            </w:pPr>
            <w:r>
              <w:rPr>
                <w:rFonts w:ascii="Arial" w:cs="Arial" w:eastAsia="Arial" w:hAnsi="Arial"/>
                <w:sz w:val="12"/>
                <w:szCs w:val="12"/>
                <w:color w:val="FFFFFF"/>
              </w:rPr>
              <w:t>Income</w:t>
            </w:r>
          </w:p>
        </w:tc>
        <w:tc>
          <w:tcPr>
            <w:tcW w:w="40" w:type="dxa"/>
            <w:vAlign w:val="bottom"/>
            <w:shd w:val="clear" w:color="auto" w:fill="005C5D"/>
          </w:tcPr>
          <w:p>
            <w:pPr>
              <w:spacing w:after="0"/>
              <w:rPr>
                <w:sz w:val="4"/>
                <w:szCs w:val="4"/>
                <w:color w:val="auto"/>
              </w:rPr>
            </w:pPr>
          </w:p>
        </w:tc>
        <w:tc>
          <w:tcPr>
            <w:tcW w:w="640" w:type="dxa"/>
            <w:vAlign w:val="bottom"/>
            <w:shd w:val="clear" w:color="auto" w:fill="005C5D"/>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40" w:type="dxa"/>
            <w:vAlign w:val="bottom"/>
            <w:shd w:val="clear" w:color="auto" w:fill="005C5D"/>
          </w:tcPr>
          <w:p>
            <w:pPr>
              <w:spacing w:after="0"/>
              <w:rPr>
                <w:sz w:val="6"/>
                <w:szCs w:val="6"/>
                <w:color w:val="auto"/>
              </w:rPr>
            </w:pPr>
          </w:p>
        </w:tc>
        <w:tc>
          <w:tcPr>
            <w:tcW w:w="160" w:type="dxa"/>
            <w:vAlign w:val="bottom"/>
            <w:shd w:val="clear" w:color="auto" w:fill="005C5D"/>
          </w:tcPr>
          <w:p>
            <w:pPr>
              <w:spacing w:after="0"/>
              <w:rPr>
                <w:sz w:val="6"/>
                <w:szCs w:val="6"/>
                <w:color w:val="auto"/>
              </w:rPr>
            </w:pPr>
          </w:p>
        </w:tc>
        <w:tc>
          <w:tcPr>
            <w:tcW w:w="60" w:type="dxa"/>
            <w:vAlign w:val="bottom"/>
            <w:shd w:val="clear" w:color="auto" w:fill="005C5D"/>
          </w:tcPr>
          <w:p>
            <w:pPr>
              <w:spacing w:after="0"/>
              <w:rPr>
                <w:sz w:val="6"/>
                <w:szCs w:val="6"/>
                <w:color w:val="auto"/>
              </w:rPr>
            </w:pPr>
          </w:p>
        </w:tc>
        <w:tc>
          <w:tcPr>
            <w:tcW w:w="920" w:type="dxa"/>
            <w:vAlign w:val="bottom"/>
            <w:vMerge w:val="restart"/>
            <w:shd w:val="clear" w:color="auto" w:fill="005C5D"/>
          </w:tcPr>
          <w:p>
            <w:pPr>
              <w:jc w:val="center"/>
              <w:ind w:right="175"/>
              <w:spacing w:after="0" w:line="134" w:lineRule="exact"/>
              <w:rPr>
                <w:sz w:val="20"/>
                <w:szCs w:val="20"/>
                <w:color w:val="auto"/>
              </w:rPr>
            </w:pPr>
            <w:r>
              <w:rPr>
                <w:rFonts w:ascii="Arial" w:cs="Arial" w:eastAsia="Arial" w:hAnsi="Arial"/>
                <w:sz w:val="12"/>
                <w:szCs w:val="12"/>
                <w:color w:val="FFFFFF"/>
                <w:w w:val="99"/>
              </w:rPr>
              <w:t>Table Total</w:t>
            </w:r>
          </w:p>
        </w:tc>
        <w:tc>
          <w:tcPr>
            <w:tcW w:w="1000" w:type="dxa"/>
            <w:vAlign w:val="bottom"/>
            <w:gridSpan w:val="2"/>
            <w:vMerge w:val="restart"/>
            <w:shd w:val="clear" w:color="auto" w:fill="005C5D"/>
          </w:tcPr>
          <w:p>
            <w:pPr>
              <w:jc w:val="center"/>
              <w:ind w:right="94"/>
              <w:spacing w:after="0" w:line="134" w:lineRule="exact"/>
              <w:rPr>
                <w:sz w:val="20"/>
                <w:szCs w:val="20"/>
                <w:color w:val="auto"/>
              </w:rPr>
            </w:pPr>
            <w:r>
              <w:rPr>
                <w:rFonts w:ascii="Arial" w:cs="Arial" w:eastAsia="Arial" w:hAnsi="Arial"/>
                <w:sz w:val="12"/>
                <w:szCs w:val="12"/>
                <w:color w:val="FFFFFF"/>
              </w:rPr>
              <w:t>Paid (“CAP”)</w:t>
            </w:r>
          </w:p>
        </w:tc>
        <w:tc>
          <w:tcPr>
            <w:tcW w:w="980" w:type="dxa"/>
            <w:vAlign w:val="bottom"/>
            <w:gridSpan w:val="2"/>
            <w:vMerge w:val="restart"/>
            <w:shd w:val="clear" w:color="auto" w:fill="005C5D"/>
          </w:tcPr>
          <w:p>
            <w:pPr>
              <w:jc w:val="center"/>
              <w:ind w:right="98"/>
              <w:spacing w:after="0" w:line="134" w:lineRule="exact"/>
              <w:rPr>
                <w:sz w:val="20"/>
                <w:szCs w:val="20"/>
                <w:color w:val="auto"/>
              </w:rPr>
            </w:pPr>
            <w:r>
              <w:rPr>
                <w:rFonts w:ascii="Arial" w:cs="Arial" w:eastAsia="Arial" w:hAnsi="Arial"/>
                <w:sz w:val="12"/>
                <w:szCs w:val="12"/>
                <w:color w:val="FFFFFF"/>
              </w:rPr>
              <w:t>Table Total for</w:t>
            </w:r>
          </w:p>
        </w:tc>
        <w:tc>
          <w:tcPr>
            <w:tcW w:w="1080" w:type="dxa"/>
            <w:vAlign w:val="bottom"/>
            <w:gridSpan w:val="2"/>
            <w:vMerge w:val="restart"/>
            <w:shd w:val="clear" w:color="auto" w:fill="005C5D"/>
          </w:tcPr>
          <w:p>
            <w:pPr>
              <w:jc w:val="center"/>
              <w:ind w:right="98"/>
              <w:spacing w:after="0" w:line="134" w:lineRule="exact"/>
              <w:rPr>
                <w:sz w:val="20"/>
                <w:szCs w:val="20"/>
                <w:color w:val="auto"/>
              </w:rPr>
            </w:pPr>
            <w:r>
              <w:rPr>
                <w:rFonts w:ascii="Arial" w:cs="Arial" w:eastAsia="Arial" w:hAnsi="Arial"/>
                <w:sz w:val="12"/>
                <w:szCs w:val="12"/>
                <w:color w:val="FFFFFF"/>
              </w:rPr>
              <w:t>Actually Paid</w:t>
            </w:r>
          </w:p>
        </w:tc>
        <w:tc>
          <w:tcPr>
            <w:tcW w:w="980" w:type="dxa"/>
            <w:vAlign w:val="bottom"/>
            <w:gridSpan w:val="3"/>
            <w:vMerge w:val="restart"/>
            <w:shd w:val="clear" w:color="auto" w:fill="005C5D"/>
          </w:tcPr>
          <w:p>
            <w:pPr>
              <w:jc w:val="center"/>
              <w:ind w:right="141"/>
              <w:spacing w:after="0" w:line="134" w:lineRule="exact"/>
              <w:rPr>
                <w:sz w:val="20"/>
                <w:szCs w:val="20"/>
                <w:color w:val="auto"/>
              </w:rPr>
            </w:pPr>
            <w:r>
              <w:rPr>
                <w:rFonts w:ascii="Arial" w:cs="Arial" w:eastAsia="Arial" w:hAnsi="Arial"/>
                <w:sz w:val="12"/>
                <w:szCs w:val="12"/>
                <w:color w:val="FFFFFF"/>
              </w:rPr>
              <w:t>Table Total for</w:t>
            </w:r>
          </w:p>
        </w:tc>
        <w:tc>
          <w:tcPr>
            <w:tcW w:w="60" w:type="dxa"/>
            <w:vAlign w:val="bottom"/>
            <w:shd w:val="clear" w:color="auto" w:fill="005C5D"/>
          </w:tcPr>
          <w:p>
            <w:pPr>
              <w:spacing w:after="0"/>
              <w:rPr>
                <w:sz w:val="6"/>
                <w:szCs w:val="6"/>
                <w:color w:val="auto"/>
              </w:rPr>
            </w:pPr>
          </w:p>
        </w:tc>
        <w:tc>
          <w:tcPr>
            <w:tcW w:w="940" w:type="dxa"/>
            <w:vAlign w:val="bottom"/>
            <w:vMerge w:val="restart"/>
            <w:shd w:val="clear" w:color="auto" w:fill="005C5D"/>
          </w:tcPr>
          <w:p>
            <w:pPr>
              <w:jc w:val="center"/>
              <w:ind w:right="158"/>
              <w:spacing w:after="0" w:line="134" w:lineRule="exact"/>
              <w:rPr>
                <w:sz w:val="20"/>
                <w:szCs w:val="20"/>
                <w:color w:val="auto"/>
              </w:rPr>
            </w:pPr>
            <w:r>
              <w:rPr>
                <w:rFonts w:ascii="Arial" w:cs="Arial" w:eastAsia="Arial" w:hAnsi="Arial"/>
                <w:sz w:val="12"/>
                <w:szCs w:val="12"/>
                <w:color w:val="FFFFFF"/>
              </w:rPr>
              <w:t>(“CAP”) to</w:t>
            </w:r>
          </w:p>
        </w:tc>
        <w:tc>
          <w:tcPr>
            <w:tcW w:w="860" w:type="dxa"/>
            <w:vAlign w:val="bottom"/>
            <w:gridSpan w:val="2"/>
            <w:vMerge w:val="restart"/>
            <w:shd w:val="clear" w:color="auto" w:fill="005C5D"/>
          </w:tcPr>
          <w:p>
            <w:pPr>
              <w:jc w:val="center"/>
              <w:ind w:right="118"/>
              <w:spacing w:after="0" w:line="134" w:lineRule="exact"/>
              <w:rPr>
                <w:sz w:val="20"/>
                <w:szCs w:val="20"/>
                <w:color w:val="auto"/>
              </w:rPr>
            </w:pPr>
            <w:r>
              <w:rPr>
                <w:rFonts w:ascii="Arial" w:cs="Arial" w:eastAsia="Arial" w:hAnsi="Arial"/>
                <w:sz w:val="12"/>
                <w:szCs w:val="12"/>
                <w:color w:val="FFFFFF"/>
              </w:rPr>
              <w:t>Shareholder</w:t>
            </w:r>
          </w:p>
        </w:tc>
        <w:tc>
          <w:tcPr>
            <w:tcW w:w="200" w:type="dxa"/>
            <w:vAlign w:val="bottom"/>
            <w:shd w:val="clear" w:color="auto" w:fill="005C5D"/>
          </w:tcPr>
          <w:p>
            <w:pPr>
              <w:spacing w:after="0"/>
              <w:rPr>
                <w:sz w:val="6"/>
                <w:szCs w:val="6"/>
                <w:color w:val="auto"/>
              </w:rPr>
            </w:pPr>
          </w:p>
        </w:tc>
        <w:tc>
          <w:tcPr>
            <w:tcW w:w="640" w:type="dxa"/>
            <w:vAlign w:val="bottom"/>
            <w:vMerge w:val="restart"/>
            <w:shd w:val="clear" w:color="auto" w:fill="005C5D"/>
          </w:tcPr>
          <w:p>
            <w:pPr>
              <w:jc w:val="right"/>
              <w:ind w:right="318"/>
              <w:spacing w:after="0" w:line="134" w:lineRule="exact"/>
              <w:rPr>
                <w:sz w:val="20"/>
                <w:szCs w:val="20"/>
                <w:color w:val="auto"/>
              </w:rPr>
            </w:pPr>
            <w:r>
              <w:rPr>
                <w:rFonts w:ascii="Arial" w:cs="Arial" w:eastAsia="Arial" w:hAnsi="Arial"/>
                <w:sz w:val="12"/>
                <w:szCs w:val="12"/>
                <w:color w:val="FFFFFF"/>
                <w:w w:val="89"/>
              </w:rPr>
              <w:t>Total</w:t>
            </w:r>
          </w:p>
        </w:tc>
        <w:tc>
          <w:tcPr>
            <w:tcW w:w="40" w:type="dxa"/>
            <w:vAlign w:val="bottom"/>
            <w:shd w:val="clear" w:color="auto" w:fill="005C5D"/>
          </w:tcPr>
          <w:p>
            <w:pPr>
              <w:spacing w:after="0"/>
              <w:rPr>
                <w:sz w:val="6"/>
                <w:szCs w:val="6"/>
                <w:color w:val="auto"/>
              </w:rPr>
            </w:pPr>
          </w:p>
        </w:tc>
        <w:tc>
          <w:tcPr>
            <w:tcW w:w="680" w:type="dxa"/>
            <w:vAlign w:val="bottom"/>
            <w:vMerge w:val="continue"/>
            <w:shd w:val="clear" w:color="auto" w:fill="005C5D"/>
          </w:tcPr>
          <w:p>
            <w:pPr>
              <w:spacing w:after="0"/>
              <w:rPr>
                <w:sz w:val="6"/>
                <w:szCs w:val="6"/>
                <w:color w:val="auto"/>
              </w:rPr>
            </w:pPr>
          </w:p>
        </w:tc>
        <w:tc>
          <w:tcPr>
            <w:tcW w:w="40" w:type="dxa"/>
            <w:vAlign w:val="bottom"/>
            <w:shd w:val="clear" w:color="auto" w:fill="005C5D"/>
          </w:tcPr>
          <w:p>
            <w:pPr>
              <w:spacing w:after="0"/>
              <w:rPr>
                <w:sz w:val="6"/>
                <w:szCs w:val="6"/>
                <w:color w:val="auto"/>
              </w:rPr>
            </w:pPr>
          </w:p>
        </w:tc>
        <w:tc>
          <w:tcPr>
            <w:tcW w:w="640" w:type="dxa"/>
            <w:vAlign w:val="bottom"/>
            <w:shd w:val="clear" w:color="auto" w:fill="005C5D"/>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1640" w:type="dxa"/>
            <w:vAlign w:val="bottom"/>
            <w:shd w:val="clear" w:color="auto" w:fill="005C5D"/>
          </w:tcPr>
          <w:p>
            <w:pPr>
              <w:spacing w:after="0"/>
              <w:rPr>
                <w:sz w:val="4"/>
                <w:szCs w:val="4"/>
                <w:color w:val="auto"/>
              </w:rPr>
            </w:pPr>
          </w:p>
        </w:tc>
        <w:tc>
          <w:tcPr>
            <w:tcW w:w="160" w:type="dxa"/>
            <w:vAlign w:val="bottom"/>
            <w:shd w:val="clear" w:color="auto" w:fill="005C5D"/>
          </w:tcPr>
          <w:p>
            <w:pPr>
              <w:spacing w:after="0"/>
              <w:rPr>
                <w:sz w:val="4"/>
                <w:szCs w:val="4"/>
                <w:color w:val="auto"/>
              </w:rPr>
            </w:pPr>
          </w:p>
        </w:tc>
        <w:tc>
          <w:tcPr>
            <w:tcW w:w="60" w:type="dxa"/>
            <w:vAlign w:val="bottom"/>
            <w:shd w:val="clear" w:color="auto" w:fill="005C5D"/>
          </w:tcPr>
          <w:p>
            <w:pPr>
              <w:spacing w:after="0"/>
              <w:rPr>
                <w:sz w:val="4"/>
                <w:szCs w:val="4"/>
                <w:color w:val="auto"/>
              </w:rPr>
            </w:pPr>
          </w:p>
        </w:tc>
        <w:tc>
          <w:tcPr>
            <w:tcW w:w="920" w:type="dxa"/>
            <w:vAlign w:val="bottom"/>
            <w:vMerge w:val="continue"/>
            <w:shd w:val="clear" w:color="auto" w:fill="005C5D"/>
          </w:tcPr>
          <w:p>
            <w:pPr>
              <w:spacing w:after="0"/>
              <w:rPr>
                <w:sz w:val="4"/>
                <w:szCs w:val="4"/>
                <w:color w:val="auto"/>
              </w:rPr>
            </w:pPr>
          </w:p>
        </w:tc>
        <w:tc>
          <w:tcPr>
            <w:tcW w:w="1000" w:type="dxa"/>
            <w:vAlign w:val="bottom"/>
            <w:gridSpan w:val="2"/>
            <w:vMerge w:val="continue"/>
            <w:shd w:val="clear" w:color="auto" w:fill="005C5D"/>
          </w:tcPr>
          <w:p>
            <w:pPr>
              <w:spacing w:after="0"/>
              <w:rPr>
                <w:sz w:val="4"/>
                <w:szCs w:val="4"/>
                <w:color w:val="auto"/>
              </w:rPr>
            </w:pPr>
          </w:p>
        </w:tc>
        <w:tc>
          <w:tcPr>
            <w:tcW w:w="980" w:type="dxa"/>
            <w:vAlign w:val="bottom"/>
            <w:gridSpan w:val="2"/>
            <w:vMerge w:val="continue"/>
            <w:shd w:val="clear" w:color="auto" w:fill="005C5D"/>
          </w:tcPr>
          <w:p>
            <w:pPr>
              <w:spacing w:after="0"/>
              <w:rPr>
                <w:sz w:val="4"/>
                <w:szCs w:val="4"/>
                <w:color w:val="auto"/>
              </w:rPr>
            </w:pPr>
          </w:p>
        </w:tc>
        <w:tc>
          <w:tcPr>
            <w:tcW w:w="1080" w:type="dxa"/>
            <w:vAlign w:val="bottom"/>
            <w:gridSpan w:val="2"/>
            <w:vMerge w:val="continue"/>
            <w:shd w:val="clear" w:color="auto" w:fill="005C5D"/>
          </w:tcPr>
          <w:p>
            <w:pPr>
              <w:spacing w:after="0"/>
              <w:rPr>
                <w:sz w:val="4"/>
                <w:szCs w:val="4"/>
                <w:color w:val="auto"/>
              </w:rPr>
            </w:pPr>
          </w:p>
        </w:tc>
        <w:tc>
          <w:tcPr>
            <w:tcW w:w="980" w:type="dxa"/>
            <w:vAlign w:val="bottom"/>
            <w:gridSpan w:val="3"/>
            <w:vMerge w:val="continue"/>
            <w:shd w:val="clear" w:color="auto" w:fill="005C5D"/>
          </w:tcPr>
          <w:p>
            <w:pPr>
              <w:spacing w:after="0"/>
              <w:rPr>
                <w:sz w:val="4"/>
                <w:szCs w:val="4"/>
                <w:color w:val="auto"/>
              </w:rPr>
            </w:pPr>
          </w:p>
        </w:tc>
        <w:tc>
          <w:tcPr>
            <w:tcW w:w="60" w:type="dxa"/>
            <w:vAlign w:val="bottom"/>
            <w:shd w:val="clear" w:color="auto" w:fill="005C5D"/>
          </w:tcPr>
          <w:p>
            <w:pPr>
              <w:spacing w:after="0"/>
              <w:rPr>
                <w:sz w:val="4"/>
                <w:szCs w:val="4"/>
                <w:color w:val="auto"/>
              </w:rPr>
            </w:pPr>
          </w:p>
        </w:tc>
        <w:tc>
          <w:tcPr>
            <w:tcW w:w="940" w:type="dxa"/>
            <w:vAlign w:val="bottom"/>
            <w:vMerge w:val="continue"/>
            <w:shd w:val="clear" w:color="auto" w:fill="005C5D"/>
          </w:tcPr>
          <w:p>
            <w:pPr>
              <w:spacing w:after="0"/>
              <w:rPr>
                <w:sz w:val="4"/>
                <w:szCs w:val="4"/>
                <w:color w:val="auto"/>
              </w:rPr>
            </w:pPr>
          </w:p>
        </w:tc>
        <w:tc>
          <w:tcPr>
            <w:tcW w:w="860" w:type="dxa"/>
            <w:vAlign w:val="bottom"/>
            <w:gridSpan w:val="2"/>
            <w:vMerge w:val="continue"/>
            <w:shd w:val="clear" w:color="auto" w:fill="005C5D"/>
          </w:tcPr>
          <w:p>
            <w:pPr>
              <w:spacing w:after="0"/>
              <w:rPr>
                <w:sz w:val="4"/>
                <w:szCs w:val="4"/>
                <w:color w:val="auto"/>
              </w:rPr>
            </w:pPr>
          </w:p>
        </w:tc>
        <w:tc>
          <w:tcPr>
            <w:tcW w:w="200" w:type="dxa"/>
            <w:vAlign w:val="bottom"/>
            <w:shd w:val="clear" w:color="auto" w:fill="005C5D"/>
          </w:tcPr>
          <w:p>
            <w:pPr>
              <w:spacing w:after="0"/>
              <w:rPr>
                <w:sz w:val="4"/>
                <w:szCs w:val="4"/>
                <w:color w:val="auto"/>
              </w:rPr>
            </w:pPr>
          </w:p>
        </w:tc>
        <w:tc>
          <w:tcPr>
            <w:tcW w:w="640" w:type="dxa"/>
            <w:vAlign w:val="bottom"/>
            <w:vMerge w:val="continue"/>
            <w:shd w:val="clear" w:color="auto" w:fill="005C5D"/>
          </w:tcPr>
          <w:p>
            <w:pPr>
              <w:spacing w:after="0"/>
              <w:rPr>
                <w:sz w:val="4"/>
                <w:szCs w:val="4"/>
                <w:color w:val="auto"/>
              </w:rPr>
            </w:pPr>
          </w:p>
        </w:tc>
        <w:tc>
          <w:tcPr>
            <w:tcW w:w="40" w:type="dxa"/>
            <w:vAlign w:val="bottom"/>
            <w:shd w:val="clear" w:color="auto" w:fill="005C5D"/>
          </w:tcPr>
          <w:p>
            <w:pPr>
              <w:spacing w:after="0"/>
              <w:rPr>
                <w:sz w:val="4"/>
                <w:szCs w:val="4"/>
                <w:color w:val="auto"/>
              </w:rPr>
            </w:pPr>
          </w:p>
        </w:tc>
        <w:tc>
          <w:tcPr>
            <w:tcW w:w="680" w:type="dxa"/>
            <w:vAlign w:val="bottom"/>
            <w:vMerge w:val="restart"/>
            <w:shd w:val="clear" w:color="auto" w:fill="005C5D"/>
          </w:tcPr>
          <w:p>
            <w:pPr>
              <w:jc w:val="center"/>
              <w:ind w:right="138"/>
              <w:spacing w:after="0" w:line="134" w:lineRule="exact"/>
              <w:rPr>
                <w:sz w:val="20"/>
                <w:szCs w:val="20"/>
                <w:color w:val="auto"/>
              </w:rPr>
            </w:pPr>
            <w:r>
              <w:rPr>
                <w:rFonts w:ascii="Arial" w:cs="Arial" w:eastAsia="Arial" w:hAnsi="Arial"/>
                <w:sz w:val="12"/>
                <w:szCs w:val="12"/>
                <w:color w:val="FFFFFF"/>
              </w:rPr>
              <w:t>($ in</w:t>
            </w:r>
          </w:p>
        </w:tc>
        <w:tc>
          <w:tcPr>
            <w:tcW w:w="40" w:type="dxa"/>
            <w:vAlign w:val="bottom"/>
            <w:shd w:val="clear" w:color="auto" w:fill="005C5D"/>
          </w:tcPr>
          <w:p>
            <w:pPr>
              <w:spacing w:after="0"/>
              <w:rPr>
                <w:sz w:val="4"/>
                <w:szCs w:val="4"/>
                <w:color w:val="auto"/>
              </w:rPr>
            </w:pPr>
          </w:p>
        </w:tc>
        <w:tc>
          <w:tcPr>
            <w:tcW w:w="640" w:type="dxa"/>
            <w:vAlign w:val="bottom"/>
            <w:shd w:val="clear" w:color="auto" w:fill="005C5D"/>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40" w:type="dxa"/>
            <w:vAlign w:val="bottom"/>
            <w:shd w:val="clear" w:color="auto" w:fill="005C5D"/>
          </w:tcPr>
          <w:p>
            <w:pPr>
              <w:spacing w:after="0"/>
              <w:rPr>
                <w:sz w:val="6"/>
                <w:szCs w:val="6"/>
                <w:color w:val="auto"/>
              </w:rPr>
            </w:pPr>
          </w:p>
        </w:tc>
        <w:tc>
          <w:tcPr>
            <w:tcW w:w="160" w:type="dxa"/>
            <w:vAlign w:val="bottom"/>
            <w:shd w:val="clear" w:color="auto" w:fill="005C5D"/>
          </w:tcPr>
          <w:p>
            <w:pPr>
              <w:spacing w:after="0"/>
              <w:rPr>
                <w:sz w:val="6"/>
                <w:szCs w:val="6"/>
                <w:color w:val="auto"/>
              </w:rPr>
            </w:pPr>
          </w:p>
        </w:tc>
        <w:tc>
          <w:tcPr>
            <w:tcW w:w="60" w:type="dxa"/>
            <w:vAlign w:val="bottom"/>
            <w:shd w:val="clear" w:color="auto" w:fill="005C5D"/>
          </w:tcPr>
          <w:p>
            <w:pPr>
              <w:spacing w:after="0"/>
              <w:rPr>
                <w:sz w:val="6"/>
                <w:szCs w:val="6"/>
                <w:color w:val="auto"/>
              </w:rPr>
            </w:pPr>
          </w:p>
        </w:tc>
        <w:tc>
          <w:tcPr>
            <w:tcW w:w="920" w:type="dxa"/>
            <w:vAlign w:val="bottom"/>
            <w:vMerge w:val="restart"/>
            <w:shd w:val="clear" w:color="auto" w:fill="005C5D"/>
          </w:tcPr>
          <w:p>
            <w:pPr>
              <w:jc w:val="center"/>
              <w:ind w:right="155"/>
              <w:spacing w:after="0" w:line="134" w:lineRule="exact"/>
              <w:rPr>
                <w:sz w:val="20"/>
                <w:szCs w:val="20"/>
                <w:color w:val="auto"/>
              </w:rPr>
            </w:pPr>
            <w:r>
              <w:rPr>
                <w:rFonts w:ascii="Arial" w:cs="Arial" w:eastAsia="Arial" w:hAnsi="Arial"/>
                <w:sz w:val="12"/>
                <w:szCs w:val="12"/>
                <w:color w:val="FFFFFF"/>
              </w:rPr>
              <w:t>for PEO, Mr.</w:t>
            </w:r>
          </w:p>
        </w:tc>
        <w:tc>
          <w:tcPr>
            <w:tcW w:w="80" w:type="dxa"/>
            <w:vAlign w:val="bottom"/>
            <w:shd w:val="clear" w:color="auto" w:fill="005C5D"/>
          </w:tcPr>
          <w:p>
            <w:pPr>
              <w:spacing w:after="0"/>
              <w:rPr>
                <w:sz w:val="6"/>
                <w:szCs w:val="6"/>
                <w:color w:val="auto"/>
              </w:rPr>
            </w:pPr>
          </w:p>
        </w:tc>
        <w:tc>
          <w:tcPr>
            <w:tcW w:w="920" w:type="dxa"/>
            <w:vAlign w:val="bottom"/>
            <w:vMerge w:val="restart"/>
            <w:shd w:val="clear" w:color="auto" w:fill="005C5D"/>
          </w:tcPr>
          <w:p>
            <w:pPr>
              <w:jc w:val="center"/>
              <w:ind w:right="174"/>
              <w:spacing w:after="0" w:line="134" w:lineRule="exact"/>
              <w:rPr>
                <w:sz w:val="20"/>
                <w:szCs w:val="20"/>
                <w:color w:val="auto"/>
              </w:rPr>
            </w:pPr>
            <w:r>
              <w:rPr>
                <w:rFonts w:ascii="Arial" w:cs="Arial" w:eastAsia="Arial" w:hAnsi="Arial"/>
                <w:sz w:val="12"/>
                <w:szCs w:val="12"/>
                <w:color w:val="FFFFFF"/>
              </w:rPr>
              <w:t>to PEO,</w:t>
            </w:r>
          </w:p>
        </w:tc>
        <w:tc>
          <w:tcPr>
            <w:tcW w:w="60" w:type="dxa"/>
            <w:vAlign w:val="bottom"/>
            <w:shd w:val="clear" w:color="auto" w:fill="005C5D"/>
          </w:tcPr>
          <w:p>
            <w:pPr>
              <w:spacing w:after="0"/>
              <w:rPr>
                <w:sz w:val="6"/>
                <w:szCs w:val="6"/>
                <w:color w:val="auto"/>
              </w:rPr>
            </w:pPr>
          </w:p>
        </w:tc>
        <w:tc>
          <w:tcPr>
            <w:tcW w:w="920" w:type="dxa"/>
            <w:vAlign w:val="bottom"/>
            <w:vMerge w:val="restart"/>
            <w:shd w:val="clear" w:color="auto" w:fill="005C5D"/>
          </w:tcPr>
          <w:p>
            <w:pPr>
              <w:jc w:val="center"/>
              <w:ind w:right="158"/>
              <w:spacing w:after="0" w:line="134" w:lineRule="exact"/>
              <w:rPr>
                <w:sz w:val="20"/>
                <w:szCs w:val="20"/>
                <w:color w:val="auto"/>
              </w:rPr>
            </w:pPr>
            <w:r>
              <w:rPr>
                <w:rFonts w:ascii="Arial" w:cs="Arial" w:eastAsia="Arial" w:hAnsi="Arial"/>
                <w:sz w:val="12"/>
                <w:szCs w:val="12"/>
                <w:color w:val="FFFFFF"/>
              </w:rPr>
              <w:t>PEO,</w:t>
            </w:r>
          </w:p>
        </w:tc>
        <w:tc>
          <w:tcPr>
            <w:tcW w:w="1080" w:type="dxa"/>
            <w:vAlign w:val="bottom"/>
            <w:gridSpan w:val="2"/>
            <w:vMerge w:val="restart"/>
            <w:shd w:val="clear" w:color="auto" w:fill="005C5D"/>
          </w:tcPr>
          <w:p>
            <w:pPr>
              <w:jc w:val="center"/>
              <w:ind w:right="118"/>
              <w:spacing w:after="0" w:line="134" w:lineRule="exact"/>
              <w:rPr>
                <w:sz w:val="20"/>
                <w:szCs w:val="20"/>
                <w:color w:val="auto"/>
              </w:rPr>
            </w:pPr>
            <w:r>
              <w:rPr>
                <w:rFonts w:ascii="Arial" w:cs="Arial" w:eastAsia="Arial" w:hAnsi="Arial"/>
                <w:sz w:val="12"/>
                <w:szCs w:val="12"/>
                <w:color w:val="FFFFFF"/>
              </w:rPr>
              <w:t>(“CAP”) to PEO,</w:t>
            </w:r>
          </w:p>
        </w:tc>
        <w:tc>
          <w:tcPr>
            <w:tcW w:w="60" w:type="dxa"/>
            <w:vAlign w:val="bottom"/>
            <w:shd w:val="clear" w:color="auto" w:fill="005C5D"/>
          </w:tcPr>
          <w:p>
            <w:pPr>
              <w:spacing w:after="0"/>
              <w:rPr>
                <w:sz w:val="6"/>
                <w:szCs w:val="6"/>
                <w:color w:val="auto"/>
              </w:rPr>
            </w:pPr>
          </w:p>
        </w:tc>
        <w:tc>
          <w:tcPr>
            <w:tcW w:w="920" w:type="dxa"/>
            <w:vAlign w:val="bottom"/>
            <w:gridSpan w:val="2"/>
            <w:vMerge w:val="restart"/>
            <w:shd w:val="clear" w:color="auto" w:fill="005C5D"/>
          </w:tcPr>
          <w:p>
            <w:pPr>
              <w:jc w:val="center"/>
              <w:ind w:right="201"/>
              <w:spacing w:after="0" w:line="134" w:lineRule="exact"/>
              <w:rPr>
                <w:sz w:val="20"/>
                <w:szCs w:val="20"/>
                <w:color w:val="auto"/>
              </w:rPr>
            </w:pPr>
            <w:r>
              <w:rPr>
                <w:rFonts w:ascii="Arial" w:cs="Arial" w:eastAsia="Arial" w:hAnsi="Arial"/>
                <w:sz w:val="12"/>
                <w:szCs w:val="12"/>
                <w:color w:val="FFFFFF"/>
              </w:rPr>
              <w:t>Non-PEO</w:t>
            </w:r>
          </w:p>
        </w:tc>
        <w:tc>
          <w:tcPr>
            <w:tcW w:w="60" w:type="dxa"/>
            <w:vAlign w:val="bottom"/>
            <w:shd w:val="clear" w:color="auto" w:fill="005C5D"/>
          </w:tcPr>
          <w:p>
            <w:pPr>
              <w:spacing w:after="0"/>
              <w:rPr>
                <w:sz w:val="6"/>
                <w:szCs w:val="6"/>
                <w:color w:val="auto"/>
              </w:rPr>
            </w:pPr>
          </w:p>
        </w:tc>
        <w:tc>
          <w:tcPr>
            <w:tcW w:w="940" w:type="dxa"/>
            <w:vAlign w:val="bottom"/>
            <w:vMerge w:val="restart"/>
            <w:shd w:val="clear" w:color="auto" w:fill="005C5D"/>
          </w:tcPr>
          <w:p>
            <w:pPr>
              <w:jc w:val="center"/>
              <w:ind w:right="178"/>
              <w:spacing w:after="0" w:line="134" w:lineRule="exact"/>
              <w:rPr>
                <w:sz w:val="20"/>
                <w:szCs w:val="20"/>
                <w:color w:val="auto"/>
              </w:rPr>
            </w:pPr>
            <w:r>
              <w:rPr>
                <w:rFonts w:ascii="Arial" w:cs="Arial" w:eastAsia="Arial" w:hAnsi="Arial"/>
                <w:sz w:val="12"/>
                <w:szCs w:val="12"/>
                <w:color w:val="FFFFFF"/>
              </w:rPr>
              <w:t>Non-PEO</w:t>
            </w:r>
          </w:p>
        </w:tc>
        <w:tc>
          <w:tcPr>
            <w:tcW w:w="860" w:type="dxa"/>
            <w:vAlign w:val="bottom"/>
            <w:gridSpan w:val="2"/>
            <w:vMerge w:val="restart"/>
            <w:shd w:val="clear" w:color="auto" w:fill="005C5D"/>
          </w:tcPr>
          <w:p>
            <w:pPr>
              <w:jc w:val="center"/>
              <w:ind w:right="118"/>
              <w:spacing w:after="0" w:line="134" w:lineRule="exact"/>
              <w:rPr>
                <w:sz w:val="20"/>
                <w:szCs w:val="20"/>
                <w:color w:val="auto"/>
              </w:rPr>
            </w:pPr>
            <w:r>
              <w:rPr>
                <w:rFonts w:ascii="Arial" w:cs="Arial" w:eastAsia="Arial" w:hAnsi="Arial"/>
                <w:sz w:val="12"/>
                <w:szCs w:val="12"/>
                <w:color w:val="FFFFFF"/>
                <w:w w:val="99"/>
              </w:rPr>
              <w:t>Return</w:t>
            </w:r>
          </w:p>
        </w:tc>
        <w:tc>
          <w:tcPr>
            <w:tcW w:w="840" w:type="dxa"/>
            <w:vAlign w:val="bottom"/>
            <w:gridSpan w:val="2"/>
            <w:vMerge w:val="restart"/>
            <w:shd w:val="clear" w:color="auto" w:fill="005C5D"/>
          </w:tcPr>
          <w:p>
            <w:pPr>
              <w:spacing w:after="0" w:line="134" w:lineRule="exact"/>
              <w:rPr>
                <w:sz w:val="20"/>
                <w:szCs w:val="20"/>
                <w:color w:val="auto"/>
              </w:rPr>
            </w:pPr>
            <w:r>
              <w:rPr>
                <w:rFonts w:ascii="Arial" w:cs="Arial" w:eastAsia="Arial" w:hAnsi="Arial"/>
                <w:sz w:val="12"/>
                <w:szCs w:val="12"/>
                <w:color w:val="FFFFFF"/>
              </w:rPr>
              <w:t>Shareholder</w:t>
            </w:r>
          </w:p>
        </w:tc>
        <w:tc>
          <w:tcPr>
            <w:tcW w:w="40" w:type="dxa"/>
            <w:vAlign w:val="bottom"/>
            <w:shd w:val="clear" w:color="auto" w:fill="005C5D"/>
          </w:tcPr>
          <w:p>
            <w:pPr>
              <w:spacing w:after="0"/>
              <w:rPr>
                <w:sz w:val="6"/>
                <w:szCs w:val="6"/>
                <w:color w:val="auto"/>
              </w:rPr>
            </w:pPr>
          </w:p>
        </w:tc>
        <w:tc>
          <w:tcPr>
            <w:tcW w:w="680" w:type="dxa"/>
            <w:vAlign w:val="bottom"/>
            <w:vMerge w:val="continue"/>
            <w:shd w:val="clear" w:color="auto" w:fill="005C5D"/>
          </w:tcPr>
          <w:p>
            <w:pPr>
              <w:spacing w:after="0"/>
              <w:rPr>
                <w:sz w:val="6"/>
                <w:szCs w:val="6"/>
                <w:color w:val="auto"/>
              </w:rPr>
            </w:pPr>
          </w:p>
        </w:tc>
        <w:tc>
          <w:tcPr>
            <w:tcW w:w="40" w:type="dxa"/>
            <w:vAlign w:val="bottom"/>
            <w:shd w:val="clear" w:color="auto" w:fill="005C5D"/>
          </w:tcPr>
          <w:p>
            <w:pPr>
              <w:spacing w:after="0"/>
              <w:rPr>
                <w:sz w:val="6"/>
                <w:szCs w:val="6"/>
                <w:color w:val="auto"/>
              </w:rPr>
            </w:pPr>
          </w:p>
        </w:tc>
        <w:tc>
          <w:tcPr>
            <w:tcW w:w="640" w:type="dxa"/>
            <w:vAlign w:val="bottom"/>
            <w:vMerge w:val="restart"/>
            <w:shd w:val="clear" w:color="auto" w:fill="005C5D"/>
          </w:tcPr>
          <w:p>
            <w:pPr>
              <w:jc w:val="right"/>
              <w:ind w:right="38"/>
              <w:spacing w:after="0" w:line="134" w:lineRule="exact"/>
              <w:rPr>
                <w:sz w:val="20"/>
                <w:szCs w:val="20"/>
                <w:color w:val="auto"/>
              </w:rPr>
            </w:pPr>
            <w:r>
              <w:rPr>
                <w:rFonts w:ascii="Arial" w:cs="Arial" w:eastAsia="Arial" w:hAnsi="Arial"/>
                <w:sz w:val="12"/>
                <w:szCs w:val="12"/>
                <w:color w:val="FFFFFF"/>
              </w:rPr>
              <w:t>Adjusted</w:t>
            </w:r>
          </w:p>
        </w:tc>
        <w:tc>
          <w:tcPr>
            <w:tcW w:w="0" w:type="dxa"/>
            <w:vAlign w:val="bottom"/>
          </w:tcPr>
          <w:p>
            <w:pPr>
              <w:spacing w:after="0"/>
              <w:rPr>
                <w:sz w:val="1"/>
                <w:szCs w:val="1"/>
                <w:color w:val="auto"/>
              </w:rPr>
            </w:pPr>
          </w:p>
        </w:tc>
      </w:tr>
      <w:tr>
        <w:trPr>
          <w:trHeight w:val="53"/>
        </w:trPr>
        <w:tc>
          <w:tcPr>
            <w:tcW w:w="1640" w:type="dxa"/>
            <w:vAlign w:val="bottom"/>
            <w:shd w:val="clear" w:color="auto" w:fill="005C5D"/>
          </w:tcPr>
          <w:p>
            <w:pPr>
              <w:spacing w:after="0"/>
              <w:rPr>
                <w:sz w:val="4"/>
                <w:szCs w:val="4"/>
                <w:color w:val="auto"/>
              </w:rPr>
            </w:pPr>
          </w:p>
        </w:tc>
        <w:tc>
          <w:tcPr>
            <w:tcW w:w="160" w:type="dxa"/>
            <w:vAlign w:val="bottom"/>
            <w:shd w:val="clear" w:color="auto" w:fill="005C5D"/>
          </w:tcPr>
          <w:p>
            <w:pPr>
              <w:spacing w:after="0"/>
              <w:rPr>
                <w:sz w:val="4"/>
                <w:szCs w:val="4"/>
                <w:color w:val="auto"/>
              </w:rPr>
            </w:pPr>
          </w:p>
        </w:tc>
        <w:tc>
          <w:tcPr>
            <w:tcW w:w="60" w:type="dxa"/>
            <w:vAlign w:val="bottom"/>
            <w:shd w:val="clear" w:color="auto" w:fill="005C5D"/>
          </w:tcPr>
          <w:p>
            <w:pPr>
              <w:spacing w:after="0"/>
              <w:rPr>
                <w:sz w:val="4"/>
                <w:szCs w:val="4"/>
                <w:color w:val="auto"/>
              </w:rPr>
            </w:pPr>
          </w:p>
        </w:tc>
        <w:tc>
          <w:tcPr>
            <w:tcW w:w="920" w:type="dxa"/>
            <w:vAlign w:val="bottom"/>
            <w:vMerge w:val="continue"/>
            <w:shd w:val="clear" w:color="auto" w:fill="005C5D"/>
          </w:tcPr>
          <w:p>
            <w:pPr>
              <w:spacing w:after="0"/>
              <w:rPr>
                <w:sz w:val="4"/>
                <w:szCs w:val="4"/>
                <w:color w:val="auto"/>
              </w:rPr>
            </w:pPr>
          </w:p>
        </w:tc>
        <w:tc>
          <w:tcPr>
            <w:tcW w:w="80" w:type="dxa"/>
            <w:vAlign w:val="bottom"/>
            <w:shd w:val="clear" w:color="auto" w:fill="005C5D"/>
          </w:tcPr>
          <w:p>
            <w:pPr>
              <w:spacing w:after="0"/>
              <w:rPr>
                <w:sz w:val="4"/>
                <w:szCs w:val="4"/>
                <w:color w:val="auto"/>
              </w:rPr>
            </w:pPr>
          </w:p>
        </w:tc>
        <w:tc>
          <w:tcPr>
            <w:tcW w:w="920" w:type="dxa"/>
            <w:vAlign w:val="bottom"/>
            <w:vMerge w:val="continue"/>
            <w:shd w:val="clear" w:color="auto" w:fill="005C5D"/>
          </w:tcPr>
          <w:p>
            <w:pPr>
              <w:spacing w:after="0"/>
              <w:rPr>
                <w:sz w:val="4"/>
                <w:szCs w:val="4"/>
                <w:color w:val="auto"/>
              </w:rPr>
            </w:pPr>
          </w:p>
        </w:tc>
        <w:tc>
          <w:tcPr>
            <w:tcW w:w="60" w:type="dxa"/>
            <w:vAlign w:val="bottom"/>
            <w:shd w:val="clear" w:color="auto" w:fill="005C5D"/>
          </w:tcPr>
          <w:p>
            <w:pPr>
              <w:spacing w:after="0"/>
              <w:rPr>
                <w:sz w:val="4"/>
                <w:szCs w:val="4"/>
                <w:color w:val="auto"/>
              </w:rPr>
            </w:pPr>
          </w:p>
        </w:tc>
        <w:tc>
          <w:tcPr>
            <w:tcW w:w="920" w:type="dxa"/>
            <w:vAlign w:val="bottom"/>
            <w:vMerge w:val="continue"/>
            <w:shd w:val="clear" w:color="auto" w:fill="005C5D"/>
          </w:tcPr>
          <w:p>
            <w:pPr>
              <w:spacing w:after="0"/>
              <w:rPr>
                <w:sz w:val="4"/>
                <w:szCs w:val="4"/>
                <w:color w:val="auto"/>
              </w:rPr>
            </w:pPr>
          </w:p>
        </w:tc>
        <w:tc>
          <w:tcPr>
            <w:tcW w:w="1080" w:type="dxa"/>
            <w:vAlign w:val="bottom"/>
            <w:gridSpan w:val="2"/>
            <w:vMerge w:val="continue"/>
            <w:shd w:val="clear" w:color="auto" w:fill="005C5D"/>
          </w:tcPr>
          <w:p>
            <w:pPr>
              <w:spacing w:after="0"/>
              <w:rPr>
                <w:sz w:val="4"/>
                <w:szCs w:val="4"/>
                <w:color w:val="auto"/>
              </w:rPr>
            </w:pPr>
          </w:p>
        </w:tc>
        <w:tc>
          <w:tcPr>
            <w:tcW w:w="60" w:type="dxa"/>
            <w:vAlign w:val="bottom"/>
            <w:shd w:val="clear" w:color="auto" w:fill="005C5D"/>
          </w:tcPr>
          <w:p>
            <w:pPr>
              <w:spacing w:after="0"/>
              <w:rPr>
                <w:sz w:val="4"/>
                <w:szCs w:val="4"/>
                <w:color w:val="auto"/>
              </w:rPr>
            </w:pPr>
          </w:p>
        </w:tc>
        <w:tc>
          <w:tcPr>
            <w:tcW w:w="920" w:type="dxa"/>
            <w:vAlign w:val="bottom"/>
            <w:gridSpan w:val="2"/>
            <w:vMerge w:val="continue"/>
            <w:shd w:val="clear" w:color="auto" w:fill="005C5D"/>
          </w:tcPr>
          <w:p>
            <w:pPr>
              <w:spacing w:after="0"/>
              <w:rPr>
                <w:sz w:val="4"/>
                <w:szCs w:val="4"/>
                <w:color w:val="auto"/>
              </w:rPr>
            </w:pPr>
          </w:p>
        </w:tc>
        <w:tc>
          <w:tcPr>
            <w:tcW w:w="60" w:type="dxa"/>
            <w:vAlign w:val="bottom"/>
            <w:shd w:val="clear" w:color="auto" w:fill="005C5D"/>
          </w:tcPr>
          <w:p>
            <w:pPr>
              <w:spacing w:after="0"/>
              <w:rPr>
                <w:sz w:val="4"/>
                <w:szCs w:val="4"/>
                <w:color w:val="auto"/>
              </w:rPr>
            </w:pPr>
          </w:p>
        </w:tc>
        <w:tc>
          <w:tcPr>
            <w:tcW w:w="940" w:type="dxa"/>
            <w:vAlign w:val="bottom"/>
            <w:vMerge w:val="continue"/>
            <w:shd w:val="clear" w:color="auto" w:fill="005C5D"/>
          </w:tcPr>
          <w:p>
            <w:pPr>
              <w:spacing w:after="0"/>
              <w:rPr>
                <w:sz w:val="4"/>
                <w:szCs w:val="4"/>
                <w:color w:val="auto"/>
              </w:rPr>
            </w:pPr>
          </w:p>
        </w:tc>
        <w:tc>
          <w:tcPr>
            <w:tcW w:w="860" w:type="dxa"/>
            <w:vAlign w:val="bottom"/>
            <w:gridSpan w:val="2"/>
            <w:vMerge w:val="continue"/>
            <w:shd w:val="clear" w:color="auto" w:fill="005C5D"/>
          </w:tcPr>
          <w:p>
            <w:pPr>
              <w:spacing w:after="0"/>
              <w:rPr>
                <w:sz w:val="4"/>
                <w:szCs w:val="4"/>
                <w:color w:val="auto"/>
              </w:rPr>
            </w:pPr>
          </w:p>
        </w:tc>
        <w:tc>
          <w:tcPr>
            <w:tcW w:w="840" w:type="dxa"/>
            <w:vAlign w:val="bottom"/>
            <w:gridSpan w:val="2"/>
            <w:vMerge w:val="continue"/>
            <w:shd w:val="clear" w:color="auto" w:fill="005C5D"/>
          </w:tcPr>
          <w:p>
            <w:pPr>
              <w:spacing w:after="0"/>
              <w:rPr>
                <w:sz w:val="4"/>
                <w:szCs w:val="4"/>
                <w:color w:val="auto"/>
              </w:rPr>
            </w:pPr>
          </w:p>
        </w:tc>
        <w:tc>
          <w:tcPr>
            <w:tcW w:w="720" w:type="dxa"/>
            <w:vAlign w:val="bottom"/>
            <w:gridSpan w:val="2"/>
            <w:vMerge w:val="restart"/>
            <w:shd w:val="clear" w:color="auto" w:fill="005C5D"/>
          </w:tcPr>
          <w:p>
            <w:pPr>
              <w:jc w:val="center"/>
              <w:ind w:right="118"/>
              <w:spacing w:after="0" w:line="125" w:lineRule="exact"/>
              <w:rPr>
                <w:sz w:val="20"/>
                <w:szCs w:val="20"/>
                <w:color w:val="auto"/>
              </w:rPr>
            </w:pPr>
            <w:r>
              <w:rPr>
                <w:rFonts w:ascii="Arial" w:cs="Arial" w:eastAsia="Arial" w:hAnsi="Arial"/>
                <w:sz w:val="12"/>
                <w:szCs w:val="12"/>
                <w:color w:val="FFFFFF"/>
              </w:rPr>
              <w:t>millions)</w:t>
            </w:r>
          </w:p>
        </w:tc>
        <w:tc>
          <w:tcPr>
            <w:tcW w:w="40" w:type="dxa"/>
            <w:vAlign w:val="bottom"/>
            <w:shd w:val="clear" w:color="auto" w:fill="005C5D"/>
          </w:tcPr>
          <w:p>
            <w:pPr>
              <w:spacing w:after="0"/>
              <w:rPr>
                <w:sz w:val="4"/>
                <w:szCs w:val="4"/>
                <w:color w:val="auto"/>
              </w:rPr>
            </w:pPr>
          </w:p>
        </w:tc>
        <w:tc>
          <w:tcPr>
            <w:tcW w:w="640" w:type="dxa"/>
            <w:vAlign w:val="bottom"/>
            <w:vMerge w:val="continue"/>
            <w:shd w:val="clear" w:color="auto" w:fill="005C5D"/>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1640" w:type="dxa"/>
            <w:vAlign w:val="bottom"/>
            <w:vMerge w:val="restart"/>
            <w:shd w:val="clear" w:color="auto" w:fill="005C5D"/>
          </w:tcPr>
          <w:p>
            <w:pPr>
              <w:ind w:left="80"/>
              <w:spacing w:after="0"/>
              <w:rPr>
                <w:sz w:val="20"/>
                <w:szCs w:val="20"/>
                <w:color w:val="auto"/>
              </w:rPr>
            </w:pPr>
            <w:r>
              <w:rPr>
                <w:rFonts w:ascii="Arial" w:cs="Arial" w:eastAsia="Arial" w:hAnsi="Arial"/>
                <w:sz w:val="12"/>
                <w:szCs w:val="12"/>
                <w:color w:val="FFFFFF"/>
              </w:rPr>
              <w:t>Fiscal Year</w:t>
            </w:r>
          </w:p>
        </w:tc>
        <w:tc>
          <w:tcPr>
            <w:tcW w:w="160" w:type="dxa"/>
            <w:vAlign w:val="bottom"/>
            <w:shd w:val="clear" w:color="auto" w:fill="005C5D"/>
          </w:tcPr>
          <w:p>
            <w:pPr>
              <w:spacing w:after="0"/>
              <w:rPr>
                <w:sz w:val="6"/>
                <w:szCs w:val="6"/>
                <w:color w:val="auto"/>
              </w:rPr>
            </w:pPr>
          </w:p>
        </w:tc>
        <w:tc>
          <w:tcPr>
            <w:tcW w:w="60" w:type="dxa"/>
            <w:vAlign w:val="bottom"/>
            <w:shd w:val="clear" w:color="auto" w:fill="005C5D"/>
          </w:tcPr>
          <w:p>
            <w:pPr>
              <w:spacing w:after="0"/>
              <w:rPr>
                <w:sz w:val="6"/>
                <w:szCs w:val="6"/>
                <w:color w:val="auto"/>
              </w:rPr>
            </w:pPr>
          </w:p>
        </w:tc>
        <w:tc>
          <w:tcPr>
            <w:tcW w:w="920" w:type="dxa"/>
            <w:vAlign w:val="bottom"/>
            <w:vMerge w:val="restart"/>
            <w:shd w:val="clear" w:color="auto" w:fill="005C5D"/>
          </w:tcPr>
          <w:p>
            <w:pPr>
              <w:jc w:val="center"/>
              <w:ind w:right="155"/>
              <w:spacing w:after="0"/>
              <w:rPr>
                <w:sz w:val="20"/>
                <w:szCs w:val="20"/>
                <w:color w:val="auto"/>
              </w:rPr>
            </w:pPr>
            <w:r>
              <w:rPr>
                <w:rFonts w:ascii="Arial" w:cs="Arial" w:eastAsia="Arial" w:hAnsi="Arial"/>
                <w:sz w:val="12"/>
                <w:szCs w:val="12"/>
                <w:color w:val="FFFFFF"/>
                <w:w w:val="99"/>
              </w:rPr>
              <w:t>Bickley</w:t>
            </w:r>
          </w:p>
        </w:tc>
        <w:tc>
          <w:tcPr>
            <w:tcW w:w="80" w:type="dxa"/>
            <w:vAlign w:val="bottom"/>
            <w:shd w:val="clear" w:color="auto" w:fill="005C5D"/>
          </w:tcPr>
          <w:p>
            <w:pPr>
              <w:spacing w:after="0"/>
              <w:rPr>
                <w:sz w:val="6"/>
                <w:szCs w:val="6"/>
                <w:color w:val="auto"/>
              </w:rPr>
            </w:pPr>
          </w:p>
        </w:tc>
        <w:tc>
          <w:tcPr>
            <w:tcW w:w="920" w:type="dxa"/>
            <w:vAlign w:val="bottom"/>
            <w:vMerge w:val="restart"/>
            <w:shd w:val="clear" w:color="auto" w:fill="005C5D"/>
          </w:tcPr>
          <w:p>
            <w:pPr>
              <w:jc w:val="center"/>
              <w:ind w:right="174"/>
              <w:spacing w:after="0"/>
              <w:rPr>
                <w:sz w:val="20"/>
                <w:szCs w:val="20"/>
                <w:color w:val="auto"/>
              </w:rPr>
            </w:pPr>
            <w:r>
              <w:rPr>
                <w:rFonts w:ascii="Arial" w:cs="Arial" w:eastAsia="Arial" w:hAnsi="Arial"/>
                <w:sz w:val="12"/>
                <w:szCs w:val="12"/>
                <w:color w:val="FFFFFF"/>
              </w:rPr>
              <w:t>Mr. Bickley</w:t>
            </w:r>
          </w:p>
        </w:tc>
        <w:tc>
          <w:tcPr>
            <w:tcW w:w="60" w:type="dxa"/>
            <w:vAlign w:val="bottom"/>
            <w:shd w:val="clear" w:color="auto" w:fill="005C5D"/>
          </w:tcPr>
          <w:p>
            <w:pPr>
              <w:spacing w:after="0"/>
              <w:rPr>
                <w:sz w:val="6"/>
                <w:szCs w:val="6"/>
                <w:color w:val="auto"/>
              </w:rPr>
            </w:pPr>
          </w:p>
        </w:tc>
        <w:tc>
          <w:tcPr>
            <w:tcW w:w="920" w:type="dxa"/>
            <w:vAlign w:val="bottom"/>
            <w:vMerge w:val="restart"/>
            <w:shd w:val="clear" w:color="auto" w:fill="005C5D"/>
          </w:tcPr>
          <w:p>
            <w:pPr>
              <w:jc w:val="center"/>
              <w:ind w:right="178"/>
              <w:spacing w:after="0"/>
              <w:rPr>
                <w:sz w:val="20"/>
                <w:szCs w:val="20"/>
                <w:color w:val="auto"/>
              </w:rPr>
            </w:pPr>
            <w:r>
              <w:rPr>
                <w:rFonts w:ascii="Arial" w:cs="Arial" w:eastAsia="Arial" w:hAnsi="Arial"/>
                <w:sz w:val="12"/>
                <w:szCs w:val="12"/>
                <w:color w:val="FFFFFF"/>
              </w:rPr>
              <w:t>Ms. Ardrey</w:t>
            </w:r>
          </w:p>
        </w:tc>
        <w:tc>
          <w:tcPr>
            <w:tcW w:w="140" w:type="dxa"/>
            <w:vAlign w:val="bottom"/>
            <w:shd w:val="clear" w:color="auto" w:fill="005C5D"/>
          </w:tcPr>
          <w:p>
            <w:pPr>
              <w:spacing w:after="0"/>
              <w:rPr>
                <w:sz w:val="6"/>
                <w:szCs w:val="6"/>
                <w:color w:val="auto"/>
              </w:rPr>
            </w:pPr>
          </w:p>
        </w:tc>
        <w:tc>
          <w:tcPr>
            <w:tcW w:w="940" w:type="dxa"/>
            <w:vAlign w:val="bottom"/>
            <w:vMerge w:val="restart"/>
            <w:shd w:val="clear" w:color="auto" w:fill="005C5D"/>
          </w:tcPr>
          <w:p>
            <w:pPr>
              <w:jc w:val="center"/>
              <w:ind w:right="238"/>
              <w:spacing w:after="0"/>
              <w:rPr>
                <w:sz w:val="20"/>
                <w:szCs w:val="20"/>
                <w:color w:val="auto"/>
              </w:rPr>
            </w:pPr>
            <w:r>
              <w:rPr>
                <w:rFonts w:ascii="Arial" w:cs="Arial" w:eastAsia="Arial" w:hAnsi="Arial"/>
                <w:sz w:val="12"/>
                <w:szCs w:val="12"/>
                <w:color w:val="FFFFFF"/>
              </w:rPr>
              <w:t>Ms. Ardrey</w:t>
            </w:r>
          </w:p>
        </w:tc>
        <w:tc>
          <w:tcPr>
            <w:tcW w:w="60" w:type="dxa"/>
            <w:vAlign w:val="bottom"/>
            <w:shd w:val="clear" w:color="auto" w:fill="005C5D"/>
          </w:tcPr>
          <w:p>
            <w:pPr>
              <w:spacing w:after="0"/>
              <w:rPr>
                <w:sz w:val="6"/>
                <w:szCs w:val="6"/>
                <w:color w:val="auto"/>
              </w:rPr>
            </w:pPr>
          </w:p>
        </w:tc>
        <w:tc>
          <w:tcPr>
            <w:tcW w:w="480" w:type="dxa"/>
            <w:vAlign w:val="bottom"/>
            <w:vMerge w:val="restart"/>
            <w:shd w:val="clear" w:color="auto" w:fill="005C5D"/>
          </w:tcPr>
          <w:p>
            <w:pPr>
              <w:ind w:left="160"/>
              <w:spacing w:after="0"/>
              <w:rPr>
                <w:sz w:val="20"/>
                <w:szCs w:val="20"/>
                <w:color w:val="auto"/>
              </w:rPr>
            </w:pPr>
            <w:r>
              <w:rPr>
                <w:rFonts w:ascii="Arial" w:cs="Arial" w:eastAsia="Arial" w:hAnsi="Arial"/>
                <w:sz w:val="12"/>
                <w:szCs w:val="12"/>
                <w:color w:val="FFFFFF"/>
                <w:w w:val="93"/>
              </w:rPr>
              <w:t>NEOs</w:t>
            </w:r>
          </w:p>
        </w:tc>
        <w:tc>
          <w:tcPr>
            <w:tcW w:w="440" w:type="dxa"/>
            <w:vAlign w:val="bottom"/>
            <w:shd w:val="clear" w:color="auto" w:fill="005C5D"/>
          </w:tcPr>
          <w:p>
            <w:pPr>
              <w:jc w:val="right"/>
              <w:ind w:right="361"/>
              <w:spacing w:after="0"/>
              <w:rPr>
                <w:sz w:val="20"/>
                <w:szCs w:val="20"/>
                <w:color w:val="auto"/>
              </w:rPr>
            </w:pPr>
            <w:r>
              <w:rPr>
                <w:rFonts w:ascii="Arial" w:cs="Arial" w:eastAsia="Arial" w:hAnsi="Arial"/>
                <w:sz w:val="4"/>
                <w:szCs w:val="4"/>
                <w:color w:val="FFFFFF"/>
                <w:w w:val="80"/>
              </w:rPr>
              <w:t>(1)</w:t>
            </w:r>
          </w:p>
        </w:tc>
        <w:tc>
          <w:tcPr>
            <w:tcW w:w="1000" w:type="dxa"/>
            <w:vAlign w:val="bottom"/>
            <w:gridSpan w:val="2"/>
            <w:shd w:val="clear" w:color="auto" w:fill="005C5D"/>
          </w:tcPr>
          <w:p>
            <w:pPr>
              <w:jc w:val="right"/>
              <w:ind w:right="318"/>
              <w:spacing w:after="0"/>
              <w:rPr>
                <w:sz w:val="20"/>
                <w:szCs w:val="20"/>
                <w:color w:val="auto"/>
              </w:rPr>
            </w:pPr>
            <w:r>
              <w:rPr>
                <w:rFonts w:ascii="Arial" w:cs="Arial" w:eastAsia="Arial" w:hAnsi="Arial"/>
                <w:sz w:val="5"/>
                <w:szCs w:val="5"/>
                <w:color w:val="FFFFFF"/>
              </w:rPr>
              <w:t>(1)</w:t>
            </w:r>
          </w:p>
        </w:tc>
        <w:tc>
          <w:tcPr>
            <w:tcW w:w="860" w:type="dxa"/>
            <w:vAlign w:val="bottom"/>
            <w:gridSpan w:val="2"/>
            <w:vMerge w:val="restart"/>
            <w:shd w:val="clear" w:color="auto" w:fill="005C5D"/>
          </w:tcPr>
          <w:p>
            <w:pPr>
              <w:jc w:val="center"/>
              <w:ind w:right="118"/>
              <w:spacing w:after="0"/>
              <w:rPr>
                <w:sz w:val="20"/>
                <w:szCs w:val="20"/>
                <w:color w:val="auto"/>
              </w:rPr>
            </w:pPr>
            <w:r>
              <w:rPr>
                <w:rFonts w:ascii="Arial" w:cs="Arial" w:eastAsia="Arial" w:hAnsi="Arial"/>
                <w:sz w:val="12"/>
                <w:szCs w:val="12"/>
                <w:color w:val="FFFFFF"/>
                <w:w w:val="99"/>
              </w:rPr>
              <w:t>(“TSR”)</w:t>
            </w:r>
          </w:p>
        </w:tc>
        <w:tc>
          <w:tcPr>
            <w:tcW w:w="840" w:type="dxa"/>
            <w:vAlign w:val="bottom"/>
            <w:gridSpan w:val="2"/>
            <w:shd w:val="clear" w:color="auto" w:fill="005C5D"/>
          </w:tcPr>
          <w:p>
            <w:pPr>
              <w:jc w:val="right"/>
              <w:ind w:right="218"/>
              <w:spacing w:after="0"/>
              <w:rPr>
                <w:sz w:val="20"/>
                <w:szCs w:val="20"/>
                <w:color w:val="auto"/>
              </w:rPr>
            </w:pPr>
            <w:r>
              <w:rPr>
                <w:rFonts w:ascii="Arial" w:cs="Arial" w:eastAsia="Arial" w:hAnsi="Arial"/>
                <w:sz w:val="5"/>
                <w:szCs w:val="5"/>
                <w:color w:val="FFFFFF"/>
              </w:rPr>
              <w:t>(2)</w:t>
            </w:r>
          </w:p>
        </w:tc>
        <w:tc>
          <w:tcPr>
            <w:tcW w:w="720" w:type="dxa"/>
            <w:vAlign w:val="bottom"/>
            <w:gridSpan w:val="2"/>
            <w:vMerge w:val="continue"/>
            <w:shd w:val="clear" w:color="auto" w:fill="005C5D"/>
          </w:tcPr>
          <w:p>
            <w:pPr>
              <w:spacing w:after="0"/>
              <w:rPr>
                <w:sz w:val="6"/>
                <w:szCs w:val="6"/>
                <w:color w:val="auto"/>
              </w:rPr>
            </w:pPr>
          </w:p>
        </w:tc>
        <w:tc>
          <w:tcPr>
            <w:tcW w:w="40" w:type="dxa"/>
            <w:vAlign w:val="bottom"/>
            <w:shd w:val="clear" w:color="auto" w:fill="005C5D"/>
          </w:tcPr>
          <w:p>
            <w:pPr>
              <w:spacing w:after="0"/>
              <w:rPr>
                <w:sz w:val="6"/>
                <w:szCs w:val="6"/>
                <w:color w:val="auto"/>
              </w:rPr>
            </w:pPr>
          </w:p>
        </w:tc>
        <w:tc>
          <w:tcPr>
            <w:tcW w:w="640" w:type="dxa"/>
            <w:vAlign w:val="bottom"/>
            <w:vMerge w:val="restart"/>
            <w:shd w:val="clear" w:color="auto" w:fill="005C5D"/>
          </w:tcPr>
          <w:p>
            <w:pPr>
              <w:jc w:val="right"/>
              <w:ind w:right="58"/>
              <w:spacing w:after="0"/>
              <w:rPr>
                <w:sz w:val="20"/>
                <w:szCs w:val="20"/>
                <w:color w:val="auto"/>
              </w:rPr>
            </w:pPr>
            <w:r>
              <w:rPr>
                <w:rFonts w:ascii="Arial" w:cs="Arial" w:eastAsia="Arial" w:hAnsi="Arial"/>
                <w:sz w:val="12"/>
                <w:szCs w:val="12"/>
                <w:color w:val="FFFFFF"/>
              </w:rPr>
              <w:t>EPS ($)</w:t>
            </w:r>
          </w:p>
        </w:tc>
        <w:tc>
          <w:tcPr>
            <w:tcW w:w="0" w:type="dxa"/>
            <w:vAlign w:val="bottom"/>
          </w:tcPr>
          <w:p>
            <w:pPr>
              <w:spacing w:after="0"/>
              <w:rPr>
                <w:sz w:val="1"/>
                <w:szCs w:val="1"/>
                <w:color w:val="auto"/>
              </w:rPr>
            </w:pPr>
          </w:p>
        </w:tc>
      </w:tr>
      <w:tr>
        <w:trPr>
          <w:trHeight w:val="147"/>
        </w:trPr>
        <w:tc>
          <w:tcPr>
            <w:tcW w:w="1640" w:type="dxa"/>
            <w:vAlign w:val="bottom"/>
            <w:vMerge w:val="continue"/>
            <w:shd w:val="clear" w:color="auto" w:fill="005C5D"/>
          </w:tcPr>
          <w:p>
            <w:pPr>
              <w:spacing w:after="0"/>
              <w:rPr>
                <w:sz w:val="12"/>
                <w:szCs w:val="12"/>
                <w:color w:val="auto"/>
              </w:rPr>
            </w:pPr>
          </w:p>
        </w:tc>
        <w:tc>
          <w:tcPr>
            <w:tcW w:w="160" w:type="dxa"/>
            <w:vAlign w:val="bottom"/>
            <w:shd w:val="clear" w:color="auto" w:fill="005C5D"/>
          </w:tcPr>
          <w:p>
            <w:pPr>
              <w:spacing w:after="0"/>
              <w:rPr>
                <w:sz w:val="12"/>
                <w:szCs w:val="12"/>
                <w:color w:val="auto"/>
              </w:rPr>
            </w:pPr>
          </w:p>
        </w:tc>
        <w:tc>
          <w:tcPr>
            <w:tcW w:w="60" w:type="dxa"/>
            <w:vAlign w:val="bottom"/>
            <w:shd w:val="clear" w:color="auto" w:fill="005C5D"/>
          </w:tcPr>
          <w:p>
            <w:pPr>
              <w:spacing w:after="0"/>
              <w:rPr>
                <w:sz w:val="12"/>
                <w:szCs w:val="12"/>
                <w:color w:val="auto"/>
              </w:rPr>
            </w:pPr>
          </w:p>
        </w:tc>
        <w:tc>
          <w:tcPr>
            <w:tcW w:w="920" w:type="dxa"/>
            <w:vAlign w:val="bottom"/>
            <w:vMerge w:val="continue"/>
            <w:shd w:val="clear" w:color="auto" w:fill="005C5D"/>
          </w:tcPr>
          <w:p>
            <w:pPr>
              <w:spacing w:after="0"/>
              <w:rPr>
                <w:sz w:val="12"/>
                <w:szCs w:val="12"/>
                <w:color w:val="auto"/>
              </w:rPr>
            </w:pPr>
          </w:p>
        </w:tc>
        <w:tc>
          <w:tcPr>
            <w:tcW w:w="80" w:type="dxa"/>
            <w:vAlign w:val="bottom"/>
            <w:shd w:val="clear" w:color="auto" w:fill="005C5D"/>
          </w:tcPr>
          <w:p>
            <w:pPr>
              <w:spacing w:after="0"/>
              <w:rPr>
                <w:sz w:val="12"/>
                <w:szCs w:val="12"/>
                <w:color w:val="auto"/>
              </w:rPr>
            </w:pPr>
          </w:p>
        </w:tc>
        <w:tc>
          <w:tcPr>
            <w:tcW w:w="920" w:type="dxa"/>
            <w:vAlign w:val="bottom"/>
            <w:vMerge w:val="continue"/>
            <w:shd w:val="clear" w:color="auto" w:fill="005C5D"/>
          </w:tcPr>
          <w:p>
            <w:pPr>
              <w:spacing w:after="0"/>
              <w:rPr>
                <w:sz w:val="12"/>
                <w:szCs w:val="12"/>
                <w:color w:val="auto"/>
              </w:rPr>
            </w:pPr>
          </w:p>
        </w:tc>
        <w:tc>
          <w:tcPr>
            <w:tcW w:w="60" w:type="dxa"/>
            <w:vAlign w:val="bottom"/>
            <w:shd w:val="clear" w:color="auto" w:fill="005C5D"/>
          </w:tcPr>
          <w:p>
            <w:pPr>
              <w:spacing w:after="0"/>
              <w:rPr>
                <w:sz w:val="12"/>
                <w:szCs w:val="12"/>
                <w:color w:val="auto"/>
              </w:rPr>
            </w:pPr>
          </w:p>
        </w:tc>
        <w:tc>
          <w:tcPr>
            <w:tcW w:w="920" w:type="dxa"/>
            <w:vAlign w:val="bottom"/>
            <w:vMerge w:val="continue"/>
            <w:shd w:val="clear" w:color="auto" w:fill="005C5D"/>
          </w:tcPr>
          <w:p>
            <w:pPr>
              <w:spacing w:after="0"/>
              <w:rPr>
                <w:sz w:val="12"/>
                <w:szCs w:val="12"/>
                <w:color w:val="auto"/>
              </w:rPr>
            </w:pPr>
          </w:p>
        </w:tc>
        <w:tc>
          <w:tcPr>
            <w:tcW w:w="140" w:type="dxa"/>
            <w:vAlign w:val="bottom"/>
            <w:shd w:val="clear" w:color="auto" w:fill="005C5D"/>
          </w:tcPr>
          <w:p>
            <w:pPr>
              <w:spacing w:after="0"/>
              <w:rPr>
                <w:sz w:val="12"/>
                <w:szCs w:val="12"/>
                <w:color w:val="auto"/>
              </w:rPr>
            </w:pPr>
          </w:p>
        </w:tc>
        <w:tc>
          <w:tcPr>
            <w:tcW w:w="940" w:type="dxa"/>
            <w:vAlign w:val="bottom"/>
            <w:vMerge w:val="continue"/>
            <w:shd w:val="clear" w:color="auto" w:fill="005C5D"/>
          </w:tcPr>
          <w:p>
            <w:pPr>
              <w:spacing w:after="0"/>
              <w:rPr>
                <w:sz w:val="12"/>
                <w:szCs w:val="12"/>
                <w:color w:val="auto"/>
              </w:rPr>
            </w:pPr>
          </w:p>
        </w:tc>
        <w:tc>
          <w:tcPr>
            <w:tcW w:w="60" w:type="dxa"/>
            <w:vAlign w:val="bottom"/>
            <w:shd w:val="clear" w:color="auto" w:fill="005C5D"/>
          </w:tcPr>
          <w:p>
            <w:pPr>
              <w:spacing w:after="0"/>
              <w:rPr>
                <w:sz w:val="12"/>
                <w:szCs w:val="12"/>
                <w:color w:val="auto"/>
              </w:rPr>
            </w:pPr>
          </w:p>
        </w:tc>
        <w:tc>
          <w:tcPr>
            <w:tcW w:w="480" w:type="dxa"/>
            <w:vAlign w:val="bottom"/>
            <w:vMerge w:val="continue"/>
            <w:shd w:val="clear" w:color="auto" w:fill="005C5D"/>
          </w:tcPr>
          <w:p>
            <w:pPr>
              <w:spacing w:after="0"/>
              <w:rPr>
                <w:sz w:val="12"/>
                <w:szCs w:val="12"/>
                <w:color w:val="auto"/>
              </w:rPr>
            </w:pPr>
          </w:p>
        </w:tc>
        <w:tc>
          <w:tcPr>
            <w:tcW w:w="440" w:type="dxa"/>
            <w:vAlign w:val="bottom"/>
            <w:shd w:val="clear" w:color="auto" w:fill="005C5D"/>
          </w:tcPr>
          <w:p>
            <w:pPr>
              <w:spacing w:after="0"/>
              <w:rPr>
                <w:sz w:val="12"/>
                <w:szCs w:val="12"/>
                <w:color w:val="auto"/>
              </w:rPr>
            </w:pPr>
          </w:p>
        </w:tc>
        <w:tc>
          <w:tcPr>
            <w:tcW w:w="60" w:type="dxa"/>
            <w:vAlign w:val="bottom"/>
            <w:shd w:val="clear" w:color="auto" w:fill="005C5D"/>
          </w:tcPr>
          <w:p>
            <w:pPr>
              <w:spacing w:after="0"/>
              <w:rPr>
                <w:sz w:val="12"/>
                <w:szCs w:val="12"/>
                <w:color w:val="auto"/>
              </w:rPr>
            </w:pPr>
          </w:p>
        </w:tc>
        <w:tc>
          <w:tcPr>
            <w:tcW w:w="940" w:type="dxa"/>
            <w:vAlign w:val="bottom"/>
            <w:shd w:val="clear" w:color="auto" w:fill="005C5D"/>
          </w:tcPr>
          <w:p>
            <w:pPr>
              <w:jc w:val="right"/>
              <w:ind w:right="378"/>
              <w:spacing w:after="0"/>
              <w:rPr>
                <w:sz w:val="20"/>
                <w:szCs w:val="20"/>
                <w:color w:val="auto"/>
              </w:rPr>
            </w:pPr>
            <w:r>
              <w:rPr>
                <w:rFonts w:ascii="Arial" w:cs="Arial" w:eastAsia="Arial" w:hAnsi="Arial"/>
                <w:sz w:val="12"/>
                <w:szCs w:val="12"/>
                <w:color w:val="FFFFFF"/>
              </w:rPr>
              <w:t>NEOs</w:t>
            </w:r>
          </w:p>
        </w:tc>
        <w:tc>
          <w:tcPr>
            <w:tcW w:w="860" w:type="dxa"/>
            <w:vAlign w:val="bottom"/>
            <w:gridSpan w:val="2"/>
            <w:vMerge w:val="continue"/>
            <w:shd w:val="clear" w:color="auto" w:fill="005C5D"/>
          </w:tcPr>
          <w:p>
            <w:pPr>
              <w:spacing w:after="0"/>
              <w:rPr>
                <w:sz w:val="12"/>
                <w:szCs w:val="12"/>
                <w:color w:val="auto"/>
              </w:rPr>
            </w:pPr>
          </w:p>
        </w:tc>
        <w:tc>
          <w:tcPr>
            <w:tcW w:w="840" w:type="dxa"/>
            <w:vAlign w:val="bottom"/>
            <w:gridSpan w:val="2"/>
            <w:shd w:val="clear" w:color="auto" w:fill="005C5D"/>
          </w:tcPr>
          <w:p>
            <w:pPr>
              <w:jc w:val="right"/>
              <w:ind w:right="278"/>
              <w:spacing w:after="0"/>
              <w:rPr>
                <w:sz w:val="20"/>
                <w:szCs w:val="20"/>
                <w:color w:val="auto"/>
              </w:rPr>
            </w:pPr>
            <w:r>
              <w:rPr>
                <w:rFonts w:ascii="Arial" w:cs="Arial" w:eastAsia="Arial" w:hAnsi="Arial"/>
                <w:sz w:val="12"/>
                <w:szCs w:val="12"/>
                <w:color w:val="FFFFFF"/>
              </w:rPr>
              <w:t>Return</w:t>
            </w:r>
          </w:p>
        </w:tc>
        <w:tc>
          <w:tcPr>
            <w:tcW w:w="720" w:type="dxa"/>
            <w:vAlign w:val="bottom"/>
            <w:gridSpan w:val="2"/>
            <w:shd w:val="clear" w:color="auto" w:fill="005C5D"/>
          </w:tcPr>
          <w:p>
            <w:pPr>
              <w:jc w:val="center"/>
              <w:ind w:right="118"/>
              <w:spacing w:after="0"/>
              <w:rPr>
                <w:sz w:val="20"/>
                <w:szCs w:val="20"/>
                <w:color w:val="auto"/>
              </w:rPr>
            </w:pPr>
            <w:r>
              <w:rPr>
                <w:rFonts w:ascii="Arial" w:cs="Arial" w:eastAsia="Arial" w:hAnsi="Arial"/>
                <w:sz w:val="5"/>
                <w:szCs w:val="5"/>
                <w:color w:val="FFFFFF"/>
                <w:w w:val="97"/>
              </w:rPr>
              <w:t>(3)</w:t>
            </w:r>
          </w:p>
        </w:tc>
        <w:tc>
          <w:tcPr>
            <w:tcW w:w="40" w:type="dxa"/>
            <w:vAlign w:val="bottom"/>
            <w:shd w:val="clear" w:color="auto" w:fill="005C5D"/>
          </w:tcPr>
          <w:p>
            <w:pPr>
              <w:spacing w:after="0"/>
              <w:rPr>
                <w:sz w:val="12"/>
                <w:szCs w:val="12"/>
                <w:color w:val="auto"/>
              </w:rPr>
            </w:pPr>
          </w:p>
        </w:tc>
        <w:tc>
          <w:tcPr>
            <w:tcW w:w="640" w:type="dxa"/>
            <w:vAlign w:val="bottom"/>
            <w:vMerge w:val="continue"/>
            <w:shd w:val="clear" w:color="auto" w:fill="005C5D"/>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1640" w:type="dxa"/>
            <w:vAlign w:val="bottom"/>
            <w:tcBorders>
              <w:bottom w:val="single" w:sz="8" w:color="005C5D"/>
            </w:tcBorders>
          </w:tcPr>
          <w:p>
            <w:pPr>
              <w:ind w:left="80"/>
              <w:spacing w:after="0"/>
              <w:rPr>
                <w:sz w:val="20"/>
                <w:szCs w:val="20"/>
                <w:color w:val="auto"/>
              </w:rPr>
            </w:pPr>
            <w:r>
              <w:rPr>
                <w:rFonts w:ascii="Arial" w:cs="Arial" w:eastAsia="Arial" w:hAnsi="Arial"/>
                <w:sz w:val="14"/>
                <w:szCs w:val="14"/>
                <w:color w:val="333333"/>
              </w:rPr>
              <w:t>2026</w:t>
            </w:r>
          </w:p>
        </w:tc>
        <w:tc>
          <w:tcPr>
            <w:tcW w:w="1140" w:type="dxa"/>
            <w:vAlign w:val="bottom"/>
            <w:tcBorders>
              <w:bottom w:val="single" w:sz="8" w:color="005C5D"/>
            </w:tcBorders>
            <w:gridSpan w:val="3"/>
            <w:shd w:val="clear" w:color="auto" w:fill="FCEFEB"/>
          </w:tcPr>
          <w:p>
            <w:pPr>
              <w:jc w:val="center"/>
              <w:spacing w:after="0"/>
              <w:rPr>
                <w:sz w:val="20"/>
                <w:szCs w:val="20"/>
                <w:color w:val="auto"/>
              </w:rPr>
            </w:pPr>
            <w:r>
              <w:rPr>
                <w:rFonts w:ascii="Arial" w:cs="Arial" w:eastAsia="Arial" w:hAnsi="Arial"/>
                <w:sz w:val="14"/>
                <w:szCs w:val="14"/>
                <w:color w:val="333333"/>
              </w:rPr>
              <w:t>$1,804,108</w:t>
            </w:r>
          </w:p>
        </w:tc>
        <w:tc>
          <w:tcPr>
            <w:tcW w:w="1000" w:type="dxa"/>
            <w:vAlign w:val="bottom"/>
            <w:tcBorders>
              <w:bottom w:val="single" w:sz="8" w:color="005C5D"/>
            </w:tcBorders>
            <w:gridSpan w:val="2"/>
            <w:shd w:val="clear" w:color="auto" w:fill="FCEFEB"/>
          </w:tcPr>
          <w:p>
            <w:pPr>
              <w:jc w:val="center"/>
              <w:ind w:right="74"/>
              <w:spacing w:after="0"/>
              <w:rPr>
                <w:sz w:val="20"/>
                <w:szCs w:val="20"/>
                <w:color w:val="auto"/>
              </w:rPr>
            </w:pPr>
            <w:r>
              <w:rPr>
                <w:rFonts w:ascii="Arial" w:cs="Arial" w:eastAsia="Arial" w:hAnsi="Arial"/>
                <w:sz w:val="14"/>
                <w:szCs w:val="14"/>
                <w:color w:val="333333"/>
                <w:w w:val="99"/>
              </w:rPr>
              <w:t>$1,972,112</w:t>
            </w:r>
          </w:p>
        </w:tc>
        <w:tc>
          <w:tcPr>
            <w:tcW w:w="980" w:type="dxa"/>
            <w:vAlign w:val="bottom"/>
            <w:tcBorders>
              <w:bottom w:val="single" w:sz="8" w:color="005C5D"/>
            </w:tcBorders>
            <w:gridSpan w:val="2"/>
            <w:shd w:val="clear" w:color="auto" w:fill="FCEFEB"/>
          </w:tcPr>
          <w:p>
            <w:pPr>
              <w:jc w:val="right"/>
              <w:ind w:right="138"/>
              <w:spacing w:after="0"/>
              <w:rPr>
                <w:sz w:val="20"/>
                <w:szCs w:val="20"/>
                <w:color w:val="auto"/>
              </w:rPr>
            </w:pPr>
            <w:r>
              <w:rPr>
                <w:rFonts w:ascii="Arial" w:cs="Arial" w:eastAsia="Arial" w:hAnsi="Arial"/>
                <w:sz w:val="14"/>
                <w:szCs w:val="14"/>
                <w:color w:val="333333"/>
              </w:rPr>
              <w:t>$3,228,963</w:t>
            </w:r>
          </w:p>
        </w:tc>
        <w:tc>
          <w:tcPr>
            <w:tcW w:w="1080" w:type="dxa"/>
            <w:vAlign w:val="bottom"/>
            <w:tcBorders>
              <w:bottom w:val="single" w:sz="8" w:color="005C5D"/>
            </w:tcBorders>
            <w:gridSpan w:val="2"/>
            <w:shd w:val="clear" w:color="auto" w:fill="FCEFEB"/>
          </w:tcPr>
          <w:p>
            <w:pPr>
              <w:jc w:val="right"/>
              <w:ind w:right="158"/>
              <w:spacing w:after="0"/>
              <w:rPr>
                <w:sz w:val="20"/>
                <w:szCs w:val="20"/>
                <w:color w:val="auto"/>
              </w:rPr>
            </w:pPr>
            <w:r>
              <w:rPr>
                <w:rFonts w:ascii="Arial" w:cs="Arial" w:eastAsia="Arial" w:hAnsi="Arial"/>
                <w:sz w:val="14"/>
                <w:szCs w:val="14"/>
                <w:color w:val="333333"/>
              </w:rPr>
              <w:t>$   20,886</w:t>
            </w:r>
          </w:p>
        </w:tc>
        <w:tc>
          <w:tcPr>
            <w:tcW w:w="980" w:type="dxa"/>
            <w:vAlign w:val="bottom"/>
            <w:tcBorders>
              <w:bottom w:val="single" w:sz="8" w:color="005C5D"/>
            </w:tcBorders>
            <w:gridSpan w:val="3"/>
            <w:shd w:val="clear" w:color="auto" w:fill="FCEFEB"/>
          </w:tcPr>
          <w:p>
            <w:pPr>
              <w:jc w:val="right"/>
              <w:ind w:right="181"/>
              <w:spacing w:after="0"/>
              <w:rPr>
                <w:sz w:val="20"/>
                <w:szCs w:val="20"/>
                <w:color w:val="auto"/>
              </w:rPr>
            </w:pPr>
            <w:r>
              <w:rPr>
                <w:rFonts w:ascii="Arial" w:cs="Arial" w:eastAsia="Arial" w:hAnsi="Arial"/>
                <w:sz w:val="14"/>
                <w:szCs w:val="14"/>
                <w:color w:val="333333"/>
              </w:rPr>
              <w:t>$1,063,785</w:t>
            </w:r>
          </w:p>
        </w:tc>
        <w:tc>
          <w:tcPr>
            <w:tcW w:w="1000" w:type="dxa"/>
            <w:vAlign w:val="bottom"/>
            <w:tcBorders>
              <w:bottom w:val="single" w:sz="8" w:color="005C5D"/>
            </w:tcBorders>
            <w:gridSpan w:val="2"/>
            <w:shd w:val="clear" w:color="auto" w:fill="FCEFEB"/>
          </w:tcPr>
          <w:p>
            <w:pPr>
              <w:jc w:val="right"/>
              <w:ind w:right="158"/>
              <w:spacing w:after="0"/>
              <w:rPr>
                <w:sz w:val="20"/>
                <w:szCs w:val="20"/>
                <w:color w:val="auto"/>
              </w:rPr>
            </w:pPr>
            <w:r>
              <w:rPr>
                <w:rFonts w:ascii="Arial" w:cs="Arial" w:eastAsia="Arial" w:hAnsi="Arial"/>
                <w:sz w:val="14"/>
                <w:szCs w:val="14"/>
                <w:color w:val="333333"/>
              </w:rPr>
              <w:t>$  556,817</w:t>
            </w:r>
          </w:p>
        </w:tc>
        <w:tc>
          <w:tcPr>
            <w:tcW w:w="860" w:type="dxa"/>
            <w:vAlign w:val="bottom"/>
            <w:tcBorders>
              <w:bottom w:val="single" w:sz="8" w:color="005C5D"/>
            </w:tcBorders>
            <w:gridSpan w:val="2"/>
            <w:shd w:val="clear" w:color="auto" w:fill="FCEFEB"/>
          </w:tcPr>
          <w:p>
            <w:pPr>
              <w:jc w:val="right"/>
              <w:ind w:right="158"/>
              <w:spacing w:after="0"/>
              <w:rPr>
                <w:sz w:val="20"/>
                <w:szCs w:val="20"/>
                <w:color w:val="auto"/>
              </w:rPr>
            </w:pPr>
            <w:r>
              <w:rPr>
                <w:rFonts w:ascii="Arial" w:cs="Arial" w:eastAsia="Arial" w:hAnsi="Arial"/>
                <w:sz w:val="14"/>
                <w:szCs w:val="14"/>
                <w:color w:val="333333"/>
              </w:rPr>
              <w:t>$28.39</w:t>
            </w:r>
          </w:p>
        </w:tc>
        <w:tc>
          <w:tcPr>
            <w:tcW w:w="840" w:type="dxa"/>
            <w:vAlign w:val="bottom"/>
            <w:tcBorders>
              <w:bottom w:val="single" w:sz="8" w:color="005C5D"/>
            </w:tcBorders>
            <w:gridSpan w:val="2"/>
            <w:shd w:val="clear" w:color="auto" w:fill="FCEFEB"/>
          </w:tcPr>
          <w:p>
            <w:pPr>
              <w:jc w:val="right"/>
              <w:ind w:right="138"/>
              <w:spacing w:after="0"/>
              <w:rPr>
                <w:sz w:val="20"/>
                <w:szCs w:val="20"/>
                <w:color w:val="auto"/>
              </w:rPr>
            </w:pPr>
            <w:r>
              <w:rPr>
                <w:rFonts w:ascii="Arial" w:cs="Arial" w:eastAsia="Arial" w:hAnsi="Arial"/>
                <w:sz w:val="14"/>
                <w:szCs w:val="14"/>
                <w:color w:val="333333"/>
              </w:rPr>
              <w:t>$54.60</w:t>
            </w:r>
          </w:p>
        </w:tc>
        <w:tc>
          <w:tcPr>
            <w:tcW w:w="720" w:type="dxa"/>
            <w:vAlign w:val="bottom"/>
            <w:tcBorders>
              <w:bottom w:val="single" w:sz="8" w:color="005C5D"/>
            </w:tcBorders>
            <w:gridSpan w:val="2"/>
            <w:shd w:val="clear" w:color="auto" w:fill="FCEFEB"/>
          </w:tcPr>
          <w:p>
            <w:pPr>
              <w:jc w:val="right"/>
              <w:ind w:right="158"/>
              <w:spacing w:after="0"/>
              <w:rPr>
                <w:sz w:val="20"/>
                <w:szCs w:val="20"/>
                <w:color w:val="auto"/>
              </w:rPr>
            </w:pPr>
            <w:r>
              <w:rPr>
                <w:rFonts w:ascii="Arial" w:cs="Arial" w:eastAsia="Arial" w:hAnsi="Arial"/>
                <w:sz w:val="14"/>
                <w:szCs w:val="14"/>
                <w:color w:val="333333"/>
              </w:rPr>
              <w:t>$(47.8)</w:t>
            </w:r>
          </w:p>
        </w:tc>
        <w:tc>
          <w:tcPr>
            <w:tcW w:w="680" w:type="dxa"/>
            <w:vAlign w:val="bottom"/>
            <w:tcBorders>
              <w:bottom w:val="single" w:sz="8" w:color="005C5D"/>
            </w:tcBorders>
            <w:gridSpan w:val="2"/>
            <w:shd w:val="clear" w:color="auto" w:fill="FCEFEB"/>
          </w:tcPr>
          <w:p>
            <w:pPr>
              <w:jc w:val="right"/>
              <w:spacing w:after="0"/>
              <w:rPr>
                <w:sz w:val="20"/>
                <w:szCs w:val="20"/>
                <w:color w:val="auto"/>
              </w:rPr>
            </w:pPr>
            <w:r>
              <w:rPr>
                <w:rFonts w:ascii="Arial" w:cs="Arial" w:eastAsia="Arial" w:hAnsi="Arial"/>
                <w:sz w:val="14"/>
                <w:szCs w:val="14"/>
                <w:color w:val="333333"/>
              </w:rPr>
              <w:t>$(0.59)</w:t>
            </w:r>
            <w:r>
              <w:rPr>
                <w:rFonts w:ascii="Arial" w:cs="Arial" w:eastAsia="Arial" w:hAnsi="Arial"/>
                <w:sz w:val="17"/>
                <w:szCs w:val="17"/>
                <w:color w:val="333333"/>
                <w:vertAlign w:val="superscript"/>
              </w:rPr>
              <w:t>(4)</w:t>
            </w:r>
          </w:p>
        </w:tc>
        <w:tc>
          <w:tcPr>
            <w:tcW w:w="0" w:type="dxa"/>
            <w:vAlign w:val="bottom"/>
          </w:tcPr>
          <w:p>
            <w:pPr>
              <w:spacing w:after="0"/>
              <w:rPr>
                <w:sz w:val="1"/>
                <w:szCs w:val="1"/>
                <w:color w:val="auto"/>
              </w:rPr>
            </w:pPr>
          </w:p>
        </w:tc>
      </w:tr>
      <w:tr>
        <w:trPr>
          <w:trHeight w:val="274"/>
        </w:trPr>
        <w:tc>
          <w:tcPr>
            <w:tcW w:w="1640" w:type="dxa"/>
            <w:vAlign w:val="bottom"/>
            <w:tcBorders>
              <w:bottom w:val="single" w:sz="8" w:color="005C5D"/>
            </w:tcBorders>
          </w:tcPr>
          <w:p>
            <w:pPr>
              <w:ind w:left="80"/>
              <w:spacing w:after="0"/>
              <w:rPr>
                <w:sz w:val="20"/>
                <w:szCs w:val="20"/>
                <w:color w:val="auto"/>
              </w:rPr>
            </w:pPr>
            <w:r>
              <w:rPr>
                <w:rFonts w:ascii="Arial" w:cs="Arial" w:eastAsia="Arial" w:hAnsi="Arial"/>
                <w:sz w:val="14"/>
                <w:szCs w:val="14"/>
                <w:color w:val="333333"/>
              </w:rPr>
              <w:t>2025</w:t>
            </w:r>
          </w:p>
        </w:tc>
        <w:tc>
          <w:tcPr>
            <w:tcW w:w="160" w:type="dxa"/>
            <w:vAlign w:val="bottom"/>
            <w:tcBorders>
              <w:bottom w:val="single" w:sz="8" w:color="005C5D"/>
            </w:tcBorders>
            <w:shd w:val="clear" w:color="auto" w:fill="FCEFEB"/>
          </w:tcPr>
          <w:p>
            <w:pPr>
              <w:spacing w:after="0"/>
              <w:rPr>
                <w:sz w:val="23"/>
                <w:szCs w:val="23"/>
                <w:color w:val="auto"/>
              </w:rPr>
            </w:pPr>
          </w:p>
        </w:tc>
        <w:tc>
          <w:tcPr>
            <w:tcW w:w="60" w:type="dxa"/>
            <w:vAlign w:val="bottom"/>
            <w:tcBorders>
              <w:bottom w:val="single" w:sz="8" w:color="005C5D"/>
            </w:tcBorders>
            <w:shd w:val="clear" w:color="auto" w:fill="FCEFEB"/>
          </w:tcPr>
          <w:p>
            <w:pPr>
              <w:spacing w:after="0"/>
              <w:rPr>
                <w:sz w:val="23"/>
                <w:szCs w:val="23"/>
                <w:color w:val="auto"/>
              </w:rPr>
            </w:pPr>
          </w:p>
        </w:tc>
        <w:tc>
          <w:tcPr>
            <w:tcW w:w="920" w:type="dxa"/>
            <w:vAlign w:val="bottom"/>
            <w:tcBorders>
              <w:bottom w:val="single" w:sz="8" w:color="005C5D"/>
            </w:tcBorders>
            <w:shd w:val="clear" w:color="auto" w:fill="FCEFEB"/>
          </w:tcPr>
          <w:p>
            <w:pPr>
              <w:ind w:left="480"/>
              <w:spacing w:after="0"/>
              <w:rPr>
                <w:sz w:val="20"/>
                <w:szCs w:val="20"/>
                <w:color w:val="auto"/>
              </w:rPr>
            </w:pPr>
            <w:r>
              <w:rPr>
                <w:rFonts w:ascii="Arial" w:cs="Arial" w:eastAsia="Arial" w:hAnsi="Arial"/>
                <w:sz w:val="14"/>
                <w:szCs w:val="14"/>
                <w:color w:val="333333"/>
              </w:rPr>
              <w:t>N/A</w:t>
            </w:r>
          </w:p>
        </w:tc>
        <w:tc>
          <w:tcPr>
            <w:tcW w:w="80" w:type="dxa"/>
            <w:vAlign w:val="bottom"/>
            <w:tcBorders>
              <w:bottom w:val="single" w:sz="8" w:color="005C5D"/>
            </w:tcBorders>
            <w:shd w:val="clear" w:color="auto" w:fill="FCEFEB"/>
          </w:tcPr>
          <w:p>
            <w:pPr>
              <w:spacing w:after="0"/>
              <w:rPr>
                <w:sz w:val="23"/>
                <w:szCs w:val="23"/>
                <w:color w:val="auto"/>
              </w:rPr>
            </w:pPr>
          </w:p>
        </w:tc>
        <w:tc>
          <w:tcPr>
            <w:tcW w:w="920" w:type="dxa"/>
            <w:vAlign w:val="bottom"/>
            <w:tcBorders>
              <w:bottom w:val="single" w:sz="8" w:color="005C5D"/>
            </w:tcBorders>
            <w:shd w:val="clear" w:color="auto" w:fill="FCEFEB"/>
          </w:tcPr>
          <w:p>
            <w:pPr>
              <w:ind w:left="460"/>
              <w:spacing w:after="0"/>
              <w:rPr>
                <w:sz w:val="20"/>
                <w:szCs w:val="20"/>
                <w:color w:val="auto"/>
              </w:rPr>
            </w:pPr>
            <w:r>
              <w:rPr>
                <w:rFonts w:ascii="Arial" w:cs="Arial" w:eastAsia="Arial" w:hAnsi="Arial"/>
                <w:sz w:val="14"/>
                <w:szCs w:val="14"/>
                <w:color w:val="333333"/>
              </w:rPr>
              <w:t>N/A</w:t>
            </w:r>
          </w:p>
        </w:tc>
        <w:tc>
          <w:tcPr>
            <w:tcW w:w="980" w:type="dxa"/>
            <w:vAlign w:val="bottom"/>
            <w:tcBorders>
              <w:bottom w:val="single" w:sz="8" w:color="005C5D"/>
            </w:tcBorders>
            <w:gridSpan w:val="2"/>
            <w:shd w:val="clear" w:color="auto" w:fill="FCEFEB"/>
          </w:tcPr>
          <w:p>
            <w:pPr>
              <w:jc w:val="right"/>
              <w:ind w:right="138"/>
              <w:spacing w:after="0"/>
              <w:rPr>
                <w:sz w:val="20"/>
                <w:szCs w:val="20"/>
                <w:color w:val="auto"/>
              </w:rPr>
            </w:pPr>
            <w:r>
              <w:rPr>
                <w:rFonts w:ascii="Arial" w:cs="Arial" w:eastAsia="Arial" w:hAnsi="Arial"/>
                <w:sz w:val="14"/>
                <w:szCs w:val="14"/>
                <w:color w:val="333333"/>
              </w:rPr>
              <w:t>2,360,009</w:t>
            </w:r>
          </w:p>
        </w:tc>
        <w:tc>
          <w:tcPr>
            <w:tcW w:w="1080" w:type="dxa"/>
            <w:vAlign w:val="bottom"/>
            <w:tcBorders>
              <w:bottom w:val="single" w:sz="8" w:color="005C5D"/>
            </w:tcBorders>
            <w:gridSpan w:val="2"/>
            <w:shd w:val="clear" w:color="auto" w:fill="FCEFEB"/>
          </w:tcPr>
          <w:p>
            <w:pPr>
              <w:jc w:val="right"/>
              <w:ind w:right="158"/>
              <w:spacing w:after="0"/>
              <w:rPr>
                <w:sz w:val="20"/>
                <w:szCs w:val="20"/>
                <w:color w:val="auto"/>
              </w:rPr>
            </w:pPr>
            <w:r>
              <w:rPr>
                <w:rFonts w:ascii="Arial" w:cs="Arial" w:eastAsia="Arial" w:hAnsi="Arial"/>
                <w:sz w:val="14"/>
                <w:szCs w:val="14"/>
                <w:color w:val="333333"/>
              </w:rPr>
              <w:t>(276,237)</w:t>
            </w:r>
          </w:p>
        </w:tc>
        <w:tc>
          <w:tcPr>
            <w:tcW w:w="980" w:type="dxa"/>
            <w:vAlign w:val="bottom"/>
            <w:tcBorders>
              <w:bottom w:val="single" w:sz="8" w:color="005C5D"/>
            </w:tcBorders>
            <w:gridSpan w:val="3"/>
            <w:shd w:val="clear" w:color="auto" w:fill="FCEFEB"/>
          </w:tcPr>
          <w:p>
            <w:pPr>
              <w:jc w:val="right"/>
              <w:ind w:right="181"/>
              <w:spacing w:after="0"/>
              <w:rPr>
                <w:sz w:val="20"/>
                <w:szCs w:val="20"/>
                <w:color w:val="auto"/>
              </w:rPr>
            </w:pPr>
            <w:r>
              <w:rPr>
                <w:rFonts w:ascii="Arial" w:cs="Arial" w:eastAsia="Arial" w:hAnsi="Arial"/>
                <w:sz w:val="14"/>
                <w:szCs w:val="14"/>
                <w:color w:val="333333"/>
              </w:rPr>
              <w:t>849,335</w:t>
            </w:r>
          </w:p>
        </w:tc>
        <w:tc>
          <w:tcPr>
            <w:tcW w:w="1000" w:type="dxa"/>
            <w:vAlign w:val="bottom"/>
            <w:tcBorders>
              <w:bottom w:val="single" w:sz="8" w:color="005C5D"/>
            </w:tcBorders>
            <w:gridSpan w:val="2"/>
            <w:shd w:val="clear" w:color="auto" w:fill="FCEFEB"/>
          </w:tcPr>
          <w:p>
            <w:pPr>
              <w:jc w:val="right"/>
              <w:ind w:right="158"/>
              <w:spacing w:after="0"/>
              <w:rPr>
                <w:sz w:val="20"/>
                <w:szCs w:val="20"/>
                <w:color w:val="auto"/>
              </w:rPr>
            </w:pPr>
            <w:r>
              <w:rPr>
                <w:rFonts w:ascii="Arial" w:cs="Arial" w:eastAsia="Arial" w:hAnsi="Arial"/>
                <w:sz w:val="14"/>
                <w:szCs w:val="14"/>
                <w:color w:val="333333"/>
              </w:rPr>
              <w:t>349,955</w:t>
            </w:r>
          </w:p>
        </w:tc>
        <w:tc>
          <w:tcPr>
            <w:tcW w:w="860" w:type="dxa"/>
            <w:vAlign w:val="bottom"/>
            <w:tcBorders>
              <w:bottom w:val="single" w:sz="8" w:color="005C5D"/>
            </w:tcBorders>
            <w:gridSpan w:val="2"/>
            <w:shd w:val="clear" w:color="auto" w:fill="FCEFEB"/>
          </w:tcPr>
          <w:p>
            <w:pPr>
              <w:jc w:val="right"/>
              <w:ind w:right="158"/>
              <w:spacing w:after="0"/>
              <w:rPr>
                <w:sz w:val="20"/>
                <w:szCs w:val="20"/>
                <w:color w:val="auto"/>
              </w:rPr>
            </w:pPr>
            <w:r>
              <w:rPr>
                <w:rFonts w:ascii="Arial" w:cs="Arial" w:eastAsia="Arial" w:hAnsi="Arial"/>
                <w:sz w:val="14"/>
                <w:szCs w:val="14"/>
                <w:color w:val="333333"/>
              </w:rPr>
              <w:t>39.02</w:t>
            </w:r>
          </w:p>
        </w:tc>
        <w:tc>
          <w:tcPr>
            <w:tcW w:w="840" w:type="dxa"/>
            <w:vAlign w:val="bottom"/>
            <w:tcBorders>
              <w:bottom w:val="single" w:sz="8" w:color="005C5D"/>
            </w:tcBorders>
            <w:gridSpan w:val="2"/>
            <w:shd w:val="clear" w:color="auto" w:fill="FCEFEB"/>
          </w:tcPr>
          <w:p>
            <w:pPr>
              <w:jc w:val="right"/>
              <w:ind w:right="138"/>
              <w:spacing w:after="0"/>
              <w:rPr>
                <w:sz w:val="20"/>
                <w:szCs w:val="20"/>
                <w:color w:val="auto"/>
              </w:rPr>
            </w:pPr>
            <w:r>
              <w:rPr>
                <w:rFonts w:ascii="Arial" w:cs="Arial" w:eastAsia="Arial" w:hAnsi="Arial"/>
                <w:sz w:val="14"/>
                <w:szCs w:val="14"/>
                <w:color w:val="333333"/>
              </w:rPr>
              <w:t>62.76</w:t>
            </w:r>
          </w:p>
        </w:tc>
        <w:tc>
          <w:tcPr>
            <w:tcW w:w="720" w:type="dxa"/>
            <w:vAlign w:val="bottom"/>
            <w:tcBorders>
              <w:bottom w:val="single" w:sz="8" w:color="005C5D"/>
            </w:tcBorders>
            <w:gridSpan w:val="2"/>
            <w:shd w:val="clear" w:color="auto" w:fill="FCEFEB"/>
          </w:tcPr>
          <w:p>
            <w:pPr>
              <w:jc w:val="right"/>
              <w:ind w:right="158"/>
              <w:spacing w:after="0"/>
              <w:rPr>
                <w:sz w:val="20"/>
                <w:szCs w:val="20"/>
                <w:color w:val="auto"/>
              </w:rPr>
            </w:pPr>
            <w:r>
              <w:rPr>
                <w:rFonts w:ascii="Arial" w:cs="Arial" w:eastAsia="Arial" w:hAnsi="Arial"/>
                <w:sz w:val="14"/>
                <w:szCs w:val="14"/>
                <w:color w:val="333333"/>
              </w:rPr>
              <w:t>(62.2)</w:t>
            </w:r>
          </w:p>
        </w:tc>
        <w:tc>
          <w:tcPr>
            <w:tcW w:w="680" w:type="dxa"/>
            <w:vAlign w:val="bottom"/>
            <w:tcBorders>
              <w:bottom w:val="single" w:sz="8" w:color="005C5D"/>
            </w:tcBorders>
            <w:gridSpan w:val="2"/>
            <w:shd w:val="clear" w:color="auto" w:fill="FCEFEB"/>
          </w:tcPr>
          <w:p>
            <w:pPr>
              <w:jc w:val="right"/>
              <w:spacing w:after="0"/>
              <w:rPr>
                <w:sz w:val="20"/>
                <w:szCs w:val="20"/>
                <w:color w:val="auto"/>
              </w:rPr>
            </w:pPr>
            <w:r>
              <w:rPr>
                <w:rFonts w:ascii="Arial" w:cs="Arial" w:eastAsia="Arial" w:hAnsi="Arial"/>
                <w:sz w:val="14"/>
                <w:szCs w:val="14"/>
                <w:color w:val="333333"/>
              </w:rPr>
              <w:t>(0.64)</w:t>
            </w:r>
            <w:r>
              <w:rPr>
                <w:rFonts w:ascii="Arial" w:cs="Arial" w:eastAsia="Arial" w:hAnsi="Arial"/>
                <w:sz w:val="17"/>
                <w:szCs w:val="17"/>
                <w:color w:val="333333"/>
                <w:vertAlign w:val="superscript"/>
              </w:rPr>
              <w:t>(5)</w:t>
            </w:r>
          </w:p>
        </w:tc>
        <w:tc>
          <w:tcPr>
            <w:tcW w:w="0" w:type="dxa"/>
            <w:vAlign w:val="bottom"/>
          </w:tcPr>
          <w:p>
            <w:pPr>
              <w:spacing w:after="0"/>
              <w:rPr>
                <w:sz w:val="1"/>
                <w:szCs w:val="1"/>
                <w:color w:val="auto"/>
              </w:rPr>
            </w:pPr>
          </w:p>
        </w:tc>
      </w:tr>
      <w:tr>
        <w:trPr>
          <w:trHeight w:val="281"/>
        </w:trPr>
        <w:tc>
          <w:tcPr>
            <w:tcW w:w="1640" w:type="dxa"/>
            <w:vAlign w:val="bottom"/>
            <w:tcBorders>
              <w:bottom w:val="single" w:sz="8" w:color="005C5D"/>
            </w:tcBorders>
          </w:tcPr>
          <w:p>
            <w:pPr>
              <w:ind w:left="80"/>
              <w:spacing w:after="0"/>
              <w:rPr>
                <w:sz w:val="20"/>
                <w:szCs w:val="20"/>
                <w:color w:val="auto"/>
              </w:rPr>
            </w:pPr>
            <w:r>
              <w:rPr>
                <w:rFonts w:ascii="Arial" w:cs="Arial" w:eastAsia="Arial" w:hAnsi="Arial"/>
                <w:sz w:val="14"/>
                <w:szCs w:val="14"/>
                <w:color w:val="333333"/>
              </w:rPr>
              <w:t>2024</w:t>
            </w:r>
          </w:p>
        </w:tc>
        <w:tc>
          <w:tcPr>
            <w:tcW w:w="160" w:type="dxa"/>
            <w:vAlign w:val="bottom"/>
            <w:tcBorders>
              <w:bottom w:val="single" w:sz="8" w:color="005C5D"/>
            </w:tcBorders>
            <w:shd w:val="clear" w:color="auto" w:fill="FCEFEB"/>
          </w:tcPr>
          <w:p>
            <w:pPr>
              <w:spacing w:after="0"/>
              <w:rPr>
                <w:sz w:val="24"/>
                <w:szCs w:val="24"/>
                <w:color w:val="auto"/>
              </w:rPr>
            </w:pPr>
          </w:p>
        </w:tc>
        <w:tc>
          <w:tcPr>
            <w:tcW w:w="60" w:type="dxa"/>
            <w:vAlign w:val="bottom"/>
            <w:tcBorders>
              <w:bottom w:val="single" w:sz="8" w:color="005C5D"/>
            </w:tcBorders>
            <w:shd w:val="clear" w:color="auto" w:fill="FCEFEB"/>
          </w:tcPr>
          <w:p>
            <w:pPr>
              <w:spacing w:after="0"/>
              <w:rPr>
                <w:sz w:val="24"/>
                <w:szCs w:val="24"/>
                <w:color w:val="auto"/>
              </w:rPr>
            </w:pPr>
          </w:p>
        </w:tc>
        <w:tc>
          <w:tcPr>
            <w:tcW w:w="920" w:type="dxa"/>
            <w:vAlign w:val="bottom"/>
            <w:tcBorders>
              <w:bottom w:val="single" w:sz="8" w:color="005C5D"/>
            </w:tcBorders>
            <w:shd w:val="clear" w:color="auto" w:fill="FCEFEB"/>
          </w:tcPr>
          <w:p>
            <w:pPr>
              <w:ind w:left="480"/>
              <w:spacing w:after="0"/>
              <w:rPr>
                <w:sz w:val="20"/>
                <w:szCs w:val="20"/>
                <w:color w:val="auto"/>
              </w:rPr>
            </w:pPr>
            <w:r>
              <w:rPr>
                <w:rFonts w:ascii="Arial" w:cs="Arial" w:eastAsia="Arial" w:hAnsi="Arial"/>
                <w:sz w:val="14"/>
                <w:szCs w:val="14"/>
                <w:color w:val="333333"/>
              </w:rPr>
              <w:t>N/A</w:t>
            </w:r>
          </w:p>
        </w:tc>
        <w:tc>
          <w:tcPr>
            <w:tcW w:w="80" w:type="dxa"/>
            <w:vAlign w:val="bottom"/>
            <w:tcBorders>
              <w:bottom w:val="single" w:sz="8" w:color="005C5D"/>
            </w:tcBorders>
            <w:shd w:val="clear" w:color="auto" w:fill="FCEFEB"/>
          </w:tcPr>
          <w:p>
            <w:pPr>
              <w:spacing w:after="0"/>
              <w:rPr>
                <w:sz w:val="24"/>
                <w:szCs w:val="24"/>
                <w:color w:val="auto"/>
              </w:rPr>
            </w:pPr>
          </w:p>
        </w:tc>
        <w:tc>
          <w:tcPr>
            <w:tcW w:w="920" w:type="dxa"/>
            <w:vAlign w:val="bottom"/>
            <w:tcBorders>
              <w:bottom w:val="single" w:sz="8" w:color="005C5D"/>
            </w:tcBorders>
            <w:shd w:val="clear" w:color="auto" w:fill="FCEFEB"/>
          </w:tcPr>
          <w:p>
            <w:pPr>
              <w:ind w:left="460"/>
              <w:spacing w:after="0"/>
              <w:rPr>
                <w:sz w:val="20"/>
                <w:szCs w:val="20"/>
                <w:color w:val="auto"/>
              </w:rPr>
            </w:pPr>
            <w:r>
              <w:rPr>
                <w:rFonts w:ascii="Arial" w:cs="Arial" w:eastAsia="Arial" w:hAnsi="Arial"/>
                <w:sz w:val="14"/>
                <w:szCs w:val="14"/>
                <w:color w:val="333333"/>
              </w:rPr>
              <w:t>N/A</w:t>
            </w:r>
          </w:p>
        </w:tc>
        <w:tc>
          <w:tcPr>
            <w:tcW w:w="980" w:type="dxa"/>
            <w:vAlign w:val="bottom"/>
            <w:tcBorders>
              <w:bottom w:val="single" w:sz="8" w:color="005C5D"/>
            </w:tcBorders>
            <w:gridSpan w:val="2"/>
            <w:shd w:val="clear" w:color="auto" w:fill="FCEFEB"/>
          </w:tcPr>
          <w:p>
            <w:pPr>
              <w:jc w:val="right"/>
              <w:ind w:right="138"/>
              <w:spacing w:after="0"/>
              <w:rPr>
                <w:sz w:val="20"/>
                <w:szCs w:val="20"/>
                <w:color w:val="auto"/>
              </w:rPr>
            </w:pPr>
            <w:r>
              <w:rPr>
                <w:rFonts w:ascii="Arial" w:cs="Arial" w:eastAsia="Arial" w:hAnsi="Arial"/>
                <w:sz w:val="14"/>
                <w:szCs w:val="14"/>
                <w:color w:val="333333"/>
              </w:rPr>
              <w:t>1,976,075</w:t>
            </w:r>
          </w:p>
        </w:tc>
        <w:tc>
          <w:tcPr>
            <w:tcW w:w="1080" w:type="dxa"/>
            <w:vAlign w:val="bottom"/>
            <w:tcBorders>
              <w:bottom w:val="single" w:sz="8" w:color="005C5D"/>
            </w:tcBorders>
            <w:gridSpan w:val="2"/>
            <w:shd w:val="clear" w:color="auto" w:fill="FCEFEB"/>
          </w:tcPr>
          <w:p>
            <w:pPr>
              <w:jc w:val="right"/>
              <w:ind w:right="158"/>
              <w:spacing w:after="0"/>
              <w:rPr>
                <w:sz w:val="20"/>
                <w:szCs w:val="20"/>
                <w:color w:val="auto"/>
              </w:rPr>
            </w:pPr>
            <w:r>
              <w:rPr>
                <w:rFonts w:ascii="Arial" w:cs="Arial" w:eastAsia="Arial" w:hAnsi="Arial"/>
                <w:sz w:val="14"/>
                <w:szCs w:val="14"/>
                <w:color w:val="333333"/>
              </w:rPr>
              <w:t>3,404,946</w:t>
            </w:r>
          </w:p>
        </w:tc>
        <w:tc>
          <w:tcPr>
            <w:tcW w:w="980" w:type="dxa"/>
            <w:vAlign w:val="bottom"/>
            <w:tcBorders>
              <w:bottom w:val="single" w:sz="8" w:color="005C5D"/>
            </w:tcBorders>
            <w:gridSpan w:val="3"/>
            <w:shd w:val="clear" w:color="auto" w:fill="FCEFEB"/>
          </w:tcPr>
          <w:p>
            <w:pPr>
              <w:jc w:val="right"/>
              <w:ind w:right="181"/>
              <w:spacing w:after="0"/>
              <w:rPr>
                <w:sz w:val="20"/>
                <w:szCs w:val="20"/>
                <w:color w:val="auto"/>
              </w:rPr>
            </w:pPr>
            <w:r>
              <w:rPr>
                <w:rFonts w:ascii="Arial" w:cs="Arial" w:eastAsia="Arial" w:hAnsi="Arial"/>
                <w:sz w:val="14"/>
                <w:szCs w:val="14"/>
                <w:color w:val="333333"/>
              </w:rPr>
              <w:t>1,463,940</w:t>
            </w:r>
          </w:p>
        </w:tc>
        <w:tc>
          <w:tcPr>
            <w:tcW w:w="1000" w:type="dxa"/>
            <w:vAlign w:val="bottom"/>
            <w:tcBorders>
              <w:bottom w:val="single" w:sz="8" w:color="005C5D"/>
            </w:tcBorders>
            <w:gridSpan w:val="2"/>
            <w:shd w:val="clear" w:color="auto" w:fill="FCEFEB"/>
          </w:tcPr>
          <w:p>
            <w:pPr>
              <w:jc w:val="right"/>
              <w:ind w:right="158"/>
              <w:spacing w:after="0"/>
              <w:rPr>
                <w:sz w:val="20"/>
                <w:szCs w:val="20"/>
                <w:color w:val="auto"/>
              </w:rPr>
            </w:pPr>
            <w:r>
              <w:rPr>
                <w:rFonts w:ascii="Arial" w:cs="Arial" w:eastAsia="Arial" w:hAnsi="Arial"/>
                <w:sz w:val="14"/>
                <w:szCs w:val="14"/>
                <w:color w:val="333333"/>
              </w:rPr>
              <w:t>1,528,470</w:t>
            </w:r>
          </w:p>
        </w:tc>
        <w:tc>
          <w:tcPr>
            <w:tcW w:w="860" w:type="dxa"/>
            <w:vAlign w:val="bottom"/>
            <w:tcBorders>
              <w:bottom w:val="single" w:sz="8" w:color="005C5D"/>
            </w:tcBorders>
            <w:gridSpan w:val="2"/>
            <w:shd w:val="clear" w:color="auto" w:fill="FCEFEB"/>
          </w:tcPr>
          <w:p>
            <w:pPr>
              <w:jc w:val="right"/>
              <w:ind w:right="158"/>
              <w:spacing w:after="0"/>
              <w:rPr>
                <w:sz w:val="20"/>
                <w:szCs w:val="20"/>
                <w:color w:val="auto"/>
              </w:rPr>
            </w:pPr>
            <w:r>
              <w:rPr>
                <w:rFonts w:ascii="Arial" w:cs="Arial" w:eastAsia="Arial" w:hAnsi="Arial"/>
                <w:sz w:val="14"/>
                <w:szCs w:val="14"/>
                <w:color w:val="333333"/>
              </w:rPr>
              <w:t>92.76</w:t>
            </w:r>
          </w:p>
        </w:tc>
        <w:tc>
          <w:tcPr>
            <w:tcW w:w="840" w:type="dxa"/>
            <w:vAlign w:val="bottom"/>
            <w:tcBorders>
              <w:bottom w:val="single" w:sz="8" w:color="005C5D"/>
            </w:tcBorders>
            <w:gridSpan w:val="2"/>
            <w:shd w:val="clear" w:color="auto" w:fill="FCEFEB"/>
          </w:tcPr>
          <w:p>
            <w:pPr>
              <w:jc w:val="right"/>
              <w:ind w:right="138"/>
              <w:spacing w:after="0"/>
              <w:rPr>
                <w:sz w:val="20"/>
                <w:szCs w:val="20"/>
                <w:color w:val="auto"/>
              </w:rPr>
            </w:pPr>
            <w:r>
              <w:rPr>
                <w:rFonts w:ascii="Arial" w:cs="Arial" w:eastAsia="Arial" w:hAnsi="Arial"/>
                <w:sz w:val="14"/>
                <w:szCs w:val="14"/>
                <w:color w:val="333333"/>
              </w:rPr>
              <w:t>58.68</w:t>
            </w:r>
          </w:p>
        </w:tc>
        <w:tc>
          <w:tcPr>
            <w:tcW w:w="720" w:type="dxa"/>
            <w:vAlign w:val="bottom"/>
            <w:tcBorders>
              <w:bottom w:val="single" w:sz="8" w:color="005C5D"/>
            </w:tcBorders>
            <w:gridSpan w:val="2"/>
            <w:shd w:val="clear" w:color="auto" w:fill="FCEFEB"/>
          </w:tcPr>
          <w:p>
            <w:pPr>
              <w:jc w:val="right"/>
              <w:ind w:right="158"/>
              <w:spacing w:after="0"/>
              <w:rPr>
                <w:sz w:val="20"/>
                <w:szCs w:val="20"/>
                <w:color w:val="auto"/>
              </w:rPr>
            </w:pPr>
            <w:r>
              <w:rPr>
                <w:rFonts w:ascii="Arial" w:cs="Arial" w:eastAsia="Arial" w:hAnsi="Arial"/>
                <w:sz w:val="14"/>
                <w:szCs w:val="14"/>
                <w:color w:val="333333"/>
              </w:rPr>
              <w:t>7.8</w:t>
            </w:r>
          </w:p>
        </w:tc>
        <w:tc>
          <w:tcPr>
            <w:tcW w:w="680" w:type="dxa"/>
            <w:vAlign w:val="bottom"/>
            <w:tcBorders>
              <w:bottom w:val="single" w:sz="8" w:color="005C5D"/>
            </w:tcBorders>
            <w:gridSpan w:val="2"/>
            <w:shd w:val="clear" w:color="auto" w:fill="FCEFEB"/>
          </w:tcPr>
          <w:p>
            <w:pPr>
              <w:jc w:val="right"/>
              <w:spacing w:after="0"/>
              <w:rPr>
                <w:sz w:val="20"/>
                <w:szCs w:val="20"/>
                <w:color w:val="auto"/>
              </w:rPr>
            </w:pPr>
            <w:r>
              <w:rPr>
                <w:rFonts w:ascii="Arial" w:cs="Arial" w:eastAsia="Arial" w:hAnsi="Arial"/>
                <w:sz w:val="14"/>
                <w:szCs w:val="14"/>
                <w:color w:val="333333"/>
              </w:rPr>
              <w:t>0.55</w:t>
            </w:r>
            <w:r>
              <w:rPr>
                <w:rFonts w:ascii="Arial" w:cs="Arial" w:eastAsia="Arial" w:hAnsi="Arial"/>
                <w:sz w:val="17"/>
                <w:szCs w:val="17"/>
                <w:color w:val="333333"/>
                <w:vertAlign w:val="superscript"/>
              </w:rPr>
              <w:t>(6)</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20" w:hanging="313"/>
        <w:spacing w:after="0"/>
        <w:tabs>
          <w:tab w:leader="none" w:pos="320" w:val="left"/>
        </w:tabs>
        <w:numPr>
          <w:ilvl w:val="0"/>
          <w:numId w:val="52"/>
        </w:numPr>
        <w:rPr>
          <w:rFonts w:ascii="Arial" w:cs="Arial" w:eastAsia="Arial" w:hAnsi="Arial"/>
          <w:sz w:val="12"/>
          <w:szCs w:val="12"/>
          <w:color w:val="333333"/>
        </w:rPr>
      </w:pPr>
      <w:r>
        <w:rPr>
          <w:rFonts w:ascii="Arial" w:cs="Arial" w:eastAsia="Arial" w:hAnsi="Arial"/>
          <w:sz w:val="12"/>
          <w:szCs w:val="12"/>
          <w:color w:val="333333"/>
        </w:rPr>
        <w:t>The non-PEO NEOs include the following for each of the fiscal years presented: fiscal 2026, Mr. Layding, Mr. Schwindle, Mr. Dely, Ms. Hiatt, and Ms. Paraie; fiscal 2025: Mr. Schwindle,</w:t>
      </w:r>
    </w:p>
    <w:p>
      <w:pPr>
        <w:spacing w:after="0" w:line="7" w:lineRule="exact"/>
        <w:rPr>
          <w:rFonts w:ascii="Arial" w:cs="Arial" w:eastAsia="Arial" w:hAnsi="Arial"/>
          <w:sz w:val="12"/>
          <w:szCs w:val="12"/>
          <w:color w:val="333333"/>
        </w:rPr>
      </w:pPr>
    </w:p>
    <w:p>
      <w:pPr>
        <w:ind w:left="320"/>
        <w:spacing w:after="0" w:line="232" w:lineRule="auto"/>
        <w:rPr>
          <w:rFonts w:ascii="Arial" w:cs="Arial" w:eastAsia="Arial" w:hAnsi="Arial"/>
          <w:sz w:val="12"/>
          <w:szCs w:val="12"/>
          <w:color w:val="333333"/>
        </w:rPr>
      </w:pPr>
      <w:r>
        <w:rPr>
          <w:rFonts w:ascii="Arial" w:cs="Arial" w:eastAsia="Arial" w:hAnsi="Arial"/>
          <w:sz w:val="12"/>
          <w:szCs w:val="12"/>
          <w:color w:val="333333"/>
        </w:rPr>
        <w:t>Mr. Dely, Ms. Hiatt, and Ms. Hines; fiscal 2024: Mr. Schwindle, Mr. Enwright, Mr. Dely, and Ms. Hiatt.</w:t>
      </w:r>
    </w:p>
    <w:p>
      <w:pPr>
        <w:ind w:left="320" w:hanging="313"/>
        <w:spacing w:after="0" w:line="232" w:lineRule="auto"/>
        <w:tabs>
          <w:tab w:leader="none" w:pos="320" w:val="left"/>
        </w:tabs>
        <w:numPr>
          <w:ilvl w:val="0"/>
          <w:numId w:val="52"/>
        </w:numPr>
        <w:rPr>
          <w:rFonts w:ascii="Arial" w:cs="Arial" w:eastAsia="Arial" w:hAnsi="Arial"/>
          <w:sz w:val="12"/>
          <w:szCs w:val="12"/>
          <w:color w:val="333333"/>
        </w:rPr>
      </w:pPr>
      <w:r>
        <w:rPr>
          <w:rFonts w:ascii="Arial" w:cs="Arial" w:eastAsia="Arial" w:hAnsi="Arial"/>
          <w:sz w:val="12"/>
          <w:szCs w:val="12"/>
          <w:color w:val="333333"/>
        </w:rPr>
        <w:t>Represents the S&amp;P 500 Apparel, Accessories, and Luxury Goods Index.</w:t>
      </w:r>
    </w:p>
    <w:p>
      <w:pPr>
        <w:ind w:left="320" w:hanging="313"/>
        <w:spacing w:after="0" w:line="232" w:lineRule="auto"/>
        <w:tabs>
          <w:tab w:leader="none" w:pos="320" w:val="left"/>
        </w:tabs>
        <w:numPr>
          <w:ilvl w:val="0"/>
          <w:numId w:val="52"/>
        </w:numPr>
        <w:rPr>
          <w:rFonts w:ascii="Arial" w:cs="Arial" w:eastAsia="Arial" w:hAnsi="Arial"/>
          <w:sz w:val="12"/>
          <w:szCs w:val="12"/>
          <w:color w:val="333333"/>
        </w:rPr>
      </w:pPr>
      <w:r>
        <w:rPr>
          <w:rFonts w:ascii="Arial" w:cs="Arial" w:eastAsia="Arial" w:hAnsi="Arial"/>
          <w:sz w:val="12"/>
          <w:szCs w:val="12"/>
          <w:color w:val="333333"/>
        </w:rPr>
        <w:t>Refer to the Financial Results within the Proxy Summary of this document for an explanation of items impacting comparability of the GAAP net (loss) income for each of the years presented.</w:t>
      </w:r>
    </w:p>
    <w:p>
      <w:pPr>
        <w:jc w:val="both"/>
        <w:ind w:left="320" w:hanging="313"/>
        <w:spacing w:after="0" w:line="232" w:lineRule="auto"/>
        <w:tabs>
          <w:tab w:leader="none" w:pos="320" w:val="left"/>
        </w:tabs>
        <w:numPr>
          <w:ilvl w:val="0"/>
          <w:numId w:val="52"/>
        </w:numPr>
        <w:rPr>
          <w:rFonts w:ascii="Arial" w:cs="Arial" w:eastAsia="Arial" w:hAnsi="Arial"/>
          <w:sz w:val="12"/>
          <w:szCs w:val="12"/>
          <w:color w:val="333333"/>
        </w:rPr>
      </w:pPr>
      <w:r>
        <w:rPr>
          <w:rFonts w:ascii="Arial" w:cs="Arial" w:eastAsia="Arial" w:hAnsi="Arial"/>
          <w:sz w:val="12"/>
          <w:szCs w:val="12"/>
          <w:color w:val="333333"/>
        </w:rPr>
        <w:t>During fiscal 2026, Vera Bradley, Inc. GAAP diluted EPS from continuing operations of ($1.17) was impacted by pre-tax charges of $4.5 million for severance charges; $1.7 million for consulting and professional fees primarily associated with strategic initiatives; $1.2 million for professional fees associated with the sale of Pura Vida; $1.0 million for PPE impairment charges; $0.9 million for transformation initiatives; $0.6 million for PO cancellation fees; and $0.3 million for inventory write-off associated with the sale of Pua Vida. These results also include a total tax impact of $6.1 million adjusted to reflect the tax benefit calculated using a 26% statutory rate applied to the non-GAAP pre-tax loss. The net-of-tax impact totaled $16.3 million. Collectively, these charges negatively impacted EPS by approximately $0.58 in fiscal 2026.</w:t>
      </w:r>
    </w:p>
    <w:p>
      <w:pPr>
        <w:spacing w:after="0" w:line="1" w:lineRule="exact"/>
        <w:rPr>
          <w:rFonts w:ascii="Arial" w:cs="Arial" w:eastAsia="Arial" w:hAnsi="Arial"/>
          <w:sz w:val="12"/>
          <w:szCs w:val="12"/>
          <w:color w:val="333333"/>
        </w:rPr>
      </w:pPr>
    </w:p>
    <w:p>
      <w:pPr>
        <w:jc w:val="both"/>
        <w:ind w:left="320" w:hanging="313"/>
        <w:spacing w:after="0" w:line="232" w:lineRule="auto"/>
        <w:tabs>
          <w:tab w:leader="none" w:pos="320" w:val="left"/>
        </w:tabs>
        <w:numPr>
          <w:ilvl w:val="0"/>
          <w:numId w:val="52"/>
        </w:numPr>
        <w:rPr>
          <w:rFonts w:ascii="Arial" w:cs="Arial" w:eastAsia="Arial" w:hAnsi="Arial"/>
          <w:sz w:val="12"/>
          <w:szCs w:val="12"/>
          <w:color w:val="333333"/>
        </w:rPr>
      </w:pPr>
      <w:r>
        <w:rPr>
          <w:rFonts w:ascii="Arial" w:cs="Arial" w:eastAsia="Arial" w:hAnsi="Arial"/>
          <w:sz w:val="12"/>
          <w:szCs w:val="12"/>
          <w:color w:val="333333"/>
        </w:rPr>
        <w:t>During fiscal 2025, Vera Bradley, Inc. GAAP diluted EPS of ($2.15) was impacted by pre-tax charges of $6.2 million of intangible asset impairment charges, $3.9 million of severance charges, $2.6 million of PPE impairment charges, $1.3 million for the amortization of definite-lived intangible assets, $1.2 million of Project Restoration initiatives, $1.1 million of consulting and professional fees primarily associated with strategic initiatives, $1.1 million for software abandonment, $0.8 million of one-time vendor charges, and total tax impacts of $25.5 million for tax effects of these items plus a full valuation allowance against all net deferred tax assets, resulting in a total net-of-tax impact of $43.7 million. Collectively, these charges negatively impacted EPS by approximately $1.51 in fiscal 2025.</w:t>
      </w:r>
    </w:p>
    <w:p>
      <w:pPr>
        <w:spacing w:after="0" w:line="1" w:lineRule="exact"/>
        <w:rPr>
          <w:rFonts w:ascii="Arial" w:cs="Arial" w:eastAsia="Arial" w:hAnsi="Arial"/>
          <w:sz w:val="12"/>
          <w:szCs w:val="12"/>
          <w:color w:val="333333"/>
        </w:rPr>
      </w:pPr>
    </w:p>
    <w:p>
      <w:pPr>
        <w:jc w:val="both"/>
        <w:ind w:left="320" w:hanging="313"/>
        <w:spacing w:after="0" w:line="241" w:lineRule="auto"/>
        <w:tabs>
          <w:tab w:leader="none" w:pos="320" w:val="left"/>
        </w:tabs>
        <w:numPr>
          <w:ilvl w:val="0"/>
          <w:numId w:val="52"/>
        </w:numPr>
        <w:rPr>
          <w:rFonts w:ascii="Arial" w:cs="Arial" w:eastAsia="Arial" w:hAnsi="Arial"/>
          <w:sz w:val="12"/>
          <w:szCs w:val="12"/>
          <w:color w:val="333333"/>
        </w:rPr>
      </w:pPr>
      <w:r>
        <w:rPr>
          <w:rFonts w:ascii="Arial" w:cs="Arial" w:eastAsia="Arial" w:hAnsi="Arial"/>
          <w:sz w:val="12"/>
          <w:szCs w:val="12"/>
          <w:color w:val="333333"/>
        </w:rPr>
        <w:t>During fiscal 2024, Vera Bradley, Inc. GAAP diluted EPS of $0.25 was negatively impacted by pre-tax charges of $5.4 million of intangible asset impairment charges, $2.9 million for the amortization of definite-lived intangible assets, $2.9 million of severance charges, and $0.9 million of consulting and professional fees primarily associated with strategic initiatives. These results also include a total tax impact of ($2.7) million associated with the pre-tax items listed above, resulting in a $9.4 million net-of-tax impact. Collectively, these charges negatively impacted EPS by approximately $0.30 in fiscal 2024. Collectively, these charges negatively impacted EPS by approximately $0.30 in fiscal 2024.</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333333"/>
        </w:rPr>
        <w:t>CAP in the table above is calculated by adjusting the Summary Compensation Table (“SCT”) totals for the following items: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333333"/>
        </w:rPr>
        <w:t>For PEO, Mr. Bickley: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540" w:type="dxa"/>
            <w:vAlign w:val="bottom"/>
          </w:tcPr>
          <w:p>
            <w:pPr>
              <w:spacing w:after="0"/>
              <w:rPr>
                <w:sz w:val="13"/>
                <w:szCs w:val="13"/>
                <w:color w:val="auto"/>
              </w:rPr>
            </w:pPr>
          </w:p>
        </w:tc>
        <w:tc>
          <w:tcPr>
            <w:tcW w:w="240" w:type="dxa"/>
            <w:vAlign w:val="bottom"/>
            <w:shd w:val="clear" w:color="auto" w:fill="FCEFEB"/>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shd w:val="clear" w:color="auto" w:fill="FCEFEB"/>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shd w:val="clear" w:color="auto" w:fill="FCEFEB"/>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shd w:val="clear" w:color="auto" w:fill="FCEFEB"/>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shd w:val="clear" w:color="auto" w:fill="FCEFEB"/>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shd w:val="clear" w:color="auto" w:fill="FCEFEB"/>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shd w:val="clear" w:color="auto" w:fill="FCEFEB"/>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shd w:val="clear" w:color="auto" w:fill="FCEFEB"/>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shd w:val="clear" w:color="auto" w:fill="FCEFEB"/>
          </w:tcPr>
          <w:p>
            <w:pPr>
              <w:spacing w:after="0"/>
              <w:rPr>
                <w:sz w:val="13"/>
                <w:szCs w:val="13"/>
                <w:color w:val="auto"/>
              </w:rPr>
            </w:pPr>
          </w:p>
        </w:tc>
      </w:tr>
      <w:tr>
        <w:trPr>
          <w:trHeight w:val="218"/>
        </w:trPr>
        <w:tc>
          <w:tcPr>
            <w:tcW w:w="1540" w:type="dxa"/>
            <w:vAlign w:val="bottom"/>
            <w:shd w:val="clear" w:color="auto" w:fill="005C5D"/>
          </w:tcPr>
          <w:p>
            <w:pPr>
              <w:spacing w:after="0"/>
              <w:rPr>
                <w:sz w:val="18"/>
                <w:szCs w:val="18"/>
                <w:color w:val="auto"/>
              </w:rPr>
            </w:pPr>
          </w:p>
        </w:tc>
        <w:tc>
          <w:tcPr>
            <w:tcW w:w="240" w:type="dxa"/>
            <w:vAlign w:val="bottom"/>
            <w:shd w:val="clear" w:color="auto" w:fill="005C5D"/>
          </w:tcPr>
          <w:p>
            <w:pPr>
              <w:spacing w:after="0"/>
              <w:rPr>
                <w:sz w:val="18"/>
                <w:szCs w:val="18"/>
                <w:color w:val="auto"/>
              </w:rPr>
            </w:pPr>
          </w:p>
        </w:tc>
        <w:tc>
          <w:tcPr>
            <w:tcW w:w="320" w:type="dxa"/>
            <w:vAlign w:val="bottom"/>
            <w:shd w:val="clear" w:color="auto" w:fill="005C5D"/>
          </w:tcPr>
          <w:p>
            <w:pPr>
              <w:spacing w:after="0"/>
              <w:rPr>
                <w:sz w:val="18"/>
                <w:szCs w:val="18"/>
                <w:color w:val="auto"/>
              </w:rPr>
            </w:pPr>
          </w:p>
        </w:tc>
        <w:tc>
          <w:tcPr>
            <w:tcW w:w="1020" w:type="dxa"/>
            <w:vAlign w:val="bottom"/>
            <w:shd w:val="clear" w:color="auto" w:fill="005C5D"/>
          </w:tcPr>
          <w:p>
            <w:pPr>
              <w:spacing w:after="0"/>
              <w:rPr>
                <w:sz w:val="18"/>
                <w:szCs w:val="18"/>
                <w:color w:val="auto"/>
              </w:rPr>
            </w:pPr>
          </w:p>
        </w:tc>
        <w:tc>
          <w:tcPr>
            <w:tcW w:w="120" w:type="dxa"/>
            <w:vAlign w:val="bottom"/>
            <w:shd w:val="clear" w:color="auto" w:fill="005C5D"/>
          </w:tcPr>
          <w:p>
            <w:pPr>
              <w:spacing w:after="0"/>
              <w:rPr>
                <w:sz w:val="18"/>
                <w:szCs w:val="18"/>
                <w:color w:val="auto"/>
              </w:rPr>
            </w:pPr>
          </w:p>
        </w:tc>
        <w:tc>
          <w:tcPr>
            <w:tcW w:w="1120" w:type="dxa"/>
            <w:vAlign w:val="bottom"/>
            <w:shd w:val="clear" w:color="auto" w:fill="005C5D"/>
          </w:tcPr>
          <w:p>
            <w:pPr>
              <w:spacing w:after="0"/>
              <w:rPr>
                <w:sz w:val="18"/>
                <w:szCs w:val="18"/>
                <w:color w:val="auto"/>
              </w:rPr>
            </w:pPr>
          </w:p>
        </w:tc>
        <w:tc>
          <w:tcPr>
            <w:tcW w:w="180" w:type="dxa"/>
            <w:vAlign w:val="bottom"/>
            <w:shd w:val="clear" w:color="auto" w:fill="005C5D"/>
          </w:tcPr>
          <w:p>
            <w:pPr>
              <w:spacing w:after="0"/>
              <w:rPr>
                <w:sz w:val="18"/>
                <w:szCs w:val="18"/>
                <w:color w:val="auto"/>
              </w:rPr>
            </w:pPr>
          </w:p>
        </w:tc>
        <w:tc>
          <w:tcPr>
            <w:tcW w:w="1020" w:type="dxa"/>
            <w:vAlign w:val="bottom"/>
            <w:shd w:val="clear" w:color="auto" w:fill="005C5D"/>
          </w:tcPr>
          <w:p>
            <w:pPr>
              <w:spacing w:after="0"/>
              <w:rPr>
                <w:sz w:val="18"/>
                <w:szCs w:val="18"/>
                <w:color w:val="auto"/>
              </w:rPr>
            </w:pPr>
          </w:p>
        </w:tc>
        <w:tc>
          <w:tcPr>
            <w:tcW w:w="480" w:type="dxa"/>
            <w:vAlign w:val="bottom"/>
            <w:shd w:val="clear" w:color="auto" w:fill="005C5D"/>
          </w:tcPr>
          <w:p>
            <w:pPr>
              <w:spacing w:after="0"/>
              <w:rPr>
                <w:sz w:val="18"/>
                <w:szCs w:val="18"/>
                <w:color w:val="auto"/>
              </w:rPr>
            </w:pPr>
          </w:p>
        </w:tc>
        <w:tc>
          <w:tcPr>
            <w:tcW w:w="780" w:type="dxa"/>
            <w:vAlign w:val="bottom"/>
            <w:shd w:val="clear" w:color="auto" w:fill="005C5D"/>
          </w:tcPr>
          <w:p>
            <w:pPr>
              <w:spacing w:after="0"/>
              <w:rPr>
                <w:sz w:val="18"/>
                <w:szCs w:val="18"/>
                <w:color w:val="auto"/>
              </w:rPr>
            </w:pPr>
          </w:p>
        </w:tc>
        <w:tc>
          <w:tcPr>
            <w:tcW w:w="1180" w:type="dxa"/>
            <w:vAlign w:val="bottom"/>
            <w:gridSpan w:val="2"/>
            <w:shd w:val="clear" w:color="auto" w:fill="005C5D"/>
          </w:tcPr>
          <w:p>
            <w:pPr>
              <w:jc w:val="center"/>
              <w:ind w:right="260"/>
              <w:spacing w:after="0"/>
              <w:rPr>
                <w:sz w:val="20"/>
                <w:szCs w:val="20"/>
                <w:color w:val="auto"/>
              </w:rPr>
            </w:pPr>
            <w:r>
              <w:rPr>
                <w:rFonts w:ascii="Arial" w:cs="Arial" w:eastAsia="Arial" w:hAnsi="Arial"/>
                <w:sz w:val="14"/>
                <w:szCs w:val="14"/>
                <w:color w:val="FFFFFF"/>
              </w:rPr>
              <w:t>Plus (Less):</w:t>
            </w:r>
          </w:p>
        </w:tc>
        <w:tc>
          <w:tcPr>
            <w:tcW w:w="1200" w:type="dxa"/>
            <w:vAlign w:val="bottom"/>
            <w:gridSpan w:val="2"/>
            <w:shd w:val="clear" w:color="auto" w:fill="005C5D"/>
          </w:tcPr>
          <w:p>
            <w:pPr>
              <w:jc w:val="center"/>
              <w:ind w:right="189"/>
              <w:spacing w:after="0"/>
              <w:rPr>
                <w:sz w:val="20"/>
                <w:szCs w:val="20"/>
                <w:color w:val="auto"/>
              </w:rPr>
            </w:pPr>
            <w:r>
              <w:rPr>
                <w:rFonts w:ascii="Arial" w:cs="Arial" w:eastAsia="Arial" w:hAnsi="Arial"/>
                <w:sz w:val="14"/>
                <w:szCs w:val="14"/>
                <w:color w:val="FFFFFF"/>
              </w:rPr>
              <w:t>Plus (Less):</w:t>
            </w:r>
          </w:p>
        </w:tc>
        <w:tc>
          <w:tcPr>
            <w:tcW w:w="320" w:type="dxa"/>
            <w:vAlign w:val="bottom"/>
            <w:shd w:val="clear" w:color="auto" w:fill="005C5D"/>
          </w:tcPr>
          <w:p>
            <w:pPr>
              <w:spacing w:after="0"/>
              <w:rPr>
                <w:sz w:val="18"/>
                <w:szCs w:val="18"/>
                <w:color w:val="auto"/>
              </w:rPr>
            </w:pPr>
          </w:p>
        </w:tc>
        <w:tc>
          <w:tcPr>
            <w:tcW w:w="620" w:type="dxa"/>
            <w:vAlign w:val="bottom"/>
            <w:shd w:val="clear" w:color="auto" w:fill="005C5D"/>
          </w:tcPr>
          <w:p>
            <w:pPr>
              <w:spacing w:after="0"/>
              <w:rPr>
                <w:sz w:val="18"/>
                <w:szCs w:val="18"/>
                <w:color w:val="auto"/>
              </w:rPr>
            </w:pPr>
          </w:p>
        </w:tc>
        <w:tc>
          <w:tcPr>
            <w:tcW w:w="40" w:type="dxa"/>
            <w:vAlign w:val="bottom"/>
            <w:shd w:val="clear" w:color="auto" w:fill="005C5D"/>
          </w:tcPr>
          <w:p>
            <w:pPr>
              <w:spacing w:after="0"/>
              <w:rPr>
                <w:sz w:val="18"/>
                <w:szCs w:val="18"/>
                <w:color w:val="auto"/>
              </w:rPr>
            </w:pPr>
          </w:p>
        </w:tc>
        <w:tc>
          <w:tcPr>
            <w:tcW w:w="740" w:type="dxa"/>
            <w:vAlign w:val="bottom"/>
            <w:shd w:val="clear" w:color="auto" w:fill="005C5D"/>
          </w:tcPr>
          <w:p>
            <w:pPr>
              <w:spacing w:after="0"/>
              <w:rPr>
                <w:sz w:val="18"/>
                <w:szCs w:val="18"/>
                <w:color w:val="auto"/>
              </w:rPr>
            </w:pPr>
          </w:p>
        </w:tc>
      </w:tr>
      <w:tr>
        <w:trPr>
          <w:trHeight w:val="160"/>
        </w:trPr>
        <w:tc>
          <w:tcPr>
            <w:tcW w:w="1540" w:type="dxa"/>
            <w:vAlign w:val="bottom"/>
            <w:shd w:val="clear" w:color="auto" w:fill="005C5D"/>
          </w:tcPr>
          <w:p>
            <w:pPr>
              <w:spacing w:after="0"/>
              <w:rPr>
                <w:sz w:val="13"/>
                <w:szCs w:val="13"/>
                <w:color w:val="auto"/>
              </w:rPr>
            </w:pPr>
          </w:p>
        </w:tc>
        <w:tc>
          <w:tcPr>
            <w:tcW w:w="240" w:type="dxa"/>
            <w:vAlign w:val="bottom"/>
            <w:shd w:val="clear" w:color="auto" w:fill="005C5D"/>
          </w:tcPr>
          <w:p>
            <w:pPr>
              <w:spacing w:after="0"/>
              <w:rPr>
                <w:sz w:val="13"/>
                <w:szCs w:val="13"/>
                <w:color w:val="auto"/>
              </w:rPr>
            </w:pPr>
          </w:p>
        </w:tc>
        <w:tc>
          <w:tcPr>
            <w:tcW w:w="320" w:type="dxa"/>
            <w:vAlign w:val="bottom"/>
            <w:shd w:val="clear" w:color="auto" w:fill="005C5D"/>
          </w:tcPr>
          <w:p>
            <w:pPr>
              <w:spacing w:after="0"/>
              <w:rPr>
                <w:sz w:val="13"/>
                <w:szCs w:val="13"/>
                <w:color w:val="auto"/>
              </w:rPr>
            </w:pPr>
          </w:p>
        </w:tc>
        <w:tc>
          <w:tcPr>
            <w:tcW w:w="1020" w:type="dxa"/>
            <w:vAlign w:val="bottom"/>
            <w:shd w:val="clear" w:color="auto" w:fill="005C5D"/>
          </w:tcPr>
          <w:p>
            <w:pPr>
              <w:spacing w:after="0"/>
              <w:rPr>
                <w:sz w:val="13"/>
                <w:szCs w:val="13"/>
                <w:color w:val="auto"/>
              </w:rPr>
            </w:pPr>
          </w:p>
        </w:tc>
        <w:tc>
          <w:tcPr>
            <w:tcW w:w="120" w:type="dxa"/>
            <w:vAlign w:val="bottom"/>
            <w:shd w:val="clear" w:color="auto" w:fill="005C5D"/>
          </w:tcPr>
          <w:p>
            <w:pPr>
              <w:spacing w:after="0"/>
              <w:rPr>
                <w:sz w:val="13"/>
                <w:szCs w:val="13"/>
                <w:color w:val="auto"/>
              </w:rPr>
            </w:pPr>
          </w:p>
        </w:tc>
        <w:tc>
          <w:tcPr>
            <w:tcW w:w="1120" w:type="dxa"/>
            <w:vAlign w:val="bottom"/>
            <w:shd w:val="clear" w:color="auto" w:fill="005C5D"/>
          </w:tcPr>
          <w:p>
            <w:pPr>
              <w:spacing w:after="0"/>
              <w:rPr>
                <w:sz w:val="13"/>
                <w:szCs w:val="13"/>
                <w:color w:val="auto"/>
              </w:rPr>
            </w:pPr>
          </w:p>
        </w:tc>
        <w:tc>
          <w:tcPr>
            <w:tcW w:w="1200" w:type="dxa"/>
            <w:vAlign w:val="bottom"/>
            <w:gridSpan w:val="2"/>
            <w:shd w:val="clear" w:color="auto" w:fill="005C5D"/>
          </w:tcPr>
          <w:p>
            <w:pPr>
              <w:jc w:val="center"/>
              <w:ind w:right="189"/>
              <w:spacing w:after="0"/>
              <w:rPr>
                <w:sz w:val="20"/>
                <w:szCs w:val="20"/>
                <w:color w:val="auto"/>
              </w:rPr>
            </w:pPr>
            <w:r>
              <w:rPr>
                <w:rFonts w:ascii="Arial" w:cs="Arial" w:eastAsia="Arial" w:hAnsi="Arial"/>
                <w:sz w:val="14"/>
                <w:szCs w:val="14"/>
                <w:color w:val="FFFFFF"/>
                <w:w w:val="99"/>
              </w:rPr>
              <w:t>Plus: Year-End</w:t>
            </w:r>
          </w:p>
        </w:tc>
        <w:tc>
          <w:tcPr>
            <w:tcW w:w="480" w:type="dxa"/>
            <w:vAlign w:val="bottom"/>
            <w:shd w:val="clear" w:color="auto" w:fill="005C5D"/>
          </w:tcPr>
          <w:p>
            <w:pPr>
              <w:spacing w:after="0"/>
              <w:rPr>
                <w:sz w:val="13"/>
                <w:szCs w:val="13"/>
                <w:color w:val="auto"/>
              </w:rPr>
            </w:pPr>
          </w:p>
        </w:tc>
        <w:tc>
          <w:tcPr>
            <w:tcW w:w="780" w:type="dxa"/>
            <w:vAlign w:val="bottom"/>
            <w:shd w:val="clear" w:color="auto" w:fill="005C5D"/>
          </w:tcPr>
          <w:p>
            <w:pPr>
              <w:spacing w:after="0"/>
              <w:rPr>
                <w:sz w:val="13"/>
                <w:szCs w:val="13"/>
                <w:color w:val="auto"/>
              </w:rPr>
            </w:pPr>
          </w:p>
        </w:tc>
        <w:tc>
          <w:tcPr>
            <w:tcW w:w="1180" w:type="dxa"/>
            <w:vAlign w:val="bottom"/>
            <w:gridSpan w:val="2"/>
            <w:shd w:val="clear" w:color="auto" w:fill="005C5D"/>
          </w:tcPr>
          <w:p>
            <w:pPr>
              <w:jc w:val="center"/>
              <w:ind w:right="240"/>
              <w:spacing w:after="0"/>
              <w:rPr>
                <w:sz w:val="20"/>
                <w:szCs w:val="20"/>
                <w:color w:val="auto"/>
              </w:rPr>
            </w:pPr>
            <w:r>
              <w:rPr>
                <w:rFonts w:ascii="Arial" w:cs="Arial" w:eastAsia="Arial" w:hAnsi="Arial"/>
                <w:sz w:val="14"/>
                <w:szCs w:val="14"/>
                <w:color w:val="FFFFFF"/>
              </w:rPr>
              <w:t>Change in Fair</w:t>
            </w:r>
          </w:p>
        </w:tc>
        <w:tc>
          <w:tcPr>
            <w:tcW w:w="1200" w:type="dxa"/>
            <w:vAlign w:val="bottom"/>
            <w:gridSpan w:val="2"/>
            <w:shd w:val="clear" w:color="auto" w:fill="005C5D"/>
          </w:tcPr>
          <w:p>
            <w:pPr>
              <w:jc w:val="center"/>
              <w:ind w:right="189"/>
              <w:spacing w:after="0"/>
              <w:rPr>
                <w:sz w:val="20"/>
                <w:szCs w:val="20"/>
                <w:color w:val="auto"/>
              </w:rPr>
            </w:pPr>
            <w:r>
              <w:rPr>
                <w:rFonts w:ascii="Arial" w:cs="Arial" w:eastAsia="Arial" w:hAnsi="Arial"/>
                <w:sz w:val="14"/>
                <w:szCs w:val="14"/>
                <w:color w:val="FFFFFF"/>
              </w:rPr>
              <w:t>Change in Fair</w:t>
            </w:r>
          </w:p>
        </w:tc>
        <w:tc>
          <w:tcPr>
            <w:tcW w:w="940" w:type="dxa"/>
            <w:vAlign w:val="bottom"/>
            <w:gridSpan w:val="2"/>
            <w:shd w:val="clear" w:color="auto" w:fill="005C5D"/>
          </w:tcPr>
          <w:p>
            <w:pPr>
              <w:jc w:val="center"/>
              <w:ind w:right="280"/>
              <w:spacing w:after="0"/>
              <w:rPr>
                <w:sz w:val="20"/>
                <w:szCs w:val="20"/>
                <w:color w:val="auto"/>
              </w:rPr>
            </w:pPr>
            <w:r>
              <w:rPr>
                <w:rFonts w:ascii="Arial" w:cs="Arial" w:eastAsia="Arial" w:hAnsi="Arial"/>
                <w:sz w:val="14"/>
                <w:szCs w:val="14"/>
                <w:color w:val="FFFFFF"/>
              </w:rPr>
              <w:t>Less: Fair</w:t>
            </w:r>
          </w:p>
        </w:tc>
        <w:tc>
          <w:tcPr>
            <w:tcW w:w="40" w:type="dxa"/>
            <w:vAlign w:val="bottom"/>
            <w:shd w:val="clear" w:color="auto" w:fill="005C5D"/>
          </w:tcPr>
          <w:p>
            <w:pPr>
              <w:spacing w:after="0"/>
              <w:rPr>
                <w:sz w:val="13"/>
                <w:szCs w:val="13"/>
                <w:color w:val="auto"/>
              </w:rPr>
            </w:pPr>
          </w:p>
        </w:tc>
        <w:tc>
          <w:tcPr>
            <w:tcW w:w="740" w:type="dxa"/>
            <w:vAlign w:val="bottom"/>
            <w:shd w:val="clear" w:color="auto" w:fill="005C5D"/>
          </w:tcPr>
          <w:p>
            <w:pPr>
              <w:spacing w:after="0"/>
              <w:rPr>
                <w:sz w:val="13"/>
                <w:szCs w:val="13"/>
                <w:color w:val="auto"/>
              </w:rPr>
            </w:pPr>
          </w:p>
        </w:tc>
      </w:tr>
      <w:tr>
        <w:trPr>
          <w:trHeight w:val="160"/>
        </w:trPr>
        <w:tc>
          <w:tcPr>
            <w:tcW w:w="1540" w:type="dxa"/>
            <w:vAlign w:val="bottom"/>
            <w:shd w:val="clear" w:color="auto" w:fill="005C5D"/>
          </w:tcPr>
          <w:p>
            <w:pPr>
              <w:spacing w:after="0"/>
              <w:rPr>
                <w:sz w:val="13"/>
                <w:szCs w:val="13"/>
                <w:color w:val="auto"/>
              </w:rPr>
            </w:pPr>
          </w:p>
        </w:tc>
        <w:tc>
          <w:tcPr>
            <w:tcW w:w="240" w:type="dxa"/>
            <w:vAlign w:val="bottom"/>
            <w:shd w:val="clear" w:color="auto" w:fill="005C5D"/>
          </w:tcPr>
          <w:p>
            <w:pPr>
              <w:spacing w:after="0"/>
              <w:rPr>
                <w:sz w:val="13"/>
                <w:szCs w:val="13"/>
                <w:color w:val="auto"/>
              </w:rPr>
            </w:pPr>
          </w:p>
        </w:tc>
        <w:tc>
          <w:tcPr>
            <w:tcW w:w="320" w:type="dxa"/>
            <w:vAlign w:val="bottom"/>
            <w:shd w:val="clear" w:color="auto" w:fill="005C5D"/>
          </w:tcPr>
          <w:p>
            <w:pPr>
              <w:spacing w:after="0"/>
              <w:rPr>
                <w:sz w:val="13"/>
                <w:szCs w:val="13"/>
                <w:color w:val="auto"/>
              </w:rPr>
            </w:pPr>
          </w:p>
        </w:tc>
        <w:tc>
          <w:tcPr>
            <w:tcW w:w="1020" w:type="dxa"/>
            <w:vAlign w:val="bottom"/>
            <w:shd w:val="clear" w:color="auto" w:fill="005C5D"/>
          </w:tcPr>
          <w:p>
            <w:pPr>
              <w:spacing w:after="0"/>
              <w:rPr>
                <w:sz w:val="13"/>
                <w:szCs w:val="13"/>
                <w:color w:val="auto"/>
              </w:rPr>
            </w:pPr>
          </w:p>
        </w:tc>
        <w:tc>
          <w:tcPr>
            <w:tcW w:w="120" w:type="dxa"/>
            <w:vAlign w:val="bottom"/>
            <w:shd w:val="clear" w:color="auto" w:fill="005C5D"/>
          </w:tcPr>
          <w:p>
            <w:pPr>
              <w:spacing w:after="0"/>
              <w:rPr>
                <w:sz w:val="13"/>
                <w:szCs w:val="13"/>
                <w:color w:val="auto"/>
              </w:rPr>
            </w:pPr>
          </w:p>
        </w:tc>
        <w:tc>
          <w:tcPr>
            <w:tcW w:w="1120" w:type="dxa"/>
            <w:vAlign w:val="bottom"/>
            <w:shd w:val="clear" w:color="auto" w:fill="005C5D"/>
          </w:tcPr>
          <w:p>
            <w:pPr>
              <w:spacing w:after="0"/>
              <w:rPr>
                <w:sz w:val="13"/>
                <w:szCs w:val="13"/>
                <w:color w:val="auto"/>
              </w:rPr>
            </w:pPr>
          </w:p>
        </w:tc>
        <w:tc>
          <w:tcPr>
            <w:tcW w:w="1200" w:type="dxa"/>
            <w:vAlign w:val="bottom"/>
            <w:gridSpan w:val="2"/>
            <w:shd w:val="clear" w:color="auto" w:fill="005C5D"/>
          </w:tcPr>
          <w:p>
            <w:pPr>
              <w:jc w:val="center"/>
              <w:ind w:right="189"/>
              <w:spacing w:after="0"/>
              <w:rPr>
                <w:sz w:val="20"/>
                <w:szCs w:val="20"/>
                <w:color w:val="auto"/>
              </w:rPr>
            </w:pPr>
            <w:r>
              <w:rPr>
                <w:rFonts w:ascii="Arial" w:cs="Arial" w:eastAsia="Arial" w:hAnsi="Arial"/>
                <w:sz w:val="14"/>
                <w:szCs w:val="14"/>
                <w:color w:val="FFFFFF"/>
                <w:w w:val="98"/>
              </w:rPr>
              <w:t>Fair Value of</w:t>
            </w:r>
          </w:p>
        </w:tc>
        <w:tc>
          <w:tcPr>
            <w:tcW w:w="1260" w:type="dxa"/>
            <w:vAlign w:val="bottom"/>
            <w:gridSpan w:val="2"/>
            <w:shd w:val="clear" w:color="auto" w:fill="005C5D"/>
          </w:tcPr>
          <w:p>
            <w:pPr>
              <w:jc w:val="center"/>
              <w:ind w:right="260"/>
              <w:spacing w:after="0"/>
              <w:rPr>
                <w:sz w:val="20"/>
                <w:szCs w:val="20"/>
                <w:color w:val="auto"/>
              </w:rPr>
            </w:pPr>
            <w:r>
              <w:rPr>
                <w:rFonts w:ascii="Arial" w:cs="Arial" w:eastAsia="Arial" w:hAnsi="Arial"/>
                <w:sz w:val="14"/>
                <w:szCs w:val="14"/>
                <w:color w:val="FFFFFF"/>
              </w:rPr>
              <w:t>Plus: Fair Value</w:t>
            </w:r>
          </w:p>
        </w:tc>
        <w:tc>
          <w:tcPr>
            <w:tcW w:w="1180" w:type="dxa"/>
            <w:vAlign w:val="bottom"/>
            <w:gridSpan w:val="2"/>
            <w:shd w:val="clear" w:color="auto" w:fill="005C5D"/>
          </w:tcPr>
          <w:p>
            <w:pPr>
              <w:jc w:val="center"/>
              <w:ind w:right="260"/>
              <w:spacing w:after="0"/>
              <w:rPr>
                <w:sz w:val="20"/>
                <w:szCs w:val="20"/>
                <w:color w:val="auto"/>
              </w:rPr>
            </w:pPr>
            <w:r>
              <w:rPr>
                <w:rFonts w:ascii="Arial" w:cs="Arial" w:eastAsia="Arial" w:hAnsi="Arial"/>
                <w:sz w:val="14"/>
                <w:szCs w:val="14"/>
                <w:color w:val="FFFFFF"/>
              </w:rPr>
              <w:t>Value of</w:t>
            </w:r>
          </w:p>
        </w:tc>
        <w:tc>
          <w:tcPr>
            <w:tcW w:w="1200" w:type="dxa"/>
            <w:vAlign w:val="bottom"/>
            <w:gridSpan w:val="2"/>
            <w:shd w:val="clear" w:color="auto" w:fill="005C5D"/>
          </w:tcPr>
          <w:p>
            <w:pPr>
              <w:jc w:val="center"/>
              <w:ind w:right="169"/>
              <w:spacing w:after="0"/>
              <w:rPr>
                <w:sz w:val="20"/>
                <w:szCs w:val="20"/>
                <w:color w:val="auto"/>
              </w:rPr>
            </w:pPr>
            <w:r>
              <w:rPr>
                <w:rFonts w:ascii="Arial" w:cs="Arial" w:eastAsia="Arial" w:hAnsi="Arial"/>
                <w:sz w:val="14"/>
                <w:szCs w:val="14"/>
                <w:color w:val="FFFFFF"/>
              </w:rPr>
              <w:t>Value from the</w:t>
            </w:r>
          </w:p>
        </w:tc>
        <w:tc>
          <w:tcPr>
            <w:tcW w:w="940" w:type="dxa"/>
            <w:vAlign w:val="bottom"/>
            <w:gridSpan w:val="2"/>
            <w:shd w:val="clear" w:color="auto" w:fill="005C5D"/>
          </w:tcPr>
          <w:p>
            <w:pPr>
              <w:jc w:val="center"/>
              <w:ind w:right="260"/>
              <w:spacing w:after="0"/>
              <w:rPr>
                <w:sz w:val="20"/>
                <w:szCs w:val="20"/>
                <w:color w:val="auto"/>
              </w:rPr>
            </w:pPr>
            <w:r>
              <w:rPr>
                <w:rFonts w:ascii="Arial" w:cs="Arial" w:eastAsia="Arial" w:hAnsi="Arial"/>
                <w:sz w:val="14"/>
                <w:szCs w:val="14"/>
                <w:color w:val="FFFFFF"/>
              </w:rPr>
              <w:t>Value from</w:t>
            </w:r>
          </w:p>
        </w:tc>
        <w:tc>
          <w:tcPr>
            <w:tcW w:w="40" w:type="dxa"/>
            <w:vAlign w:val="bottom"/>
            <w:shd w:val="clear" w:color="auto" w:fill="005C5D"/>
          </w:tcPr>
          <w:p>
            <w:pPr>
              <w:spacing w:after="0"/>
              <w:rPr>
                <w:sz w:val="13"/>
                <w:szCs w:val="13"/>
                <w:color w:val="auto"/>
              </w:rPr>
            </w:pPr>
          </w:p>
        </w:tc>
        <w:tc>
          <w:tcPr>
            <w:tcW w:w="740" w:type="dxa"/>
            <w:vAlign w:val="bottom"/>
            <w:shd w:val="clear" w:color="auto" w:fill="005C5D"/>
          </w:tcPr>
          <w:p>
            <w:pPr>
              <w:spacing w:after="0"/>
              <w:rPr>
                <w:sz w:val="13"/>
                <w:szCs w:val="13"/>
                <w:color w:val="auto"/>
              </w:rPr>
            </w:pPr>
          </w:p>
        </w:tc>
      </w:tr>
      <w:tr>
        <w:trPr>
          <w:trHeight w:val="160"/>
        </w:trPr>
        <w:tc>
          <w:tcPr>
            <w:tcW w:w="1540" w:type="dxa"/>
            <w:vAlign w:val="bottom"/>
            <w:shd w:val="clear" w:color="auto" w:fill="005C5D"/>
          </w:tcPr>
          <w:p>
            <w:pPr>
              <w:spacing w:after="0"/>
              <w:rPr>
                <w:sz w:val="13"/>
                <w:szCs w:val="13"/>
                <w:color w:val="auto"/>
              </w:rPr>
            </w:pPr>
          </w:p>
        </w:tc>
        <w:tc>
          <w:tcPr>
            <w:tcW w:w="240" w:type="dxa"/>
            <w:vAlign w:val="bottom"/>
            <w:shd w:val="clear" w:color="auto" w:fill="005C5D"/>
          </w:tcPr>
          <w:p>
            <w:pPr>
              <w:spacing w:after="0"/>
              <w:rPr>
                <w:sz w:val="13"/>
                <w:szCs w:val="13"/>
                <w:color w:val="auto"/>
              </w:rPr>
            </w:pPr>
          </w:p>
        </w:tc>
        <w:tc>
          <w:tcPr>
            <w:tcW w:w="320" w:type="dxa"/>
            <w:vAlign w:val="bottom"/>
            <w:shd w:val="clear" w:color="auto" w:fill="005C5D"/>
          </w:tcPr>
          <w:p>
            <w:pPr>
              <w:spacing w:after="0"/>
              <w:rPr>
                <w:sz w:val="13"/>
                <w:szCs w:val="13"/>
                <w:color w:val="auto"/>
              </w:rPr>
            </w:pPr>
          </w:p>
        </w:tc>
        <w:tc>
          <w:tcPr>
            <w:tcW w:w="1020" w:type="dxa"/>
            <w:vAlign w:val="bottom"/>
            <w:shd w:val="clear" w:color="auto" w:fill="005C5D"/>
          </w:tcPr>
          <w:p>
            <w:pPr>
              <w:spacing w:after="0"/>
              <w:rPr>
                <w:sz w:val="13"/>
                <w:szCs w:val="13"/>
                <w:color w:val="auto"/>
              </w:rPr>
            </w:pPr>
          </w:p>
        </w:tc>
        <w:tc>
          <w:tcPr>
            <w:tcW w:w="120" w:type="dxa"/>
            <w:vAlign w:val="bottom"/>
            <w:shd w:val="clear" w:color="auto" w:fill="005C5D"/>
          </w:tcPr>
          <w:p>
            <w:pPr>
              <w:spacing w:after="0"/>
              <w:rPr>
                <w:sz w:val="13"/>
                <w:szCs w:val="13"/>
                <w:color w:val="auto"/>
              </w:rPr>
            </w:pPr>
          </w:p>
        </w:tc>
        <w:tc>
          <w:tcPr>
            <w:tcW w:w="1120" w:type="dxa"/>
            <w:vAlign w:val="bottom"/>
            <w:shd w:val="clear" w:color="auto" w:fill="005C5D"/>
          </w:tcPr>
          <w:p>
            <w:pPr>
              <w:spacing w:after="0"/>
              <w:rPr>
                <w:sz w:val="13"/>
                <w:szCs w:val="13"/>
                <w:color w:val="auto"/>
              </w:rPr>
            </w:pPr>
          </w:p>
        </w:tc>
        <w:tc>
          <w:tcPr>
            <w:tcW w:w="1200" w:type="dxa"/>
            <w:vAlign w:val="bottom"/>
            <w:gridSpan w:val="2"/>
            <w:shd w:val="clear" w:color="auto" w:fill="005C5D"/>
          </w:tcPr>
          <w:p>
            <w:pPr>
              <w:jc w:val="center"/>
              <w:ind w:right="189"/>
              <w:spacing w:after="0"/>
              <w:rPr>
                <w:sz w:val="20"/>
                <w:szCs w:val="20"/>
                <w:color w:val="auto"/>
              </w:rPr>
            </w:pPr>
            <w:r>
              <w:rPr>
                <w:rFonts w:ascii="Arial" w:cs="Arial" w:eastAsia="Arial" w:hAnsi="Arial"/>
                <w:sz w:val="14"/>
                <w:szCs w:val="14"/>
                <w:color w:val="FFFFFF"/>
              </w:rPr>
              <w:t>Outstanding</w:t>
            </w:r>
          </w:p>
        </w:tc>
        <w:tc>
          <w:tcPr>
            <w:tcW w:w="1260" w:type="dxa"/>
            <w:vAlign w:val="bottom"/>
            <w:gridSpan w:val="2"/>
            <w:shd w:val="clear" w:color="auto" w:fill="005C5D"/>
          </w:tcPr>
          <w:p>
            <w:pPr>
              <w:jc w:val="center"/>
              <w:ind w:right="260"/>
              <w:spacing w:after="0"/>
              <w:rPr>
                <w:sz w:val="20"/>
                <w:szCs w:val="20"/>
                <w:color w:val="auto"/>
              </w:rPr>
            </w:pPr>
            <w:r>
              <w:rPr>
                <w:rFonts w:ascii="Arial" w:cs="Arial" w:eastAsia="Arial" w:hAnsi="Arial"/>
                <w:sz w:val="14"/>
                <w:szCs w:val="14"/>
                <w:color w:val="FFFFFF"/>
              </w:rPr>
              <w:t>of Equity</w:t>
            </w:r>
          </w:p>
        </w:tc>
        <w:tc>
          <w:tcPr>
            <w:tcW w:w="1180" w:type="dxa"/>
            <w:vAlign w:val="bottom"/>
            <w:gridSpan w:val="2"/>
            <w:shd w:val="clear" w:color="auto" w:fill="005C5D"/>
          </w:tcPr>
          <w:p>
            <w:pPr>
              <w:jc w:val="center"/>
              <w:ind w:right="260"/>
              <w:spacing w:after="0"/>
              <w:rPr>
                <w:sz w:val="20"/>
                <w:szCs w:val="20"/>
                <w:color w:val="auto"/>
              </w:rPr>
            </w:pPr>
            <w:r>
              <w:rPr>
                <w:rFonts w:ascii="Arial" w:cs="Arial" w:eastAsia="Arial" w:hAnsi="Arial"/>
                <w:sz w:val="14"/>
                <w:szCs w:val="14"/>
                <w:color w:val="FFFFFF"/>
              </w:rPr>
              <w:t>Outstanding</w:t>
            </w:r>
          </w:p>
        </w:tc>
        <w:tc>
          <w:tcPr>
            <w:tcW w:w="1200" w:type="dxa"/>
            <w:vAlign w:val="bottom"/>
            <w:gridSpan w:val="2"/>
            <w:shd w:val="clear" w:color="auto" w:fill="005C5D"/>
          </w:tcPr>
          <w:p>
            <w:pPr>
              <w:jc w:val="center"/>
              <w:ind w:right="189"/>
              <w:spacing w:after="0"/>
              <w:rPr>
                <w:sz w:val="20"/>
                <w:szCs w:val="20"/>
                <w:color w:val="auto"/>
              </w:rPr>
            </w:pPr>
            <w:r>
              <w:rPr>
                <w:rFonts w:ascii="Arial" w:cs="Arial" w:eastAsia="Arial" w:hAnsi="Arial"/>
                <w:sz w:val="14"/>
                <w:szCs w:val="14"/>
                <w:color w:val="FFFFFF"/>
                <w:w w:val="98"/>
              </w:rPr>
              <w:t>Prior Year for</w:t>
            </w:r>
          </w:p>
        </w:tc>
        <w:tc>
          <w:tcPr>
            <w:tcW w:w="940" w:type="dxa"/>
            <w:vAlign w:val="bottom"/>
            <w:gridSpan w:val="2"/>
            <w:shd w:val="clear" w:color="auto" w:fill="005C5D"/>
          </w:tcPr>
          <w:p>
            <w:pPr>
              <w:jc w:val="center"/>
              <w:ind w:right="280"/>
              <w:spacing w:after="0"/>
              <w:rPr>
                <w:sz w:val="20"/>
                <w:szCs w:val="20"/>
                <w:color w:val="auto"/>
              </w:rPr>
            </w:pPr>
            <w:r>
              <w:rPr>
                <w:rFonts w:ascii="Arial" w:cs="Arial" w:eastAsia="Arial" w:hAnsi="Arial"/>
                <w:sz w:val="14"/>
                <w:szCs w:val="14"/>
                <w:color w:val="FFFFFF"/>
              </w:rPr>
              <w:t>the Prior</w:t>
            </w:r>
          </w:p>
        </w:tc>
        <w:tc>
          <w:tcPr>
            <w:tcW w:w="40" w:type="dxa"/>
            <w:vAlign w:val="bottom"/>
            <w:shd w:val="clear" w:color="auto" w:fill="005C5D"/>
          </w:tcPr>
          <w:p>
            <w:pPr>
              <w:spacing w:after="0"/>
              <w:rPr>
                <w:sz w:val="13"/>
                <w:szCs w:val="13"/>
                <w:color w:val="auto"/>
              </w:rPr>
            </w:pPr>
          </w:p>
        </w:tc>
        <w:tc>
          <w:tcPr>
            <w:tcW w:w="740" w:type="dxa"/>
            <w:vAlign w:val="bottom"/>
            <w:shd w:val="clear" w:color="auto" w:fill="005C5D"/>
          </w:tcPr>
          <w:p>
            <w:pPr>
              <w:spacing w:after="0"/>
              <w:rPr>
                <w:sz w:val="13"/>
                <w:szCs w:val="13"/>
                <w:color w:val="auto"/>
              </w:rPr>
            </w:pPr>
          </w:p>
        </w:tc>
      </w:tr>
      <w:tr>
        <w:trPr>
          <w:trHeight w:val="160"/>
        </w:trPr>
        <w:tc>
          <w:tcPr>
            <w:tcW w:w="1540" w:type="dxa"/>
            <w:vAlign w:val="bottom"/>
            <w:shd w:val="clear" w:color="auto" w:fill="005C5D"/>
          </w:tcPr>
          <w:p>
            <w:pPr>
              <w:spacing w:after="0"/>
              <w:rPr>
                <w:sz w:val="13"/>
                <w:szCs w:val="13"/>
                <w:color w:val="auto"/>
              </w:rPr>
            </w:pPr>
          </w:p>
        </w:tc>
        <w:tc>
          <w:tcPr>
            <w:tcW w:w="240" w:type="dxa"/>
            <w:vAlign w:val="bottom"/>
            <w:shd w:val="clear" w:color="auto" w:fill="005C5D"/>
          </w:tcPr>
          <w:p>
            <w:pPr>
              <w:spacing w:after="0"/>
              <w:rPr>
                <w:sz w:val="13"/>
                <w:szCs w:val="13"/>
                <w:color w:val="auto"/>
              </w:rPr>
            </w:pPr>
          </w:p>
        </w:tc>
        <w:tc>
          <w:tcPr>
            <w:tcW w:w="320" w:type="dxa"/>
            <w:vAlign w:val="bottom"/>
            <w:shd w:val="clear" w:color="auto" w:fill="005C5D"/>
          </w:tcPr>
          <w:p>
            <w:pPr>
              <w:spacing w:after="0"/>
              <w:rPr>
                <w:sz w:val="13"/>
                <w:szCs w:val="13"/>
                <w:color w:val="auto"/>
              </w:rPr>
            </w:pPr>
          </w:p>
        </w:tc>
        <w:tc>
          <w:tcPr>
            <w:tcW w:w="1020" w:type="dxa"/>
            <w:vAlign w:val="bottom"/>
            <w:shd w:val="clear" w:color="auto" w:fill="005C5D"/>
          </w:tcPr>
          <w:p>
            <w:pPr>
              <w:spacing w:after="0"/>
              <w:rPr>
                <w:sz w:val="13"/>
                <w:szCs w:val="13"/>
                <w:color w:val="auto"/>
              </w:rPr>
            </w:pPr>
          </w:p>
        </w:tc>
        <w:tc>
          <w:tcPr>
            <w:tcW w:w="1240" w:type="dxa"/>
            <w:vAlign w:val="bottom"/>
            <w:gridSpan w:val="2"/>
            <w:shd w:val="clear" w:color="auto" w:fill="005C5D"/>
          </w:tcPr>
          <w:p>
            <w:pPr>
              <w:jc w:val="center"/>
              <w:ind w:right="189"/>
              <w:spacing w:after="0"/>
              <w:rPr>
                <w:sz w:val="20"/>
                <w:szCs w:val="20"/>
                <w:color w:val="auto"/>
              </w:rPr>
            </w:pPr>
            <w:r>
              <w:rPr>
                <w:rFonts w:ascii="Arial" w:cs="Arial" w:eastAsia="Arial" w:hAnsi="Arial"/>
                <w:sz w:val="14"/>
                <w:szCs w:val="14"/>
                <w:color w:val="FFFFFF"/>
              </w:rPr>
              <w:t>Less: Grant</w:t>
            </w:r>
          </w:p>
        </w:tc>
        <w:tc>
          <w:tcPr>
            <w:tcW w:w="1200" w:type="dxa"/>
            <w:vAlign w:val="bottom"/>
            <w:gridSpan w:val="2"/>
            <w:shd w:val="clear" w:color="auto" w:fill="005C5D"/>
          </w:tcPr>
          <w:p>
            <w:pPr>
              <w:jc w:val="center"/>
              <w:ind w:right="209"/>
              <w:spacing w:after="0"/>
              <w:rPr>
                <w:sz w:val="20"/>
                <w:szCs w:val="20"/>
                <w:color w:val="auto"/>
              </w:rPr>
            </w:pPr>
            <w:r>
              <w:rPr>
                <w:rFonts w:ascii="Arial" w:cs="Arial" w:eastAsia="Arial" w:hAnsi="Arial"/>
                <w:sz w:val="14"/>
                <w:szCs w:val="14"/>
                <w:color w:val="FFFFFF"/>
              </w:rPr>
              <w:t>and Unvested</w:t>
            </w:r>
          </w:p>
        </w:tc>
        <w:tc>
          <w:tcPr>
            <w:tcW w:w="1260" w:type="dxa"/>
            <w:vAlign w:val="bottom"/>
            <w:gridSpan w:val="2"/>
            <w:shd w:val="clear" w:color="auto" w:fill="005C5D"/>
          </w:tcPr>
          <w:p>
            <w:pPr>
              <w:jc w:val="center"/>
              <w:ind w:right="260"/>
              <w:spacing w:after="0"/>
              <w:rPr>
                <w:sz w:val="20"/>
                <w:szCs w:val="20"/>
                <w:color w:val="auto"/>
              </w:rPr>
            </w:pPr>
            <w:r>
              <w:rPr>
                <w:rFonts w:ascii="Arial" w:cs="Arial" w:eastAsia="Arial" w:hAnsi="Arial"/>
                <w:sz w:val="14"/>
                <w:szCs w:val="14"/>
                <w:color w:val="FFFFFF"/>
              </w:rPr>
              <w:t>Awards Vested</w:t>
            </w:r>
          </w:p>
        </w:tc>
        <w:tc>
          <w:tcPr>
            <w:tcW w:w="1180" w:type="dxa"/>
            <w:vAlign w:val="bottom"/>
            <w:gridSpan w:val="2"/>
            <w:shd w:val="clear" w:color="auto" w:fill="005C5D"/>
          </w:tcPr>
          <w:p>
            <w:pPr>
              <w:jc w:val="center"/>
              <w:ind w:right="260"/>
              <w:spacing w:after="0"/>
              <w:rPr>
                <w:sz w:val="20"/>
                <w:szCs w:val="20"/>
                <w:color w:val="auto"/>
              </w:rPr>
            </w:pPr>
            <w:r>
              <w:rPr>
                <w:rFonts w:ascii="Arial" w:cs="Arial" w:eastAsia="Arial" w:hAnsi="Arial"/>
                <w:sz w:val="14"/>
                <w:szCs w:val="14"/>
                <w:color w:val="FFFFFF"/>
              </w:rPr>
              <w:t>and Unvested</w:t>
            </w:r>
          </w:p>
        </w:tc>
        <w:tc>
          <w:tcPr>
            <w:tcW w:w="1200" w:type="dxa"/>
            <w:vAlign w:val="bottom"/>
            <w:gridSpan w:val="2"/>
            <w:shd w:val="clear" w:color="auto" w:fill="005C5D"/>
          </w:tcPr>
          <w:p>
            <w:pPr>
              <w:jc w:val="center"/>
              <w:ind w:right="189"/>
              <w:spacing w:after="0"/>
              <w:rPr>
                <w:sz w:val="20"/>
                <w:szCs w:val="20"/>
                <w:color w:val="auto"/>
              </w:rPr>
            </w:pPr>
            <w:r>
              <w:rPr>
                <w:rFonts w:ascii="Arial" w:cs="Arial" w:eastAsia="Arial" w:hAnsi="Arial"/>
                <w:sz w:val="14"/>
                <w:szCs w:val="14"/>
                <w:color w:val="FFFFFF"/>
              </w:rPr>
              <w:t>Equity Awards</w:t>
            </w:r>
          </w:p>
        </w:tc>
        <w:tc>
          <w:tcPr>
            <w:tcW w:w="940" w:type="dxa"/>
            <w:vAlign w:val="bottom"/>
            <w:gridSpan w:val="2"/>
            <w:shd w:val="clear" w:color="auto" w:fill="005C5D"/>
          </w:tcPr>
          <w:p>
            <w:pPr>
              <w:jc w:val="center"/>
              <w:ind w:right="280"/>
              <w:spacing w:after="0"/>
              <w:rPr>
                <w:sz w:val="20"/>
                <w:szCs w:val="20"/>
                <w:color w:val="auto"/>
              </w:rPr>
            </w:pPr>
            <w:r>
              <w:rPr>
                <w:rFonts w:ascii="Arial" w:cs="Arial" w:eastAsia="Arial" w:hAnsi="Arial"/>
                <w:sz w:val="14"/>
                <w:szCs w:val="14"/>
                <w:color w:val="FFFFFF"/>
              </w:rPr>
              <w:t>Year for</w:t>
            </w:r>
          </w:p>
        </w:tc>
        <w:tc>
          <w:tcPr>
            <w:tcW w:w="40" w:type="dxa"/>
            <w:vAlign w:val="bottom"/>
            <w:shd w:val="clear" w:color="auto" w:fill="005C5D"/>
          </w:tcPr>
          <w:p>
            <w:pPr>
              <w:spacing w:after="0"/>
              <w:rPr>
                <w:sz w:val="13"/>
                <w:szCs w:val="13"/>
                <w:color w:val="auto"/>
              </w:rPr>
            </w:pPr>
          </w:p>
        </w:tc>
        <w:tc>
          <w:tcPr>
            <w:tcW w:w="740" w:type="dxa"/>
            <w:vAlign w:val="bottom"/>
            <w:shd w:val="clear" w:color="auto" w:fill="005C5D"/>
          </w:tcPr>
          <w:p>
            <w:pPr>
              <w:spacing w:after="0"/>
              <w:rPr>
                <w:sz w:val="13"/>
                <w:szCs w:val="13"/>
                <w:color w:val="auto"/>
              </w:rPr>
            </w:pPr>
          </w:p>
        </w:tc>
      </w:tr>
      <w:tr>
        <w:trPr>
          <w:trHeight w:val="160"/>
        </w:trPr>
        <w:tc>
          <w:tcPr>
            <w:tcW w:w="1540" w:type="dxa"/>
            <w:vAlign w:val="bottom"/>
            <w:shd w:val="clear" w:color="auto" w:fill="005C5D"/>
          </w:tcPr>
          <w:p>
            <w:pPr>
              <w:spacing w:after="0"/>
              <w:rPr>
                <w:sz w:val="13"/>
                <w:szCs w:val="13"/>
                <w:color w:val="auto"/>
              </w:rPr>
            </w:pPr>
          </w:p>
        </w:tc>
        <w:tc>
          <w:tcPr>
            <w:tcW w:w="240" w:type="dxa"/>
            <w:vAlign w:val="bottom"/>
            <w:shd w:val="clear" w:color="auto" w:fill="005C5D"/>
          </w:tcPr>
          <w:p>
            <w:pPr>
              <w:spacing w:after="0"/>
              <w:rPr>
                <w:sz w:val="13"/>
                <w:szCs w:val="13"/>
                <w:color w:val="auto"/>
              </w:rPr>
            </w:pPr>
          </w:p>
        </w:tc>
        <w:tc>
          <w:tcPr>
            <w:tcW w:w="320" w:type="dxa"/>
            <w:vAlign w:val="bottom"/>
            <w:shd w:val="clear" w:color="auto" w:fill="005C5D"/>
          </w:tcPr>
          <w:p>
            <w:pPr>
              <w:spacing w:after="0"/>
              <w:rPr>
                <w:sz w:val="13"/>
                <w:szCs w:val="13"/>
                <w:color w:val="auto"/>
              </w:rPr>
            </w:pPr>
          </w:p>
        </w:tc>
        <w:tc>
          <w:tcPr>
            <w:tcW w:w="1020" w:type="dxa"/>
            <w:vAlign w:val="bottom"/>
            <w:shd w:val="clear" w:color="auto" w:fill="005C5D"/>
          </w:tcPr>
          <w:p>
            <w:pPr>
              <w:spacing w:after="0"/>
              <w:rPr>
                <w:sz w:val="13"/>
                <w:szCs w:val="13"/>
                <w:color w:val="auto"/>
              </w:rPr>
            </w:pPr>
          </w:p>
        </w:tc>
        <w:tc>
          <w:tcPr>
            <w:tcW w:w="1240" w:type="dxa"/>
            <w:vAlign w:val="bottom"/>
            <w:gridSpan w:val="2"/>
            <w:shd w:val="clear" w:color="auto" w:fill="005C5D"/>
          </w:tcPr>
          <w:p>
            <w:pPr>
              <w:jc w:val="center"/>
              <w:ind w:right="189"/>
              <w:spacing w:after="0"/>
              <w:rPr>
                <w:sz w:val="20"/>
                <w:szCs w:val="20"/>
                <w:color w:val="auto"/>
              </w:rPr>
            </w:pPr>
            <w:r>
              <w:rPr>
                <w:rFonts w:ascii="Arial" w:cs="Arial" w:eastAsia="Arial" w:hAnsi="Arial"/>
                <w:sz w:val="14"/>
                <w:szCs w:val="14"/>
                <w:color w:val="FFFFFF"/>
              </w:rPr>
              <w:t>Date Fair Value</w:t>
            </w:r>
          </w:p>
        </w:tc>
        <w:tc>
          <w:tcPr>
            <w:tcW w:w="1200" w:type="dxa"/>
            <w:vAlign w:val="bottom"/>
            <w:gridSpan w:val="2"/>
            <w:shd w:val="clear" w:color="auto" w:fill="005C5D"/>
          </w:tcPr>
          <w:p>
            <w:pPr>
              <w:jc w:val="center"/>
              <w:ind w:right="189"/>
              <w:spacing w:after="0"/>
              <w:rPr>
                <w:sz w:val="20"/>
                <w:szCs w:val="20"/>
                <w:color w:val="auto"/>
              </w:rPr>
            </w:pPr>
            <w:r>
              <w:rPr>
                <w:rFonts w:ascii="Arial" w:cs="Arial" w:eastAsia="Arial" w:hAnsi="Arial"/>
                <w:sz w:val="14"/>
                <w:szCs w:val="14"/>
                <w:color w:val="FFFFFF"/>
              </w:rPr>
              <w:t>Equity Awards</w:t>
            </w:r>
          </w:p>
        </w:tc>
        <w:tc>
          <w:tcPr>
            <w:tcW w:w="1260" w:type="dxa"/>
            <w:vAlign w:val="bottom"/>
            <w:gridSpan w:val="2"/>
            <w:shd w:val="clear" w:color="auto" w:fill="005C5D"/>
          </w:tcPr>
          <w:p>
            <w:pPr>
              <w:jc w:val="center"/>
              <w:ind w:right="260"/>
              <w:spacing w:after="0"/>
              <w:rPr>
                <w:sz w:val="20"/>
                <w:szCs w:val="20"/>
                <w:color w:val="auto"/>
              </w:rPr>
            </w:pPr>
            <w:r>
              <w:rPr>
                <w:rFonts w:ascii="Arial" w:cs="Arial" w:eastAsia="Arial" w:hAnsi="Arial"/>
                <w:sz w:val="14"/>
                <w:szCs w:val="14"/>
                <w:color w:val="FFFFFF"/>
              </w:rPr>
              <w:t>and Granted</w:t>
            </w:r>
          </w:p>
        </w:tc>
        <w:tc>
          <w:tcPr>
            <w:tcW w:w="1180" w:type="dxa"/>
            <w:vAlign w:val="bottom"/>
            <w:gridSpan w:val="2"/>
            <w:shd w:val="clear" w:color="auto" w:fill="005C5D"/>
          </w:tcPr>
          <w:p>
            <w:pPr>
              <w:jc w:val="center"/>
              <w:ind w:right="260"/>
              <w:spacing w:after="0"/>
              <w:rPr>
                <w:sz w:val="20"/>
                <w:szCs w:val="20"/>
                <w:color w:val="auto"/>
              </w:rPr>
            </w:pPr>
            <w:r>
              <w:rPr>
                <w:rFonts w:ascii="Arial" w:cs="Arial" w:eastAsia="Arial" w:hAnsi="Arial"/>
                <w:sz w:val="14"/>
                <w:szCs w:val="14"/>
                <w:color w:val="FFFFFF"/>
              </w:rPr>
              <w:t>Equity Awards</w:t>
            </w:r>
          </w:p>
        </w:tc>
        <w:tc>
          <w:tcPr>
            <w:tcW w:w="1200" w:type="dxa"/>
            <w:vAlign w:val="bottom"/>
            <w:gridSpan w:val="2"/>
            <w:shd w:val="clear" w:color="auto" w:fill="005C5D"/>
          </w:tcPr>
          <w:p>
            <w:pPr>
              <w:jc w:val="center"/>
              <w:ind w:right="189"/>
              <w:spacing w:after="0"/>
              <w:rPr>
                <w:sz w:val="20"/>
                <w:szCs w:val="20"/>
                <w:color w:val="auto"/>
              </w:rPr>
            </w:pPr>
            <w:r>
              <w:rPr>
                <w:rFonts w:ascii="Arial" w:cs="Arial" w:eastAsia="Arial" w:hAnsi="Arial"/>
                <w:sz w:val="14"/>
                <w:szCs w:val="14"/>
                <w:color w:val="FFFFFF"/>
              </w:rPr>
              <w:t>Granted in</w:t>
            </w:r>
          </w:p>
        </w:tc>
        <w:tc>
          <w:tcPr>
            <w:tcW w:w="940" w:type="dxa"/>
            <w:vAlign w:val="bottom"/>
            <w:gridSpan w:val="2"/>
            <w:shd w:val="clear" w:color="auto" w:fill="005C5D"/>
          </w:tcPr>
          <w:p>
            <w:pPr>
              <w:jc w:val="center"/>
              <w:ind w:right="260"/>
              <w:spacing w:after="0"/>
              <w:rPr>
                <w:sz w:val="20"/>
                <w:szCs w:val="20"/>
                <w:color w:val="auto"/>
              </w:rPr>
            </w:pPr>
            <w:r>
              <w:rPr>
                <w:rFonts w:ascii="Arial" w:cs="Arial" w:eastAsia="Arial" w:hAnsi="Arial"/>
                <w:sz w:val="14"/>
                <w:szCs w:val="14"/>
                <w:color w:val="FFFFFF"/>
              </w:rPr>
              <w:t>Equity</w:t>
            </w:r>
          </w:p>
        </w:tc>
        <w:tc>
          <w:tcPr>
            <w:tcW w:w="40" w:type="dxa"/>
            <w:vAlign w:val="bottom"/>
            <w:shd w:val="clear" w:color="auto" w:fill="005C5D"/>
          </w:tcPr>
          <w:p>
            <w:pPr>
              <w:spacing w:after="0"/>
              <w:rPr>
                <w:sz w:val="13"/>
                <w:szCs w:val="13"/>
                <w:color w:val="auto"/>
              </w:rPr>
            </w:pPr>
          </w:p>
        </w:tc>
        <w:tc>
          <w:tcPr>
            <w:tcW w:w="740" w:type="dxa"/>
            <w:vAlign w:val="bottom"/>
            <w:shd w:val="clear" w:color="auto" w:fill="005C5D"/>
          </w:tcPr>
          <w:p>
            <w:pPr>
              <w:spacing w:after="0"/>
              <w:rPr>
                <w:sz w:val="13"/>
                <w:szCs w:val="13"/>
                <w:color w:val="auto"/>
              </w:rPr>
            </w:pPr>
          </w:p>
        </w:tc>
      </w:tr>
      <w:tr>
        <w:trPr>
          <w:trHeight w:val="160"/>
        </w:trPr>
        <w:tc>
          <w:tcPr>
            <w:tcW w:w="1540" w:type="dxa"/>
            <w:vAlign w:val="bottom"/>
            <w:shd w:val="clear" w:color="auto" w:fill="005C5D"/>
          </w:tcPr>
          <w:p>
            <w:pPr>
              <w:spacing w:after="0"/>
              <w:rPr>
                <w:sz w:val="13"/>
                <w:szCs w:val="13"/>
                <w:color w:val="auto"/>
              </w:rPr>
            </w:pPr>
          </w:p>
        </w:tc>
        <w:tc>
          <w:tcPr>
            <w:tcW w:w="240" w:type="dxa"/>
            <w:vAlign w:val="bottom"/>
            <w:shd w:val="clear" w:color="auto" w:fill="005C5D"/>
          </w:tcPr>
          <w:p>
            <w:pPr>
              <w:spacing w:after="0"/>
              <w:rPr>
                <w:sz w:val="13"/>
                <w:szCs w:val="13"/>
                <w:color w:val="auto"/>
              </w:rPr>
            </w:pPr>
          </w:p>
        </w:tc>
        <w:tc>
          <w:tcPr>
            <w:tcW w:w="1340" w:type="dxa"/>
            <w:vAlign w:val="bottom"/>
            <w:gridSpan w:val="2"/>
            <w:shd w:val="clear" w:color="auto" w:fill="005C5D"/>
          </w:tcPr>
          <w:p>
            <w:pPr>
              <w:jc w:val="center"/>
              <w:ind w:right="260"/>
              <w:spacing w:after="0"/>
              <w:rPr>
                <w:sz w:val="20"/>
                <w:szCs w:val="20"/>
                <w:color w:val="auto"/>
              </w:rPr>
            </w:pPr>
            <w:r>
              <w:rPr>
                <w:rFonts w:ascii="Arial" w:cs="Arial" w:eastAsia="Arial" w:hAnsi="Arial"/>
                <w:sz w:val="14"/>
                <w:szCs w:val="14"/>
                <w:color w:val="FFFFFF"/>
              </w:rPr>
              <w:t>SCT Total for</w:t>
            </w:r>
          </w:p>
        </w:tc>
        <w:tc>
          <w:tcPr>
            <w:tcW w:w="120" w:type="dxa"/>
            <w:vAlign w:val="bottom"/>
            <w:shd w:val="clear" w:color="auto" w:fill="005C5D"/>
          </w:tcPr>
          <w:p>
            <w:pPr>
              <w:spacing w:after="0"/>
              <w:rPr>
                <w:sz w:val="13"/>
                <w:szCs w:val="13"/>
                <w:color w:val="auto"/>
              </w:rPr>
            </w:pPr>
          </w:p>
        </w:tc>
        <w:tc>
          <w:tcPr>
            <w:tcW w:w="1120" w:type="dxa"/>
            <w:vAlign w:val="bottom"/>
            <w:shd w:val="clear" w:color="auto" w:fill="005C5D"/>
          </w:tcPr>
          <w:p>
            <w:pPr>
              <w:jc w:val="center"/>
              <w:ind w:right="329"/>
              <w:spacing w:after="0"/>
              <w:rPr>
                <w:sz w:val="20"/>
                <w:szCs w:val="20"/>
                <w:color w:val="auto"/>
              </w:rPr>
            </w:pPr>
            <w:r>
              <w:rPr>
                <w:rFonts w:ascii="Arial" w:cs="Arial" w:eastAsia="Arial" w:hAnsi="Arial"/>
                <w:sz w:val="14"/>
                <w:szCs w:val="14"/>
                <w:color w:val="FFFFFF"/>
              </w:rPr>
              <w:t>of Equity</w:t>
            </w:r>
          </w:p>
        </w:tc>
        <w:tc>
          <w:tcPr>
            <w:tcW w:w="1200" w:type="dxa"/>
            <w:vAlign w:val="bottom"/>
            <w:gridSpan w:val="2"/>
            <w:shd w:val="clear" w:color="auto" w:fill="005C5D"/>
          </w:tcPr>
          <w:p>
            <w:pPr>
              <w:jc w:val="center"/>
              <w:ind w:right="189"/>
              <w:spacing w:after="0"/>
              <w:rPr>
                <w:sz w:val="20"/>
                <w:szCs w:val="20"/>
                <w:color w:val="auto"/>
              </w:rPr>
            </w:pPr>
            <w:r>
              <w:rPr>
                <w:rFonts w:ascii="Arial" w:cs="Arial" w:eastAsia="Arial" w:hAnsi="Arial"/>
                <w:sz w:val="14"/>
                <w:szCs w:val="14"/>
                <w:color w:val="FFFFFF"/>
              </w:rPr>
              <w:t>Granted in</w:t>
            </w:r>
          </w:p>
        </w:tc>
        <w:tc>
          <w:tcPr>
            <w:tcW w:w="1260" w:type="dxa"/>
            <w:vAlign w:val="bottom"/>
            <w:gridSpan w:val="2"/>
            <w:shd w:val="clear" w:color="auto" w:fill="005C5D"/>
          </w:tcPr>
          <w:p>
            <w:pPr>
              <w:jc w:val="center"/>
              <w:ind w:right="260"/>
              <w:spacing w:after="0"/>
              <w:rPr>
                <w:sz w:val="20"/>
                <w:szCs w:val="20"/>
                <w:color w:val="auto"/>
              </w:rPr>
            </w:pPr>
            <w:r>
              <w:rPr>
                <w:rFonts w:ascii="Arial" w:cs="Arial" w:eastAsia="Arial" w:hAnsi="Arial"/>
                <w:sz w:val="14"/>
                <w:szCs w:val="14"/>
                <w:color w:val="FFFFFF"/>
                <w:w w:val="99"/>
              </w:rPr>
              <w:t>During the</w:t>
            </w:r>
          </w:p>
        </w:tc>
        <w:tc>
          <w:tcPr>
            <w:tcW w:w="1180" w:type="dxa"/>
            <w:vAlign w:val="bottom"/>
            <w:gridSpan w:val="2"/>
            <w:shd w:val="clear" w:color="auto" w:fill="005C5D"/>
          </w:tcPr>
          <w:p>
            <w:pPr>
              <w:jc w:val="center"/>
              <w:ind w:right="240"/>
              <w:spacing w:after="0"/>
              <w:rPr>
                <w:sz w:val="20"/>
                <w:szCs w:val="20"/>
                <w:color w:val="auto"/>
              </w:rPr>
            </w:pPr>
            <w:r>
              <w:rPr>
                <w:rFonts w:ascii="Arial" w:cs="Arial" w:eastAsia="Arial" w:hAnsi="Arial"/>
                <w:sz w:val="14"/>
                <w:szCs w:val="14"/>
                <w:color w:val="FFFFFF"/>
              </w:rPr>
              <w:t>Granted in</w:t>
            </w:r>
          </w:p>
        </w:tc>
        <w:tc>
          <w:tcPr>
            <w:tcW w:w="1200" w:type="dxa"/>
            <w:vAlign w:val="bottom"/>
            <w:gridSpan w:val="2"/>
            <w:shd w:val="clear" w:color="auto" w:fill="005C5D"/>
          </w:tcPr>
          <w:p>
            <w:pPr>
              <w:jc w:val="center"/>
              <w:ind w:right="189"/>
              <w:spacing w:after="0"/>
              <w:rPr>
                <w:sz w:val="20"/>
                <w:szCs w:val="20"/>
                <w:color w:val="auto"/>
              </w:rPr>
            </w:pPr>
            <w:r>
              <w:rPr>
                <w:rFonts w:ascii="Arial" w:cs="Arial" w:eastAsia="Arial" w:hAnsi="Arial"/>
                <w:sz w:val="14"/>
                <w:szCs w:val="14"/>
                <w:color w:val="FFFFFF"/>
                <w:w w:val="99"/>
              </w:rPr>
              <w:t>Prior Year that</w:t>
            </w:r>
          </w:p>
        </w:tc>
        <w:tc>
          <w:tcPr>
            <w:tcW w:w="940" w:type="dxa"/>
            <w:vAlign w:val="bottom"/>
            <w:gridSpan w:val="2"/>
            <w:shd w:val="clear" w:color="auto" w:fill="005C5D"/>
          </w:tcPr>
          <w:p>
            <w:pPr>
              <w:jc w:val="center"/>
              <w:ind w:right="260"/>
              <w:spacing w:after="0"/>
              <w:rPr>
                <w:sz w:val="20"/>
                <w:szCs w:val="20"/>
                <w:color w:val="auto"/>
              </w:rPr>
            </w:pPr>
            <w:r>
              <w:rPr>
                <w:rFonts w:ascii="Arial" w:cs="Arial" w:eastAsia="Arial" w:hAnsi="Arial"/>
                <w:sz w:val="14"/>
                <w:szCs w:val="14"/>
                <w:color w:val="FFFFFF"/>
              </w:rPr>
              <w:t>Awards</w:t>
            </w:r>
          </w:p>
        </w:tc>
        <w:tc>
          <w:tcPr>
            <w:tcW w:w="40" w:type="dxa"/>
            <w:vAlign w:val="bottom"/>
            <w:shd w:val="clear" w:color="auto" w:fill="005C5D"/>
          </w:tcPr>
          <w:p>
            <w:pPr>
              <w:spacing w:after="0"/>
              <w:rPr>
                <w:sz w:val="13"/>
                <w:szCs w:val="13"/>
                <w:color w:val="auto"/>
              </w:rPr>
            </w:pPr>
          </w:p>
        </w:tc>
        <w:tc>
          <w:tcPr>
            <w:tcW w:w="740" w:type="dxa"/>
            <w:vAlign w:val="bottom"/>
            <w:shd w:val="clear" w:color="auto" w:fill="005C5D"/>
          </w:tcPr>
          <w:p>
            <w:pPr>
              <w:spacing w:after="0"/>
              <w:rPr>
                <w:sz w:val="13"/>
                <w:szCs w:val="13"/>
                <w:color w:val="auto"/>
              </w:rPr>
            </w:pPr>
          </w:p>
        </w:tc>
      </w:tr>
      <w:tr>
        <w:trPr>
          <w:trHeight w:val="217"/>
        </w:trPr>
        <w:tc>
          <w:tcPr>
            <w:tcW w:w="1540" w:type="dxa"/>
            <w:vAlign w:val="bottom"/>
            <w:tcBorders>
              <w:bottom w:val="single" w:sz="8" w:color="005C5D"/>
            </w:tcBorders>
            <w:shd w:val="clear" w:color="auto" w:fill="005C5D"/>
          </w:tcPr>
          <w:p>
            <w:pPr>
              <w:ind w:left="80"/>
              <w:spacing w:after="0"/>
              <w:rPr>
                <w:sz w:val="20"/>
                <w:szCs w:val="20"/>
                <w:color w:val="auto"/>
              </w:rPr>
            </w:pPr>
            <w:r>
              <w:rPr>
                <w:rFonts w:ascii="Arial" w:cs="Arial" w:eastAsia="Arial" w:hAnsi="Arial"/>
                <w:sz w:val="14"/>
                <w:szCs w:val="14"/>
                <w:color w:val="FFFFFF"/>
              </w:rPr>
              <w:t>Fiscal Year</w:t>
            </w:r>
          </w:p>
        </w:tc>
        <w:tc>
          <w:tcPr>
            <w:tcW w:w="240" w:type="dxa"/>
            <w:vAlign w:val="bottom"/>
            <w:tcBorders>
              <w:bottom w:val="single" w:sz="8" w:color="005C5D"/>
            </w:tcBorders>
            <w:shd w:val="clear" w:color="auto" w:fill="005C5D"/>
          </w:tcPr>
          <w:p>
            <w:pPr>
              <w:spacing w:after="0"/>
              <w:rPr>
                <w:sz w:val="18"/>
                <w:szCs w:val="18"/>
                <w:color w:val="auto"/>
              </w:rPr>
            </w:pPr>
          </w:p>
        </w:tc>
        <w:tc>
          <w:tcPr>
            <w:tcW w:w="1340" w:type="dxa"/>
            <w:vAlign w:val="bottom"/>
            <w:tcBorders>
              <w:bottom w:val="single" w:sz="8" w:color="005C5D"/>
            </w:tcBorders>
            <w:gridSpan w:val="2"/>
            <w:shd w:val="clear" w:color="auto" w:fill="005C5D"/>
          </w:tcPr>
          <w:p>
            <w:pPr>
              <w:jc w:val="center"/>
              <w:ind w:right="260"/>
              <w:spacing w:after="0"/>
              <w:rPr>
                <w:sz w:val="20"/>
                <w:szCs w:val="20"/>
                <w:color w:val="auto"/>
              </w:rPr>
            </w:pPr>
            <w:r>
              <w:rPr>
                <w:rFonts w:ascii="Arial" w:cs="Arial" w:eastAsia="Arial" w:hAnsi="Arial"/>
                <w:sz w:val="14"/>
                <w:szCs w:val="14"/>
                <w:color w:val="FFFFFF"/>
              </w:rPr>
              <w:t>PEO, Mr. Bickley</w:t>
            </w:r>
          </w:p>
        </w:tc>
        <w:tc>
          <w:tcPr>
            <w:tcW w:w="1240" w:type="dxa"/>
            <w:vAlign w:val="bottom"/>
            <w:tcBorders>
              <w:bottom w:val="single" w:sz="8" w:color="005C5D"/>
            </w:tcBorders>
            <w:gridSpan w:val="2"/>
            <w:shd w:val="clear" w:color="auto" w:fill="005C5D"/>
          </w:tcPr>
          <w:p>
            <w:pPr>
              <w:jc w:val="center"/>
              <w:ind w:right="189"/>
              <w:spacing w:after="0"/>
              <w:rPr>
                <w:sz w:val="20"/>
                <w:szCs w:val="20"/>
                <w:color w:val="auto"/>
              </w:rPr>
            </w:pPr>
            <w:r>
              <w:rPr>
                <w:rFonts w:ascii="Arial" w:cs="Arial" w:eastAsia="Arial" w:hAnsi="Arial"/>
                <w:sz w:val="14"/>
                <w:szCs w:val="14"/>
                <w:color w:val="FFFFFF"/>
              </w:rPr>
              <w:t>Awards in SCT</w:t>
            </w:r>
          </w:p>
        </w:tc>
        <w:tc>
          <w:tcPr>
            <w:tcW w:w="1200" w:type="dxa"/>
            <w:vAlign w:val="bottom"/>
            <w:tcBorders>
              <w:bottom w:val="single" w:sz="8" w:color="005C5D"/>
            </w:tcBorders>
            <w:gridSpan w:val="2"/>
            <w:shd w:val="clear" w:color="auto" w:fill="005C5D"/>
          </w:tcPr>
          <w:p>
            <w:pPr>
              <w:jc w:val="center"/>
              <w:ind w:right="189"/>
              <w:spacing w:after="0"/>
              <w:rPr>
                <w:sz w:val="20"/>
                <w:szCs w:val="20"/>
                <w:color w:val="auto"/>
              </w:rPr>
            </w:pPr>
            <w:r>
              <w:rPr>
                <w:rFonts w:ascii="Arial" w:cs="Arial" w:eastAsia="Arial" w:hAnsi="Arial"/>
                <w:sz w:val="14"/>
                <w:szCs w:val="14"/>
                <w:color w:val="FFFFFF"/>
                <w:w w:val="99"/>
              </w:rPr>
              <w:t>Fiscal Year</w:t>
            </w:r>
          </w:p>
        </w:tc>
        <w:tc>
          <w:tcPr>
            <w:tcW w:w="1260" w:type="dxa"/>
            <w:vAlign w:val="bottom"/>
            <w:tcBorders>
              <w:bottom w:val="single" w:sz="8" w:color="005C5D"/>
            </w:tcBorders>
            <w:gridSpan w:val="2"/>
            <w:shd w:val="clear" w:color="auto" w:fill="005C5D"/>
          </w:tcPr>
          <w:p>
            <w:pPr>
              <w:jc w:val="center"/>
              <w:ind w:right="260"/>
              <w:spacing w:after="0"/>
              <w:rPr>
                <w:sz w:val="20"/>
                <w:szCs w:val="20"/>
                <w:color w:val="auto"/>
              </w:rPr>
            </w:pPr>
            <w:r>
              <w:rPr>
                <w:rFonts w:ascii="Arial" w:cs="Arial" w:eastAsia="Arial" w:hAnsi="Arial"/>
                <w:sz w:val="14"/>
                <w:szCs w:val="14"/>
                <w:color w:val="FFFFFF"/>
                <w:w w:val="94"/>
              </w:rPr>
              <w:t>Year</w:t>
            </w:r>
          </w:p>
        </w:tc>
        <w:tc>
          <w:tcPr>
            <w:tcW w:w="1180" w:type="dxa"/>
            <w:vAlign w:val="bottom"/>
            <w:tcBorders>
              <w:bottom w:val="single" w:sz="8" w:color="005C5D"/>
            </w:tcBorders>
            <w:gridSpan w:val="2"/>
            <w:shd w:val="clear" w:color="auto" w:fill="005C5D"/>
          </w:tcPr>
          <w:p>
            <w:pPr>
              <w:jc w:val="center"/>
              <w:ind w:right="240"/>
              <w:spacing w:after="0"/>
              <w:rPr>
                <w:sz w:val="20"/>
                <w:szCs w:val="20"/>
                <w:color w:val="auto"/>
              </w:rPr>
            </w:pPr>
            <w:r>
              <w:rPr>
                <w:rFonts w:ascii="Arial" w:cs="Arial" w:eastAsia="Arial" w:hAnsi="Arial"/>
                <w:sz w:val="14"/>
                <w:szCs w:val="14"/>
                <w:color w:val="FFFFFF"/>
                <w:w w:val="99"/>
              </w:rPr>
              <w:t>Prior Years</w:t>
            </w:r>
          </w:p>
        </w:tc>
        <w:tc>
          <w:tcPr>
            <w:tcW w:w="1200" w:type="dxa"/>
            <w:vAlign w:val="bottom"/>
            <w:tcBorders>
              <w:bottom w:val="single" w:sz="8" w:color="005C5D"/>
            </w:tcBorders>
            <w:gridSpan w:val="2"/>
            <w:shd w:val="clear" w:color="auto" w:fill="005C5D"/>
          </w:tcPr>
          <w:p>
            <w:pPr>
              <w:jc w:val="center"/>
              <w:ind w:right="169"/>
              <w:spacing w:after="0"/>
              <w:rPr>
                <w:sz w:val="20"/>
                <w:szCs w:val="20"/>
                <w:color w:val="auto"/>
              </w:rPr>
            </w:pPr>
            <w:r>
              <w:rPr>
                <w:rFonts w:ascii="Arial" w:cs="Arial" w:eastAsia="Arial" w:hAnsi="Arial"/>
                <w:sz w:val="14"/>
                <w:szCs w:val="14"/>
                <w:color w:val="FFFFFF"/>
              </w:rPr>
              <w:t>Vested</w:t>
            </w:r>
          </w:p>
        </w:tc>
        <w:tc>
          <w:tcPr>
            <w:tcW w:w="940" w:type="dxa"/>
            <w:vAlign w:val="bottom"/>
            <w:tcBorders>
              <w:bottom w:val="single" w:sz="8" w:color="005C5D"/>
            </w:tcBorders>
            <w:gridSpan w:val="2"/>
            <w:shd w:val="clear" w:color="auto" w:fill="005C5D"/>
          </w:tcPr>
          <w:p>
            <w:pPr>
              <w:jc w:val="center"/>
              <w:ind w:right="260"/>
              <w:spacing w:after="0"/>
              <w:rPr>
                <w:sz w:val="20"/>
                <w:szCs w:val="20"/>
                <w:color w:val="auto"/>
              </w:rPr>
            </w:pPr>
            <w:r>
              <w:rPr>
                <w:rFonts w:ascii="Arial" w:cs="Arial" w:eastAsia="Arial" w:hAnsi="Arial"/>
                <w:sz w:val="14"/>
                <w:szCs w:val="14"/>
                <w:color w:val="FFFFFF"/>
              </w:rPr>
              <w:t>Forfeited</w:t>
            </w:r>
          </w:p>
        </w:tc>
        <w:tc>
          <w:tcPr>
            <w:tcW w:w="780" w:type="dxa"/>
            <w:vAlign w:val="bottom"/>
            <w:tcBorders>
              <w:bottom w:val="single" w:sz="8" w:color="005C5D"/>
            </w:tcBorders>
            <w:gridSpan w:val="2"/>
            <w:shd w:val="clear" w:color="auto" w:fill="005C5D"/>
          </w:tcPr>
          <w:p>
            <w:pPr>
              <w:ind w:left="20"/>
              <w:spacing w:after="0"/>
              <w:rPr>
                <w:sz w:val="20"/>
                <w:szCs w:val="20"/>
                <w:color w:val="auto"/>
              </w:rPr>
            </w:pPr>
            <w:r>
              <w:rPr>
                <w:rFonts w:ascii="Arial" w:cs="Arial" w:eastAsia="Arial" w:hAnsi="Arial"/>
                <w:sz w:val="14"/>
                <w:szCs w:val="14"/>
                <w:color w:val="FFFFFF"/>
              </w:rPr>
              <w:t>Total—CAP</w:t>
            </w:r>
          </w:p>
        </w:tc>
      </w:tr>
      <w:tr>
        <w:trPr>
          <w:trHeight w:val="301"/>
        </w:trPr>
        <w:tc>
          <w:tcPr>
            <w:tcW w:w="1540" w:type="dxa"/>
            <w:vAlign w:val="bottom"/>
          </w:tcPr>
          <w:p>
            <w:pPr>
              <w:ind w:left="80"/>
              <w:spacing w:after="0"/>
              <w:rPr>
                <w:sz w:val="20"/>
                <w:szCs w:val="20"/>
                <w:color w:val="auto"/>
              </w:rPr>
            </w:pPr>
            <w:r>
              <w:rPr>
                <w:rFonts w:ascii="Arial" w:cs="Arial" w:eastAsia="Arial" w:hAnsi="Arial"/>
                <w:sz w:val="14"/>
                <w:szCs w:val="14"/>
                <w:color w:val="333333"/>
              </w:rPr>
              <w:t>2026</w:t>
            </w:r>
          </w:p>
        </w:tc>
        <w:tc>
          <w:tcPr>
            <w:tcW w:w="1580" w:type="dxa"/>
            <w:vAlign w:val="bottom"/>
            <w:tcBorders>
              <w:bottom w:val="single" w:sz="8" w:color="FCEFEB"/>
            </w:tcBorders>
            <w:gridSpan w:val="3"/>
            <w:shd w:val="clear" w:color="auto" w:fill="FCEFEB"/>
          </w:tcPr>
          <w:p>
            <w:pPr>
              <w:jc w:val="right"/>
              <w:ind w:right="300"/>
              <w:spacing w:after="0"/>
              <w:rPr>
                <w:sz w:val="20"/>
                <w:szCs w:val="20"/>
                <w:color w:val="auto"/>
              </w:rPr>
            </w:pPr>
            <w:r>
              <w:rPr>
                <w:rFonts w:ascii="Arial" w:cs="Arial" w:eastAsia="Arial" w:hAnsi="Arial"/>
                <w:sz w:val="14"/>
                <w:szCs w:val="14"/>
                <w:color w:val="333333"/>
              </w:rPr>
              <w:t>$1,804,108</w:t>
            </w:r>
          </w:p>
        </w:tc>
        <w:tc>
          <w:tcPr>
            <w:tcW w:w="1240" w:type="dxa"/>
            <w:vAlign w:val="bottom"/>
            <w:tcBorders>
              <w:bottom w:val="single" w:sz="8" w:color="FCEFEB"/>
            </w:tcBorders>
            <w:gridSpan w:val="2"/>
            <w:shd w:val="clear" w:color="auto" w:fill="FCEFEB"/>
          </w:tcPr>
          <w:p>
            <w:pPr>
              <w:jc w:val="right"/>
              <w:ind w:right="229"/>
              <w:spacing w:after="0"/>
              <w:rPr>
                <w:sz w:val="20"/>
                <w:szCs w:val="20"/>
                <w:color w:val="auto"/>
              </w:rPr>
            </w:pPr>
            <w:r>
              <w:rPr>
                <w:rFonts w:ascii="Arial" w:cs="Arial" w:eastAsia="Arial" w:hAnsi="Arial"/>
                <w:sz w:val="14"/>
                <w:szCs w:val="14"/>
                <w:color w:val="333333"/>
              </w:rPr>
              <w:t>$(1,499,999)</w:t>
            </w:r>
          </w:p>
        </w:tc>
        <w:tc>
          <w:tcPr>
            <w:tcW w:w="1200" w:type="dxa"/>
            <w:vAlign w:val="bottom"/>
            <w:tcBorders>
              <w:bottom w:val="single" w:sz="8" w:color="FCEFEB"/>
            </w:tcBorders>
            <w:gridSpan w:val="2"/>
            <w:shd w:val="clear" w:color="auto" w:fill="FCEFEB"/>
          </w:tcPr>
          <w:p>
            <w:pPr>
              <w:jc w:val="right"/>
              <w:ind w:right="229"/>
              <w:spacing w:after="0"/>
              <w:rPr>
                <w:sz w:val="20"/>
                <w:szCs w:val="20"/>
                <w:color w:val="auto"/>
              </w:rPr>
            </w:pPr>
            <w:r>
              <w:rPr>
                <w:rFonts w:ascii="Arial" w:cs="Arial" w:eastAsia="Arial" w:hAnsi="Arial"/>
                <w:sz w:val="14"/>
                <w:szCs w:val="14"/>
                <w:color w:val="333333"/>
              </w:rPr>
              <w:t>$1,688,002</w:t>
            </w:r>
          </w:p>
        </w:tc>
        <w:tc>
          <w:tcPr>
            <w:tcW w:w="1260" w:type="dxa"/>
            <w:vAlign w:val="bottom"/>
            <w:tcBorders>
              <w:bottom w:val="single" w:sz="8" w:color="FCEFEB"/>
            </w:tcBorders>
            <w:gridSpan w:val="2"/>
            <w:shd w:val="clear" w:color="auto" w:fill="FCEFEB"/>
          </w:tcPr>
          <w:p>
            <w:pPr>
              <w:jc w:val="right"/>
              <w:ind w:right="560"/>
              <w:spacing w:after="0"/>
              <w:rPr>
                <w:sz w:val="20"/>
                <w:szCs w:val="20"/>
                <w:color w:val="auto"/>
              </w:rPr>
            </w:pPr>
            <w:r>
              <w:rPr>
                <w:rFonts w:ascii="Arial" w:cs="Arial" w:eastAsia="Arial" w:hAnsi="Arial"/>
                <w:sz w:val="14"/>
                <w:szCs w:val="14"/>
                <w:color w:val="333333"/>
              </w:rPr>
              <w:t>$—</w:t>
            </w:r>
          </w:p>
        </w:tc>
        <w:tc>
          <w:tcPr>
            <w:tcW w:w="1180" w:type="dxa"/>
            <w:vAlign w:val="bottom"/>
            <w:tcBorders>
              <w:bottom w:val="single" w:sz="8" w:color="FCEFEB"/>
            </w:tcBorders>
            <w:gridSpan w:val="2"/>
            <w:shd w:val="clear" w:color="auto" w:fill="FCEFEB"/>
          </w:tcPr>
          <w:p>
            <w:pPr>
              <w:ind w:left="440"/>
              <w:spacing w:after="0"/>
              <w:rPr>
                <w:sz w:val="20"/>
                <w:szCs w:val="20"/>
                <w:color w:val="auto"/>
              </w:rPr>
            </w:pPr>
            <w:r>
              <w:rPr>
                <w:rFonts w:ascii="Arial" w:cs="Arial" w:eastAsia="Arial" w:hAnsi="Arial"/>
                <w:sz w:val="14"/>
                <w:szCs w:val="14"/>
                <w:color w:val="333333"/>
              </w:rPr>
              <w:t>$—</w:t>
            </w:r>
          </w:p>
        </w:tc>
        <w:tc>
          <w:tcPr>
            <w:tcW w:w="440" w:type="dxa"/>
            <w:vAlign w:val="bottom"/>
            <w:tcBorders>
              <w:bottom w:val="single" w:sz="8" w:color="FCEFEB"/>
            </w:tcBorders>
            <w:shd w:val="clear" w:color="auto" w:fill="FCEFEB"/>
          </w:tcPr>
          <w:p>
            <w:pPr>
              <w:spacing w:after="0"/>
              <w:rPr>
                <w:sz w:val="24"/>
                <w:szCs w:val="24"/>
                <w:color w:val="auto"/>
              </w:rPr>
            </w:pPr>
          </w:p>
        </w:tc>
        <w:tc>
          <w:tcPr>
            <w:tcW w:w="760" w:type="dxa"/>
            <w:vAlign w:val="bottom"/>
            <w:tcBorders>
              <w:bottom w:val="single" w:sz="8" w:color="FCEFEB"/>
            </w:tcBorders>
            <w:shd w:val="clear" w:color="auto" w:fill="FCEFEB"/>
          </w:tcPr>
          <w:p>
            <w:pPr>
              <w:spacing w:after="0"/>
              <w:rPr>
                <w:sz w:val="20"/>
                <w:szCs w:val="20"/>
                <w:color w:val="auto"/>
              </w:rPr>
            </w:pPr>
            <w:r>
              <w:rPr>
                <w:rFonts w:ascii="Arial" w:cs="Arial" w:eastAsia="Arial" w:hAnsi="Arial"/>
                <w:sz w:val="14"/>
                <w:szCs w:val="14"/>
                <w:color w:val="333333"/>
              </w:rPr>
              <w:t>$—</w:t>
            </w:r>
          </w:p>
        </w:tc>
        <w:tc>
          <w:tcPr>
            <w:tcW w:w="940" w:type="dxa"/>
            <w:vAlign w:val="bottom"/>
            <w:tcBorders>
              <w:bottom w:val="single" w:sz="8" w:color="FCEFEB"/>
            </w:tcBorders>
            <w:gridSpan w:val="2"/>
            <w:shd w:val="clear" w:color="auto" w:fill="FCEFEB"/>
          </w:tcPr>
          <w:p>
            <w:pPr>
              <w:ind w:left="320"/>
              <w:spacing w:after="0"/>
              <w:rPr>
                <w:sz w:val="20"/>
                <w:szCs w:val="20"/>
                <w:color w:val="auto"/>
              </w:rPr>
            </w:pPr>
            <w:r>
              <w:rPr>
                <w:rFonts w:ascii="Arial" w:cs="Arial" w:eastAsia="Arial" w:hAnsi="Arial"/>
                <w:sz w:val="14"/>
                <w:szCs w:val="14"/>
                <w:color w:val="333333"/>
              </w:rPr>
              <w:t>$—</w:t>
            </w:r>
          </w:p>
        </w:tc>
        <w:tc>
          <w:tcPr>
            <w:tcW w:w="780" w:type="dxa"/>
            <w:vAlign w:val="bottom"/>
            <w:tcBorders>
              <w:bottom w:val="single" w:sz="8" w:color="FCEFEB"/>
            </w:tcBorders>
            <w:gridSpan w:val="2"/>
            <w:shd w:val="clear" w:color="auto" w:fill="FCEFEB"/>
          </w:tcPr>
          <w:p>
            <w:pPr>
              <w:ind w:left="40"/>
              <w:spacing w:after="0"/>
              <w:rPr>
                <w:sz w:val="20"/>
                <w:szCs w:val="20"/>
                <w:color w:val="auto"/>
              </w:rPr>
            </w:pPr>
            <w:r>
              <w:rPr>
                <w:rFonts w:ascii="Arial" w:cs="Arial" w:eastAsia="Arial" w:hAnsi="Arial"/>
                <w:sz w:val="14"/>
                <w:szCs w:val="14"/>
                <w:color w:val="333333"/>
              </w:rPr>
              <w:t>$1,972,112</w:t>
            </w:r>
          </w:p>
        </w:tc>
      </w:tr>
      <w:tr>
        <w:trPr>
          <w:trHeight w:val="333"/>
        </w:trPr>
        <w:tc>
          <w:tcPr>
            <w:tcW w:w="3120" w:type="dxa"/>
            <w:vAlign w:val="bottom"/>
            <w:tcBorders>
              <w:top w:val="single" w:sz="8" w:color="005C5D"/>
            </w:tcBorders>
            <w:gridSpan w:val="4"/>
          </w:tcPr>
          <w:p>
            <w:pPr>
              <w:spacing w:after="0"/>
              <w:rPr>
                <w:sz w:val="20"/>
                <w:szCs w:val="20"/>
                <w:color w:val="auto"/>
              </w:rPr>
            </w:pPr>
            <w:r>
              <w:rPr>
                <w:rFonts w:ascii="Arial" w:cs="Arial" w:eastAsia="Arial" w:hAnsi="Arial"/>
                <w:sz w:val="14"/>
                <w:szCs w:val="14"/>
                <w:color w:val="005C5D"/>
              </w:rPr>
              <w:t xml:space="preserve">42 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p>
        </w:tc>
        <w:tc>
          <w:tcPr>
            <w:tcW w:w="120" w:type="dxa"/>
            <w:vAlign w:val="bottom"/>
            <w:tcBorders>
              <w:top w:val="single" w:sz="8" w:color="005C5D"/>
            </w:tcBorders>
          </w:tcPr>
          <w:p>
            <w:pPr>
              <w:spacing w:after="0"/>
              <w:rPr>
                <w:sz w:val="24"/>
                <w:szCs w:val="24"/>
                <w:color w:val="auto"/>
              </w:rPr>
            </w:pPr>
          </w:p>
        </w:tc>
        <w:tc>
          <w:tcPr>
            <w:tcW w:w="1120" w:type="dxa"/>
            <w:vAlign w:val="bottom"/>
            <w:tcBorders>
              <w:top w:val="single" w:sz="8" w:color="005C5D"/>
            </w:tcBorders>
          </w:tcPr>
          <w:p>
            <w:pPr>
              <w:spacing w:after="0"/>
              <w:rPr>
                <w:sz w:val="24"/>
                <w:szCs w:val="24"/>
                <w:color w:val="auto"/>
              </w:rPr>
            </w:pPr>
          </w:p>
        </w:tc>
        <w:tc>
          <w:tcPr>
            <w:tcW w:w="180" w:type="dxa"/>
            <w:vAlign w:val="bottom"/>
            <w:tcBorders>
              <w:top w:val="single" w:sz="8" w:color="005C5D"/>
            </w:tcBorders>
          </w:tcPr>
          <w:p>
            <w:pPr>
              <w:spacing w:after="0"/>
              <w:rPr>
                <w:sz w:val="24"/>
                <w:szCs w:val="24"/>
                <w:color w:val="auto"/>
              </w:rPr>
            </w:pPr>
          </w:p>
        </w:tc>
        <w:tc>
          <w:tcPr>
            <w:tcW w:w="2280" w:type="dxa"/>
            <w:vAlign w:val="bottom"/>
            <w:tcBorders>
              <w:top w:val="single" w:sz="8" w:color="005C5D"/>
            </w:tcBorders>
            <w:gridSpan w:val="3"/>
          </w:tcPr>
          <w:p>
            <w:pPr>
              <w:jc w:val="right"/>
              <w:ind w:right="560"/>
              <w:spacing w:after="0"/>
              <w:rPr>
                <w:sz w:val="20"/>
                <w:szCs w:val="20"/>
                <w:color w:val="auto"/>
              </w:rPr>
            </w:pPr>
            <w:r>
              <w:rPr>
                <w:rFonts w:ascii="Arial" w:cs="Arial" w:eastAsia="Arial" w:hAnsi="Arial"/>
                <w:sz w:val="14"/>
                <w:szCs w:val="14"/>
                <w:b w:val="1"/>
                <w:bCs w:val="1"/>
                <w:color w:val="005C5D"/>
              </w:rPr>
              <w:t>VERA BRADLEY, INC.</w:t>
            </w:r>
          </w:p>
        </w:tc>
        <w:tc>
          <w:tcPr>
            <w:tcW w:w="440" w:type="dxa"/>
            <w:vAlign w:val="bottom"/>
            <w:tcBorders>
              <w:top w:val="single" w:sz="8" w:color="005C5D"/>
            </w:tcBorders>
          </w:tcPr>
          <w:p>
            <w:pPr>
              <w:spacing w:after="0"/>
              <w:rPr>
                <w:sz w:val="24"/>
                <w:szCs w:val="24"/>
                <w:color w:val="auto"/>
              </w:rPr>
            </w:pPr>
          </w:p>
        </w:tc>
        <w:tc>
          <w:tcPr>
            <w:tcW w:w="740" w:type="dxa"/>
            <w:vAlign w:val="bottom"/>
            <w:tcBorders>
              <w:top w:val="single" w:sz="8" w:color="005C5D"/>
            </w:tcBorders>
          </w:tcPr>
          <w:p>
            <w:pPr>
              <w:spacing w:after="0"/>
              <w:rPr>
                <w:sz w:val="24"/>
                <w:szCs w:val="24"/>
                <w:color w:val="auto"/>
              </w:rPr>
            </w:pPr>
          </w:p>
        </w:tc>
        <w:tc>
          <w:tcPr>
            <w:tcW w:w="440" w:type="dxa"/>
            <w:vAlign w:val="bottom"/>
            <w:tcBorders>
              <w:top w:val="single" w:sz="8" w:color="005C5D"/>
            </w:tcBorders>
          </w:tcPr>
          <w:p>
            <w:pPr>
              <w:spacing w:after="0"/>
              <w:rPr>
                <w:sz w:val="24"/>
                <w:szCs w:val="24"/>
                <w:color w:val="auto"/>
              </w:rPr>
            </w:pPr>
          </w:p>
        </w:tc>
        <w:tc>
          <w:tcPr>
            <w:tcW w:w="760" w:type="dxa"/>
            <w:vAlign w:val="bottom"/>
            <w:tcBorders>
              <w:top w:val="single" w:sz="8" w:color="005C5D"/>
            </w:tcBorders>
          </w:tcPr>
          <w:p>
            <w:pPr>
              <w:spacing w:after="0"/>
              <w:rPr>
                <w:sz w:val="24"/>
                <w:szCs w:val="24"/>
                <w:color w:val="auto"/>
              </w:rPr>
            </w:pPr>
          </w:p>
        </w:tc>
        <w:tc>
          <w:tcPr>
            <w:tcW w:w="320" w:type="dxa"/>
            <w:vAlign w:val="bottom"/>
            <w:tcBorders>
              <w:top w:val="single" w:sz="8" w:color="005C5D"/>
            </w:tcBorders>
          </w:tcPr>
          <w:p>
            <w:pPr>
              <w:spacing w:after="0"/>
              <w:rPr>
                <w:sz w:val="24"/>
                <w:szCs w:val="24"/>
                <w:color w:val="auto"/>
              </w:rPr>
            </w:pPr>
          </w:p>
        </w:tc>
        <w:tc>
          <w:tcPr>
            <w:tcW w:w="620" w:type="dxa"/>
            <w:vAlign w:val="bottom"/>
            <w:tcBorders>
              <w:top w:val="single" w:sz="8" w:color="005C5D"/>
            </w:tcBorders>
          </w:tcPr>
          <w:p>
            <w:pPr>
              <w:spacing w:after="0"/>
              <w:rPr>
                <w:sz w:val="24"/>
                <w:szCs w:val="24"/>
                <w:color w:val="auto"/>
              </w:rPr>
            </w:pPr>
          </w:p>
        </w:tc>
        <w:tc>
          <w:tcPr>
            <w:tcW w:w="40" w:type="dxa"/>
            <w:vAlign w:val="bottom"/>
            <w:tcBorders>
              <w:top w:val="single" w:sz="8" w:color="005C5D"/>
            </w:tcBorders>
          </w:tcPr>
          <w:p>
            <w:pPr>
              <w:spacing w:after="0"/>
              <w:rPr>
                <w:sz w:val="24"/>
                <w:szCs w:val="24"/>
                <w:color w:val="auto"/>
              </w:rPr>
            </w:pPr>
          </w:p>
        </w:tc>
        <w:tc>
          <w:tcPr>
            <w:tcW w:w="740" w:type="dxa"/>
            <w:vAlign w:val="bottom"/>
            <w:tcBorders>
              <w:top w:val="single" w:sz="8" w:color="005C5D"/>
            </w:tcBorders>
          </w:tcPr>
          <w:p>
            <w:pPr>
              <w:spacing w:after="0"/>
              <w:rPr>
                <w:sz w:val="24"/>
                <w:szCs w:val="24"/>
                <w:color w:val="auto"/>
              </w:rPr>
            </w:pPr>
          </w:p>
        </w:tc>
      </w:tr>
    </w:tbl>
    <w:p>
      <w:pPr>
        <w:sectPr>
          <w:pgSz w:w="11900" w:h="16838" w:orient="portrait"/>
          <w:cols w:equalWidth="0" w:num="1">
            <w:col w:w="10920"/>
          </w:cols>
          <w:pgMar w:left="480" w:top="304" w:right="499" w:bottom="1440" w:gutter="0" w:footer="0" w:header="0"/>
        </w:sectPr>
      </w:pPr>
    </w:p>
    <w:bookmarkStart w:id="54" w:name="page55"/>
    <w:bookmarkEnd w:id="54"/>
    <w:p>
      <w:pPr>
        <w:jc w:val="right"/>
        <w:spacing w:after="0"/>
        <w:rPr>
          <w:sz w:val="20"/>
          <w:szCs w:val="20"/>
          <w:color w:val="auto"/>
        </w:rPr>
      </w:pPr>
      <w:r>
        <w:rPr>
          <w:rFonts w:ascii="Arial" w:cs="Arial" w:eastAsia="Arial" w:hAnsi="Arial"/>
          <w:sz w:val="14"/>
          <w:szCs w:val="14"/>
          <w:color w:val="005C5D"/>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Pay Versus Performance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692975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333333"/>
        </w:rPr>
        <w:t>For PEO, Ms. Ardrey: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940" w:type="dxa"/>
            <w:vAlign w:val="bottom"/>
          </w:tcPr>
          <w:p>
            <w:pPr>
              <w:spacing w:after="0"/>
              <w:rPr>
                <w:sz w:val="13"/>
                <w:szCs w:val="13"/>
                <w:color w:val="auto"/>
              </w:rPr>
            </w:pPr>
          </w:p>
        </w:tc>
        <w:tc>
          <w:tcPr>
            <w:tcW w:w="200" w:type="dxa"/>
            <w:vAlign w:val="bottom"/>
            <w:shd w:val="clear" w:color="auto" w:fill="FCEFEB"/>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shd w:val="clear" w:color="auto" w:fill="FCEFEB"/>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shd w:val="clear" w:color="auto" w:fill="FCEFEB"/>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shd w:val="clear" w:color="auto" w:fill="FCEFEB"/>
          </w:tcPr>
          <w:p>
            <w:pPr>
              <w:spacing w:after="0"/>
              <w:rPr>
                <w:sz w:val="13"/>
                <w:szCs w:val="13"/>
                <w:color w:val="auto"/>
              </w:rPr>
            </w:pPr>
          </w:p>
        </w:tc>
        <w:tc>
          <w:tcPr>
            <w:tcW w:w="780" w:type="dxa"/>
            <w:vAlign w:val="bottom"/>
            <w:shd w:val="clear" w:color="auto" w:fill="FCEFEB"/>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shd w:val="clear" w:color="auto" w:fill="FCEFEB"/>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shd w:val="clear" w:color="auto" w:fill="FCEFEB"/>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shd w:val="clear" w:color="auto" w:fill="FCEFEB"/>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shd w:val="clear" w:color="auto" w:fill="FCEFEB"/>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shd w:val="clear" w:color="auto" w:fill="FCEFEB"/>
          </w:tcPr>
          <w:p>
            <w:pPr>
              <w:spacing w:after="0"/>
              <w:rPr>
                <w:sz w:val="13"/>
                <w:szCs w:val="13"/>
                <w:color w:val="auto"/>
              </w:rPr>
            </w:pPr>
          </w:p>
        </w:tc>
      </w:tr>
      <w:tr>
        <w:trPr>
          <w:trHeight w:val="218"/>
        </w:trPr>
        <w:tc>
          <w:tcPr>
            <w:tcW w:w="1940" w:type="dxa"/>
            <w:vAlign w:val="bottom"/>
            <w:shd w:val="clear" w:color="auto" w:fill="005C5D"/>
          </w:tcPr>
          <w:p>
            <w:pPr>
              <w:spacing w:after="0"/>
              <w:rPr>
                <w:sz w:val="18"/>
                <w:szCs w:val="18"/>
                <w:color w:val="auto"/>
              </w:rPr>
            </w:pPr>
          </w:p>
        </w:tc>
        <w:tc>
          <w:tcPr>
            <w:tcW w:w="200" w:type="dxa"/>
            <w:vAlign w:val="bottom"/>
            <w:shd w:val="clear" w:color="auto" w:fill="005C5D"/>
          </w:tcPr>
          <w:p>
            <w:pPr>
              <w:spacing w:after="0"/>
              <w:rPr>
                <w:sz w:val="18"/>
                <w:szCs w:val="18"/>
                <w:color w:val="auto"/>
              </w:rPr>
            </w:pPr>
          </w:p>
        </w:tc>
        <w:tc>
          <w:tcPr>
            <w:tcW w:w="40" w:type="dxa"/>
            <w:vAlign w:val="bottom"/>
            <w:shd w:val="clear" w:color="auto" w:fill="005C5D"/>
          </w:tcPr>
          <w:p>
            <w:pPr>
              <w:spacing w:after="0"/>
              <w:rPr>
                <w:sz w:val="18"/>
                <w:szCs w:val="18"/>
                <w:color w:val="auto"/>
              </w:rPr>
            </w:pPr>
          </w:p>
        </w:tc>
        <w:tc>
          <w:tcPr>
            <w:tcW w:w="980" w:type="dxa"/>
            <w:vAlign w:val="bottom"/>
            <w:shd w:val="clear" w:color="auto" w:fill="005C5D"/>
          </w:tcPr>
          <w:p>
            <w:pPr>
              <w:spacing w:after="0"/>
              <w:rPr>
                <w:sz w:val="18"/>
                <w:szCs w:val="18"/>
                <w:color w:val="auto"/>
              </w:rPr>
            </w:pPr>
          </w:p>
        </w:tc>
        <w:tc>
          <w:tcPr>
            <w:tcW w:w="180" w:type="dxa"/>
            <w:vAlign w:val="bottom"/>
            <w:shd w:val="clear" w:color="auto" w:fill="005C5D"/>
          </w:tcPr>
          <w:p>
            <w:pPr>
              <w:spacing w:after="0"/>
              <w:rPr>
                <w:sz w:val="18"/>
                <w:szCs w:val="18"/>
                <w:color w:val="auto"/>
              </w:rPr>
            </w:pPr>
          </w:p>
        </w:tc>
        <w:tc>
          <w:tcPr>
            <w:tcW w:w="1020" w:type="dxa"/>
            <w:vAlign w:val="bottom"/>
            <w:shd w:val="clear" w:color="auto" w:fill="005C5D"/>
          </w:tcPr>
          <w:p>
            <w:pPr>
              <w:spacing w:after="0"/>
              <w:rPr>
                <w:sz w:val="18"/>
                <w:szCs w:val="18"/>
                <w:color w:val="auto"/>
              </w:rPr>
            </w:pPr>
          </w:p>
        </w:tc>
        <w:tc>
          <w:tcPr>
            <w:tcW w:w="320" w:type="dxa"/>
            <w:vAlign w:val="bottom"/>
            <w:shd w:val="clear" w:color="auto" w:fill="005C5D"/>
          </w:tcPr>
          <w:p>
            <w:pPr>
              <w:spacing w:after="0"/>
              <w:rPr>
                <w:sz w:val="18"/>
                <w:szCs w:val="18"/>
                <w:color w:val="auto"/>
              </w:rPr>
            </w:pPr>
          </w:p>
        </w:tc>
        <w:tc>
          <w:tcPr>
            <w:tcW w:w="80" w:type="dxa"/>
            <w:vAlign w:val="bottom"/>
            <w:shd w:val="clear" w:color="auto" w:fill="005C5D"/>
          </w:tcPr>
          <w:p>
            <w:pPr>
              <w:spacing w:after="0"/>
              <w:rPr>
                <w:sz w:val="18"/>
                <w:szCs w:val="18"/>
                <w:color w:val="auto"/>
              </w:rPr>
            </w:pPr>
          </w:p>
        </w:tc>
        <w:tc>
          <w:tcPr>
            <w:tcW w:w="780" w:type="dxa"/>
            <w:vAlign w:val="bottom"/>
            <w:shd w:val="clear" w:color="auto" w:fill="005C5D"/>
          </w:tcPr>
          <w:p>
            <w:pPr>
              <w:spacing w:after="0"/>
              <w:rPr>
                <w:sz w:val="18"/>
                <w:szCs w:val="18"/>
                <w:color w:val="auto"/>
              </w:rPr>
            </w:pPr>
          </w:p>
        </w:tc>
        <w:tc>
          <w:tcPr>
            <w:tcW w:w="300" w:type="dxa"/>
            <w:vAlign w:val="bottom"/>
            <w:shd w:val="clear" w:color="auto" w:fill="005C5D"/>
          </w:tcPr>
          <w:p>
            <w:pPr>
              <w:spacing w:after="0"/>
              <w:rPr>
                <w:sz w:val="18"/>
                <w:szCs w:val="18"/>
                <w:color w:val="auto"/>
              </w:rPr>
            </w:pPr>
          </w:p>
        </w:tc>
        <w:tc>
          <w:tcPr>
            <w:tcW w:w="900" w:type="dxa"/>
            <w:vAlign w:val="bottom"/>
            <w:shd w:val="clear" w:color="auto" w:fill="005C5D"/>
          </w:tcPr>
          <w:p>
            <w:pPr>
              <w:spacing w:after="0"/>
              <w:rPr>
                <w:sz w:val="18"/>
                <w:szCs w:val="18"/>
                <w:color w:val="auto"/>
              </w:rPr>
            </w:pPr>
          </w:p>
        </w:tc>
        <w:tc>
          <w:tcPr>
            <w:tcW w:w="1160" w:type="dxa"/>
            <w:vAlign w:val="bottom"/>
            <w:gridSpan w:val="2"/>
            <w:shd w:val="clear" w:color="auto" w:fill="005C5D"/>
          </w:tcPr>
          <w:p>
            <w:pPr>
              <w:jc w:val="center"/>
              <w:ind w:right="129"/>
              <w:spacing w:after="0"/>
              <w:rPr>
                <w:sz w:val="20"/>
                <w:szCs w:val="20"/>
                <w:color w:val="auto"/>
              </w:rPr>
            </w:pPr>
            <w:r>
              <w:rPr>
                <w:rFonts w:ascii="Arial" w:cs="Arial" w:eastAsia="Arial" w:hAnsi="Arial"/>
                <w:sz w:val="14"/>
                <w:szCs w:val="14"/>
                <w:color w:val="FFFFFF"/>
              </w:rPr>
              <w:t>Plus (Less):</w:t>
            </w:r>
          </w:p>
        </w:tc>
        <w:tc>
          <w:tcPr>
            <w:tcW w:w="1140" w:type="dxa"/>
            <w:vAlign w:val="bottom"/>
            <w:gridSpan w:val="2"/>
            <w:shd w:val="clear" w:color="auto" w:fill="005C5D"/>
          </w:tcPr>
          <w:p>
            <w:pPr>
              <w:jc w:val="center"/>
              <w:ind w:right="129"/>
              <w:spacing w:after="0"/>
              <w:rPr>
                <w:sz w:val="20"/>
                <w:szCs w:val="20"/>
                <w:color w:val="auto"/>
              </w:rPr>
            </w:pPr>
            <w:r>
              <w:rPr>
                <w:rFonts w:ascii="Arial" w:cs="Arial" w:eastAsia="Arial" w:hAnsi="Arial"/>
                <w:sz w:val="14"/>
                <w:szCs w:val="14"/>
                <w:color w:val="FFFFFF"/>
              </w:rPr>
              <w:t>Plus (Less):</w:t>
            </w:r>
          </w:p>
        </w:tc>
        <w:tc>
          <w:tcPr>
            <w:tcW w:w="40" w:type="dxa"/>
            <w:vAlign w:val="bottom"/>
            <w:shd w:val="clear" w:color="auto" w:fill="005C5D"/>
          </w:tcPr>
          <w:p>
            <w:pPr>
              <w:spacing w:after="0"/>
              <w:rPr>
                <w:sz w:val="18"/>
                <w:szCs w:val="18"/>
                <w:color w:val="auto"/>
              </w:rPr>
            </w:pPr>
          </w:p>
        </w:tc>
        <w:tc>
          <w:tcPr>
            <w:tcW w:w="1080" w:type="dxa"/>
            <w:vAlign w:val="bottom"/>
            <w:shd w:val="clear" w:color="auto" w:fill="005C5D"/>
          </w:tcPr>
          <w:p>
            <w:pPr>
              <w:spacing w:after="0"/>
              <w:rPr>
                <w:sz w:val="18"/>
                <w:szCs w:val="18"/>
                <w:color w:val="auto"/>
              </w:rPr>
            </w:pPr>
          </w:p>
        </w:tc>
        <w:tc>
          <w:tcPr>
            <w:tcW w:w="40" w:type="dxa"/>
            <w:vAlign w:val="bottom"/>
            <w:shd w:val="clear" w:color="auto" w:fill="005C5D"/>
          </w:tcPr>
          <w:p>
            <w:pPr>
              <w:spacing w:after="0"/>
              <w:rPr>
                <w:sz w:val="18"/>
                <w:szCs w:val="18"/>
                <w:color w:val="auto"/>
              </w:rPr>
            </w:pPr>
          </w:p>
        </w:tc>
        <w:tc>
          <w:tcPr>
            <w:tcW w:w="720" w:type="dxa"/>
            <w:vAlign w:val="bottom"/>
            <w:shd w:val="clear" w:color="auto" w:fill="005C5D"/>
          </w:tcPr>
          <w:p>
            <w:pPr>
              <w:spacing w:after="0"/>
              <w:rPr>
                <w:sz w:val="18"/>
                <w:szCs w:val="18"/>
                <w:color w:val="auto"/>
              </w:rPr>
            </w:pPr>
          </w:p>
        </w:tc>
      </w:tr>
      <w:tr>
        <w:trPr>
          <w:trHeight w:val="160"/>
        </w:trPr>
        <w:tc>
          <w:tcPr>
            <w:tcW w:w="1940" w:type="dxa"/>
            <w:vAlign w:val="bottom"/>
            <w:shd w:val="clear" w:color="auto" w:fill="005C5D"/>
          </w:tcPr>
          <w:p>
            <w:pPr>
              <w:spacing w:after="0"/>
              <w:rPr>
                <w:sz w:val="13"/>
                <w:szCs w:val="13"/>
                <w:color w:val="auto"/>
              </w:rPr>
            </w:pPr>
          </w:p>
        </w:tc>
        <w:tc>
          <w:tcPr>
            <w:tcW w:w="200" w:type="dxa"/>
            <w:vAlign w:val="bottom"/>
            <w:shd w:val="clear" w:color="auto" w:fill="005C5D"/>
          </w:tcPr>
          <w:p>
            <w:pPr>
              <w:spacing w:after="0"/>
              <w:rPr>
                <w:sz w:val="13"/>
                <w:szCs w:val="13"/>
                <w:color w:val="auto"/>
              </w:rPr>
            </w:pPr>
          </w:p>
        </w:tc>
        <w:tc>
          <w:tcPr>
            <w:tcW w:w="40" w:type="dxa"/>
            <w:vAlign w:val="bottom"/>
            <w:shd w:val="clear" w:color="auto" w:fill="005C5D"/>
          </w:tcPr>
          <w:p>
            <w:pPr>
              <w:spacing w:after="0"/>
              <w:rPr>
                <w:sz w:val="13"/>
                <w:szCs w:val="13"/>
                <w:color w:val="auto"/>
              </w:rPr>
            </w:pPr>
          </w:p>
        </w:tc>
        <w:tc>
          <w:tcPr>
            <w:tcW w:w="980" w:type="dxa"/>
            <w:vAlign w:val="bottom"/>
            <w:shd w:val="clear" w:color="auto" w:fill="005C5D"/>
          </w:tcPr>
          <w:p>
            <w:pPr>
              <w:spacing w:after="0"/>
              <w:rPr>
                <w:sz w:val="13"/>
                <w:szCs w:val="13"/>
                <w:color w:val="auto"/>
              </w:rPr>
            </w:pPr>
          </w:p>
        </w:tc>
        <w:tc>
          <w:tcPr>
            <w:tcW w:w="180" w:type="dxa"/>
            <w:vAlign w:val="bottom"/>
            <w:shd w:val="clear" w:color="auto" w:fill="005C5D"/>
          </w:tcPr>
          <w:p>
            <w:pPr>
              <w:spacing w:after="0"/>
              <w:rPr>
                <w:sz w:val="13"/>
                <w:szCs w:val="13"/>
                <w:color w:val="auto"/>
              </w:rPr>
            </w:pPr>
          </w:p>
        </w:tc>
        <w:tc>
          <w:tcPr>
            <w:tcW w:w="1020" w:type="dxa"/>
            <w:vAlign w:val="bottom"/>
            <w:shd w:val="clear" w:color="auto" w:fill="005C5D"/>
          </w:tcPr>
          <w:p>
            <w:pPr>
              <w:spacing w:after="0"/>
              <w:rPr>
                <w:sz w:val="13"/>
                <w:szCs w:val="13"/>
                <w:color w:val="auto"/>
              </w:rPr>
            </w:pPr>
          </w:p>
        </w:tc>
        <w:tc>
          <w:tcPr>
            <w:tcW w:w="1180" w:type="dxa"/>
            <w:vAlign w:val="bottom"/>
            <w:gridSpan w:val="3"/>
            <w:shd w:val="clear" w:color="auto" w:fill="005C5D"/>
          </w:tcPr>
          <w:p>
            <w:pPr>
              <w:jc w:val="center"/>
              <w:ind w:right="129"/>
              <w:spacing w:after="0"/>
              <w:rPr>
                <w:sz w:val="20"/>
                <w:szCs w:val="20"/>
                <w:color w:val="auto"/>
              </w:rPr>
            </w:pPr>
            <w:r>
              <w:rPr>
                <w:rFonts w:ascii="Arial" w:cs="Arial" w:eastAsia="Arial" w:hAnsi="Arial"/>
                <w:sz w:val="14"/>
                <w:szCs w:val="14"/>
                <w:color w:val="FFFFFF"/>
                <w:w w:val="99"/>
              </w:rPr>
              <w:t>Plus: Year-End</w:t>
            </w:r>
          </w:p>
        </w:tc>
        <w:tc>
          <w:tcPr>
            <w:tcW w:w="300" w:type="dxa"/>
            <w:vAlign w:val="bottom"/>
            <w:shd w:val="clear" w:color="auto" w:fill="005C5D"/>
          </w:tcPr>
          <w:p>
            <w:pPr>
              <w:spacing w:after="0"/>
              <w:rPr>
                <w:sz w:val="13"/>
                <w:szCs w:val="13"/>
                <w:color w:val="auto"/>
              </w:rPr>
            </w:pPr>
          </w:p>
        </w:tc>
        <w:tc>
          <w:tcPr>
            <w:tcW w:w="900" w:type="dxa"/>
            <w:vAlign w:val="bottom"/>
            <w:shd w:val="clear" w:color="auto" w:fill="005C5D"/>
          </w:tcPr>
          <w:p>
            <w:pPr>
              <w:spacing w:after="0"/>
              <w:rPr>
                <w:sz w:val="13"/>
                <w:szCs w:val="13"/>
                <w:color w:val="auto"/>
              </w:rPr>
            </w:pPr>
          </w:p>
        </w:tc>
        <w:tc>
          <w:tcPr>
            <w:tcW w:w="1160" w:type="dxa"/>
            <w:vAlign w:val="bottom"/>
            <w:gridSpan w:val="2"/>
            <w:shd w:val="clear" w:color="auto" w:fill="005C5D"/>
          </w:tcPr>
          <w:p>
            <w:pPr>
              <w:jc w:val="center"/>
              <w:ind w:right="149"/>
              <w:spacing w:after="0"/>
              <w:rPr>
                <w:sz w:val="20"/>
                <w:szCs w:val="20"/>
                <w:color w:val="auto"/>
              </w:rPr>
            </w:pPr>
            <w:r>
              <w:rPr>
                <w:rFonts w:ascii="Arial" w:cs="Arial" w:eastAsia="Arial" w:hAnsi="Arial"/>
                <w:sz w:val="14"/>
                <w:szCs w:val="14"/>
                <w:color w:val="FFFFFF"/>
              </w:rPr>
              <w:t>Change in Fair</w:t>
            </w:r>
          </w:p>
        </w:tc>
        <w:tc>
          <w:tcPr>
            <w:tcW w:w="1140" w:type="dxa"/>
            <w:vAlign w:val="bottom"/>
            <w:gridSpan w:val="2"/>
            <w:shd w:val="clear" w:color="auto" w:fill="005C5D"/>
          </w:tcPr>
          <w:p>
            <w:pPr>
              <w:jc w:val="center"/>
              <w:ind w:right="129"/>
              <w:spacing w:after="0"/>
              <w:rPr>
                <w:sz w:val="20"/>
                <w:szCs w:val="20"/>
                <w:color w:val="auto"/>
              </w:rPr>
            </w:pPr>
            <w:r>
              <w:rPr>
                <w:rFonts w:ascii="Arial" w:cs="Arial" w:eastAsia="Arial" w:hAnsi="Arial"/>
                <w:sz w:val="14"/>
                <w:szCs w:val="14"/>
                <w:color w:val="FFFFFF"/>
              </w:rPr>
              <w:t>Change in Fair</w:t>
            </w:r>
          </w:p>
        </w:tc>
        <w:tc>
          <w:tcPr>
            <w:tcW w:w="40" w:type="dxa"/>
            <w:vAlign w:val="bottom"/>
            <w:shd w:val="clear" w:color="auto" w:fill="005C5D"/>
          </w:tcPr>
          <w:p>
            <w:pPr>
              <w:spacing w:after="0"/>
              <w:rPr>
                <w:sz w:val="13"/>
                <w:szCs w:val="13"/>
                <w:color w:val="auto"/>
              </w:rPr>
            </w:pPr>
          </w:p>
        </w:tc>
        <w:tc>
          <w:tcPr>
            <w:tcW w:w="1080" w:type="dxa"/>
            <w:vAlign w:val="bottom"/>
            <w:shd w:val="clear" w:color="auto" w:fill="005C5D"/>
          </w:tcPr>
          <w:p>
            <w:pPr>
              <w:jc w:val="center"/>
              <w:ind w:right="189"/>
              <w:spacing w:after="0"/>
              <w:rPr>
                <w:sz w:val="20"/>
                <w:szCs w:val="20"/>
                <w:color w:val="auto"/>
              </w:rPr>
            </w:pPr>
            <w:r>
              <w:rPr>
                <w:rFonts w:ascii="Arial" w:cs="Arial" w:eastAsia="Arial" w:hAnsi="Arial"/>
                <w:sz w:val="14"/>
                <w:szCs w:val="14"/>
                <w:color w:val="FFFFFF"/>
              </w:rPr>
              <w:t>Less: Fair</w:t>
            </w:r>
          </w:p>
        </w:tc>
        <w:tc>
          <w:tcPr>
            <w:tcW w:w="40" w:type="dxa"/>
            <w:vAlign w:val="bottom"/>
            <w:shd w:val="clear" w:color="auto" w:fill="005C5D"/>
          </w:tcPr>
          <w:p>
            <w:pPr>
              <w:spacing w:after="0"/>
              <w:rPr>
                <w:sz w:val="13"/>
                <w:szCs w:val="13"/>
                <w:color w:val="auto"/>
              </w:rPr>
            </w:pPr>
          </w:p>
        </w:tc>
        <w:tc>
          <w:tcPr>
            <w:tcW w:w="720" w:type="dxa"/>
            <w:vAlign w:val="bottom"/>
            <w:shd w:val="clear" w:color="auto" w:fill="005C5D"/>
          </w:tcPr>
          <w:p>
            <w:pPr>
              <w:spacing w:after="0"/>
              <w:rPr>
                <w:sz w:val="13"/>
                <w:szCs w:val="13"/>
                <w:color w:val="auto"/>
              </w:rPr>
            </w:pPr>
          </w:p>
        </w:tc>
      </w:tr>
      <w:tr>
        <w:trPr>
          <w:trHeight w:val="160"/>
        </w:trPr>
        <w:tc>
          <w:tcPr>
            <w:tcW w:w="1940" w:type="dxa"/>
            <w:vAlign w:val="bottom"/>
            <w:shd w:val="clear" w:color="auto" w:fill="005C5D"/>
          </w:tcPr>
          <w:p>
            <w:pPr>
              <w:spacing w:after="0"/>
              <w:rPr>
                <w:sz w:val="13"/>
                <w:szCs w:val="13"/>
                <w:color w:val="auto"/>
              </w:rPr>
            </w:pPr>
          </w:p>
        </w:tc>
        <w:tc>
          <w:tcPr>
            <w:tcW w:w="200" w:type="dxa"/>
            <w:vAlign w:val="bottom"/>
            <w:shd w:val="clear" w:color="auto" w:fill="005C5D"/>
          </w:tcPr>
          <w:p>
            <w:pPr>
              <w:spacing w:after="0"/>
              <w:rPr>
                <w:sz w:val="13"/>
                <w:szCs w:val="13"/>
                <w:color w:val="auto"/>
              </w:rPr>
            </w:pPr>
          </w:p>
        </w:tc>
        <w:tc>
          <w:tcPr>
            <w:tcW w:w="40" w:type="dxa"/>
            <w:vAlign w:val="bottom"/>
            <w:shd w:val="clear" w:color="auto" w:fill="005C5D"/>
          </w:tcPr>
          <w:p>
            <w:pPr>
              <w:spacing w:after="0"/>
              <w:rPr>
                <w:sz w:val="13"/>
                <w:szCs w:val="13"/>
                <w:color w:val="auto"/>
              </w:rPr>
            </w:pPr>
          </w:p>
        </w:tc>
        <w:tc>
          <w:tcPr>
            <w:tcW w:w="980" w:type="dxa"/>
            <w:vAlign w:val="bottom"/>
            <w:shd w:val="clear" w:color="auto" w:fill="005C5D"/>
          </w:tcPr>
          <w:p>
            <w:pPr>
              <w:spacing w:after="0"/>
              <w:rPr>
                <w:sz w:val="13"/>
                <w:szCs w:val="13"/>
                <w:color w:val="auto"/>
              </w:rPr>
            </w:pPr>
          </w:p>
        </w:tc>
        <w:tc>
          <w:tcPr>
            <w:tcW w:w="180" w:type="dxa"/>
            <w:vAlign w:val="bottom"/>
            <w:shd w:val="clear" w:color="auto" w:fill="005C5D"/>
          </w:tcPr>
          <w:p>
            <w:pPr>
              <w:spacing w:after="0"/>
              <w:rPr>
                <w:sz w:val="13"/>
                <w:szCs w:val="13"/>
                <w:color w:val="auto"/>
              </w:rPr>
            </w:pPr>
          </w:p>
        </w:tc>
        <w:tc>
          <w:tcPr>
            <w:tcW w:w="1020" w:type="dxa"/>
            <w:vAlign w:val="bottom"/>
            <w:shd w:val="clear" w:color="auto" w:fill="005C5D"/>
          </w:tcPr>
          <w:p>
            <w:pPr>
              <w:spacing w:after="0"/>
              <w:rPr>
                <w:sz w:val="13"/>
                <w:szCs w:val="13"/>
                <w:color w:val="auto"/>
              </w:rPr>
            </w:pPr>
          </w:p>
        </w:tc>
        <w:tc>
          <w:tcPr>
            <w:tcW w:w="1180" w:type="dxa"/>
            <w:vAlign w:val="bottom"/>
            <w:gridSpan w:val="3"/>
            <w:shd w:val="clear" w:color="auto" w:fill="005C5D"/>
          </w:tcPr>
          <w:p>
            <w:pPr>
              <w:jc w:val="center"/>
              <w:ind w:right="149"/>
              <w:spacing w:after="0"/>
              <w:rPr>
                <w:sz w:val="20"/>
                <w:szCs w:val="20"/>
                <w:color w:val="auto"/>
              </w:rPr>
            </w:pPr>
            <w:r>
              <w:rPr>
                <w:rFonts w:ascii="Arial" w:cs="Arial" w:eastAsia="Arial" w:hAnsi="Arial"/>
                <w:sz w:val="14"/>
                <w:szCs w:val="14"/>
                <w:color w:val="FFFFFF"/>
              </w:rPr>
              <w:t>Fair Value of</w:t>
            </w:r>
          </w:p>
        </w:tc>
        <w:tc>
          <w:tcPr>
            <w:tcW w:w="1200" w:type="dxa"/>
            <w:vAlign w:val="bottom"/>
            <w:gridSpan w:val="2"/>
            <w:shd w:val="clear" w:color="auto" w:fill="005C5D"/>
          </w:tcPr>
          <w:p>
            <w:pPr>
              <w:jc w:val="center"/>
              <w:ind w:right="129"/>
              <w:spacing w:after="0"/>
              <w:rPr>
                <w:sz w:val="20"/>
                <w:szCs w:val="20"/>
                <w:color w:val="auto"/>
              </w:rPr>
            </w:pPr>
            <w:r>
              <w:rPr>
                <w:rFonts w:ascii="Arial" w:cs="Arial" w:eastAsia="Arial" w:hAnsi="Arial"/>
                <w:sz w:val="14"/>
                <w:szCs w:val="14"/>
                <w:color w:val="FFFFFF"/>
              </w:rPr>
              <w:t>Plus: Fair Value</w:t>
            </w:r>
          </w:p>
        </w:tc>
        <w:tc>
          <w:tcPr>
            <w:tcW w:w="120" w:type="dxa"/>
            <w:vAlign w:val="bottom"/>
            <w:shd w:val="clear" w:color="auto" w:fill="005C5D"/>
          </w:tcPr>
          <w:p>
            <w:pPr>
              <w:spacing w:after="0"/>
              <w:rPr>
                <w:sz w:val="13"/>
                <w:szCs w:val="13"/>
                <w:color w:val="auto"/>
              </w:rPr>
            </w:pPr>
          </w:p>
        </w:tc>
        <w:tc>
          <w:tcPr>
            <w:tcW w:w="1040" w:type="dxa"/>
            <w:vAlign w:val="bottom"/>
            <w:shd w:val="clear" w:color="auto" w:fill="005C5D"/>
          </w:tcPr>
          <w:p>
            <w:pPr>
              <w:jc w:val="center"/>
              <w:ind w:right="249"/>
              <w:spacing w:after="0"/>
              <w:rPr>
                <w:sz w:val="20"/>
                <w:szCs w:val="20"/>
                <w:color w:val="auto"/>
              </w:rPr>
            </w:pPr>
            <w:r>
              <w:rPr>
                <w:rFonts w:ascii="Arial" w:cs="Arial" w:eastAsia="Arial" w:hAnsi="Arial"/>
                <w:sz w:val="14"/>
                <w:szCs w:val="14"/>
                <w:color w:val="FFFFFF"/>
              </w:rPr>
              <w:t>Value of</w:t>
            </w:r>
          </w:p>
        </w:tc>
        <w:tc>
          <w:tcPr>
            <w:tcW w:w="1140" w:type="dxa"/>
            <w:vAlign w:val="bottom"/>
            <w:gridSpan w:val="2"/>
            <w:shd w:val="clear" w:color="auto" w:fill="005C5D"/>
          </w:tcPr>
          <w:p>
            <w:pPr>
              <w:jc w:val="center"/>
              <w:ind w:right="149"/>
              <w:spacing w:after="0"/>
              <w:rPr>
                <w:sz w:val="20"/>
                <w:szCs w:val="20"/>
                <w:color w:val="auto"/>
              </w:rPr>
            </w:pPr>
            <w:r>
              <w:rPr>
                <w:rFonts w:ascii="Arial" w:cs="Arial" w:eastAsia="Arial" w:hAnsi="Arial"/>
                <w:sz w:val="14"/>
                <w:szCs w:val="14"/>
                <w:color w:val="FFFFFF"/>
              </w:rPr>
              <w:t>Value from the</w:t>
            </w:r>
          </w:p>
        </w:tc>
        <w:tc>
          <w:tcPr>
            <w:tcW w:w="40" w:type="dxa"/>
            <w:vAlign w:val="bottom"/>
            <w:shd w:val="clear" w:color="auto" w:fill="005C5D"/>
          </w:tcPr>
          <w:p>
            <w:pPr>
              <w:spacing w:after="0"/>
              <w:rPr>
                <w:sz w:val="13"/>
                <w:szCs w:val="13"/>
                <w:color w:val="auto"/>
              </w:rPr>
            </w:pPr>
          </w:p>
        </w:tc>
        <w:tc>
          <w:tcPr>
            <w:tcW w:w="1080" w:type="dxa"/>
            <w:vAlign w:val="bottom"/>
            <w:shd w:val="clear" w:color="auto" w:fill="005C5D"/>
          </w:tcPr>
          <w:p>
            <w:pPr>
              <w:jc w:val="center"/>
              <w:ind w:right="169"/>
              <w:spacing w:after="0"/>
              <w:rPr>
                <w:sz w:val="20"/>
                <w:szCs w:val="20"/>
                <w:color w:val="auto"/>
              </w:rPr>
            </w:pPr>
            <w:r>
              <w:rPr>
                <w:rFonts w:ascii="Arial" w:cs="Arial" w:eastAsia="Arial" w:hAnsi="Arial"/>
                <w:sz w:val="14"/>
                <w:szCs w:val="14"/>
                <w:color w:val="FFFFFF"/>
              </w:rPr>
              <w:t>Value from</w:t>
            </w:r>
          </w:p>
        </w:tc>
        <w:tc>
          <w:tcPr>
            <w:tcW w:w="40" w:type="dxa"/>
            <w:vAlign w:val="bottom"/>
            <w:shd w:val="clear" w:color="auto" w:fill="005C5D"/>
          </w:tcPr>
          <w:p>
            <w:pPr>
              <w:spacing w:after="0"/>
              <w:rPr>
                <w:sz w:val="13"/>
                <w:szCs w:val="13"/>
                <w:color w:val="auto"/>
              </w:rPr>
            </w:pPr>
          </w:p>
        </w:tc>
        <w:tc>
          <w:tcPr>
            <w:tcW w:w="720" w:type="dxa"/>
            <w:vAlign w:val="bottom"/>
            <w:shd w:val="clear" w:color="auto" w:fill="005C5D"/>
          </w:tcPr>
          <w:p>
            <w:pPr>
              <w:spacing w:after="0"/>
              <w:rPr>
                <w:sz w:val="13"/>
                <w:szCs w:val="13"/>
                <w:color w:val="auto"/>
              </w:rPr>
            </w:pPr>
          </w:p>
        </w:tc>
      </w:tr>
      <w:tr>
        <w:trPr>
          <w:trHeight w:val="160"/>
        </w:trPr>
        <w:tc>
          <w:tcPr>
            <w:tcW w:w="1940" w:type="dxa"/>
            <w:vAlign w:val="bottom"/>
            <w:shd w:val="clear" w:color="auto" w:fill="005C5D"/>
          </w:tcPr>
          <w:p>
            <w:pPr>
              <w:spacing w:after="0"/>
              <w:rPr>
                <w:sz w:val="13"/>
                <w:szCs w:val="13"/>
                <w:color w:val="auto"/>
              </w:rPr>
            </w:pPr>
          </w:p>
        </w:tc>
        <w:tc>
          <w:tcPr>
            <w:tcW w:w="200" w:type="dxa"/>
            <w:vAlign w:val="bottom"/>
            <w:shd w:val="clear" w:color="auto" w:fill="005C5D"/>
          </w:tcPr>
          <w:p>
            <w:pPr>
              <w:spacing w:after="0"/>
              <w:rPr>
                <w:sz w:val="13"/>
                <w:szCs w:val="13"/>
                <w:color w:val="auto"/>
              </w:rPr>
            </w:pPr>
          </w:p>
        </w:tc>
        <w:tc>
          <w:tcPr>
            <w:tcW w:w="40" w:type="dxa"/>
            <w:vAlign w:val="bottom"/>
            <w:shd w:val="clear" w:color="auto" w:fill="005C5D"/>
          </w:tcPr>
          <w:p>
            <w:pPr>
              <w:spacing w:after="0"/>
              <w:rPr>
                <w:sz w:val="13"/>
                <w:szCs w:val="13"/>
                <w:color w:val="auto"/>
              </w:rPr>
            </w:pPr>
          </w:p>
        </w:tc>
        <w:tc>
          <w:tcPr>
            <w:tcW w:w="980" w:type="dxa"/>
            <w:vAlign w:val="bottom"/>
            <w:shd w:val="clear" w:color="auto" w:fill="005C5D"/>
          </w:tcPr>
          <w:p>
            <w:pPr>
              <w:spacing w:after="0"/>
              <w:rPr>
                <w:sz w:val="13"/>
                <w:szCs w:val="13"/>
                <w:color w:val="auto"/>
              </w:rPr>
            </w:pPr>
          </w:p>
        </w:tc>
        <w:tc>
          <w:tcPr>
            <w:tcW w:w="180" w:type="dxa"/>
            <w:vAlign w:val="bottom"/>
            <w:shd w:val="clear" w:color="auto" w:fill="005C5D"/>
          </w:tcPr>
          <w:p>
            <w:pPr>
              <w:spacing w:after="0"/>
              <w:rPr>
                <w:sz w:val="13"/>
                <w:szCs w:val="13"/>
                <w:color w:val="auto"/>
              </w:rPr>
            </w:pPr>
          </w:p>
        </w:tc>
        <w:tc>
          <w:tcPr>
            <w:tcW w:w="1020" w:type="dxa"/>
            <w:vAlign w:val="bottom"/>
            <w:shd w:val="clear" w:color="auto" w:fill="005C5D"/>
          </w:tcPr>
          <w:p>
            <w:pPr>
              <w:spacing w:after="0"/>
              <w:rPr>
                <w:sz w:val="13"/>
                <w:szCs w:val="13"/>
                <w:color w:val="auto"/>
              </w:rPr>
            </w:pPr>
          </w:p>
        </w:tc>
        <w:tc>
          <w:tcPr>
            <w:tcW w:w="1180" w:type="dxa"/>
            <w:vAlign w:val="bottom"/>
            <w:gridSpan w:val="3"/>
            <w:shd w:val="clear" w:color="auto" w:fill="005C5D"/>
          </w:tcPr>
          <w:p>
            <w:pPr>
              <w:jc w:val="center"/>
              <w:ind w:right="149"/>
              <w:spacing w:after="0"/>
              <w:rPr>
                <w:sz w:val="20"/>
                <w:szCs w:val="20"/>
                <w:color w:val="auto"/>
              </w:rPr>
            </w:pPr>
            <w:r>
              <w:rPr>
                <w:rFonts w:ascii="Arial" w:cs="Arial" w:eastAsia="Arial" w:hAnsi="Arial"/>
                <w:sz w:val="14"/>
                <w:szCs w:val="14"/>
                <w:color w:val="FFFFFF"/>
              </w:rPr>
              <w:t>Outstanding</w:t>
            </w:r>
          </w:p>
        </w:tc>
        <w:tc>
          <w:tcPr>
            <w:tcW w:w="1200" w:type="dxa"/>
            <w:vAlign w:val="bottom"/>
            <w:gridSpan w:val="2"/>
            <w:shd w:val="clear" w:color="auto" w:fill="005C5D"/>
          </w:tcPr>
          <w:p>
            <w:pPr>
              <w:jc w:val="center"/>
              <w:ind w:right="149"/>
              <w:spacing w:after="0"/>
              <w:rPr>
                <w:sz w:val="20"/>
                <w:szCs w:val="20"/>
                <w:color w:val="auto"/>
              </w:rPr>
            </w:pPr>
            <w:r>
              <w:rPr>
                <w:rFonts w:ascii="Arial" w:cs="Arial" w:eastAsia="Arial" w:hAnsi="Arial"/>
                <w:sz w:val="14"/>
                <w:szCs w:val="14"/>
                <w:color w:val="FFFFFF"/>
                <w:w w:val="99"/>
              </w:rPr>
              <w:t>of Equity</w:t>
            </w:r>
          </w:p>
        </w:tc>
        <w:tc>
          <w:tcPr>
            <w:tcW w:w="1160" w:type="dxa"/>
            <w:vAlign w:val="bottom"/>
            <w:gridSpan w:val="2"/>
            <w:shd w:val="clear" w:color="auto" w:fill="005C5D"/>
          </w:tcPr>
          <w:p>
            <w:pPr>
              <w:jc w:val="center"/>
              <w:ind w:right="129"/>
              <w:spacing w:after="0"/>
              <w:rPr>
                <w:sz w:val="20"/>
                <w:szCs w:val="20"/>
                <w:color w:val="auto"/>
              </w:rPr>
            </w:pPr>
            <w:r>
              <w:rPr>
                <w:rFonts w:ascii="Arial" w:cs="Arial" w:eastAsia="Arial" w:hAnsi="Arial"/>
                <w:sz w:val="14"/>
                <w:szCs w:val="14"/>
                <w:color w:val="FFFFFF"/>
              </w:rPr>
              <w:t>Outstanding</w:t>
            </w:r>
          </w:p>
        </w:tc>
        <w:tc>
          <w:tcPr>
            <w:tcW w:w="1140" w:type="dxa"/>
            <w:vAlign w:val="bottom"/>
            <w:gridSpan w:val="2"/>
            <w:shd w:val="clear" w:color="auto" w:fill="005C5D"/>
          </w:tcPr>
          <w:p>
            <w:pPr>
              <w:jc w:val="center"/>
              <w:ind w:right="149"/>
              <w:spacing w:after="0"/>
              <w:rPr>
                <w:sz w:val="20"/>
                <w:szCs w:val="20"/>
                <w:color w:val="auto"/>
              </w:rPr>
            </w:pPr>
            <w:r>
              <w:rPr>
                <w:rFonts w:ascii="Arial" w:cs="Arial" w:eastAsia="Arial" w:hAnsi="Arial"/>
                <w:sz w:val="14"/>
                <w:szCs w:val="14"/>
                <w:color w:val="FFFFFF"/>
              </w:rPr>
              <w:t>Prior Year for</w:t>
            </w:r>
          </w:p>
        </w:tc>
        <w:tc>
          <w:tcPr>
            <w:tcW w:w="40" w:type="dxa"/>
            <w:vAlign w:val="bottom"/>
            <w:shd w:val="clear" w:color="auto" w:fill="005C5D"/>
          </w:tcPr>
          <w:p>
            <w:pPr>
              <w:spacing w:after="0"/>
              <w:rPr>
                <w:sz w:val="13"/>
                <w:szCs w:val="13"/>
                <w:color w:val="auto"/>
              </w:rPr>
            </w:pPr>
          </w:p>
        </w:tc>
        <w:tc>
          <w:tcPr>
            <w:tcW w:w="1080" w:type="dxa"/>
            <w:vAlign w:val="bottom"/>
            <w:shd w:val="clear" w:color="auto" w:fill="005C5D"/>
          </w:tcPr>
          <w:p>
            <w:pPr>
              <w:jc w:val="center"/>
              <w:ind w:right="189"/>
              <w:spacing w:after="0"/>
              <w:rPr>
                <w:sz w:val="20"/>
                <w:szCs w:val="20"/>
                <w:color w:val="auto"/>
              </w:rPr>
            </w:pPr>
            <w:r>
              <w:rPr>
                <w:rFonts w:ascii="Arial" w:cs="Arial" w:eastAsia="Arial" w:hAnsi="Arial"/>
                <w:sz w:val="14"/>
                <w:szCs w:val="14"/>
                <w:color w:val="FFFFFF"/>
              </w:rPr>
              <w:t>the Prior</w:t>
            </w:r>
          </w:p>
        </w:tc>
        <w:tc>
          <w:tcPr>
            <w:tcW w:w="40" w:type="dxa"/>
            <w:vAlign w:val="bottom"/>
            <w:shd w:val="clear" w:color="auto" w:fill="005C5D"/>
          </w:tcPr>
          <w:p>
            <w:pPr>
              <w:spacing w:after="0"/>
              <w:rPr>
                <w:sz w:val="13"/>
                <w:szCs w:val="13"/>
                <w:color w:val="auto"/>
              </w:rPr>
            </w:pPr>
          </w:p>
        </w:tc>
        <w:tc>
          <w:tcPr>
            <w:tcW w:w="720" w:type="dxa"/>
            <w:vAlign w:val="bottom"/>
            <w:shd w:val="clear" w:color="auto" w:fill="005C5D"/>
          </w:tcPr>
          <w:p>
            <w:pPr>
              <w:spacing w:after="0"/>
              <w:rPr>
                <w:sz w:val="13"/>
                <w:szCs w:val="13"/>
                <w:color w:val="auto"/>
              </w:rPr>
            </w:pPr>
          </w:p>
        </w:tc>
      </w:tr>
      <w:tr>
        <w:trPr>
          <w:trHeight w:val="160"/>
        </w:trPr>
        <w:tc>
          <w:tcPr>
            <w:tcW w:w="1940" w:type="dxa"/>
            <w:vAlign w:val="bottom"/>
            <w:shd w:val="clear" w:color="auto" w:fill="005C5D"/>
          </w:tcPr>
          <w:p>
            <w:pPr>
              <w:spacing w:after="0"/>
              <w:rPr>
                <w:sz w:val="13"/>
                <w:szCs w:val="13"/>
                <w:color w:val="auto"/>
              </w:rPr>
            </w:pPr>
          </w:p>
        </w:tc>
        <w:tc>
          <w:tcPr>
            <w:tcW w:w="200" w:type="dxa"/>
            <w:vAlign w:val="bottom"/>
            <w:shd w:val="clear" w:color="auto" w:fill="005C5D"/>
          </w:tcPr>
          <w:p>
            <w:pPr>
              <w:spacing w:after="0"/>
              <w:rPr>
                <w:sz w:val="13"/>
                <w:szCs w:val="13"/>
                <w:color w:val="auto"/>
              </w:rPr>
            </w:pPr>
          </w:p>
        </w:tc>
        <w:tc>
          <w:tcPr>
            <w:tcW w:w="40" w:type="dxa"/>
            <w:vAlign w:val="bottom"/>
            <w:shd w:val="clear" w:color="auto" w:fill="005C5D"/>
          </w:tcPr>
          <w:p>
            <w:pPr>
              <w:spacing w:after="0"/>
              <w:rPr>
                <w:sz w:val="13"/>
                <w:szCs w:val="13"/>
                <w:color w:val="auto"/>
              </w:rPr>
            </w:pPr>
          </w:p>
        </w:tc>
        <w:tc>
          <w:tcPr>
            <w:tcW w:w="980" w:type="dxa"/>
            <w:vAlign w:val="bottom"/>
            <w:shd w:val="clear" w:color="auto" w:fill="005C5D"/>
          </w:tcPr>
          <w:p>
            <w:pPr>
              <w:jc w:val="center"/>
              <w:ind w:right="169"/>
              <w:spacing w:after="0"/>
              <w:rPr>
                <w:sz w:val="20"/>
                <w:szCs w:val="20"/>
                <w:color w:val="auto"/>
              </w:rPr>
            </w:pPr>
            <w:r>
              <w:rPr>
                <w:rFonts w:ascii="Arial" w:cs="Arial" w:eastAsia="Arial" w:hAnsi="Arial"/>
                <w:sz w:val="14"/>
                <w:szCs w:val="14"/>
                <w:color w:val="FFFFFF"/>
                <w:w w:val="98"/>
              </w:rPr>
              <w:t>SCT Total</w:t>
            </w:r>
          </w:p>
        </w:tc>
        <w:tc>
          <w:tcPr>
            <w:tcW w:w="1200" w:type="dxa"/>
            <w:vAlign w:val="bottom"/>
            <w:gridSpan w:val="2"/>
            <w:shd w:val="clear" w:color="auto" w:fill="005C5D"/>
          </w:tcPr>
          <w:p>
            <w:pPr>
              <w:jc w:val="center"/>
              <w:ind w:right="129"/>
              <w:spacing w:after="0"/>
              <w:rPr>
                <w:sz w:val="20"/>
                <w:szCs w:val="20"/>
                <w:color w:val="auto"/>
              </w:rPr>
            </w:pPr>
            <w:r>
              <w:rPr>
                <w:rFonts w:ascii="Arial" w:cs="Arial" w:eastAsia="Arial" w:hAnsi="Arial"/>
                <w:sz w:val="14"/>
                <w:szCs w:val="14"/>
                <w:color w:val="FFFFFF"/>
                <w:w w:val="99"/>
              </w:rPr>
              <w:t>Less: Grant</w:t>
            </w:r>
          </w:p>
        </w:tc>
        <w:tc>
          <w:tcPr>
            <w:tcW w:w="1180" w:type="dxa"/>
            <w:vAlign w:val="bottom"/>
            <w:gridSpan w:val="3"/>
            <w:shd w:val="clear" w:color="auto" w:fill="005C5D"/>
          </w:tcPr>
          <w:p>
            <w:pPr>
              <w:jc w:val="center"/>
              <w:ind w:right="149"/>
              <w:spacing w:after="0"/>
              <w:rPr>
                <w:sz w:val="20"/>
                <w:szCs w:val="20"/>
                <w:color w:val="auto"/>
              </w:rPr>
            </w:pPr>
            <w:r>
              <w:rPr>
                <w:rFonts w:ascii="Arial" w:cs="Arial" w:eastAsia="Arial" w:hAnsi="Arial"/>
                <w:sz w:val="14"/>
                <w:szCs w:val="14"/>
                <w:color w:val="FFFFFF"/>
              </w:rPr>
              <w:t>and Unvested</w:t>
            </w:r>
          </w:p>
        </w:tc>
        <w:tc>
          <w:tcPr>
            <w:tcW w:w="1200" w:type="dxa"/>
            <w:vAlign w:val="bottom"/>
            <w:gridSpan w:val="2"/>
            <w:shd w:val="clear" w:color="auto" w:fill="005C5D"/>
          </w:tcPr>
          <w:p>
            <w:pPr>
              <w:jc w:val="center"/>
              <w:ind w:right="149"/>
              <w:spacing w:after="0"/>
              <w:rPr>
                <w:sz w:val="20"/>
                <w:szCs w:val="20"/>
                <w:color w:val="auto"/>
              </w:rPr>
            </w:pPr>
            <w:r>
              <w:rPr>
                <w:rFonts w:ascii="Arial" w:cs="Arial" w:eastAsia="Arial" w:hAnsi="Arial"/>
                <w:sz w:val="14"/>
                <w:szCs w:val="14"/>
                <w:color w:val="FFFFFF"/>
                <w:w w:val="99"/>
              </w:rPr>
              <w:t>Awards Vested</w:t>
            </w:r>
          </w:p>
        </w:tc>
        <w:tc>
          <w:tcPr>
            <w:tcW w:w="1160" w:type="dxa"/>
            <w:vAlign w:val="bottom"/>
            <w:gridSpan w:val="2"/>
            <w:shd w:val="clear" w:color="auto" w:fill="005C5D"/>
          </w:tcPr>
          <w:p>
            <w:pPr>
              <w:jc w:val="center"/>
              <w:ind w:right="129"/>
              <w:spacing w:after="0"/>
              <w:rPr>
                <w:sz w:val="20"/>
                <w:szCs w:val="20"/>
                <w:color w:val="auto"/>
              </w:rPr>
            </w:pPr>
            <w:r>
              <w:rPr>
                <w:rFonts w:ascii="Arial" w:cs="Arial" w:eastAsia="Arial" w:hAnsi="Arial"/>
                <w:sz w:val="14"/>
                <w:szCs w:val="14"/>
                <w:color w:val="FFFFFF"/>
              </w:rPr>
              <w:t>and Unvested</w:t>
            </w:r>
          </w:p>
        </w:tc>
        <w:tc>
          <w:tcPr>
            <w:tcW w:w="1140" w:type="dxa"/>
            <w:vAlign w:val="bottom"/>
            <w:gridSpan w:val="2"/>
            <w:shd w:val="clear" w:color="auto" w:fill="005C5D"/>
          </w:tcPr>
          <w:p>
            <w:pPr>
              <w:jc w:val="center"/>
              <w:ind w:right="129"/>
              <w:spacing w:after="0"/>
              <w:rPr>
                <w:sz w:val="20"/>
                <w:szCs w:val="20"/>
                <w:color w:val="auto"/>
              </w:rPr>
            </w:pPr>
            <w:r>
              <w:rPr>
                <w:rFonts w:ascii="Arial" w:cs="Arial" w:eastAsia="Arial" w:hAnsi="Arial"/>
                <w:sz w:val="14"/>
                <w:szCs w:val="14"/>
                <w:color w:val="FFFFFF"/>
              </w:rPr>
              <w:t>Equity Awards</w:t>
            </w:r>
          </w:p>
        </w:tc>
        <w:tc>
          <w:tcPr>
            <w:tcW w:w="40" w:type="dxa"/>
            <w:vAlign w:val="bottom"/>
            <w:shd w:val="clear" w:color="auto" w:fill="005C5D"/>
          </w:tcPr>
          <w:p>
            <w:pPr>
              <w:spacing w:after="0"/>
              <w:rPr>
                <w:sz w:val="13"/>
                <w:szCs w:val="13"/>
                <w:color w:val="auto"/>
              </w:rPr>
            </w:pPr>
          </w:p>
        </w:tc>
        <w:tc>
          <w:tcPr>
            <w:tcW w:w="1080" w:type="dxa"/>
            <w:vAlign w:val="bottom"/>
            <w:shd w:val="clear" w:color="auto" w:fill="005C5D"/>
          </w:tcPr>
          <w:p>
            <w:pPr>
              <w:jc w:val="center"/>
              <w:ind w:right="189"/>
              <w:spacing w:after="0"/>
              <w:rPr>
                <w:sz w:val="20"/>
                <w:szCs w:val="20"/>
                <w:color w:val="auto"/>
              </w:rPr>
            </w:pPr>
            <w:r>
              <w:rPr>
                <w:rFonts w:ascii="Arial" w:cs="Arial" w:eastAsia="Arial" w:hAnsi="Arial"/>
                <w:sz w:val="14"/>
                <w:szCs w:val="14"/>
                <w:color w:val="FFFFFF"/>
              </w:rPr>
              <w:t>Year for</w:t>
            </w:r>
          </w:p>
        </w:tc>
        <w:tc>
          <w:tcPr>
            <w:tcW w:w="40" w:type="dxa"/>
            <w:vAlign w:val="bottom"/>
            <w:shd w:val="clear" w:color="auto" w:fill="005C5D"/>
          </w:tcPr>
          <w:p>
            <w:pPr>
              <w:spacing w:after="0"/>
              <w:rPr>
                <w:sz w:val="13"/>
                <w:szCs w:val="13"/>
                <w:color w:val="auto"/>
              </w:rPr>
            </w:pPr>
          </w:p>
        </w:tc>
        <w:tc>
          <w:tcPr>
            <w:tcW w:w="720" w:type="dxa"/>
            <w:vAlign w:val="bottom"/>
            <w:shd w:val="clear" w:color="auto" w:fill="005C5D"/>
          </w:tcPr>
          <w:p>
            <w:pPr>
              <w:spacing w:after="0"/>
              <w:rPr>
                <w:sz w:val="13"/>
                <w:szCs w:val="13"/>
                <w:color w:val="auto"/>
              </w:rPr>
            </w:pPr>
          </w:p>
        </w:tc>
      </w:tr>
      <w:tr>
        <w:trPr>
          <w:trHeight w:val="160"/>
        </w:trPr>
        <w:tc>
          <w:tcPr>
            <w:tcW w:w="1940" w:type="dxa"/>
            <w:vAlign w:val="bottom"/>
            <w:shd w:val="clear" w:color="auto" w:fill="005C5D"/>
          </w:tcPr>
          <w:p>
            <w:pPr>
              <w:spacing w:after="0"/>
              <w:rPr>
                <w:sz w:val="13"/>
                <w:szCs w:val="13"/>
                <w:color w:val="auto"/>
              </w:rPr>
            </w:pPr>
          </w:p>
        </w:tc>
        <w:tc>
          <w:tcPr>
            <w:tcW w:w="200" w:type="dxa"/>
            <w:vAlign w:val="bottom"/>
            <w:shd w:val="clear" w:color="auto" w:fill="005C5D"/>
          </w:tcPr>
          <w:p>
            <w:pPr>
              <w:spacing w:after="0"/>
              <w:rPr>
                <w:sz w:val="13"/>
                <w:szCs w:val="13"/>
                <w:color w:val="auto"/>
              </w:rPr>
            </w:pPr>
          </w:p>
        </w:tc>
        <w:tc>
          <w:tcPr>
            <w:tcW w:w="40" w:type="dxa"/>
            <w:vAlign w:val="bottom"/>
            <w:shd w:val="clear" w:color="auto" w:fill="005C5D"/>
          </w:tcPr>
          <w:p>
            <w:pPr>
              <w:spacing w:after="0"/>
              <w:rPr>
                <w:sz w:val="13"/>
                <w:szCs w:val="13"/>
                <w:color w:val="auto"/>
              </w:rPr>
            </w:pPr>
          </w:p>
        </w:tc>
        <w:tc>
          <w:tcPr>
            <w:tcW w:w="980" w:type="dxa"/>
            <w:vAlign w:val="bottom"/>
            <w:shd w:val="clear" w:color="auto" w:fill="005C5D"/>
          </w:tcPr>
          <w:p>
            <w:pPr>
              <w:jc w:val="center"/>
              <w:ind w:right="169"/>
              <w:spacing w:after="0"/>
              <w:rPr>
                <w:sz w:val="20"/>
                <w:szCs w:val="20"/>
                <w:color w:val="auto"/>
              </w:rPr>
            </w:pPr>
            <w:r>
              <w:rPr>
                <w:rFonts w:ascii="Arial" w:cs="Arial" w:eastAsia="Arial" w:hAnsi="Arial"/>
                <w:sz w:val="14"/>
                <w:szCs w:val="14"/>
                <w:color w:val="FFFFFF"/>
              </w:rPr>
              <w:t>for</w:t>
            </w:r>
          </w:p>
        </w:tc>
        <w:tc>
          <w:tcPr>
            <w:tcW w:w="1200" w:type="dxa"/>
            <w:vAlign w:val="bottom"/>
            <w:gridSpan w:val="2"/>
            <w:shd w:val="clear" w:color="auto" w:fill="005C5D"/>
          </w:tcPr>
          <w:p>
            <w:pPr>
              <w:jc w:val="center"/>
              <w:ind w:right="149"/>
              <w:spacing w:after="0"/>
              <w:rPr>
                <w:sz w:val="20"/>
                <w:szCs w:val="20"/>
                <w:color w:val="auto"/>
              </w:rPr>
            </w:pPr>
            <w:r>
              <w:rPr>
                <w:rFonts w:ascii="Arial" w:cs="Arial" w:eastAsia="Arial" w:hAnsi="Arial"/>
                <w:sz w:val="14"/>
                <w:szCs w:val="14"/>
                <w:color w:val="FFFFFF"/>
              </w:rPr>
              <w:t>Date Fair Value</w:t>
            </w:r>
          </w:p>
        </w:tc>
        <w:tc>
          <w:tcPr>
            <w:tcW w:w="1180" w:type="dxa"/>
            <w:vAlign w:val="bottom"/>
            <w:gridSpan w:val="3"/>
            <w:shd w:val="clear" w:color="auto" w:fill="005C5D"/>
          </w:tcPr>
          <w:p>
            <w:pPr>
              <w:jc w:val="center"/>
              <w:ind w:right="129"/>
              <w:spacing w:after="0"/>
              <w:rPr>
                <w:sz w:val="20"/>
                <w:szCs w:val="20"/>
                <w:color w:val="auto"/>
              </w:rPr>
            </w:pPr>
            <w:r>
              <w:rPr>
                <w:rFonts w:ascii="Arial" w:cs="Arial" w:eastAsia="Arial" w:hAnsi="Arial"/>
                <w:sz w:val="14"/>
                <w:szCs w:val="14"/>
                <w:color w:val="FFFFFF"/>
              </w:rPr>
              <w:t>Equity Awards</w:t>
            </w:r>
          </w:p>
        </w:tc>
        <w:tc>
          <w:tcPr>
            <w:tcW w:w="1200" w:type="dxa"/>
            <w:vAlign w:val="bottom"/>
            <w:gridSpan w:val="2"/>
            <w:shd w:val="clear" w:color="auto" w:fill="005C5D"/>
          </w:tcPr>
          <w:p>
            <w:pPr>
              <w:jc w:val="center"/>
              <w:ind w:right="149"/>
              <w:spacing w:after="0"/>
              <w:rPr>
                <w:sz w:val="20"/>
                <w:szCs w:val="20"/>
                <w:color w:val="auto"/>
              </w:rPr>
            </w:pPr>
            <w:r>
              <w:rPr>
                <w:rFonts w:ascii="Arial" w:cs="Arial" w:eastAsia="Arial" w:hAnsi="Arial"/>
                <w:sz w:val="14"/>
                <w:szCs w:val="14"/>
                <w:color w:val="FFFFFF"/>
              </w:rPr>
              <w:t>and Granted</w:t>
            </w:r>
          </w:p>
        </w:tc>
        <w:tc>
          <w:tcPr>
            <w:tcW w:w="1160" w:type="dxa"/>
            <w:vAlign w:val="bottom"/>
            <w:gridSpan w:val="2"/>
            <w:shd w:val="clear" w:color="auto" w:fill="005C5D"/>
          </w:tcPr>
          <w:p>
            <w:pPr>
              <w:jc w:val="center"/>
              <w:ind w:right="129"/>
              <w:spacing w:after="0"/>
              <w:rPr>
                <w:sz w:val="20"/>
                <w:szCs w:val="20"/>
                <w:color w:val="auto"/>
              </w:rPr>
            </w:pPr>
            <w:r>
              <w:rPr>
                <w:rFonts w:ascii="Arial" w:cs="Arial" w:eastAsia="Arial" w:hAnsi="Arial"/>
                <w:sz w:val="14"/>
                <w:szCs w:val="14"/>
                <w:color w:val="FFFFFF"/>
              </w:rPr>
              <w:t>Equity Awards</w:t>
            </w:r>
          </w:p>
        </w:tc>
        <w:tc>
          <w:tcPr>
            <w:tcW w:w="1140" w:type="dxa"/>
            <w:vAlign w:val="bottom"/>
            <w:gridSpan w:val="2"/>
            <w:shd w:val="clear" w:color="auto" w:fill="005C5D"/>
          </w:tcPr>
          <w:p>
            <w:pPr>
              <w:jc w:val="center"/>
              <w:ind w:right="129"/>
              <w:spacing w:after="0"/>
              <w:rPr>
                <w:sz w:val="20"/>
                <w:szCs w:val="20"/>
                <w:color w:val="auto"/>
              </w:rPr>
            </w:pPr>
            <w:r>
              <w:rPr>
                <w:rFonts w:ascii="Arial" w:cs="Arial" w:eastAsia="Arial" w:hAnsi="Arial"/>
                <w:sz w:val="14"/>
                <w:szCs w:val="14"/>
                <w:color w:val="FFFFFF"/>
              </w:rPr>
              <w:t>Granted in</w:t>
            </w:r>
          </w:p>
        </w:tc>
        <w:tc>
          <w:tcPr>
            <w:tcW w:w="40" w:type="dxa"/>
            <w:vAlign w:val="bottom"/>
            <w:shd w:val="clear" w:color="auto" w:fill="005C5D"/>
          </w:tcPr>
          <w:p>
            <w:pPr>
              <w:spacing w:after="0"/>
              <w:rPr>
                <w:sz w:val="13"/>
                <w:szCs w:val="13"/>
                <w:color w:val="auto"/>
              </w:rPr>
            </w:pPr>
          </w:p>
        </w:tc>
        <w:tc>
          <w:tcPr>
            <w:tcW w:w="1080" w:type="dxa"/>
            <w:vAlign w:val="bottom"/>
            <w:shd w:val="clear" w:color="auto" w:fill="005C5D"/>
          </w:tcPr>
          <w:p>
            <w:pPr>
              <w:jc w:val="center"/>
              <w:ind w:right="169"/>
              <w:spacing w:after="0"/>
              <w:rPr>
                <w:sz w:val="20"/>
                <w:szCs w:val="20"/>
                <w:color w:val="auto"/>
              </w:rPr>
            </w:pPr>
            <w:r>
              <w:rPr>
                <w:rFonts w:ascii="Arial" w:cs="Arial" w:eastAsia="Arial" w:hAnsi="Arial"/>
                <w:sz w:val="14"/>
                <w:szCs w:val="14"/>
                <w:color w:val="FFFFFF"/>
              </w:rPr>
              <w:t>Equity</w:t>
            </w:r>
          </w:p>
        </w:tc>
        <w:tc>
          <w:tcPr>
            <w:tcW w:w="40" w:type="dxa"/>
            <w:vAlign w:val="bottom"/>
            <w:shd w:val="clear" w:color="auto" w:fill="005C5D"/>
          </w:tcPr>
          <w:p>
            <w:pPr>
              <w:spacing w:after="0"/>
              <w:rPr>
                <w:sz w:val="13"/>
                <w:szCs w:val="13"/>
                <w:color w:val="auto"/>
              </w:rPr>
            </w:pPr>
          </w:p>
        </w:tc>
        <w:tc>
          <w:tcPr>
            <w:tcW w:w="720" w:type="dxa"/>
            <w:vAlign w:val="bottom"/>
            <w:shd w:val="clear" w:color="auto" w:fill="005C5D"/>
          </w:tcPr>
          <w:p>
            <w:pPr>
              <w:spacing w:after="0"/>
              <w:rPr>
                <w:sz w:val="13"/>
                <w:szCs w:val="13"/>
                <w:color w:val="auto"/>
              </w:rPr>
            </w:pPr>
          </w:p>
        </w:tc>
      </w:tr>
      <w:tr>
        <w:trPr>
          <w:trHeight w:val="160"/>
        </w:trPr>
        <w:tc>
          <w:tcPr>
            <w:tcW w:w="1940" w:type="dxa"/>
            <w:vAlign w:val="bottom"/>
            <w:shd w:val="clear" w:color="auto" w:fill="005C5D"/>
          </w:tcPr>
          <w:p>
            <w:pPr>
              <w:spacing w:after="0"/>
              <w:rPr>
                <w:sz w:val="13"/>
                <w:szCs w:val="13"/>
                <w:color w:val="auto"/>
              </w:rPr>
            </w:pPr>
          </w:p>
        </w:tc>
        <w:tc>
          <w:tcPr>
            <w:tcW w:w="200" w:type="dxa"/>
            <w:vAlign w:val="bottom"/>
            <w:shd w:val="clear" w:color="auto" w:fill="005C5D"/>
          </w:tcPr>
          <w:p>
            <w:pPr>
              <w:spacing w:after="0"/>
              <w:rPr>
                <w:sz w:val="13"/>
                <w:szCs w:val="13"/>
                <w:color w:val="auto"/>
              </w:rPr>
            </w:pPr>
          </w:p>
        </w:tc>
        <w:tc>
          <w:tcPr>
            <w:tcW w:w="40" w:type="dxa"/>
            <w:vAlign w:val="bottom"/>
            <w:shd w:val="clear" w:color="auto" w:fill="005C5D"/>
          </w:tcPr>
          <w:p>
            <w:pPr>
              <w:spacing w:after="0"/>
              <w:rPr>
                <w:sz w:val="13"/>
                <w:szCs w:val="13"/>
                <w:color w:val="auto"/>
              </w:rPr>
            </w:pPr>
          </w:p>
        </w:tc>
        <w:tc>
          <w:tcPr>
            <w:tcW w:w="980" w:type="dxa"/>
            <w:vAlign w:val="bottom"/>
            <w:shd w:val="clear" w:color="auto" w:fill="005C5D"/>
          </w:tcPr>
          <w:p>
            <w:pPr>
              <w:jc w:val="center"/>
              <w:ind w:right="169"/>
              <w:spacing w:after="0"/>
              <w:rPr>
                <w:sz w:val="20"/>
                <w:szCs w:val="20"/>
                <w:color w:val="auto"/>
              </w:rPr>
            </w:pPr>
            <w:r>
              <w:rPr>
                <w:rFonts w:ascii="Arial" w:cs="Arial" w:eastAsia="Arial" w:hAnsi="Arial"/>
                <w:sz w:val="14"/>
                <w:szCs w:val="14"/>
                <w:color w:val="FFFFFF"/>
              </w:rPr>
              <w:t>PEO,</w:t>
            </w:r>
          </w:p>
        </w:tc>
        <w:tc>
          <w:tcPr>
            <w:tcW w:w="180" w:type="dxa"/>
            <w:vAlign w:val="bottom"/>
            <w:shd w:val="clear" w:color="auto" w:fill="005C5D"/>
          </w:tcPr>
          <w:p>
            <w:pPr>
              <w:spacing w:after="0"/>
              <w:rPr>
                <w:sz w:val="13"/>
                <w:szCs w:val="13"/>
                <w:color w:val="auto"/>
              </w:rPr>
            </w:pPr>
          </w:p>
        </w:tc>
        <w:tc>
          <w:tcPr>
            <w:tcW w:w="1020" w:type="dxa"/>
            <w:vAlign w:val="bottom"/>
            <w:shd w:val="clear" w:color="auto" w:fill="005C5D"/>
          </w:tcPr>
          <w:p>
            <w:pPr>
              <w:jc w:val="center"/>
              <w:ind w:right="309"/>
              <w:spacing w:after="0"/>
              <w:rPr>
                <w:sz w:val="20"/>
                <w:szCs w:val="20"/>
                <w:color w:val="auto"/>
              </w:rPr>
            </w:pPr>
            <w:r>
              <w:rPr>
                <w:rFonts w:ascii="Arial" w:cs="Arial" w:eastAsia="Arial" w:hAnsi="Arial"/>
                <w:sz w:val="14"/>
                <w:szCs w:val="14"/>
                <w:color w:val="FFFFFF"/>
              </w:rPr>
              <w:t>of Equity</w:t>
            </w:r>
          </w:p>
        </w:tc>
        <w:tc>
          <w:tcPr>
            <w:tcW w:w="1180" w:type="dxa"/>
            <w:vAlign w:val="bottom"/>
            <w:gridSpan w:val="3"/>
            <w:shd w:val="clear" w:color="auto" w:fill="005C5D"/>
          </w:tcPr>
          <w:p>
            <w:pPr>
              <w:jc w:val="center"/>
              <w:ind w:right="149"/>
              <w:spacing w:after="0"/>
              <w:rPr>
                <w:sz w:val="20"/>
                <w:szCs w:val="20"/>
                <w:color w:val="auto"/>
              </w:rPr>
            </w:pPr>
            <w:r>
              <w:rPr>
                <w:rFonts w:ascii="Arial" w:cs="Arial" w:eastAsia="Arial" w:hAnsi="Arial"/>
                <w:sz w:val="14"/>
                <w:szCs w:val="14"/>
                <w:color w:val="FFFFFF"/>
              </w:rPr>
              <w:t>Granted in</w:t>
            </w:r>
          </w:p>
        </w:tc>
        <w:tc>
          <w:tcPr>
            <w:tcW w:w="1200" w:type="dxa"/>
            <w:vAlign w:val="bottom"/>
            <w:gridSpan w:val="2"/>
            <w:shd w:val="clear" w:color="auto" w:fill="005C5D"/>
          </w:tcPr>
          <w:p>
            <w:pPr>
              <w:jc w:val="center"/>
              <w:ind w:right="149"/>
              <w:spacing w:after="0"/>
              <w:rPr>
                <w:sz w:val="20"/>
                <w:szCs w:val="20"/>
                <w:color w:val="auto"/>
              </w:rPr>
            </w:pPr>
            <w:r>
              <w:rPr>
                <w:rFonts w:ascii="Arial" w:cs="Arial" w:eastAsia="Arial" w:hAnsi="Arial"/>
                <w:sz w:val="14"/>
                <w:szCs w:val="14"/>
                <w:color w:val="FFFFFF"/>
              </w:rPr>
              <w:t>During the</w:t>
            </w:r>
          </w:p>
        </w:tc>
        <w:tc>
          <w:tcPr>
            <w:tcW w:w="120" w:type="dxa"/>
            <w:vAlign w:val="bottom"/>
            <w:shd w:val="clear" w:color="auto" w:fill="005C5D"/>
          </w:tcPr>
          <w:p>
            <w:pPr>
              <w:spacing w:after="0"/>
              <w:rPr>
                <w:sz w:val="13"/>
                <w:szCs w:val="13"/>
                <w:color w:val="auto"/>
              </w:rPr>
            </w:pPr>
          </w:p>
        </w:tc>
        <w:tc>
          <w:tcPr>
            <w:tcW w:w="1040" w:type="dxa"/>
            <w:vAlign w:val="bottom"/>
            <w:shd w:val="clear" w:color="auto" w:fill="005C5D"/>
          </w:tcPr>
          <w:p>
            <w:pPr>
              <w:jc w:val="center"/>
              <w:ind w:right="269"/>
              <w:spacing w:after="0"/>
              <w:rPr>
                <w:sz w:val="20"/>
                <w:szCs w:val="20"/>
                <w:color w:val="auto"/>
              </w:rPr>
            </w:pPr>
            <w:r>
              <w:rPr>
                <w:rFonts w:ascii="Arial" w:cs="Arial" w:eastAsia="Arial" w:hAnsi="Arial"/>
                <w:sz w:val="14"/>
                <w:szCs w:val="14"/>
                <w:color w:val="FFFFFF"/>
              </w:rPr>
              <w:t>Granted in</w:t>
            </w:r>
          </w:p>
        </w:tc>
        <w:tc>
          <w:tcPr>
            <w:tcW w:w="1140" w:type="dxa"/>
            <w:vAlign w:val="bottom"/>
            <w:gridSpan w:val="2"/>
            <w:shd w:val="clear" w:color="auto" w:fill="005C5D"/>
          </w:tcPr>
          <w:p>
            <w:pPr>
              <w:jc w:val="center"/>
              <w:ind w:right="129"/>
              <w:spacing w:after="0"/>
              <w:rPr>
                <w:sz w:val="20"/>
                <w:szCs w:val="20"/>
                <w:color w:val="auto"/>
              </w:rPr>
            </w:pPr>
            <w:r>
              <w:rPr>
                <w:rFonts w:ascii="Arial" w:cs="Arial" w:eastAsia="Arial" w:hAnsi="Arial"/>
                <w:sz w:val="14"/>
                <w:szCs w:val="14"/>
                <w:color w:val="FFFFFF"/>
                <w:w w:val="99"/>
              </w:rPr>
              <w:t>Prior Year that</w:t>
            </w:r>
          </w:p>
        </w:tc>
        <w:tc>
          <w:tcPr>
            <w:tcW w:w="40" w:type="dxa"/>
            <w:vAlign w:val="bottom"/>
            <w:shd w:val="clear" w:color="auto" w:fill="005C5D"/>
          </w:tcPr>
          <w:p>
            <w:pPr>
              <w:spacing w:after="0"/>
              <w:rPr>
                <w:sz w:val="13"/>
                <w:szCs w:val="13"/>
                <w:color w:val="auto"/>
              </w:rPr>
            </w:pPr>
          </w:p>
        </w:tc>
        <w:tc>
          <w:tcPr>
            <w:tcW w:w="1080" w:type="dxa"/>
            <w:vAlign w:val="bottom"/>
            <w:shd w:val="clear" w:color="auto" w:fill="005C5D"/>
          </w:tcPr>
          <w:p>
            <w:pPr>
              <w:jc w:val="center"/>
              <w:ind w:right="169"/>
              <w:spacing w:after="0"/>
              <w:rPr>
                <w:sz w:val="20"/>
                <w:szCs w:val="20"/>
                <w:color w:val="auto"/>
              </w:rPr>
            </w:pPr>
            <w:r>
              <w:rPr>
                <w:rFonts w:ascii="Arial" w:cs="Arial" w:eastAsia="Arial" w:hAnsi="Arial"/>
                <w:sz w:val="14"/>
                <w:szCs w:val="14"/>
                <w:color w:val="FFFFFF"/>
              </w:rPr>
              <w:t>Awards</w:t>
            </w:r>
          </w:p>
        </w:tc>
        <w:tc>
          <w:tcPr>
            <w:tcW w:w="40" w:type="dxa"/>
            <w:vAlign w:val="bottom"/>
            <w:shd w:val="clear" w:color="auto" w:fill="005C5D"/>
          </w:tcPr>
          <w:p>
            <w:pPr>
              <w:spacing w:after="0"/>
              <w:rPr>
                <w:sz w:val="13"/>
                <w:szCs w:val="13"/>
                <w:color w:val="auto"/>
              </w:rPr>
            </w:pPr>
          </w:p>
        </w:tc>
        <w:tc>
          <w:tcPr>
            <w:tcW w:w="720" w:type="dxa"/>
            <w:vAlign w:val="bottom"/>
            <w:shd w:val="clear" w:color="auto" w:fill="005C5D"/>
          </w:tcPr>
          <w:p>
            <w:pPr>
              <w:spacing w:after="0"/>
              <w:rPr>
                <w:sz w:val="13"/>
                <w:szCs w:val="13"/>
                <w:color w:val="auto"/>
              </w:rPr>
            </w:pPr>
          </w:p>
        </w:tc>
      </w:tr>
      <w:tr>
        <w:trPr>
          <w:trHeight w:val="217"/>
        </w:trPr>
        <w:tc>
          <w:tcPr>
            <w:tcW w:w="1940" w:type="dxa"/>
            <w:vAlign w:val="bottom"/>
            <w:tcBorders>
              <w:bottom w:val="single" w:sz="8" w:color="005C5D"/>
            </w:tcBorders>
            <w:shd w:val="clear" w:color="auto" w:fill="005C5D"/>
          </w:tcPr>
          <w:p>
            <w:pPr>
              <w:ind w:left="80"/>
              <w:spacing w:after="0"/>
              <w:rPr>
                <w:sz w:val="20"/>
                <w:szCs w:val="20"/>
                <w:color w:val="auto"/>
              </w:rPr>
            </w:pPr>
            <w:r>
              <w:rPr>
                <w:rFonts w:ascii="Arial" w:cs="Arial" w:eastAsia="Arial" w:hAnsi="Arial"/>
                <w:sz w:val="14"/>
                <w:szCs w:val="14"/>
                <w:color w:val="FFFFFF"/>
              </w:rPr>
              <w:t>Fiscal Year</w:t>
            </w:r>
          </w:p>
        </w:tc>
        <w:tc>
          <w:tcPr>
            <w:tcW w:w="200" w:type="dxa"/>
            <w:vAlign w:val="bottom"/>
            <w:tcBorders>
              <w:bottom w:val="single" w:sz="8" w:color="005C5D"/>
            </w:tcBorders>
            <w:shd w:val="clear" w:color="auto" w:fill="005C5D"/>
          </w:tcPr>
          <w:p>
            <w:pPr>
              <w:spacing w:after="0"/>
              <w:rPr>
                <w:sz w:val="18"/>
                <w:szCs w:val="18"/>
                <w:color w:val="auto"/>
              </w:rPr>
            </w:pPr>
          </w:p>
        </w:tc>
        <w:tc>
          <w:tcPr>
            <w:tcW w:w="40" w:type="dxa"/>
            <w:vAlign w:val="bottom"/>
            <w:tcBorders>
              <w:bottom w:val="single" w:sz="8" w:color="005C5D"/>
            </w:tcBorders>
            <w:shd w:val="clear" w:color="auto" w:fill="005C5D"/>
          </w:tcPr>
          <w:p>
            <w:pPr>
              <w:spacing w:after="0"/>
              <w:rPr>
                <w:sz w:val="18"/>
                <w:szCs w:val="18"/>
                <w:color w:val="auto"/>
              </w:rPr>
            </w:pPr>
          </w:p>
        </w:tc>
        <w:tc>
          <w:tcPr>
            <w:tcW w:w="980" w:type="dxa"/>
            <w:vAlign w:val="bottom"/>
            <w:tcBorders>
              <w:bottom w:val="single" w:sz="8" w:color="005C5D"/>
            </w:tcBorders>
            <w:shd w:val="clear" w:color="auto" w:fill="005C5D"/>
          </w:tcPr>
          <w:p>
            <w:pPr>
              <w:jc w:val="center"/>
              <w:ind w:right="189"/>
              <w:spacing w:after="0"/>
              <w:rPr>
                <w:sz w:val="20"/>
                <w:szCs w:val="20"/>
                <w:color w:val="auto"/>
              </w:rPr>
            </w:pPr>
            <w:r>
              <w:rPr>
                <w:rFonts w:ascii="Arial" w:cs="Arial" w:eastAsia="Arial" w:hAnsi="Arial"/>
                <w:sz w:val="14"/>
                <w:szCs w:val="14"/>
                <w:color w:val="FFFFFF"/>
              </w:rPr>
              <w:t>Ms. Ardrey</w:t>
            </w:r>
          </w:p>
        </w:tc>
        <w:tc>
          <w:tcPr>
            <w:tcW w:w="1200" w:type="dxa"/>
            <w:vAlign w:val="bottom"/>
            <w:tcBorders>
              <w:bottom w:val="single" w:sz="8" w:color="005C5D"/>
            </w:tcBorders>
            <w:gridSpan w:val="2"/>
            <w:shd w:val="clear" w:color="auto" w:fill="005C5D"/>
          </w:tcPr>
          <w:p>
            <w:pPr>
              <w:jc w:val="center"/>
              <w:ind w:right="129"/>
              <w:spacing w:after="0"/>
              <w:rPr>
                <w:sz w:val="20"/>
                <w:szCs w:val="20"/>
                <w:color w:val="auto"/>
              </w:rPr>
            </w:pPr>
            <w:r>
              <w:rPr>
                <w:rFonts w:ascii="Arial" w:cs="Arial" w:eastAsia="Arial" w:hAnsi="Arial"/>
                <w:sz w:val="14"/>
                <w:szCs w:val="14"/>
                <w:color w:val="FFFFFF"/>
              </w:rPr>
              <w:t>Awards in SCT</w:t>
            </w:r>
          </w:p>
        </w:tc>
        <w:tc>
          <w:tcPr>
            <w:tcW w:w="1180" w:type="dxa"/>
            <w:vAlign w:val="bottom"/>
            <w:tcBorders>
              <w:bottom w:val="single" w:sz="8" w:color="005C5D"/>
            </w:tcBorders>
            <w:gridSpan w:val="3"/>
            <w:shd w:val="clear" w:color="auto" w:fill="005C5D"/>
          </w:tcPr>
          <w:p>
            <w:pPr>
              <w:jc w:val="center"/>
              <w:ind w:right="129"/>
              <w:spacing w:after="0"/>
              <w:rPr>
                <w:sz w:val="20"/>
                <w:szCs w:val="20"/>
                <w:color w:val="auto"/>
              </w:rPr>
            </w:pPr>
            <w:r>
              <w:rPr>
                <w:rFonts w:ascii="Arial" w:cs="Arial" w:eastAsia="Arial" w:hAnsi="Arial"/>
                <w:sz w:val="14"/>
                <w:szCs w:val="14"/>
                <w:color w:val="FFFFFF"/>
                <w:w w:val="99"/>
              </w:rPr>
              <w:t>Fiscal Year</w:t>
            </w:r>
          </w:p>
        </w:tc>
        <w:tc>
          <w:tcPr>
            <w:tcW w:w="300" w:type="dxa"/>
            <w:vAlign w:val="bottom"/>
            <w:tcBorders>
              <w:bottom w:val="single" w:sz="8" w:color="005C5D"/>
            </w:tcBorders>
            <w:shd w:val="clear" w:color="auto" w:fill="005C5D"/>
          </w:tcPr>
          <w:p>
            <w:pPr>
              <w:spacing w:after="0"/>
              <w:rPr>
                <w:sz w:val="18"/>
                <w:szCs w:val="18"/>
                <w:color w:val="auto"/>
              </w:rPr>
            </w:pPr>
          </w:p>
        </w:tc>
        <w:tc>
          <w:tcPr>
            <w:tcW w:w="900" w:type="dxa"/>
            <w:vAlign w:val="bottom"/>
            <w:tcBorders>
              <w:bottom w:val="single" w:sz="8" w:color="005C5D"/>
            </w:tcBorders>
            <w:shd w:val="clear" w:color="auto" w:fill="005C5D"/>
          </w:tcPr>
          <w:p>
            <w:pPr>
              <w:jc w:val="center"/>
              <w:ind w:right="449"/>
              <w:spacing w:after="0"/>
              <w:rPr>
                <w:sz w:val="20"/>
                <w:szCs w:val="20"/>
                <w:color w:val="auto"/>
              </w:rPr>
            </w:pPr>
            <w:r>
              <w:rPr>
                <w:rFonts w:ascii="Arial" w:cs="Arial" w:eastAsia="Arial" w:hAnsi="Arial"/>
                <w:sz w:val="14"/>
                <w:szCs w:val="14"/>
                <w:color w:val="FFFFFF"/>
              </w:rPr>
              <w:t>Year</w:t>
            </w:r>
          </w:p>
        </w:tc>
        <w:tc>
          <w:tcPr>
            <w:tcW w:w="1160" w:type="dxa"/>
            <w:vAlign w:val="bottom"/>
            <w:tcBorders>
              <w:bottom w:val="single" w:sz="8" w:color="005C5D"/>
            </w:tcBorders>
            <w:gridSpan w:val="2"/>
            <w:shd w:val="clear" w:color="auto" w:fill="005C5D"/>
          </w:tcPr>
          <w:p>
            <w:pPr>
              <w:jc w:val="center"/>
              <w:ind w:right="149"/>
              <w:spacing w:after="0"/>
              <w:rPr>
                <w:sz w:val="20"/>
                <w:szCs w:val="20"/>
                <w:color w:val="auto"/>
              </w:rPr>
            </w:pPr>
            <w:r>
              <w:rPr>
                <w:rFonts w:ascii="Arial" w:cs="Arial" w:eastAsia="Arial" w:hAnsi="Arial"/>
                <w:sz w:val="14"/>
                <w:szCs w:val="14"/>
                <w:color w:val="FFFFFF"/>
                <w:w w:val="99"/>
              </w:rPr>
              <w:t>Prior Years</w:t>
            </w:r>
          </w:p>
        </w:tc>
        <w:tc>
          <w:tcPr>
            <w:tcW w:w="200" w:type="dxa"/>
            <w:vAlign w:val="bottom"/>
            <w:tcBorders>
              <w:bottom w:val="single" w:sz="8" w:color="005C5D"/>
            </w:tcBorders>
            <w:shd w:val="clear" w:color="auto" w:fill="005C5D"/>
          </w:tcPr>
          <w:p>
            <w:pPr>
              <w:spacing w:after="0"/>
              <w:rPr>
                <w:sz w:val="18"/>
                <w:szCs w:val="18"/>
                <w:color w:val="auto"/>
              </w:rPr>
            </w:pPr>
          </w:p>
        </w:tc>
        <w:tc>
          <w:tcPr>
            <w:tcW w:w="940" w:type="dxa"/>
            <w:vAlign w:val="bottom"/>
            <w:tcBorders>
              <w:bottom w:val="single" w:sz="8" w:color="005C5D"/>
            </w:tcBorders>
            <w:shd w:val="clear" w:color="auto" w:fill="005C5D"/>
          </w:tcPr>
          <w:p>
            <w:pPr>
              <w:jc w:val="center"/>
              <w:ind w:right="349"/>
              <w:spacing w:after="0"/>
              <w:rPr>
                <w:sz w:val="20"/>
                <w:szCs w:val="20"/>
                <w:color w:val="auto"/>
              </w:rPr>
            </w:pPr>
            <w:r>
              <w:rPr>
                <w:rFonts w:ascii="Arial" w:cs="Arial" w:eastAsia="Arial" w:hAnsi="Arial"/>
                <w:sz w:val="14"/>
                <w:szCs w:val="14"/>
                <w:color w:val="FFFFFF"/>
              </w:rPr>
              <w:t>Vested</w:t>
            </w:r>
          </w:p>
        </w:tc>
        <w:tc>
          <w:tcPr>
            <w:tcW w:w="40" w:type="dxa"/>
            <w:vAlign w:val="bottom"/>
            <w:tcBorders>
              <w:bottom w:val="single" w:sz="8" w:color="005C5D"/>
            </w:tcBorders>
            <w:shd w:val="clear" w:color="auto" w:fill="005C5D"/>
          </w:tcPr>
          <w:p>
            <w:pPr>
              <w:spacing w:after="0"/>
              <w:rPr>
                <w:sz w:val="18"/>
                <w:szCs w:val="18"/>
                <w:color w:val="auto"/>
              </w:rPr>
            </w:pPr>
          </w:p>
        </w:tc>
        <w:tc>
          <w:tcPr>
            <w:tcW w:w="1080" w:type="dxa"/>
            <w:vAlign w:val="bottom"/>
            <w:tcBorders>
              <w:bottom w:val="single" w:sz="8" w:color="005C5D"/>
            </w:tcBorders>
            <w:shd w:val="clear" w:color="auto" w:fill="005C5D"/>
          </w:tcPr>
          <w:p>
            <w:pPr>
              <w:jc w:val="center"/>
              <w:ind w:right="169"/>
              <w:spacing w:after="0"/>
              <w:rPr>
                <w:sz w:val="20"/>
                <w:szCs w:val="20"/>
                <w:color w:val="auto"/>
              </w:rPr>
            </w:pPr>
            <w:r>
              <w:rPr>
                <w:rFonts w:ascii="Arial" w:cs="Arial" w:eastAsia="Arial" w:hAnsi="Arial"/>
                <w:sz w:val="14"/>
                <w:szCs w:val="14"/>
                <w:color w:val="FFFFFF"/>
              </w:rPr>
              <w:t>Forfeited</w:t>
            </w:r>
          </w:p>
        </w:tc>
        <w:tc>
          <w:tcPr>
            <w:tcW w:w="760" w:type="dxa"/>
            <w:vAlign w:val="bottom"/>
            <w:tcBorders>
              <w:bottom w:val="single" w:sz="8" w:color="005C5D"/>
            </w:tcBorders>
            <w:gridSpan w:val="2"/>
            <w:shd w:val="clear" w:color="auto" w:fill="005C5D"/>
          </w:tcPr>
          <w:p>
            <w:pPr>
              <w:jc w:val="right"/>
              <w:ind w:right="20"/>
              <w:spacing w:after="0"/>
              <w:rPr>
                <w:sz w:val="20"/>
                <w:szCs w:val="20"/>
                <w:color w:val="auto"/>
              </w:rPr>
            </w:pPr>
            <w:r>
              <w:rPr>
                <w:rFonts w:ascii="Arial" w:cs="Arial" w:eastAsia="Arial" w:hAnsi="Arial"/>
                <w:sz w:val="14"/>
                <w:szCs w:val="14"/>
                <w:color w:val="FFFFFF"/>
                <w:w w:val="97"/>
              </w:rPr>
              <w:t>Total—CAP</w:t>
            </w:r>
          </w:p>
        </w:tc>
      </w:tr>
      <w:tr>
        <w:trPr>
          <w:trHeight w:val="294"/>
        </w:trPr>
        <w:tc>
          <w:tcPr>
            <w:tcW w:w="1940" w:type="dxa"/>
            <w:vAlign w:val="bottom"/>
          </w:tcPr>
          <w:p>
            <w:pPr>
              <w:ind w:left="80"/>
              <w:spacing w:after="0"/>
              <w:rPr>
                <w:sz w:val="20"/>
                <w:szCs w:val="20"/>
                <w:color w:val="auto"/>
              </w:rPr>
            </w:pPr>
            <w:r>
              <w:rPr>
                <w:rFonts w:ascii="Arial" w:cs="Arial" w:eastAsia="Arial" w:hAnsi="Arial"/>
                <w:sz w:val="14"/>
                <w:szCs w:val="14"/>
                <w:color w:val="333333"/>
              </w:rPr>
              <w:t>2026</w:t>
            </w:r>
          </w:p>
        </w:tc>
        <w:tc>
          <w:tcPr>
            <w:tcW w:w="1220" w:type="dxa"/>
            <w:vAlign w:val="bottom"/>
            <w:tcBorders>
              <w:bottom w:val="single" w:sz="8" w:color="FCEFEB"/>
            </w:tcBorders>
            <w:gridSpan w:val="3"/>
            <w:shd w:val="clear" w:color="auto" w:fill="FCEFEB"/>
          </w:tcPr>
          <w:p>
            <w:pPr>
              <w:jc w:val="right"/>
              <w:ind w:right="189"/>
              <w:spacing w:after="0"/>
              <w:rPr>
                <w:sz w:val="20"/>
                <w:szCs w:val="20"/>
                <w:color w:val="auto"/>
              </w:rPr>
            </w:pPr>
            <w:r>
              <w:rPr>
                <w:rFonts w:ascii="Arial" w:cs="Arial" w:eastAsia="Arial" w:hAnsi="Arial"/>
                <w:sz w:val="14"/>
                <w:szCs w:val="14"/>
                <w:color w:val="333333"/>
              </w:rPr>
              <w:t>$3,228,963</w:t>
            </w:r>
          </w:p>
        </w:tc>
        <w:tc>
          <w:tcPr>
            <w:tcW w:w="1200" w:type="dxa"/>
            <w:vAlign w:val="bottom"/>
            <w:tcBorders>
              <w:bottom w:val="single" w:sz="8" w:color="FCEFEB"/>
            </w:tcBorders>
            <w:gridSpan w:val="2"/>
            <w:shd w:val="clear" w:color="auto" w:fill="FCEFEB"/>
          </w:tcPr>
          <w:p>
            <w:pPr>
              <w:jc w:val="right"/>
              <w:ind w:right="169"/>
              <w:spacing w:after="0"/>
              <w:rPr>
                <w:sz w:val="20"/>
                <w:szCs w:val="20"/>
                <w:color w:val="auto"/>
              </w:rPr>
            </w:pPr>
            <w:r>
              <w:rPr>
                <w:rFonts w:ascii="Arial" w:cs="Arial" w:eastAsia="Arial" w:hAnsi="Arial"/>
                <w:sz w:val="14"/>
                <w:szCs w:val="14"/>
                <w:color w:val="333333"/>
              </w:rPr>
              <w:t>$(699,999)</w:t>
            </w:r>
          </w:p>
        </w:tc>
        <w:tc>
          <w:tcPr>
            <w:tcW w:w="400" w:type="dxa"/>
            <w:vAlign w:val="bottom"/>
            <w:tcBorders>
              <w:bottom w:val="single" w:sz="8" w:color="FCEFEB"/>
            </w:tcBorders>
            <w:gridSpan w:val="2"/>
            <w:shd w:val="clear" w:color="auto" w:fill="FCEFEB"/>
          </w:tcPr>
          <w:p>
            <w:pPr>
              <w:jc w:val="right"/>
              <w:spacing w:after="0"/>
              <w:rPr>
                <w:sz w:val="20"/>
                <w:szCs w:val="20"/>
                <w:color w:val="auto"/>
              </w:rPr>
            </w:pPr>
            <w:r>
              <w:rPr>
                <w:rFonts w:ascii="Arial" w:cs="Arial" w:eastAsia="Arial" w:hAnsi="Arial"/>
                <w:sz w:val="14"/>
                <w:szCs w:val="14"/>
                <w:color w:val="333333"/>
              </w:rPr>
              <w:t>$</w:t>
            </w:r>
          </w:p>
        </w:tc>
        <w:tc>
          <w:tcPr>
            <w:tcW w:w="780" w:type="dxa"/>
            <w:vAlign w:val="bottom"/>
            <w:tcBorders>
              <w:bottom w:val="single" w:sz="8" w:color="FCEFEB"/>
            </w:tcBorders>
            <w:shd w:val="clear" w:color="auto" w:fill="FCEFEB"/>
          </w:tcPr>
          <w:p>
            <w:pPr>
              <w:jc w:val="right"/>
              <w:ind w:right="189"/>
              <w:spacing w:after="0"/>
              <w:rPr>
                <w:sz w:val="20"/>
                <w:szCs w:val="20"/>
                <w:color w:val="auto"/>
              </w:rPr>
            </w:pPr>
            <w:r>
              <w:rPr>
                <w:rFonts w:ascii="Arial" w:cs="Arial" w:eastAsia="Arial" w:hAnsi="Arial"/>
                <w:sz w:val="14"/>
                <w:szCs w:val="14"/>
                <w:color w:val="333333"/>
              </w:rPr>
              <w:t>—</w:t>
            </w:r>
          </w:p>
        </w:tc>
        <w:tc>
          <w:tcPr>
            <w:tcW w:w="1200" w:type="dxa"/>
            <w:vAlign w:val="bottom"/>
            <w:tcBorders>
              <w:bottom w:val="single" w:sz="8" w:color="FCEFEB"/>
            </w:tcBorders>
            <w:gridSpan w:val="2"/>
            <w:shd w:val="clear" w:color="auto" w:fill="FCEFEB"/>
          </w:tcPr>
          <w:p>
            <w:pPr>
              <w:jc w:val="right"/>
              <w:ind w:right="169"/>
              <w:spacing w:after="0"/>
              <w:rPr>
                <w:sz w:val="20"/>
                <w:szCs w:val="20"/>
                <w:color w:val="auto"/>
              </w:rPr>
            </w:pPr>
            <w:r>
              <w:rPr>
                <w:rFonts w:ascii="Arial" w:cs="Arial" w:eastAsia="Arial" w:hAnsi="Arial"/>
                <w:sz w:val="14"/>
                <w:szCs w:val="14"/>
                <w:color w:val="333333"/>
              </w:rPr>
              <w:t>$         —</w:t>
            </w:r>
          </w:p>
        </w:tc>
        <w:tc>
          <w:tcPr>
            <w:tcW w:w="1160" w:type="dxa"/>
            <w:vAlign w:val="bottom"/>
            <w:tcBorders>
              <w:bottom w:val="single" w:sz="8" w:color="FCEFEB"/>
            </w:tcBorders>
            <w:gridSpan w:val="2"/>
            <w:shd w:val="clear" w:color="auto" w:fill="FCEFEB"/>
          </w:tcPr>
          <w:p>
            <w:pPr>
              <w:jc w:val="right"/>
              <w:ind w:right="189"/>
              <w:spacing w:after="0"/>
              <w:rPr>
                <w:sz w:val="20"/>
                <w:szCs w:val="20"/>
                <w:color w:val="auto"/>
              </w:rPr>
            </w:pPr>
            <w:r>
              <w:rPr>
                <w:rFonts w:ascii="Arial" w:cs="Arial" w:eastAsia="Arial" w:hAnsi="Arial"/>
                <w:sz w:val="14"/>
                <w:szCs w:val="14"/>
                <w:color w:val="333333"/>
              </w:rPr>
              <w:t>$(203,864)</w:t>
            </w:r>
          </w:p>
        </w:tc>
        <w:tc>
          <w:tcPr>
            <w:tcW w:w="1140" w:type="dxa"/>
            <w:vAlign w:val="bottom"/>
            <w:tcBorders>
              <w:bottom w:val="single" w:sz="8" w:color="FCEFEB"/>
            </w:tcBorders>
            <w:gridSpan w:val="2"/>
            <w:shd w:val="clear" w:color="auto" w:fill="FCEFEB"/>
          </w:tcPr>
          <w:p>
            <w:pPr>
              <w:jc w:val="right"/>
              <w:ind w:right="169"/>
              <w:spacing w:after="0"/>
              <w:rPr>
                <w:sz w:val="20"/>
                <w:szCs w:val="20"/>
                <w:color w:val="auto"/>
              </w:rPr>
            </w:pPr>
            <w:r>
              <w:rPr>
                <w:rFonts w:ascii="Arial" w:cs="Arial" w:eastAsia="Arial" w:hAnsi="Arial"/>
                <w:sz w:val="14"/>
                <w:szCs w:val="14"/>
                <w:color w:val="333333"/>
              </w:rPr>
              <w:t>$ (97, 409)</w:t>
            </w:r>
          </w:p>
        </w:tc>
        <w:tc>
          <w:tcPr>
            <w:tcW w:w="1120" w:type="dxa"/>
            <w:vAlign w:val="bottom"/>
            <w:tcBorders>
              <w:bottom w:val="single" w:sz="8" w:color="FCEFEB"/>
            </w:tcBorders>
            <w:gridSpan w:val="2"/>
            <w:shd w:val="clear" w:color="auto" w:fill="FCEFEB"/>
          </w:tcPr>
          <w:p>
            <w:pPr>
              <w:jc w:val="right"/>
              <w:ind w:right="189"/>
              <w:spacing w:after="0"/>
              <w:rPr>
                <w:sz w:val="20"/>
                <w:szCs w:val="20"/>
                <w:color w:val="auto"/>
              </w:rPr>
            </w:pPr>
            <w:r>
              <w:rPr>
                <w:rFonts w:ascii="Arial" w:cs="Arial" w:eastAsia="Arial" w:hAnsi="Arial"/>
                <w:sz w:val="14"/>
                <w:szCs w:val="14"/>
                <w:color w:val="333333"/>
              </w:rPr>
              <w:t>$(2,206,806)</w:t>
            </w:r>
          </w:p>
        </w:tc>
        <w:tc>
          <w:tcPr>
            <w:tcW w:w="760" w:type="dxa"/>
            <w:vAlign w:val="bottom"/>
            <w:tcBorders>
              <w:bottom w:val="single" w:sz="8" w:color="FCEFEB"/>
            </w:tcBorders>
            <w:gridSpan w:val="2"/>
            <w:shd w:val="clear" w:color="auto" w:fill="FCEFEB"/>
          </w:tcPr>
          <w:p>
            <w:pPr>
              <w:jc w:val="right"/>
              <w:ind w:right="40"/>
              <w:spacing w:after="0"/>
              <w:rPr>
                <w:sz w:val="20"/>
                <w:szCs w:val="20"/>
                <w:color w:val="auto"/>
              </w:rPr>
            </w:pPr>
            <w:r>
              <w:rPr>
                <w:rFonts w:ascii="Arial" w:cs="Arial" w:eastAsia="Arial" w:hAnsi="Arial"/>
                <w:sz w:val="14"/>
                <w:szCs w:val="14"/>
                <w:color w:val="333333"/>
              </w:rPr>
              <w:t>$20,886</w:t>
            </w:r>
          </w:p>
        </w:tc>
      </w:tr>
      <w:tr>
        <w:trPr>
          <w:trHeight w:val="274"/>
        </w:trPr>
        <w:tc>
          <w:tcPr>
            <w:tcW w:w="194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2025</w:t>
            </w:r>
          </w:p>
        </w:tc>
        <w:tc>
          <w:tcPr>
            <w:tcW w:w="1220" w:type="dxa"/>
            <w:vAlign w:val="bottom"/>
            <w:tcBorders>
              <w:top w:val="single" w:sz="8" w:color="005C5D"/>
              <w:bottom w:val="single" w:sz="8" w:color="FCEFEB"/>
            </w:tcBorders>
            <w:gridSpan w:val="3"/>
            <w:shd w:val="clear" w:color="auto" w:fill="FCEFEB"/>
          </w:tcPr>
          <w:p>
            <w:pPr>
              <w:jc w:val="right"/>
              <w:ind w:right="189"/>
              <w:spacing w:after="0"/>
              <w:rPr>
                <w:sz w:val="20"/>
                <w:szCs w:val="20"/>
                <w:color w:val="auto"/>
              </w:rPr>
            </w:pPr>
            <w:r>
              <w:rPr>
                <w:rFonts w:ascii="Arial" w:cs="Arial" w:eastAsia="Arial" w:hAnsi="Arial"/>
                <w:sz w:val="14"/>
                <w:szCs w:val="14"/>
                <w:color w:val="333333"/>
              </w:rPr>
              <w:t>2,360,009</w:t>
            </w:r>
          </w:p>
        </w:tc>
        <w:tc>
          <w:tcPr>
            <w:tcW w:w="1200" w:type="dxa"/>
            <w:vAlign w:val="bottom"/>
            <w:tcBorders>
              <w:top w:val="single" w:sz="8" w:color="005C5D"/>
              <w:bottom w:val="single" w:sz="8" w:color="FCEFEB"/>
            </w:tcBorders>
            <w:gridSpan w:val="2"/>
            <w:shd w:val="clear" w:color="auto" w:fill="FCEFEB"/>
          </w:tcPr>
          <w:p>
            <w:pPr>
              <w:jc w:val="right"/>
              <w:ind w:right="169"/>
              <w:spacing w:after="0"/>
              <w:rPr>
                <w:sz w:val="20"/>
                <w:szCs w:val="20"/>
                <w:color w:val="auto"/>
              </w:rPr>
            </w:pPr>
            <w:r>
              <w:rPr>
                <w:rFonts w:ascii="Arial" w:cs="Arial" w:eastAsia="Arial" w:hAnsi="Arial"/>
                <w:sz w:val="14"/>
                <w:szCs w:val="14"/>
                <w:color w:val="333333"/>
              </w:rPr>
              <w:t>(1,400,005)</w:t>
            </w:r>
          </w:p>
        </w:tc>
        <w:tc>
          <w:tcPr>
            <w:tcW w:w="320" w:type="dxa"/>
            <w:vAlign w:val="bottom"/>
            <w:tcBorders>
              <w:top w:val="single" w:sz="8" w:color="005C5D"/>
              <w:bottom w:val="single" w:sz="8" w:color="FCEFEB"/>
            </w:tcBorders>
            <w:shd w:val="clear" w:color="auto" w:fill="FCEFEB"/>
          </w:tcPr>
          <w:p>
            <w:pPr>
              <w:spacing w:after="0"/>
              <w:rPr>
                <w:sz w:val="23"/>
                <w:szCs w:val="23"/>
                <w:color w:val="auto"/>
              </w:rPr>
            </w:pPr>
          </w:p>
        </w:tc>
        <w:tc>
          <w:tcPr>
            <w:tcW w:w="80" w:type="dxa"/>
            <w:vAlign w:val="bottom"/>
            <w:tcBorders>
              <w:top w:val="single" w:sz="8" w:color="005C5D"/>
              <w:bottom w:val="single" w:sz="8" w:color="FCEFEB"/>
            </w:tcBorders>
            <w:shd w:val="clear" w:color="auto" w:fill="FCEFEB"/>
          </w:tcPr>
          <w:p>
            <w:pPr>
              <w:spacing w:after="0"/>
              <w:rPr>
                <w:sz w:val="23"/>
                <w:szCs w:val="23"/>
                <w:color w:val="auto"/>
              </w:rPr>
            </w:pPr>
          </w:p>
        </w:tc>
        <w:tc>
          <w:tcPr>
            <w:tcW w:w="780" w:type="dxa"/>
            <w:vAlign w:val="bottom"/>
            <w:tcBorders>
              <w:top w:val="single" w:sz="8" w:color="005C5D"/>
              <w:bottom w:val="single" w:sz="8" w:color="FCEFEB"/>
            </w:tcBorders>
            <w:shd w:val="clear" w:color="auto" w:fill="FCEFEB"/>
          </w:tcPr>
          <w:p>
            <w:pPr>
              <w:jc w:val="right"/>
              <w:ind w:right="189"/>
              <w:spacing w:after="0"/>
              <w:rPr>
                <w:sz w:val="20"/>
                <w:szCs w:val="20"/>
                <w:color w:val="auto"/>
              </w:rPr>
            </w:pPr>
            <w:r>
              <w:rPr>
                <w:rFonts w:ascii="Arial" w:cs="Arial" w:eastAsia="Arial" w:hAnsi="Arial"/>
                <w:sz w:val="14"/>
                <w:szCs w:val="14"/>
                <w:color w:val="333333"/>
                <w:w w:val="98"/>
              </w:rPr>
              <w:t>781,495</w:t>
            </w:r>
          </w:p>
        </w:tc>
        <w:tc>
          <w:tcPr>
            <w:tcW w:w="300" w:type="dxa"/>
            <w:vAlign w:val="bottom"/>
            <w:tcBorders>
              <w:top w:val="single" w:sz="8" w:color="005C5D"/>
              <w:bottom w:val="single" w:sz="8" w:color="FCEFEB"/>
            </w:tcBorders>
            <w:shd w:val="clear" w:color="auto" w:fill="FCEFEB"/>
          </w:tcPr>
          <w:p>
            <w:pPr>
              <w:spacing w:after="0"/>
              <w:rPr>
                <w:sz w:val="23"/>
                <w:szCs w:val="23"/>
                <w:color w:val="auto"/>
              </w:rPr>
            </w:pPr>
          </w:p>
        </w:tc>
        <w:tc>
          <w:tcPr>
            <w:tcW w:w="900" w:type="dxa"/>
            <w:vAlign w:val="bottom"/>
            <w:tcBorders>
              <w:top w:val="single" w:sz="8" w:color="005C5D"/>
              <w:bottom w:val="single" w:sz="8" w:color="FCEFEB"/>
            </w:tcBorders>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1160" w:type="dxa"/>
            <w:vAlign w:val="bottom"/>
            <w:tcBorders>
              <w:top w:val="single" w:sz="8" w:color="005C5D"/>
              <w:bottom w:val="single" w:sz="8" w:color="FCEFEB"/>
            </w:tcBorders>
            <w:gridSpan w:val="2"/>
            <w:shd w:val="clear" w:color="auto" w:fill="FCEFEB"/>
          </w:tcPr>
          <w:p>
            <w:pPr>
              <w:jc w:val="right"/>
              <w:ind w:right="189"/>
              <w:spacing w:after="0"/>
              <w:rPr>
                <w:sz w:val="20"/>
                <w:szCs w:val="20"/>
                <w:color w:val="auto"/>
              </w:rPr>
            </w:pPr>
            <w:r>
              <w:rPr>
                <w:rFonts w:ascii="Arial" w:cs="Arial" w:eastAsia="Arial" w:hAnsi="Arial"/>
                <w:sz w:val="14"/>
                <w:szCs w:val="14"/>
                <w:color w:val="333333"/>
              </w:rPr>
              <w:t>(1,744,513)</w:t>
            </w:r>
          </w:p>
        </w:tc>
        <w:tc>
          <w:tcPr>
            <w:tcW w:w="1140" w:type="dxa"/>
            <w:vAlign w:val="bottom"/>
            <w:tcBorders>
              <w:top w:val="single" w:sz="8" w:color="005C5D"/>
              <w:bottom w:val="single" w:sz="8" w:color="FCEFEB"/>
            </w:tcBorders>
            <w:gridSpan w:val="2"/>
            <w:shd w:val="clear" w:color="auto" w:fill="FCEFEB"/>
          </w:tcPr>
          <w:p>
            <w:pPr>
              <w:jc w:val="right"/>
              <w:ind w:right="169"/>
              <w:spacing w:after="0"/>
              <w:rPr>
                <w:sz w:val="20"/>
                <w:szCs w:val="20"/>
                <w:color w:val="auto"/>
              </w:rPr>
            </w:pPr>
            <w:r>
              <w:rPr>
                <w:rFonts w:ascii="Arial" w:cs="Arial" w:eastAsia="Arial" w:hAnsi="Arial"/>
                <w:sz w:val="14"/>
                <w:szCs w:val="14"/>
                <w:color w:val="333333"/>
              </w:rPr>
              <w:t>(273,222)</w:t>
            </w:r>
          </w:p>
        </w:tc>
        <w:tc>
          <w:tcPr>
            <w:tcW w:w="40" w:type="dxa"/>
            <w:vAlign w:val="bottom"/>
            <w:tcBorders>
              <w:top w:val="single" w:sz="8" w:color="005C5D"/>
              <w:bottom w:val="single" w:sz="8" w:color="FCEFEB"/>
            </w:tcBorders>
            <w:shd w:val="clear" w:color="auto" w:fill="FCEFEB"/>
          </w:tcPr>
          <w:p>
            <w:pPr>
              <w:spacing w:after="0"/>
              <w:rPr>
                <w:sz w:val="23"/>
                <w:szCs w:val="23"/>
                <w:color w:val="auto"/>
              </w:rPr>
            </w:pPr>
          </w:p>
        </w:tc>
        <w:tc>
          <w:tcPr>
            <w:tcW w:w="1080" w:type="dxa"/>
            <w:vAlign w:val="bottom"/>
            <w:tcBorders>
              <w:top w:val="single" w:sz="8" w:color="005C5D"/>
              <w:bottom w:val="single" w:sz="8" w:color="FCEFEB"/>
            </w:tcBorders>
            <w:shd w:val="clear" w:color="auto" w:fill="FCEFEB"/>
          </w:tcPr>
          <w:p>
            <w:pPr>
              <w:jc w:val="right"/>
              <w:ind w:right="189"/>
              <w:spacing w:after="0"/>
              <w:rPr>
                <w:sz w:val="20"/>
                <w:szCs w:val="20"/>
                <w:color w:val="auto"/>
              </w:rPr>
            </w:pPr>
            <w:r>
              <w:rPr>
                <w:rFonts w:ascii="Arial" w:cs="Arial" w:eastAsia="Arial" w:hAnsi="Arial"/>
                <w:sz w:val="14"/>
                <w:szCs w:val="14"/>
                <w:color w:val="333333"/>
              </w:rPr>
              <w:t>—</w:t>
            </w:r>
          </w:p>
        </w:tc>
        <w:tc>
          <w:tcPr>
            <w:tcW w:w="760" w:type="dxa"/>
            <w:vAlign w:val="bottom"/>
            <w:tcBorders>
              <w:top w:val="single" w:sz="8" w:color="005C5D"/>
              <w:bottom w:val="single" w:sz="8" w:color="FCEFEB"/>
            </w:tcBorders>
            <w:gridSpan w:val="2"/>
            <w:shd w:val="clear" w:color="auto" w:fill="FCEFEB"/>
          </w:tcPr>
          <w:p>
            <w:pPr>
              <w:jc w:val="right"/>
              <w:ind w:right="40"/>
              <w:spacing w:after="0"/>
              <w:rPr>
                <w:sz w:val="20"/>
                <w:szCs w:val="20"/>
                <w:color w:val="auto"/>
              </w:rPr>
            </w:pPr>
            <w:r>
              <w:rPr>
                <w:rFonts w:ascii="Arial" w:cs="Arial" w:eastAsia="Arial" w:hAnsi="Arial"/>
                <w:sz w:val="14"/>
                <w:szCs w:val="14"/>
                <w:color w:val="333333"/>
              </w:rPr>
              <w:t>(276,237)</w:t>
            </w:r>
          </w:p>
        </w:tc>
      </w:tr>
      <w:tr>
        <w:trPr>
          <w:trHeight w:val="254"/>
        </w:trPr>
        <w:tc>
          <w:tcPr>
            <w:tcW w:w="194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2024</w:t>
            </w:r>
          </w:p>
        </w:tc>
        <w:tc>
          <w:tcPr>
            <w:tcW w:w="1220" w:type="dxa"/>
            <w:vAlign w:val="bottom"/>
            <w:tcBorders>
              <w:top w:val="single" w:sz="8" w:color="005C5D"/>
              <w:bottom w:val="single" w:sz="8" w:color="FCEFEB"/>
            </w:tcBorders>
            <w:gridSpan w:val="3"/>
            <w:shd w:val="clear" w:color="auto" w:fill="FCEFEB"/>
          </w:tcPr>
          <w:p>
            <w:pPr>
              <w:jc w:val="right"/>
              <w:ind w:right="189"/>
              <w:spacing w:after="0"/>
              <w:rPr>
                <w:sz w:val="20"/>
                <w:szCs w:val="20"/>
                <w:color w:val="auto"/>
              </w:rPr>
            </w:pPr>
            <w:r>
              <w:rPr>
                <w:rFonts w:ascii="Arial" w:cs="Arial" w:eastAsia="Arial" w:hAnsi="Arial"/>
                <w:sz w:val="14"/>
                <w:szCs w:val="14"/>
                <w:color w:val="333333"/>
              </w:rPr>
              <w:t>1,976,075</w:t>
            </w:r>
          </w:p>
        </w:tc>
        <w:tc>
          <w:tcPr>
            <w:tcW w:w="180" w:type="dxa"/>
            <w:vAlign w:val="bottom"/>
            <w:tcBorders>
              <w:top w:val="single" w:sz="8" w:color="005C5D"/>
              <w:bottom w:val="single" w:sz="8" w:color="FCEFEB"/>
            </w:tcBorders>
            <w:shd w:val="clear" w:color="auto" w:fill="FCEFEB"/>
          </w:tcPr>
          <w:p>
            <w:pPr>
              <w:spacing w:after="0"/>
              <w:rPr>
                <w:sz w:val="22"/>
                <w:szCs w:val="22"/>
                <w:color w:val="auto"/>
              </w:rPr>
            </w:pPr>
          </w:p>
        </w:tc>
        <w:tc>
          <w:tcPr>
            <w:tcW w:w="1020" w:type="dxa"/>
            <w:vAlign w:val="bottom"/>
            <w:tcBorders>
              <w:top w:val="single" w:sz="8" w:color="005C5D"/>
              <w:bottom w:val="single" w:sz="8" w:color="FCEFEB"/>
            </w:tcBorders>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320" w:type="dxa"/>
            <w:vAlign w:val="bottom"/>
            <w:tcBorders>
              <w:top w:val="single" w:sz="8" w:color="005C5D"/>
              <w:bottom w:val="single" w:sz="8" w:color="FCEFEB"/>
            </w:tcBorders>
            <w:shd w:val="clear" w:color="auto" w:fill="FCEFEB"/>
          </w:tcPr>
          <w:p>
            <w:pPr>
              <w:spacing w:after="0"/>
              <w:rPr>
                <w:sz w:val="22"/>
                <w:szCs w:val="22"/>
                <w:color w:val="auto"/>
              </w:rPr>
            </w:pPr>
          </w:p>
        </w:tc>
        <w:tc>
          <w:tcPr>
            <w:tcW w:w="80" w:type="dxa"/>
            <w:vAlign w:val="bottom"/>
            <w:tcBorders>
              <w:top w:val="single" w:sz="8" w:color="005C5D"/>
              <w:bottom w:val="single" w:sz="8" w:color="FCEFEB"/>
            </w:tcBorders>
            <w:shd w:val="clear" w:color="auto" w:fill="FCEFEB"/>
          </w:tcPr>
          <w:p>
            <w:pPr>
              <w:spacing w:after="0"/>
              <w:rPr>
                <w:sz w:val="22"/>
                <w:szCs w:val="22"/>
                <w:color w:val="auto"/>
              </w:rPr>
            </w:pPr>
          </w:p>
        </w:tc>
        <w:tc>
          <w:tcPr>
            <w:tcW w:w="780" w:type="dxa"/>
            <w:vAlign w:val="bottom"/>
            <w:tcBorders>
              <w:top w:val="single" w:sz="8" w:color="005C5D"/>
              <w:bottom w:val="single" w:sz="8" w:color="FCEFEB"/>
            </w:tcBorders>
            <w:shd w:val="clear" w:color="auto" w:fill="FCEFEB"/>
          </w:tcPr>
          <w:p>
            <w:pPr>
              <w:jc w:val="right"/>
              <w:ind w:right="189"/>
              <w:spacing w:after="0"/>
              <w:rPr>
                <w:sz w:val="20"/>
                <w:szCs w:val="20"/>
                <w:color w:val="auto"/>
              </w:rPr>
            </w:pPr>
            <w:r>
              <w:rPr>
                <w:rFonts w:ascii="Arial" w:cs="Arial" w:eastAsia="Arial" w:hAnsi="Arial"/>
                <w:sz w:val="14"/>
                <w:szCs w:val="14"/>
                <w:color w:val="333333"/>
              </w:rPr>
              <w:t>—</w:t>
            </w:r>
          </w:p>
        </w:tc>
        <w:tc>
          <w:tcPr>
            <w:tcW w:w="300" w:type="dxa"/>
            <w:vAlign w:val="bottom"/>
            <w:tcBorders>
              <w:top w:val="single" w:sz="8" w:color="005C5D"/>
              <w:bottom w:val="single" w:sz="8" w:color="FCEFEB"/>
            </w:tcBorders>
            <w:shd w:val="clear" w:color="auto" w:fill="FCEFEB"/>
          </w:tcPr>
          <w:p>
            <w:pPr>
              <w:spacing w:after="0"/>
              <w:rPr>
                <w:sz w:val="22"/>
                <w:szCs w:val="22"/>
                <w:color w:val="auto"/>
              </w:rPr>
            </w:pPr>
          </w:p>
        </w:tc>
        <w:tc>
          <w:tcPr>
            <w:tcW w:w="900" w:type="dxa"/>
            <w:vAlign w:val="bottom"/>
            <w:tcBorders>
              <w:top w:val="single" w:sz="8" w:color="005C5D"/>
              <w:bottom w:val="single" w:sz="8" w:color="FCEFEB"/>
            </w:tcBorders>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1160" w:type="dxa"/>
            <w:vAlign w:val="bottom"/>
            <w:tcBorders>
              <w:top w:val="single" w:sz="8" w:color="005C5D"/>
              <w:bottom w:val="single" w:sz="8" w:color="FCEFEB"/>
            </w:tcBorders>
            <w:gridSpan w:val="2"/>
            <w:shd w:val="clear" w:color="auto" w:fill="FCEFEB"/>
          </w:tcPr>
          <w:p>
            <w:pPr>
              <w:jc w:val="right"/>
              <w:ind w:right="189"/>
              <w:spacing w:after="0"/>
              <w:rPr>
                <w:sz w:val="20"/>
                <w:szCs w:val="20"/>
                <w:color w:val="auto"/>
              </w:rPr>
            </w:pPr>
            <w:r>
              <w:rPr>
                <w:rFonts w:ascii="Arial" w:cs="Arial" w:eastAsia="Arial" w:hAnsi="Arial"/>
                <w:sz w:val="14"/>
                <w:szCs w:val="14"/>
                <w:color w:val="333333"/>
              </w:rPr>
              <w:t>1,257,988</w:t>
            </w:r>
          </w:p>
        </w:tc>
        <w:tc>
          <w:tcPr>
            <w:tcW w:w="1140" w:type="dxa"/>
            <w:vAlign w:val="bottom"/>
            <w:tcBorders>
              <w:top w:val="single" w:sz="8" w:color="005C5D"/>
              <w:bottom w:val="single" w:sz="8" w:color="FCEFEB"/>
            </w:tcBorders>
            <w:gridSpan w:val="2"/>
            <w:shd w:val="clear" w:color="auto" w:fill="FCEFEB"/>
          </w:tcPr>
          <w:p>
            <w:pPr>
              <w:jc w:val="right"/>
              <w:ind w:right="169"/>
              <w:spacing w:after="0"/>
              <w:rPr>
                <w:sz w:val="20"/>
                <w:szCs w:val="20"/>
                <w:color w:val="auto"/>
              </w:rPr>
            </w:pPr>
            <w:r>
              <w:rPr>
                <w:rFonts w:ascii="Arial" w:cs="Arial" w:eastAsia="Arial" w:hAnsi="Arial"/>
                <w:sz w:val="14"/>
                <w:szCs w:val="14"/>
                <w:color w:val="333333"/>
              </w:rPr>
              <w:t>170,883</w:t>
            </w:r>
          </w:p>
        </w:tc>
        <w:tc>
          <w:tcPr>
            <w:tcW w:w="40" w:type="dxa"/>
            <w:vAlign w:val="bottom"/>
            <w:tcBorders>
              <w:top w:val="single" w:sz="8" w:color="005C5D"/>
              <w:bottom w:val="single" w:sz="8" w:color="FCEFEB"/>
            </w:tcBorders>
            <w:shd w:val="clear" w:color="auto" w:fill="FCEFEB"/>
          </w:tcPr>
          <w:p>
            <w:pPr>
              <w:spacing w:after="0"/>
              <w:rPr>
                <w:sz w:val="22"/>
                <w:szCs w:val="22"/>
                <w:color w:val="auto"/>
              </w:rPr>
            </w:pPr>
          </w:p>
        </w:tc>
        <w:tc>
          <w:tcPr>
            <w:tcW w:w="1080" w:type="dxa"/>
            <w:vAlign w:val="bottom"/>
            <w:tcBorders>
              <w:top w:val="single" w:sz="8" w:color="005C5D"/>
              <w:bottom w:val="single" w:sz="8" w:color="FCEFEB"/>
            </w:tcBorders>
            <w:shd w:val="clear" w:color="auto" w:fill="FCEFEB"/>
          </w:tcPr>
          <w:p>
            <w:pPr>
              <w:jc w:val="right"/>
              <w:ind w:right="189"/>
              <w:spacing w:after="0"/>
              <w:rPr>
                <w:sz w:val="20"/>
                <w:szCs w:val="20"/>
                <w:color w:val="auto"/>
              </w:rPr>
            </w:pPr>
            <w:r>
              <w:rPr>
                <w:rFonts w:ascii="Arial" w:cs="Arial" w:eastAsia="Arial" w:hAnsi="Arial"/>
                <w:sz w:val="14"/>
                <w:szCs w:val="14"/>
                <w:color w:val="333333"/>
              </w:rPr>
              <w:t>—</w:t>
            </w:r>
          </w:p>
        </w:tc>
        <w:tc>
          <w:tcPr>
            <w:tcW w:w="760" w:type="dxa"/>
            <w:vAlign w:val="bottom"/>
            <w:tcBorders>
              <w:top w:val="single" w:sz="8" w:color="005C5D"/>
              <w:bottom w:val="single" w:sz="8" w:color="FCEFEB"/>
            </w:tcBorders>
            <w:gridSpan w:val="2"/>
            <w:shd w:val="clear" w:color="auto" w:fill="FCEFEB"/>
          </w:tcPr>
          <w:p>
            <w:pPr>
              <w:jc w:val="right"/>
              <w:ind w:right="40"/>
              <w:spacing w:after="0"/>
              <w:rPr>
                <w:sz w:val="20"/>
                <w:szCs w:val="20"/>
                <w:color w:val="auto"/>
              </w:rPr>
            </w:pPr>
            <w:r>
              <w:rPr>
                <w:rFonts w:ascii="Arial" w:cs="Arial" w:eastAsia="Arial" w:hAnsi="Arial"/>
                <w:sz w:val="14"/>
                <w:szCs w:val="14"/>
                <w:color w:val="333333"/>
              </w:rPr>
              <w:t>3,404,946</w:t>
            </w:r>
          </w:p>
        </w:tc>
      </w:tr>
      <w:tr>
        <w:trPr>
          <w:trHeight w:val="27"/>
        </w:trPr>
        <w:tc>
          <w:tcPr>
            <w:tcW w:w="1940" w:type="dxa"/>
            <w:vAlign w:val="bottom"/>
            <w:shd w:val="clear" w:color="auto" w:fill="005C5D"/>
          </w:tcPr>
          <w:p>
            <w:pPr>
              <w:spacing w:after="0"/>
              <w:rPr>
                <w:sz w:val="2"/>
                <w:szCs w:val="2"/>
                <w:color w:val="auto"/>
              </w:rPr>
            </w:pPr>
          </w:p>
        </w:tc>
        <w:tc>
          <w:tcPr>
            <w:tcW w:w="200" w:type="dxa"/>
            <w:vAlign w:val="bottom"/>
            <w:shd w:val="clear" w:color="auto" w:fill="005C5D"/>
          </w:tcPr>
          <w:p>
            <w:pPr>
              <w:spacing w:after="0"/>
              <w:rPr>
                <w:sz w:val="2"/>
                <w:szCs w:val="2"/>
                <w:color w:val="auto"/>
              </w:rPr>
            </w:pPr>
          </w:p>
        </w:tc>
        <w:tc>
          <w:tcPr>
            <w:tcW w:w="40" w:type="dxa"/>
            <w:vAlign w:val="bottom"/>
            <w:shd w:val="clear" w:color="auto" w:fill="005C5D"/>
          </w:tcPr>
          <w:p>
            <w:pPr>
              <w:spacing w:after="0"/>
              <w:rPr>
                <w:sz w:val="2"/>
                <w:szCs w:val="2"/>
                <w:color w:val="auto"/>
              </w:rPr>
            </w:pPr>
          </w:p>
        </w:tc>
        <w:tc>
          <w:tcPr>
            <w:tcW w:w="980" w:type="dxa"/>
            <w:vAlign w:val="bottom"/>
            <w:shd w:val="clear" w:color="auto" w:fill="005C5D"/>
          </w:tcPr>
          <w:p>
            <w:pPr>
              <w:spacing w:after="0"/>
              <w:rPr>
                <w:sz w:val="2"/>
                <w:szCs w:val="2"/>
                <w:color w:val="auto"/>
              </w:rPr>
            </w:pPr>
          </w:p>
        </w:tc>
        <w:tc>
          <w:tcPr>
            <w:tcW w:w="180" w:type="dxa"/>
            <w:vAlign w:val="bottom"/>
            <w:shd w:val="clear" w:color="auto" w:fill="005C5D"/>
          </w:tcPr>
          <w:p>
            <w:pPr>
              <w:spacing w:after="0"/>
              <w:rPr>
                <w:sz w:val="2"/>
                <w:szCs w:val="2"/>
                <w:color w:val="auto"/>
              </w:rPr>
            </w:pPr>
          </w:p>
        </w:tc>
        <w:tc>
          <w:tcPr>
            <w:tcW w:w="1020" w:type="dxa"/>
            <w:vAlign w:val="bottom"/>
            <w:shd w:val="clear" w:color="auto" w:fill="005C5D"/>
          </w:tcPr>
          <w:p>
            <w:pPr>
              <w:spacing w:after="0"/>
              <w:rPr>
                <w:sz w:val="2"/>
                <w:szCs w:val="2"/>
                <w:color w:val="auto"/>
              </w:rPr>
            </w:pPr>
          </w:p>
        </w:tc>
        <w:tc>
          <w:tcPr>
            <w:tcW w:w="320" w:type="dxa"/>
            <w:vAlign w:val="bottom"/>
            <w:shd w:val="clear" w:color="auto" w:fill="005C5D"/>
          </w:tcPr>
          <w:p>
            <w:pPr>
              <w:spacing w:after="0"/>
              <w:rPr>
                <w:sz w:val="2"/>
                <w:szCs w:val="2"/>
                <w:color w:val="auto"/>
              </w:rPr>
            </w:pPr>
          </w:p>
        </w:tc>
        <w:tc>
          <w:tcPr>
            <w:tcW w:w="80" w:type="dxa"/>
            <w:vAlign w:val="bottom"/>
            <w:shd w:val="clear" w:color="auto" w:fill="005C5D"/>
          </w:tcPr>
          <w:p>
            <w:pPr>
              <w:spacing w:after="0"/>
              <w:rPr>
                <w:sz w:val="2"/>
                <w:szCs w:val="2"/>
                <w:color w:val="auto"/>
              </w:rPr>
            </w:pPr>
          </w:p>
        </w:tc>
        <w:tc>
          <w:tcPr>
            <w:tcW w:w="780" w:type="dxa"/>
            <w:vAlign w:val="bottom"/>
            <w:shd w:val="clear" w:color="auto" w:fill="005C5D"/>
          </w:tcPr>
          <w:p>
            <w:pPr>
              <w:spacing w:after="0"/>
              <w:rPr>
                <w:sz w:val="2"/>
                <w:szCs w:val="2"/>
                <w:color w:val="auto"/>
              </w:rPr>
            </w:pPr>
          </w:p>
        </w:tc>
        <w:tc>
          <w:tcPr>
            <w:tcW w:w="300" w:type="dxa"/>
            <w:vAlign w:val="bottom"/>
            <w:shd w:val="clear" w:color="auto" w:fill="005C5D"/>
          </w:tcPr>
          <w:p>
            <w:pPr>
              <w:spacing w:after="0"/>
              <w:rPr>
                <w:sz w:val="2"/>
                <w:szCs w:val="2"/>
                <w:color w:val="auto"/>
              </w:rPr>
            </w:pPr>
          </w:p>
        </w:tc>
        <w:tc>
          <w:tcPr>
            <w:tcW w:w="900" w:type="dxa"/>
            <w:vAlign w:val="bottom"/>
            <w:shd w:val="clear" w:color="auto" w:fill="005C5D"/>
          </w:tcPr>
          <w:p>
            <w:pPr>
              <w:spacing w:after="0"/>
              <w:rPr>
                <w:sz w:val="2"/>
                <w:szCs w:val="2"/>
                <w:color w:val="auto"/>
              </w:rPr>
            </w:pPr>
          </w:p>
        </w:tc>
        <w:tc>
          <w:tcPr>
            <w:tcW w:w="120" w:type="dxa"/>
            <w:vAlign w:val="bottom"/>
            <w:shd w:val="clear" w:color="auto" w:fill="005C5D"/>
          </w:tcPr>
          <w:p>
            <w:pPr>
              <w:spacing w:after="0"/>
              <w:rPr>
                <w:sz w:val="2"/>
                <w:szCs w:val="2"/>
                <w:color w:val="auto"/>
              </w:rPr>
            </w:pPr>
          </w:p>
        </w:tc>
        <w:tc>
          <w:tcPr>
            <w:tcW w:w="1040" w:type="dxa"/>
            <w:vAlign w:val="bottom"/>
            <w:shd w:val="clear" w:color="auto" w:fill="005C5D"/>
          </w:tcPr>
          <w:p>
            <w:pPr>
              <w:spacing w:after="0"/>
              <w:rPr>
                <w:sz w:val="2"/>
                <w:szCs w:val="2"/>
                <w:color w:val="auto"/>
              </w:rPr>
            </w:pPr>
          </w:p>
        </w:tc>
        <w:tc>
          <w:tcPr>
            <w:tcW w:w="200" w:type="dxa"/>
            <w:vAlign w:val="bottom"/>
            <w:shd w:val="clear" w:color="auto" w:fill="005C5D"/>
          </w:tcPr>
          <w:p>
            <w:pPr>
              <w:spacing w:after="0"/>
              <w:rPr>
                <w:sz w:val="2"/>
                <w:szCs w:val="2"/>
                <w:color w:val="auto"/>
              </w:rPr>
            </w:pPr>
          </w:p>
        </w:tc>
        <w:tc>
          <w:tcPr>
            <w:tcW w:w="940" w:type="dxa"/>
            <w:vAlign w:val="bottom"/>
            <w:shd w:val="clear" w:color="auto" w:fill="005C5D"/>
          </w:tcPr>
          <w:p>
            <w:pPr>
              <w:spacing w:after="0"/>
              <w:rPr>
                <w:sz w:val="2"/>
                <w:szCs w:val="2"/>
                <w:color w:val="auto"/>
              </w:rPr>
            </w:pPr>
          </w:p>
        </w:tc>
        <w:tc>
          <w:tcPr>
            <w:tcW w:w="40" w:type="dxa"/>
            <w:vAlign w:val="bottom"/>
            <w:shd w:val="clear" w:color="auto" w:fill="005C5D"/>
          </w:tcPr>
          <w:p>
            <w:pPr>
              <w:spacing w:after="0"/>
              <w:rPr>
                <w:sz w:val="2"/>
                <w:szCs w:val="2"/>
                <w:color w:val="auto"/>
              </w:rPr>
            </w:pPr>
          </w:p>
        </w:tc>
        <w:tc>
          <w:tcPr>
            <w:tcW w:w="1080" w:type="dxa"/>
            <w:vAlign w:val="bottom"/>
            <w:shd w:val="clear" w:color="auto" w:fill="005C5D"/>
          </w:tcPr>
          <w:p>
            <w:pPr>
              <w:spacing w:after="0"/>
              <w:rPr>
                <w:sz w:val="2"/>
                <w:szCs w:val="2"/>
                <w:color w:val="auto"/>
              </w:rPr>
            </w:pPr>
          </w:p>
        </w:tc>
        <w:tc>
          <w:tcPr>
            <w:tcW w:w="40" w:type="dxa"/>
            <w:vAlign w:val="bottom"/>
            <w:shd w:val="clear" w:color="auto" w:fill="005C5D"/>
          </w:tcPr>
          <w:p>
            <w:pPr>
              <w:spacing w:after="0"/>
              <w:rPr>
                <w:sz w:val="2"/>
                <w:szCs w:val="2"/>
                <w:color w:val="auto"/>
              </w:rPr>
            </w:pPr>
          </w:p>
        </w:tc>
        <w:tc>
          <w:tcPr>
            <w:tcW w:w="720" w:type="dxa"/>
            <w:vAlign w:val="bottom"/>
            <w:shd w:val="clear" w:color="auto" w:fill="005C5D"/>
          </w:tcPr>
          <w:p>
            <w:pPr>
              <w:spacing w:after="0"/>
              <w:rPr>
                <w:sz w:val="2"/>
                <w:szCs w:val="2"/>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333333"/>
        </w:rPr>
        <w:t>For the average of non-PEO NEOs: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180" w:type="dxa"/>
            <w:vAlign w:val="bottom"/>
          </w:tcPr>
          <w:p>
            <w:pPr>
              <w:spacing w:after="0"/>
              <w:rPr>
                <w:sz w:val="13"/>
                <w:szCs w:val="13"/>
                <w:color w:val="auto"/>
              </w:rPr>
            </w:pPr>
          </w:p>
        </w:tc>
        <w:tc>
          <w:tcPr>
            <w:tcW w:w="200" w:type="dxa"/>
            <w:vAlign w:val="bottom"/>
            <w:shd w:val="clear" w:color="auto" w:fill="FCEFEB"/>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shd w:val="clear" w:color="auto" w:fill="FCEFEB"/>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shd w:val="clear" w:color="auto" w:fill="FCEFEB"/>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shd w:val="clear" w:color="auto" w:fill="FCEFEB"/>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shd w:val="clear" w:color="auto" w:fill="FCEFEB"/>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shd w:val="clear" w:color="auto" w:fill="FCEFEB"/>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shd w:val="clear" w:color="auto" w:fill="FCEFEB"/>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shd w:val="clear" w:color="auto" w:fill="FCEFEB"/>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shd w:val="clear" w:color="auto" w:fill="FCEFEB"/>
          </w:tcPr>
          <w:p>
            <w:pPr>
              <w:spacing w:after="0"/>
              <w:rPr>
                <w:sz w:val="13"/>
                <w:szCs w:val="13"/>
                <w:color w:val="auto"/>
              </w:rPr>
            </w:pPr>
          </w:p>
        </w:tc>
      </w:tr>
      <w:tr>
        <w:trPr>
          <w:trHeight w:val="218"/>
        </w:trPr>
        <w:tc>
          <w:tcPr>
            <w:tcW w:w="2180" w:type="dxa"/>
            <w:vAlign w:val="bottom"/>
            <w:shd w:val="clear" w:color="auto" w:fill="005C5D"/>
          </w:tcPr>
          <w:p>
            <w:pPr>
              <w:spacing w:after="0"/>
              <w:rPr>
                <w:sz w:val="18"/>
                <w:szCs w:val="18"/>
                <w:color w:val="auto"/>
              </w:rPr>
            </w:pPr>
          </w:p>
        </w:tc>
        <w:tc>
          <w:tcPr>
            <w:tcW w:w="200" w:type="dxa"/>
            <w:vAlign w:val="bottom"/>
            <w:shd w:val="clear" w:color="auto" w:fill="005C5D"/>
          </w:tcPr>
          <w:p>
            <w:pPr>
              <w:spacing w:after="0"/>
              <w:rPr>
                <w:sz w:val="18"/>
                <w:szCs w:val="18"/>
                <w:color w:val="auto"/>
              </w:rPr>
            </w:pPr>
          </w:p>
        </w:tc>
        <w:tc>
          <w:tcPr>
            <w:tcW w:w="60" w:type="dxa"/>
            <w:vAlign w:val="bottom"/>
            <w:shd w:val="clear" w:color="auto" w:fill="005C5D"/>
          </w:tcPr>
          <w:p>
            <w:pPr>
              <w:spacing w:after="0"/>
              <w:rPr>
                <w:sz w:val="18"/>
                <w:szCs w:val="18"/>
                <w:color w:val="auto"/>
              </w:rPr>
            </w:pPr>
          </w:p>
        </w:tc>
        <w:tc>
          <w:tcPr>
            <w:tcW w:w="960" w:type="dxa"/>
            <w:vAlign w:val="bottom"/>
            <w:shd w:val="clear" w:color="auto" w:fill="005C5D"/>
          </w:tcPr>
          <w:p>
            <w:pPr>
              <w:spacing w:after="0"/>
              <w:rPr>
                <w:sz w:val="18"/>
                <w:szCs w:val="18"/>
                <w:color w:val="auto"/>
              </w:rPr>
            </w:pPr>
          </w:p>
        </w:tc>
        <w:tc>
          <w:tcPr>
            <w:tcW w:w="240" w:type="dxa"/>
            <w:vAlign w:val="bottom"/>
            <w:shd w:val="clear" w:color="auto" w:fill="005C5D"/>
          </w:tcPr>
          <w:p>
            <w:pPr>
              <w:spacing w:after="0"/>
              <w:rPr>
                <w:sz w:val="18"/>
                <w:szCs w:val="18"/>
                <w:color w:val="auto"/>
              </w:rPr>
            </w:pPr>
          </w:p>
        </w:tc>
        <w:tc>
          <w:tcPr>
            <w:tcW w:w="920" w:type="dxa"/>
            <w:vAlign w:val="bottom"/>
            <w:shd w:val="clear" w:color="auto" w:fill="005C5D"/>
          </w:tcPr>
          <w:p>
            <w:pPr>
              <w:spacing w:after="0"/>
              <w:rPr>
                <w:sz w:val="18"/>
                <w:szCs w:val="18"/>
                <w:color w:val="auto"/>
              </w:rPr>
            </w:pPr>
          </w:p>
        </w:tc>
        <w:tc>
          <w:tcPr>
            <w:tcW w:w="320" w:type="dxa"/>
            <w:vAlign w:val="bottom"/>
            <w:shd w:val="clear" w:color="auto" w:fill="005C5D"/>
          </w:tcPr>
          <w:p>
            <w:pPr>
              <w:spacing w:after="0"/>
              <w:rPr>
                <w:sz w:val="18"/>
                <w:szCs w:val="18"/>
                <w:color w:val="auto"/>
              </w:rPr>
            </w:pPr>
          </w:p>
        </w:tc>
        <w:tc>
          <w:tcPr>
            <w:tcW w:w="820" w:type="dxa"/>
            <w:vAlign w:val="bottom"/>
            <w:shd w:val="clear" w:color="auto" w:fill="005C5D"/>
          </w:tcPr>
          <w:p>
            <w:pPr>
              <w:spacing w:after="0"/>
              <w:rPr>
                <w:sz w:val="18"/>
                <w:szCs w:val="18"/>
                <w:color w:val="auto"/>
              </w:rPr>
            </w:pPr>
          </w:p>
        </w:tc>
        <w:tc>
          <w:tcPr>
            <w:tcW w:w="320" w:type="dxa"/>
            <w:vAlign w:val="bottom"/>
            <w:shd w:val="clear" w:color="auto" w:fill="005C5D"/>
          </w:tcPr>
          <w:p>
            <w:pPr>
              <w:spacing w:after="0"/>
              <w:rPr>
                <w:sz w:val="18"/>
                <w:szCs w:val="18"/>
                <w:color w:val="auto"/>
              </w:rPr>
            </w:pPr>
          </w:p>
        </w:tc>
        <w:tc>
          <w:tcPr>
            <w:tcW w:w="880" w:type="dxa"/>
            <w:vAlign w:val="bottom"/>
            <w:shd w:val="clear" w:color="auto" w:fill="005C5D"/>
          </w:tcPr>
          <w:p>
            <w:pPr>
              <w:spacing w:after="0"/>
              <w:rPr>
                <w:sz w:val="18"/>
                <w:szCs w:val="18"/>
                <w:color w:val="auto"/>
              </w:rPr>
            </w:pPr>
          </w:p>
        </w:tc>
        <w:tc>
          <w:tcPr>
            <w:tcW w:w="1140" w:type="dxa"/>
            <w:vAlign w:val="bottom"/>
            <w:gridSpan w:val="2"/>
            <w:shd w:val="clear" w:color="auto" w:fill="005C5D"/>
          </w:tcPr>
          <w:p>
            <w:pPr>
              <w:jc w:val="center"/>
              <w:ind w:right="180"/>
              <w:spacing w:after="0"/>
              <w:rPr>
                <w:sz w:val="20"/>
                <w:szCs w:val="20"/>
                <w:color w:val="auto"/>
              </w:rPr>
            </w:pPr>
            <w:r>
              <w:rPr>
                <w:rFonts w:ascii="Arial" w:cs="Arial" w:eastAsia="Arial" w:hAnsi="Arial"/>
                <w:sz w:val="14"/>
                <w:szCs w:val="14"/>
                <w:color w:val="FFFFFF"/>
              </w:rPr>
              <w:t>Plus (Less):</w:t>
            </w:r>
          </w:p>
        </w:tc>
        <w:tc>
          <w:tcPr>
            <w:tcW w:w="1140" w:type="dxa"/>
            <w:vAlign w:val="bottom"/>
            <w:gridSpan w:val="2"/>
            <w:shd w:val="clear" w:color="auto" w:fill="005C5D"/>
          </w:tcPr>
          <w:p>
            <w:pPr>
              <w:jc w:val="center"/>
              <w:ind w:right="200"/>
              <w:spacing w:after="0"/>
              <w:rPr>
                <w:sz w:val="20"/>
                <w:szCs w:val="20"/>
                <w:color w:val="auto"/>
              </w:rPr>
            </w:pPr>
            <w:r>
              <w:rPr>
                <w:rFonts w:ascii="Arial" w:cs="Arial" w:eastAsia="Arial" w:hAnsi="Arial"/>
                <w:sz w:val="14"/>
                <w:szCs w:val="14"/>
                <w:color w:val="FFFFFF"/>
              </w:rPr>
              <w:t>Plus (Less):</w:t>
            </w:r>
          </w:p>
        </w:tc>
        <w:tc>
          <w:tcPr>
            <w:tcW w:w="40" w:type="dxa"/>
            <w:vAlign w:val="bottom"/>
            <w:shd w:val="clear" w:color="auto" w:fill="005C5D"/>
          </w:tcPr>
          <w:p>
            <w:pPr>
              <w:spacing w:after="0"/>
              <w:rPr>
                <w:sz w:val="18"/>
                <w:szCs w:val="18"/>
                <w:color w:val="auto"/>
              </w:rPr>
            </w:pPr>
          </w:p>
        </w:tc>
        <w:tc>
          <w:tcPr>
            <w:tcW w:w="940" w:type="dxa"/>
            <w:vAlign w:val="bottom"/>
            <w:shd w:val="clear" w:color="auto" w:fill="005C5D"/>
          </w:tcPr>
          <w:p>
            <w:pPr>
              <w:spacing w:after="0"/>
              <w:rPr>
                <w:sz w:val="18"/>
                <w:szCs w:val="18"/>
                <w:color w:val="auto"/>
              </w:rPr>
            </w:pPr>
          </w:p>
        </w:tc>
        <w:tc>
          <w:tcPr>
            <w:tcW w:w="40" w:type="dxa"/>
            <w:vAlign w:val="bottom"/>
            <w:shd w:val="clear" w:color="auto" w:fill="005C5D"/>
          </w:tcPr>
          <w:p>
            <w:pPr>
              <w:spacing w:after="0"/>
              <w:rPr>
                <w:sz w:val="18"/>
                <w:szCs w:val="18"/>
                <w:color w:val="auto"/>
              </w:rPr>
            </w:pPr>
          </w:p>
        </w:tc>
        <w:tc>
          <w:tcPr>
            <w:tcW w:w="720" w:type="dxa"/>
            <w:vAlign w:val="bottom"/>
            <w:shd w:val="clear" w:color="auto" w:fill="005C5D"/>
          </w:tcPr>
          <w:p>
            <w:pPr>
              <w:spacing w:after="0"/>
              <w:rPr>
                <w:sz w:val="18"/>
                <w:szCs w:val="18"/>
                <w:color w:val="auto"/>
              </w:rPr>
            </w:pPr>
          </w:p>
        </w:tc>
      </w:tr>
      <w:tr>
        <w:trPr>
          <w:trHeight w:val="160"/>
        </w:trPr>
        <w:tc>
          <w:tcPr>
            <w:tcW w:w="2180" w:type="dxa"/>
            <w:vAlign w:val="bottom"/>
            <w:shd w:val="clear" w:color="auto" w:fill="005C5D"/>
          </w:tcPr>
          <w:p>
            <w:pPr>
              <w:spacing w:after="0"/>
              <w:rPr>
                <w:sz w:val="13"/>
                <w:szCs w:val="13"/>
                <w:color w:val="auto"/>
              </w:rPr>
            </w:pPr>
          </w:p>
        </w:tc>
        <w:tc>
          <w:tcPr>
            <w:tcW w:w="200" w:type="dxa"/>
            <w:vAlign w:val="bottom"/>
            <w:shd w:val="clear" w:color="auto" w:fill="005C5D"/>
          </w:tcPr>
          <w:p>
            <w:pPr>
              <w:spacing w:after="0"/>
              <w:rPr>
                <w:sz w:val="13"/>
                <w:szCs w:val="13"/>
                <w:color w:val="auto"/>
              </w:rPr>
            </w:pPr>
          </w:p>
        </w:tc>
        <w:tc>
          <w:tcPr>
            <w:tcW w:w="60" w:type="dxa"/>
            <w:vAlign w:val="bottom"/>
            <w:shd w:val="clear" w:color="auto" w:fill="005C5D"/>
          </w:tcPr>
          <w:p>
            <w:pPr>
              <w:spacing w:after="0"/>
              <w:rPr>
                <w:sz w:val="13"/>
                <w:szCs w:val="13"/>
                <w:color w:val="auto"/>
              </w:rPr>
            </w:pPr>
          </w:p>
        </w:tc>
        <w:tc>
          <w:tcPr>
            <w:tcW w:w="960" w:type="dxa"/>
            <w:vAlign w:val="bottom"/>
            <w:shd w:val="clear" w:color="auto" w:fill="005C5D"/>
          </w:tcPr>
          <w:p>
            <w:pPr>
              <w:spacing w:after="0"/>
              <w:rPr>
                <w:sz w:val="13"/>
                <w:szCs w:val="13"/>
                <w:color w:val="auto"/>
              </w:rPr>
            </w:pPr>
          </w:p>
        </w:tc>
        <w:tc>
          <w:tcPr>
            <w:tcW w:w="240" w:type="dxa"/>
            <w:vAlign w:val="bottom"/>
            <w:shd w:val="clear" w:color="auto" w:fill="005C5D"/>
          </w:tcPr>
          <w:p>
            <w:pPr>
              <w:spacing w:after="0"/>
              <w:rPr>
                <w:sz w:val="13"/>
                <w:szCs w:val="13"/>
                <w:color w:val="auto"/>
              </w:rPr>
            </w:pPr>
          </w:p>
        </w:tc>
        <w:tc>
          <w:tcPr>
            <w:tcW w:w="920" w:type="dxa"/>
            <w:vAlign w:val="bottom"/>
            <w:shd w:val="clear" w:color="auto" w:fill="005C5D"/>
          </w:tcPr>
          <w:p>
            <w:pPr>
              <w:spacing w:after="0"/>
              <w:rPr>
                <w:sz w:val="13"/>
                <w:szCs w:val="13"/>
                <w:color w:val="auto"/>
              </w:rPr>
            </w:pPr>
          </w:p>
        </w:tc>
        <w:tc>
          <w:tcPr>
            <w:tcW w:w="1140" w:type="dxa"/>
            <w:vAlign w:val="bottom"/>
            <w:gridSpan w:val="2"/>
            <w:shd w:val="clear" w:color="auto" w:fill="005C5D"/>
          </w:tcPr>
          <w:p>
            <w:pPr>
              <w:jc w:val="center"/>
              <w:ind w:right="160"/>
              <w:spacing w:after="0"/>
              <w:rPr>
                <w:sz w:val="20"/>
                <w:szCs w:val="20"/>
                <w:color w:val="auto"/>
              </w:rPr>
            </w:pPr>
            <w:r>
              <w:rPr>
                <w:rFonts w:ascii="Arial" w:cs="Arial" w:eastAsia="Arial" w:hAnsi="Arial"/>
                <w:sz w:val="14"/>
                <w:szCs w:val="14"/>
                <w:color w:val="FFFFFF"/>
                <w:w w:val="99"/>
              </w:rPr>
              <w:t>Plus: Year-End</w:t>
            </w:r>
          </w:p>
        </w:tc>
        <w:tc>
          <w:tcPr>
            <w:tcW w:w="320" w:type="dxa"/>
            <w:vAlign w:val="bottom"/>
            <w:shd w:val="clear" w:color="auto" w:fill="005C5D"/>
          </w:tcPr>
          <w:p>
            <w:pPr>
              <w:spacing w:after="0"/>
              <w:rPr>
                <w:sz w:val="13"/>
                <w:szCs w:val="13"/>
                <w:color w:val="auto"/>
              </w:rPr>
            </w:pPr>
          </w:p>
        </w:tc>
        <w:tc>
          <w:tcPr>
            <w:tcW w:w="880" w:type="dxa"/>
            <w:vAlign w:val="bottom"/>
            <w:shd w:val="clear" w:color="auto" w:fill="005C5D"/>
          </w:tcPr>
          <w:p>
            <w:pPr>
              <w:spacing w:after="0"/>
              <w:rPr>
                <w:sz w:val="13"/>
                <w:szCs w:val="13"/>
                <w:color w:val="auto"/>
              </w:rPr>
            </w:pPr>
          </w:p>
        </w:tc>
        <w:tc>
          <w:tcPr>
            <w:tcW w:w="1140" w:type="dxa"/>
            <w:vAlign w:val="bottom"/>
            <w:gridSpan w:val="2"/>
            <w:shd w:val="clear" w:color="auto" w:fill="005C5D"/>
          </w:tcPr>
          <w:p>
            <w:pPr>
              <w:jc w:val="center"/>
              <w:ind w:right="200"/>
              <w:spacing w:after="0"/>
              <w:rPr>
                <w:sz w:val="20"/>
                <w:szCs w:val="20"/>
                <w:color w:val="auto"/>
              </w:rPr>
            </w:pPr>
            <w:r>
              <w:rPr>
                <w:rFonts w:ascii="Arial" w:cs="Arial" w:eastAsia="Arial" w:hAnsi="Arial"/>
                <w:sz w:val="14"/>
                <w:szCs w:val="14"/>
                <w:color w:val="FFFFFF"/>
              </w:rPr>
              <w:t>Change in Fair</w:t>
            </w:r>
          </w:p>
        </w:tc>
        <w:tc>
          <w:tcPr>
            <w:tcW w:w="1140" w:type="dxa"/>
            <w:vAlign w:val="bottom"/>
            <w:gridSpan w:val="2"/>
            <w:shd w:val="clear" w:color="auto" w:fill="005C5D"/>
          </w:tcPr>
          <w:p>
            <w:pPr>
              <w:jc w:val="center"/>
              <w:ind w:right="200"/>
              <w:spacing w:after="0"/>
              <w:rPr>
                <w:sz w:val="20"/>
                <w:szCs w:val="20"/>
                <w:color w:val="auto"/>
              </w:rPr>
            </w:pPr>
            <w:r>
              <w:rPr>
                <w:rFonts w:ascii="Arial" w:cs="Arial" w:eastAsia="Arial" w:hAnsi="Arial"/>
                <w:sz w:val="14"/>
                <w:szCs w:val="14"/>
                <w:color w:val="FFFFFF"/>
              </w:rPr>
              <w:t>Change in Fair</w:t>
            </w:r>
          </w:p>
        </w:tc>
        <w:tc>
          <w:tcPr>
            <w:tcW w:w="40" w:type="dxa"/>
            <w:vAlign w:val="bottom"/>
            <w:shd w:val="clear" w:color="auto" w:fill="005C5D"/>
          </w:tcPr>
          <w:p>
            <w:pPr>
              <w:spacing w:after="0"/>
              <w:rPr>
                <w:sz w:val="13"/>
                <w:szCs w:val="13"/>
                <w:color w:val="auto"/>
              </w:rPr>
            </w:pPr>
          </w:p>
        </w:tc>
        <w:tc>
          <w:tcPr>
            <w:tcW w:w="940" w:type="dxa"/>
            <w:vAlign w:val="bottom"/>
            <w:shd w:val="clear" w:color="auto" w:fill="005C5D"/>
          </w:tcPr>
          <w:p>
            <w:pPr>
              <w:jc w:val="center"/>
              <w:ind w:right="169"/>
              <w:spacing w:after="0"/>
              <w:rPr>
                <w:sz w:val="20"/>
                <w:szCs w:val="20"/>
                <w:color w:val="auto"/>
              </w:rPr>
            </w:pPr>
            <w:r>
              <w:rPr>
                <w:rFonts w:ascii="Arial" w:cs="Arial" w:eastAsia="Arial" w:hAnsi="Arial"/>
                <w:sz w:val="14"/>
                <w:szCs w:val="14"/>
                <w:color w:val="FFFFFF"/>
              </w:rPr>
              <w:t>Less: Fair</w:t>
            </w:r>
          </w:p>
        </w:tc>
        <w:tc>
          <w:tcPr>
            <w:tcW w:w="40" w:type="dxa"/>
            <w:vAlign w:val="bottom"/>
            <w:shd w:val="clear" w:color="auto" w:fill="005C5D"/>
          </w:tcPr>
          <w:p>
            <w:pPr>
              <w:spacing w:after="0"/>
              <w:rPr>
                <w:sz w:val="13"/>
                <w:szCs w:val="13"/>
                <w:color w:val="auto"/>
              </w:rPr>
            </w:pPr>
          </w:p>
        </w:tc>
        <w:tc>
          <w:tcPr>
            <w:tcW w:w="720" w:type="dxa"/>
            <w:vAlign w:val="bottom"/>
            <w:shd w:val="clear" w:color="auto" w:fill="005C5D"/>
          </w:tcPr>
          <w:p>
            <w:pPr>
              <w:spacing w:after="0"/>
              <w:rPr>
                <w:sz w:val="13"/>
                <w:szCs w:val="13"/>
                <w:color w:val="auto"/>
              </w:rPr>
            </w:pPr>
          </w:p>
        </w:tc>
      </w:tr>
      <w:tr>
        <w:trPr>
          <w:trHeight w:val="160"/>
        </w:trPr>
        <w:tc>
          <w:tcPr>
            <w:tcW w:w="2180" w:type="dxa"/>
            <w:vAlign w:val="bottom"/>
            <w:shd w:val="clear" w:color="auto" w:fill="005C5D"/>
          </w:tcPr>
          <w:p>
            <w:pPr>
              <w:spacing w:after="0"/>
              <w:rPr>
                <w:sz w:val="13"/>
                <w:szCs w:val="13"/>
                <w:color w:val="auto"/>
              </w:rPr>
            </w:pPr>
          </w:p>
        </w:tc>
        <w:tc>
          <w:tcPr>
            <w:tcW w:w="200" w:type="dxa"/>
            <w:vAlign w:val="bottom"/>
            <w:shd w:val="clear" w:color="auto" w:fill="005C5D"/>
          </w:tcPr>
          <w:p>
            <w:pPr>
              <w:spacing w:after="0"/>
              <w:rPr>
                <w:sz w:val="13"/>
                <w:szCs w:val="13"/>
                <w:color w:val="auto"/>
              </w:rPr>
            </w:pPr>
          </w:p>
        </w:tc>
        <w:tc>
          <w:tcPr>
            <w:tcW w:w="60" w:type="dxa"/>
            <w:vAlign w:val="bottom"/>
            <w:shd w:val="clear" w:color="auto" w:fill="005C5D"/>
          </w:tcPr>
          <w:p>
            <w:pPr>
              <w:spacing w:after="0"/>
              <w:rPr>
                <w:sz w:val="13"/>
                <w:szCs w:val="13"/>
                <w:color w:val="auto"/>
              </w:rPr>
            </w:pPr>
          </w:p>
        </w:tc>
        <w:tc>
          <w:tcPr>
            <w:tcW w:w="960" w:type="dxa"/>
            <w:vAlign w:val="bottom"/>
            <w:shd w:val="clear" w:color="auto" w:fill="005C5D"/>
          </w:tcPr>
          <w:p>
            <w:pPr>
              <w:spacing w:after="0"/>
              <w:rPr>
                <w:sz w:val="13"/>
                <w:szCs w:val="13"/>
                <w:color w:val="auto"/>
              </w:rPr>
            </w:pPr>
          </w:p>
        </w:tc>
        <w:tc>
          <w:tcPr>
            <w:tcW w:w="240" w:type="dxa"/>
            <w:vAlign w:val="bottom"/>
            <w:shd w:val="clear" w:color="auto" w:fill="005C5D"/>
          </w:tcPr>
          <w:p>
            <w:pPr>
              <w:spacing w:after="0"/>
              <w:rPr>
                <w:sz w:val="13"/>
                <w:szCs w:val="13"/>
                <w:color w:val="auto"/>
              </w:rPr>
            </w:pPr>
          </w:p>
        </w:tc>
        <w:tc>
          <w:tcPr>
            <w:tcW w:w="920" w:type="dxa"/>
            <w:vAlign w:val="bottom"/>
            <w:shd w:val="clear" w:color="auto" w:fill="005C5D"/>
          </w:tcPr>
          <w:p>
            <w:pPr>
              <w:spacing w:after="0"/>
              <w:rPr>
                <w:sz w:val="13"/>
                <w:szCs w:val="13"/>
                <w:color w:val="auto"/>
              </w:rPr>
            </w:pPr>
          </w:p>
        </w:tc>
        <w:tc>
          <w:tcPr>
            <w:tcW w:w="1140" w:type="dxa"/>
            <w:vAlign w:val="bottom"/>
            <w:gridSpan w:val="2"/>
            <w:shd w:val="clear" w:color="auto" w:fill="005C5D"/>
          </w:tcPr>
          <w:p>
            <w:pPr>
              <w:jc w:val="center"/>
              <w:ind w:right="180"/>
              <w:spacing w:after="0"/>
              <w:rPr>
                <w:sz w:val="20"/>
                <w:szCs w:val="20"/>
                <w:color w:val="auto"/>
              </w:rPr>
            </w:pPr>
            <w:r>
              <w:rPr>
                <w:rFonts w:ascii="Arial" w:cs="Arial" w:eastAsia="Arial" w:hAnsi="Arial"/>
                <w:sz w:val="14"/>
                <w:szCs w:val="14"/>
                <w:color w:val="FFFFFF"/>
              </w:rPr>
              <w:t>Fair Value of</w:t>
            </w:r>
          </w:p>
        </w:tc>
        <w:tc>
          <w:tcPr>
            <w:tcW w:w="1200" w:type="dxa"/>
            <w:vAlign w:val="bottom"/>
            <w:gridSpan w:val="2"/>
            <w:shd w:val="clear" w:color="auto" w:fill="005C5D"/>
          </w:tcPr>
          <w:p>
            <w:pPr>
              <w:jc w:val="center"/>
              <w:ind w:right="129"/>
              <w:spacing w:after="0"/>
              <w:rPr>
                <w:sz w:val="20"/>
                <w:szCs w:val="20"/>
                <w:color w:val="auto"/>
              </w:rPr>
            </w:pPr>
            <w:r>
              <w:rPr>
                <w:rFonts w:ascii="Arial" w:cs="Arial" w:eastAsia="Arial" w:hAnsi="Arial"/>
                <w:sz w:val="14"/>
                <w:szCs w:val="14"/>
                <w:color w:val="FFFFFF"/>
              </w:rPr>
              <w:t>Plus: Fair Value</w:t>
            </w:r>
          </w:p>
        </w:tc>
        <w:tc>
          <w:tcPr>
            <w:tcW w:w="1140" w:type="dxa"/>
            <w:vAlign w:val="bottom"/>
            <w:gridSpan w:val="2"/>
            <w:shd w:val="clear" w:color="auto" w:fill="005C5D"/>
          </w:tcPr>
          <w:p>
            <w:pPr>
              <w:jc w:val="center"/>
              <w:ind w:right="180"/>
              <w:spacing w:after="0"/>
              <w:rPr>
                <w:sz w:val="20"/>
                <w:szCs w:val="20"/>
                <w:color w:val="auto"/>
              </w:rPr>
            </w:pPr>
            <w:r>
              <w:rPr>
                <w:rFonts w:ascii="Arial" w:cs="Arial" w:eastAsia="Arial" w:hAnsi="Arial"/>
                <w:sz w:val="14"/>
                <w:szCs w:val="14"/>
                <w:color w:val="FFFFFF"/>
              </w:rPr>
              <w:t>Value of</w:t>
            </w:r>
          </w:p>
        </w:tc>
        <w:tc>
          <w:tcPr>
            <w:tcW w:w="1140" w:type="dxa"/>
            <w:vAlign w:val="bottom"/>
            <w:gridSpan w:val="2"/>
            <w:shd w:val="clear" w:color="auto" w:fill="005C5D"/>
          </w:tcPr>
          <w:p>
            <w:pPr>
              <w:jc w:val="center"/>
              <w:ind w:right="180"/>
              <w:spacing w:after="0"/>
              <w:rPr>
                <w:sz w:val="20"/>
                <w:szCs w:val="20"/>
                <w:color w:val="auto"/>
              </w:rPr>
            </w:pPr>
            <w:r>
              <w:rPr>
                <w:rFonts w:ascii="Arial" w:cs="Arial" w:eastAsia="Arial" w:hAnsi="Arial"/>
                <w:sz w:val="14"/>
                <w:szCs w:val="14"/>
                <w:color w:val="FFFFFF"/>
              </w:rPr>
              <w:t>Value from the</w:t>
            </w:r>
          </w:p>
        </w:tc>
        <w:tc>
          <w:tcPr>
            <w:tcW w:w="40" w:type="dxa"/>
            <w:vAlign w:val="bottom"/>
            <w:shd w:val="clear" w:color="auto" w:fill="005C5D"/>
          </w:tcPr>
          <w:p>
            <w:pPr>
              <w:spacing w:after="0"/>
              <w:rPr>
                <w:sz w:val="13"/>
                <w:szCs w:val="13"/>
                <w:color w:val="auto"/>
              </w:rPr>
            </w:pPr>
          </w:p>
        </w:tc>
        <w:tc>
          <w:tcPr>
            <w:tcW w:w="940" w:type="dxa"/>
            <w:vAlign w:val="bottom"/>
            <w:shd w:val="clear" w:color="auto" w:fill="005C5D"/>
          </w:tcPr>
          <w:p>
            <w:pPr>
              <w:jc w:val="center"/>
              <w:ind w:right="169"/>
              <w:spacing w:after="0"/>
              <w:rPr>
                <w:sz w:val="20"/>
                <w:szCs w:val="20"/>
                <w:color w:val="auto"/>
              </w:rPr>
            </w:pPr>
            <w:r>
              <w:rPr>
                <w:rFonts w:ascii="Arial" w:cs="Arial" w:eastAsia="Arial" w:hAnsi="Arial"/>
                <w:sz w:val="14"/>
                <w:szCs w:val="14"/>
                <w:color w:val="FFFFFF"/>
                <w:w w:val="97"/>
              </w:rPr>
              <w:t>Value from</w:t>
            </w:r>
          </w:p>
        </w:tc>
        <w:tc>
          <w:tcPr>
            <w:tcW w:w="40" w:type="dxa"/>
            <w:vAlign w:val="bottom"/>
            <w:shd w:val="clear" w:color="auto" w:fill="005C5D"/>
          </w:tcPr>
          <w:p>
            <w:pPr>
              <w:spacing w:after="0"/>
              <w:rPr>
                <w:sz w:val="13"/>
                <w:szCs w:val="13"/>
                <w:color w:val="auto"/>
              </w:rPr>
            </w:pPr>
          </w:p>
        </w:tc>
        <w:tc>
          <w:tcPr>
            <w:tcW w:w="720" w:type="dxa"/>
            <w:vAlign w:val="bottom"/>
            <w:shd w:val="clear" w:color="auto" w:fill="005C5D"/>
          </w:tcPr>
          <w:p>
            <w:pPr>
              <w:spacing w:after="0"/>
              <w:rPr>
                <w:sz w:val="13"/>
                <w:szCs w:val="13"/>
                <w:color w:val="auto"/>
              </w:rPr>
            </w:pPr>
          </w:p>
        </w:tc>
      </w:tr>
      <w:tr>
        <w:trPr>
          <w:trHeight w:val="160"/>
        </w:trPr>
        <w:tc>
          <w:tcPr>
            <w:tcW w:w="2180" w:type="dxa"/>
            <w:vAlign w:val="bottom"/>
            <w:shd w:val="clear" w:color="auto" w:fill="005C5D"/>
          </w:tcPr>
          <w:p>
            <w:pPr>
              <w:spacing w:after="0"/>
              <w:rPr>
                <w:sz w:val="13"/>
                <w:szCs w:val="13"/>
                <w:color w:val="auto"/>
              </w:rPr>
            </w:pPr>
          </w:p>
        </w:tc>
        <w:tc>
          <w:tcPr>
            <w:tcW w:w="200" w:type="dxa"/>
            <w:vAlign w:val="bottom"/>
            <w:shd w:val="clear" w:color="auto" w:fill="005C5D"/>
          </w:tcPr>
          <w:p>
            <w:pPr>
              <w:spacing w:after="0"/>
              <w:rPr>
                <w:sz w:val="13"/>
                <w:szCs w:val="13"/>
                <w:color w:val="auto"/>
              </w:rPr>
            </w:pPr>
          </w:p>
        </w:tc>
        <w:tc>
          <w:tcPr>
            <w:tcW w:w="60" w:type="dxa"/>
            <w:vAlign w:val="bottom"/>
            <w:shd w:val="clear" w:color="auto" w:fill="005C5D"/>
          </w:tcPr>
          <w:p>
            <w:pPr>
              <w:spacing w:after="0"/>
              <w:rPr>
                <w:sz w:val="13"/>
                <w:szCs w:val="13"/>
                <w:color w:val="auto"/>
              </w:rPr>
            </w:pPr>
          </w:p>
        </w:tc>
        <w:tc>
          <w:tcPr>
            <w:tcW w:w="960" w:type="dxa"/>
            <w:vAlign w:val="bottom"/>
            <w:shd w:val="clear" w:color="auto" w:fill="005C5D"/>
          </w:tcPr>
          <w:p>
            <w:pPr>
              <w:spacing w:after="0"/>
              <w:rPr>
                <w:sz w:val="13"/>
                <w:szCs w:val="13"/>
                <w:color w:val="auto"/>
              </w:rPr>
            </w:pPr>
          </w:p>
        </w:tc>
        <w:tc>
          <w:tcPr>
            <w:tcW w:w="240" w:type="dxa"/>
            <w:vAlign w:val="bottom"/>
            <w:shd w:val="clear" w:color="auto" w:fill="005C5D"/>
          </w:tcPr>
          <w:p>
            <w:pPr>
              <w:spacing w:after="0"/>
              <w:rPr>
                <w:sz w:val="13"/>
                <w:szCs w:val="13"/>
                <w:color w:val="auto"/>
              </w:rPr>
            </w:pPr>
          </w:p>
        </w:tc>
        <w:tc>
          <w:tcPr>
            <w:tcW w:w="920" w:type="dxa"/>
            <w:vAlign w:val="bottom"/>
            <w:shd w:val="clear" w:color="auto" w:fill="005C5D"/>
          </w:tcPr>
          <w:p>
            <w:pPr>
              <w:spacing w:after="0"/>
              <w:rPr>
                <w:sz w:val="13"/>
                <w:szCs w:val="13"/>
                <w:color w:val="auto"/>
              </w:rPr>
            </w:pPr>
          </w:p>
        </w:tc>
        <w:tc>
          <w:tcPr>
            <w:tcW w:w="1140" w:type="dxa"/>
            <w:vAlign w:val="bottom"/>
            <w:gridSpan w:val="2"/>
            <w:shd w:val="clear" w:color="auto" w:fill="005C5D"/>
          </w:tcPr>
          <w:p>
            <w:pPr>
              <w:jc w:val="center"/>
              <w:ind w:right="180"/>
              <w:spacing w:after="0"/>
              <w:rPr>
                <w:sz w:val="20"/>
                <w:szCs w:val="20"/>
                <w:color w:val="auto"/>
              </w:rPr>
            </w:pPr>
            <w:r>
              <w:rPr>
                <w:rFonts w:ascii="Arial" w:cs="Arial" w:eastAsia="Arial" w:hAnsi="Arial"/>
                <w:sz w:val="14"/>
                <w:szCs w:val="14"/>
                <w:color w:val="FFFFFF"/>
              </w:rPr>
              <w:t>Outstanding</w:t>
            </w:r>
          </w:p>
        </w:tc>
        <w:tc>
          <w:tcPr>
            <w:tcW w:w="1200" w:type="dxa"/>
            <w:vAlign w:val="bottom"/>
            <w:gridSpan w:val="2"/>
            <w:shd w:val="clear" w:color="auto" w:fill="005C5D"/>
          </w:tcPr>
          <w:p>
            <w:pPr>
              <w:jc w:val="center"/>
              <w:ind w:right="129"/>
              <w:spacing w:after="0"/>
              <w:rPr>
                <w:sz w:val="20"/>
                <w:szCs w:val="20"/>
                <w:color w:val="auto"/>
              </w:rPr>
            </w:pPr>
            <w:r>
              <w:rPr>
                <w:rFonts w:ascii="Arial" w:cs="Arial" w:eastAsia="Arial" w:hAnsi="Arial"/>
                <w:sz w:val="14"/>
                <w:szCs w:val="14"/>
                <w:color w:val="FFFFFF"/>
              </w:rPr>
              <w:t>of Equity</w:t>
            </w:r>
          </w:p>
        </w:tc>
        <w:tc>
          <w:tcPr>
            <w:tcW w:w="1140" w:type="dxa"/>
            <w:vAlign w:val="bottom"/>
            <w:gridSpan w:val="2"/>
            <w:shd w:val="clear" w:color="auto" w:fill="005C5D"/>
          </w:tcPr>
          <w:p>
            <w:pPr>
              <w:jc w:val="center"/>
              <w:ind w:right="180"/>
              <w:spacing w:after="0"/>
              <w:rPr>
                <w:sz w:val="20"/>
                <w:szCs w:val="20"/>
                <w:color w:val="auto"/>
              </w:rPr>
            </w:pPr>
            <w:r>
              <w:rPr>
                <w:rFonts w:ascii="Arial" w:cs="Arial" w:eastAsia="Arial" w:hAnsi="Arial"/>
                <w:sz w:val="14"/>
                <w:szCs w:val="14"/>
                <w:color w:val="FFFFFF"/>
              </w:rPr>
              <w:t>Outstanding</w:t>
            </w:r>
          </w:p>
        </w:tc>
        <w:tc>
          <w:tcPr>
            <w:tcW w:w="1140" w:type="dxa"/>
            <w:vAlign w:val="bottom"/>
            <w:gridSpan w:val="2"/>
            <w:shd w:val="clear" w:color="auto" w:fill="005C5D"/>
          </w:tcPr>
          <w:p>
            <w:pPr>
              <w:jc w:val="center"/>
              <w:ind w:right="180"/>
              <w:spacing w:after="0"/>
              <w:rPr>
                <w:sz w:val="20"/>
                <w:szCs w:val="20"/>
                <w:color w:val="auto"/>
              </w:rPr>
            </w:pPr>
            <w:r>
              <w:rPr>
                <w:rFonts w:ascii="Arial" w:cs="Arial" w:eastAsia="Arial" w:hAnsi="Arial"/>
                <w:sz w:val="14"/>
                <w:szCs w:val="14"/>
                <w:color w:val="FFFFFF"/>
              </w:rPr>
              <w:t>Prior Year for</w:t>
            </w:r>
          </w:p>
        </w:tc>
        <w:tc>
          <w:tcPr>
            <w:tcW w:w="40" w:type="dxa"/>
            <w:vAlign w:val="bottom"/>
            <w:shd w:val="clear" w:color="auto" w:fill="005C5D"/>
          </w:tcPr>
          <w:p>
            <w:pPr>
              <w:spacing w:after="0"/>
              <w:rPr>
                <w:sz w:val="13"/>
                <w:szCs w:val="13"/>
                <w:color w:val="auto"/>
              </w:rPr>
            </w:pPr>
          </w:p>
        </w:tc>
        <w:tc>
          <w:tcPr>
            <w:tcW w:w="940" w:type="dxa"/>
            <w:vAlign w:val="bottom"/>
            <w:shd w:val="clear" w:color="auto" w:fill="005C5D"/>
          </w:tcPr>
          <w:p>
            <w:pPr>
              <w:jc w:val="center"/>
              <w:ind w:right="169"/>
              <w:spacing w:after="0"/>
              <w:rPr>
                <w:sz w:val="20"/>
                <w:szCs w:val="20"/>
                <w:color w:val="auto"/>
              </w:rPr>
            </w:pPr>
            <w:r>
              <w:rPr>
                <w:rFonts w:ascii="Arial" w:cs="Arial" w:eastAsia="Arial" w:hAnsi="Arial"/>
                <w:sz w:val="14"/>
                <w:szCs w:val="14"/>
                <w:color w:val="FFFFFF"/>
              </w:rPr>
              <w:t>the Prior</w:t>
            </w:r>
          </w:p>
        </w:tc>
        <w:tc>
          <w:tcPr>
            <w:tcW w:w="40" w:type="dxa"/>
            <w:vAlign w:val="bottom"/>
            <w:shd w:val="clear" w:color="auto" w:fill="005C5D"/>
          </w:tcPr>
          <w:p>
            <w:pPr>
              <w:spacing w:after="0"/>
              <w:rPr>
                <w:sz w:val="13"/>
                <w:szCs w:val="13"/>
                <w:color w:val="auto"/>
              </w:rPr>
            </w:pPr>
          </w:p>
        </w:tc>
        <w:tc>
          <w:tcPr>
            <w:tcW w:w="720" w:type="dxa"/>
            <w:vAlign w:val="bottom"/>
            <w:shd w:val="clear" w:color="auto" w:fill="005C5D"/>
          </w:tcPr>
          <w:p>
            <w:pPr>
              <w:spacing w:after="0"/>
              <w:rPr>
                <w:sz w:val="13"/>
                <w:szCs w:val="13"/>
                <w:color w:val="auto"/>
              </w:rPr>
            </w:pPr>
          </w:p>
        </w:tc>
      </w:tr>
      <w:tr>
        <w:trPr>
          <w:trHeight w:val="160"/>
        </w:trPr>
        <w:tc>
          <w:tcPr>
            <w:tcW w:w="2180" w:type="dxa"/>
            <w:vAlign w:val="bottom"/>
            <w:shd w:val="clear" w:color="auto" w:fill="005C5D"/>
          </w:tcPr>
          <w:p>
            <w:pPr>
              <w:spacing w:after="0"/>
              <w:rPr>
                <w:sz w:val="13"/>
                <w:szCs w:val="13"/>
                <w:color w:val="auto"/>
              </w:rPr>
            </w:pPr>
          </w:p>
        </w:tc>
        <w:tc>
          <w:tcPr>
            <w:tcW w:w="200" w:type="dxa"/>
            <w:vAlign w:val="bottom"/>
            <w:shd w:val="clear" w:color="auto" w:fill="005C5D"/>
          </w:tcPr>
          <w:p>
            <w:pPr>
              <w:spacing w:after="0"/>
              <w:rPr>
                <w:sz w:val="13"/>
                <w:szCs w:val="13"/>
                <w:color w:val="auto"/>
              </w:rPr>
            </w:pPr>
          </w:p>
        </w:tc>
        <w:tc>
          <w:tcPr>
            <w:tcW w:w="60" w:type="dxa"/>
            <w:vAlign w:val="bottom"/>
            <w:shd w:val="clear" w:color="auto" w:fill="005C5D"/>
          </w:tcPr>
          <w:p>
            <w:pPr>
              <w:spacing w:after="0"/>
              <w:rPr>
                <w:sz w:val="13"/>
                <w:szCs w:val="13"/>
                <w:color w:val="auto"/>
              </w:rPr>
            </w:pPr>
          </w:p>
        </w:tc>
        <w:tc>
          <w:tcPr>
            <w:tcW w:w="960" w:type="dxa"/>
            <w:vAlign w:val="bottom"/>
            <w:shd w:val="clear" w:color="auto" w:fill="005C5D"/>
          </w:tcPr>
          <w:p>
            <w:pPr>
              <w:spacing w:after="0"/>
              <w:rPr>
                <w:sz w:val="13"/>
                <w:szCs w:val="13"/>
                <w:color w:val="auto"/>
              </w:rPr>
            </w:pPr>
          </w:p>
        </w:tc>
        <w:tc>
          <w:tcPr>
            <w:tcW w:w="1160" w:type="dxa"/>
            <w:vAlign w:val="bottom"/>
            <w:gridSpan w:val="2"/>
            <w:shd w:val="clear" w:color="auto" w:fill="005C5D"/>
          </w:tcPr>
          <w:p>
            <w:pPr>
              <w:jc w:val="center"/>
              <w:ind w:right="180"/>
              <w:spacing w:after="0"/>
              <w:rPr>
                <w:sz w:val="20"/>
                <w:szCs w:val="20"/>
                <w:color w:val="auto"/>
              </w:rPr>
            </w:pPr>
            <w:r>
              <w:rPr>
                <w:rFonts w:ascii="Arial" w:cs="Arial" w:eastAsia="Arial" w:hAnsi="Arial"/>
                <w:sz w:val="14"/>
                <w:szCs w:val="14"/>
                <w:color w:val="FFFFFF"/>
              </w:rPr>
              <w:t>Less: Grant</w:t>
            </w:r>
          </w:p>
        </w:tc>
        <w:tc>
          <w:tcPr>
            <w:tcW w:w="1140" w:type="dxa"/>
            <w:vAlign w:val="bottom"/>
            <w:gridSpan w:val="2"/>
            <w:shd w:val="clear" w:color="auto" w:fill="005C5D"/>
          </w:tcPr>
          <w:p>
            <w:pPr>
              <w:jc w:val="center"/>
              <w:ind w:right="180"/>
              <w:spacing w:after="0"/>
              <w:rPr>
                <w:sz w:val="20"/>
                <w:szCs w:val="20"/>
                <w:color w:val="auto"/>
              </w:rPr>
            </w:pPr>
            <w:r>
              <w:rPr>
                <w:rFonts w:ascii="Arial" w:cs="Arial" w:eastAsia="Arial" w:hAnsi="Arial"/>
                <w:sz w:val="14"/>
                <w:szCs w:val="14"/>
                <w:color w:val="FFFFFF"/>
              </w:rPr>
              <w:t>and Unvested</w:t>
            </w:r>
          </w:p>
        </w:tc>
        <w:tc>
          <w:tcPr>
            <w:tcW w:w="1200" w:type="dxa"/>
            <w:vAlign w:val="bottom"/>
            <w:gridSpan w:val="2"/>
            <w:shd w:val="clear" w:color="auto" w:fill="005C5D"/>
          </w:tcPr>
          <w:p>
            <w:pPr>
              <w:jc w:val="center"/>
              <w:ind w:right="109"/>
              <w:spacing w:after="0"/>
              <w:rPr>
                <w:sz w:val="20"/>
                <w:szCs w:val="20"/>
                <w:color w:val="auto"/>
              </w:rPr>
            </w:pPr>
            <w:r>
              <w:rPr>
                <w:rFonts w:ascii="Arial" w:cs="Arial" w:eastAsia="Arial" w:hAnsi="Arial"/>
                <w:sz w:val="14"/>
                <w:szCs w:val="14"/>
                <w:color w:val="FFFFFF"/>
                <w:w w:val="99"/>
              </w:rPr>
              <w:t>Awards Vested</w:t>
            </w:r>
          </w:p>
        </w:tc>
        <w:tc>
          <w:tcPr>
            <w:tcW w:w="1140" w:type="dxa"/>
            <w:vAlign w:val="bottom"/>
            <w:gridSpan w:val="2"/>
            <w:shd w:val="clear" w:color="auto" w:fill="005C5D"/>
          </w:tcPr>
          <w:p>
            <w:pPr>
              <w:jc w:val="center"/>
              <w:ind w:right="180"/>
              <w:spacing w:after="0"/>
              <w:rPr>
                <w:sz w:val="20"/>
                <w:szCs w:val="20"/>
                <w:color w:val="auto"/>
              </w:rPr>
            </w:pPr>
            <w:r>
              <w:rPr>
                <w:rFonts w:ascii="Arial" w:cs="Arial" w:eastAsia="Arial" w:hAnsi="Arial"/>
                <w:sz w:val="14"/>
                <w:szCs w:val="14"/>
                <w:color w:val="FFFFFF"/>
              </w:rPr>
              <w:t>and Unvested</w:t>
            </w:r>
          </w:p>
        </w:tc>
        <w:tc>
          <w:tcPr>
            <w:tcW w:w="1140" w:type="dxa"/>
            <w:vAlign w:val="bottom"/>
            <w:gridSpan w:val="2"/>
            <w:shd w:val="clear" w:color="auto" w:fill="005C5D"/>
          </w:tcPr>
          <w:p>
            <w:pPr>
              <w:jc w:val="center"/>
              <w:ind w:right="200"/>
              <w:spacing w:after="0"/>
              <w:rPr>
                <w:sz w:val="20"/>
                <w:szCs w:val="20"/>
                <w:color w:val="auto"/>
              </w:rPr>
            </w:pPr>
            <w:r>
              <w:rPr>
                <w:rFonts w:ascii="Arial" w:cs="Arial" w:eastAsia="Arial" w:hAnsi="Arial"/>
                <w:sz w:val="14"/>
                <w:szCs w:val="14"/>
                <w:color w:val="FFFFFF"/>
              </w:rPr>
              <w:t>Equity Awards</w:t>
            </w:r>
          </w:p>
        </w:tc>
        <w:tc>
          <w:tcPr>
            <w:tcW w:w="40" w:type="dxa"/>
            <w:vAlign w:val="bottom"/>
            <w:shd w:val="clear" w:color="auto" w:fill="005C5D"/>
          </w:tcPr>
          <w:p>
            <w:pPr>
              <w:spacing w:after="0"/>
              <w:rPr>
                <w:sz w:val="13"/>
                <w:szCs w:val="13"/>
                <w:color w:val="auto"/>
              </w:rPr>
            </w:pPr>
          </w:p>
        </w:tc>
        <w:tc>
          <w:tcPr>
            <w:tcW w:w="940" w:type="dxa"/>
            <w:vAlign w:val="bottom"/>
            <w:shd w:val="clear" w:color="auto" w:fill="005C5D"/>
          </w:tcPr>
          <w:p>
            <w:pPr>
              <w:jc w:val="center"/>
              <w:ind w:right="169"/>
              <w:spacing w:after="0"/>
              <w:rPr>
                <w:sz w:val="20"/>
                <w:szCs w:val="20"/>
                <w:color w:val="auto"/>
              </w:rPr>
            </w:pPr>
            <w:r>
              <w:rPr>
                <w:rFonts w:ascii="Arial" w:cs="Arial" w:eastAsia="Arial" w:hAnsi="Arial"/>
                <w:sz w:val="14"/>
                <w:szCs w:val="14"/>
                <w:color w:val="FFFFFF"/>
              </w:rPr>
              <w:t>Year for</w:t>
            </w:r>
          </w:p>
        </w:tc>
        <w:tc>
          <w:tcPr>
            <w:tcW w:w="40" w:type="dxa"/>
            <w:vAlign w:val="bottom"/>
            <w:shd w:val="clear" w:color="auto" w:fill="005C5D"/>
          </w:tcPr>
          <w:p>
            <w:pPr>
              <w:spacing w:after="0"/>
              <w:rPr>
                <w:sz w:val="13"/>
                <w:szCs w:val="13"/>
                <w:color w:val="auto"/>
              </w:rPr>
            </w:pPr>
          </w:p>
        </w:tc>
        <w:tc>
          <w:tcPr>
            <w:tcW w:w="720" w:type="dxa"/>
            <w:vAlign w:val="bottom"/>
            <w:shd w:val="clear" w:color="auto" w:fill="005C5D"/>
          </w:tcPr>
          <w:p>
            <w:pPr>
              <w:spacing w:after="0"/>
              <w:rPr>
                <w:sz w:val="13"/>
                <w:szCs w:val="13"/>
                <w:color w:val="auto"/>
              </w:rPr>
            </w:pPr>
          </w:p>
        </w:tc>
      </w:tr>
      <w:tr>
        <w:trPr>
          <w:trHeight w:val="160"/>
        </w:trPr>
        <w:tc>
          <w:tcPr>
            <w:tcW w:w="2180" w:type="dxa"/>
            <w:vAlign w:val="bottom"/>
            <w:shd w:val="clear" w:color="auto" w:fill="005C5D"/>
          </w:tcPr>
          <w:p>
            <w:pPr>
              <w:spacing w:after="0"/>
              <w:rPr>
                <w:sz w:val="13"/>
                <w:szCs w:val="13"/>
                <w:color w:val="auto"/>
              </w:rPr>
            </w:pPr>
          </w:p>
        </w:tc>
        <w:tc>
          <w:tcPr>
            <w:tcW w:w="200" w:type="dxa"/>
            <w:vAlign w:val="bottom"/>
            <w:shd w:val="clear" w:color="auto" w:fill="005C5D"/>
          </w:tcPr>
          <w:p>
            <w:pPr>
              <w:spacing w:after="0"/>
              <w:rPr>
                <w:sz w:val="13"/>
                <w:szCs w:val="13"/>
                <w:color w:val="auto"/>
              </w:rPr>
            </w:pPr>
          </w:p>
        </w:tc>
        <w:tc>
          <w:tcPr>
            <w:tcW w:w="60" w:type="dxa"/>
            <w:vAlign w:val="bottom"/>
            <w:shd w:val="clear" w:color="auto" w:fill="005C5D"/>
          </w:tcPr>
          <w:p>
            <w:pPr>
              <w:spacing w:after="0"/>
              <w:rPr>
                <w:sz w:val="13"/>
                <w:szCs w:val="13"/>
                <w:color w:val="auto"/>
              </w:rPr>
            </w:pPr>
          </w:p>
        </w:tc>
        <w:tc>
          <w:tcPr>
            <w:tcW w:w="960" w:type="dxa"/>
            <w:vAlign w:val="bottom"/>
            <w:shd w:val="clear" w:color="auto" w:fill="005C5D"/>
          </w:tcPr>
          <w:p>
            <w:pPr>
              <w:spacing w:after="0"/>
              <w:rPr>
                <w:sz w:val="13"/>
                <w:szCs w:val="13"/>
                <w:color w:val="auto"/>
              </w:rPr>
            </w:pPr>
          </w:p>
        </w:tc>
        <w:tc>
          <w:tcPr>
            <w:tcW w:w="1160" w:type="dxa"/>
            <w:vAlign w:val="bottom"/>
            <w:gridSpan w:val="2"/>
            <w:shd w:val="clear" w:color="auto" w:fill="005C5D"/>
          </w:tcPr>
          <w:p>
            <w:pPr>
              <w:jc w:val="center"/>
              <w:ind w:right="180"/>
              <w:spacing w:after="0"/>
              <w:rPr>
                <w:sz w:val="20"/>
                <w:szCs w:val="20"/>
                <w:color w:val="auto"/>
              </w:rPr>
            </w:pPr>
            <w:r>
              <w:rPr>
                <w:rFonts w:ascii="Arial" w:cs="Arial" w:eastAsia="Arial" w:hAnsi="Arial"/>
                <w:sz w:val="14"/>
                <w:szCs w:val="14"/>
                <w:color w:val="FFFFFF"/>
              </w:rPr>
              <w:t>Date Fair Value</w:t>
            </w:r>
          </w:p>
        </w:tc>
        <w:tc>
          <w:tcPr>
            <w:tcW w:w="1140" w:type="dxa"/>
            <w:vAlign w:val="bottom"/>
            <w:gridSpan w:val="2"/>
            <w:shd w:val="clear" w:color="auto" w:fill="005C5D"/>
          </w:tcPr>
          <w:p>
            <w:pPr>
              <w:jc w:val="center"/>
              <w:ind w:right="180"/>
              <w:spacing w:after="0"/>
              <w:rPr>
                <w:sz w:val="20"/>
                <w:szCs w:val="20"/>
                <w:color w:val="auto"/>
              </w:rPr>
            </w:pPr>
            <w:r>
              <w:rPr>
                <w:rFonts w:ascii="Arial" w:cs="Arial" w:eastAsia="Arial" w:hAnsi="Arial"/>
                <w:sz w:val="14"/>
                <w:szCs w:val="14"/>
                <w:color w:val="FFFFFF"/>
              </w:rPr>
              <w:t>Equity Awards</w:t>
            </w:r>
          </w:p>
        </w:tc>
        <w:tc>
          <w:tcPr>
            <w:tcW w:w="1200" w:type="dxa"/>
            <w:vAlign w:val="bottom"/>
            <w:gridSpan w:val="2"/>
            <w:shd w:val="clear" w:color="auto" w:fill="005C5D"/>
          </w:tcPr>
          <w:p>
            <w:pPr>
              <w:jc w:val="center"/>
              <w:ind w:right="109"/>
              <w:spacing w:after="0"/>
              <w:rPr>
                <w:sz w:val="20"/>
                <w:szCs w:val="20"/>
                <w:color w:val="auto"/>
              </w:rPr>
            </w:pPr>
            <w:r>
              <w:rPr>
                <w:rFonts w:ascii="Arial" w:cs="Arial" w:eastAsia="Arial" w:hAnsi="Arial"/>
                <w:sz w:val="14"/>
                <w:szCs w:val="14"/>
                <w:color w:val="FFFFFF"/>
              </w:rPr>
              <w:t>and Granted</w:t>
            </w:r>
          </w:p>
        </w:tc>
        <w:tc>
          <w:tcPr>
            <w:tcW w:w="1140" w:type="dxa"/>
            <w:vAlign w:val="bottom"/>
            <w:gridSpan w:val="2"/>
            <w:shd w:val="clear" w:color="auto" w:fill="005C5D"/>
          </w:tcPr>
          <w:p>
            <w:pPr>
              <w:jc w:val="center"/>
              <w:ind w:right="180"/>
              <w:spacing w:after="0"/>
              <w:rPr>
                <w:sz w:val="20"/>
                <w:szCs w:val="20"/>
                <w:color w:val="auto"/>
              </w:rPr>
            </w:pPr>
            <w:r>
              <w:rPr>
                <w:rFonts w:ascii="Arial" w:cs="Arial" w:eastAsia="Arial" w:hAnsi="Arial"/>
                <w:sz w:val="14"/>
                <w:szCs w:val="14"/>
                <w:color w:val="FFFFFF"/>
              </w:rPr>
              <w:t>Equity Awards</w:t>
            </w:r>
          </w:p>
        </w:tc>
        <w:tc>
          <w:tcPr>
            <w:tcW w:w="1140" w:type="dxa"/>
            <w:vAlign w:val="bottom"/>
            <w:gridSpan w:val="2"/>
            <w:shd w:val="clear" w:color="auto" w:fill="005C5D"/>
          </w:tcPr>
          <w:p>
            <w:pPr>
              <w:jc w:val="center"/>
              <w:ind w:right="200"/>
              <w:spacing w:after="0"/>
              <w:rPr>
                <w:sz w:val="20"/>
                <w:szCs w:val="20"/>
                <w:color w:val="auto"/>
              </w:rPr>
            </w:pPr>
            <w:r>
              <w:rPr>
                <w:rFonts w:ascii="Arial" w:cs="Arial" w:eastAsia="Arial" w:hAnsi="Arial"/>
                <w:sz w:val="14"/>
                <w:szCs w:val="14"/>
                <w:color w:val="FFFFFF"/>
              </w:rPr>
              <w:t>Granted in</w:t>
            </w:r>
          </w:p>
        </w:tc>
        <w:tc>
          <w:tcPr>
            <w:tcW w:w="40" w:type="dxa"/>
            <w:vAlign w:val="bottom"/>
            <w:shd w:val="clear" w:color="auto" w:fill="005C5D"/>
          </w:tcPr>
          <w:p>
            <w:pPr>
              <w:spacing w:after="0"/>
              <w:rPr>
                <w:sz w:val="13"/>
                <w:szCs w:val="13"/>
                <w:color w:val="auto"/>
              </w:rPr>
            </w:pPr>
          </w:p>
        </w:tc>
        <w:tc>
          <w:tcPr>
            <w:tcW w:w="940" w:type="dxa"/>
            <w:vAlign w:val="bottom"/>
            <w:shd w:val="clear" w:color="auto" w:fill="005C5D"/>
          </w:tcPr>
          <w:p>
            <w:pPr>
              <w:jc w:val="center"/>
              <w:ind w:right="169"/>
              <w:spacing w:after="0"/>
              <w:rPr>
                <w:sz w:val="20"/>
                <w:szCs w:val="20"/>
                <w:color w:val="auto"/>
              </w:rPr>
            </w:pPr>
            <w:r>
              <w:rPr>
                <w:rFonts w:ascii="Arial" w:cs="Arial" w:eastAsia="Arial" w:hAnsi="Arial"/>
                <w:sz w:val="14"/>
                <w:szCs w:val="14"/>
                <w:color w:val="FFFFFF"/>
                <w:w w:val="97"/>
              </w:rPr>
              <w:t>Equity</w:t>
            </w:r>
          </w:p>
        </w:tc>
        <w:tc>
          <w:tcPr>
            <w:tcW w:w="40" w:type="dxa"/>
            <w:vAlign w:val="bottom"/>
            <w:shd w:val="clear" w:color="auto" w:fill="005C5D"/>
          </w:tcPr>
          <w:p>
            <w:pPr>
              <w:spacing w:after="0"/>
              <w:rPr>
                <w:sz w:val="13"/>
                <w:szCs w:val="13"/>
                <w:color w:val="auto"/>
              </w:rPr>
            </w:pPr>
          </w:p>
        </w:tc>
        <w:tc>
          <w:tcPr>
            <w:tcW w:w="720" w:type="dxa"/>
            <w:vAlign w:val="bottom"/>
            <w:shd w:val="clear" w:color="auto" w:fill="005C5D"/>
          </w:tcPr>
          <w:p>
            <w:pPr>
              <w:spacing w:after="0"/>
              <w:rPr>
                <w:sz w:val="13"/>
                <w:szCs w:val="13"/>
                <w:color w:val="auto"/>
              </w:rPr>
            </w:pPr>
          </w:p>
        </w:tc>
      </w:tr>
      <w:tr>
        <w:trPr>
          <w:trHeight w:val="160"/>
        </w:trPr>
        <w:tc>
          <w:tcPr>
            <w:tcW w:w="2180" w:type="dxa"/>
            <w:vAlign w:val="bottom"/>
            <w:shd w:val="clear" w:color="auto" w:fill="005C5D"/>
          </w:tcPr>
          <w:p>
            <w:pPr>
              <w:spacing w:after="0"/>
              <w:rPr>
                <w:sz w:val="13"/>
                <w:szCs w:val="13"/>
                <w:color w:val="auto"/>
              </w:rPr>
            </w:pPr>
          </w:p>
        </w:tc>
        <w:tc>
          <w:tcPr>
            <w:tcW w:w="200" w:type="dxa"/>
            <w:vAlign w:val="bottom"/>
            <w:shd w:val="clear" w:color="auto" w:fill="005C5D"/>
          </w:tcPr>
          <w:p>
            <w:pPr>
              <w:spacing w:after="0"/>
              <w:rPr>
                <w:sz w:val="13"/>
                <w:szCs w:val="13"/>
                <w:color w:val="auto"/>
              </w:rPr>
            </w:pPr>
          </w:p>
        </w:tc>
        <w:tc>
          <w:tcPr>
            <w:tcW w:w="1020" w:type="dxa"/>
            <w:vAlign w:val="bottom"/>
            <w:gridSpan w:val="2"/>
            <w:shd w:val="clear" w:color="auto" w:fill="005C5D"/>
          </w:tcPr>
          <w:p>
            <w:pPr>
              <w:jc w:val="right"/>
              <w:ind w:right="129"/>
              <w:spacing w:after="0"/>
              <w:rPr>
                <w:sz w:val="20"/>
                <w:szCs w:val="20"/>
                <w:color w:val="auto"/>
              </w:rPr>
            </w:pPr>
            <w:r>
              <w:rPr>
                <w:rFonts w:ascii="Arial" w:cs="Arial" w:eastAsia="Arial" w:hAnsi="Arial"/>
                <w:sz w:val="14"/>
                <w:szCs w:val="14"/>
                <w:color w:val="FFFFFF"/>
                <w:w w:val="96"/>
              </w:rPr>
              <w:t>SCT Total for</w:t>
            </w:r>
          </w:p>
        </w:tc>
        <w:tc>
          <w:tcPr>
            <w:tcW w:w="1160" w:type="dxa"/>
            <w:vAlign w:val="bottom"/>
            <w:gridSpan w:val="2"/>
            <w:shd w:val="clear" w:color="auto" w:fill="005C5D"/>
          </w:tcPr>
          <w:p>
            <w:pPr>
              <w:jc w:val="center"/>
              <w:ind w:right="200"/>
              <w:spacing w:after="0"/>
              <w:rPr>
                <w:sz w:val="20"/>
                <w:szCs w:val="20"/>
                <w:color w:val="auto"/>
              </w:rPr>
            </w:pPr>
            <w:r>
              <w:rPr>
                <w:rFonts w:ascii="Arial" w:cs="Arial" w:eastAsia="Arial" w:hAnsi="Arial"/>
                <w:sz w:val="14"/>
                <w:szCs w:val="14"/>
                <w:color w:val="FFFFFF"/>
              </w:rPr>
              <w:t>of Equity</w:t>
            </w:r>
          </w:p>
        </w:tc>
        <w:tc>
          <w:tcPr>
            <w:tcW w:w="1140" w:type="dxa"/>
            <w:vAlign w:val="bottom"/>
            <w:gridSpan w:val="2"/>
            <w:shd w:val="clear" w:color="auto" w:fill="005C5D"/>
          </w:tcPr>
          <w:p>
            <w:pPr>
              <w:jc w:val="center"/>
              <w:ind w:right="160"/>
              <w:spacing w:after="0"/>
              <w:rPr>
                <w:sz w:val="20"/>
                <w:szCs w:val="20"/>
                <w:color w:val="auto"/>
              </w:rPr>
            </w:pPr>
            <w:r>
              <w:rPr>
                <w:rFonts w:ascii="Arial" w:cs="Arial" w:eastAsia="Arial" w:hAnsi="Arial"/>
                <w:sz w:val="14"/>
                <w:szCs w:val="14"/>
                <w:color w:val="FFFFFF"/>
              </w:rPr>
              <w:t>Granted in</w:t>
            </w:r>
          </w:p>
        </w:tc>
        <w:tc>
          <w:tcPr>
            <w:tcW w:w="1200" w:type="dxa"/>
            <w:vAlign w:val="bottom"/>
            <w:gridSpan w:val="2"/>
            <w:shd w:val="clear" w:color="auto" w:fill="005C5D"/>
          </w:tcPr>
          <w:p>
            <w:pPr>
              <w:jc w:val="center"/>
              <w:ind w:right="109"/>
              <w:spacing w:after="0"/>
              <w:rPr>
                <w:sz w:val="20"/>
                <w:szCs w:val="20"/>
                <w:color w:val="auto"/>
              </w:rPr>
            </w:pPr>
            <w:r>
              <w:rPr>
                <w:rFonts w:ascii="Arial" w:cs="Arial" w:eastAsia="Arial" w:hAnsi="Arial"/>
                <w:sz w:val="14"/>
                <w:szCs w:val="14"/>
                <w:color w:val="FFFFFF"/>
              </w:rPr>
              <w:t>During the</w:t>
            </w:r>
          </w:p>
        </w:tc>
        <w:tc>
          <w:tcPr>
            <w:tcW w:w="1140" w:type="dxa"/>
            <w:vAlign w:val="bottom"/>
            <w:gridSpan w:val="2"/>
            <w:shd w:val="clear" w:color="auto" w:fill="005C5D"/>
          </w:tcPr>
          <w:p>
            <w:pPr>
              <w:jc w:val="center"/>
              <w:ind w:right="200"/>
              <w:spacing w:after="0"/>
              <w:rPr>
                <w:sz w:val="20"/>
                <w:szCs w:val="20"/>
                <w:color w:val="auto"/>
              </w:rPr>
            </w:pPr>
            <w:r>
              <w:rPr>
                <w:rFonts w:ascii="Arial" w:cs="Arial" w:eastAsia="Arial" w:hAnsi="Arial"/>
                <w:sz w:val="14"/>
                <w:szCs w:val="14"/>
                <w:color w:val="FFFFFF"/>
              </w:rPr>
              <w:t>Granted in</w:t>
            </w:r>
          </w:p>
        </w:tc>
        <w:tc>
          <w:tcPr>
            <w:tcW w:w="1140" w:type="dxa"/>
            <w:vAlign w:val="bottom"/>
            <w:gridSpan w:val="2"/>
            <w:shd w:val="clear" w:color="auto" w:fill="005C5D"/>
          </w:tcPr>
          <w:p>
            <w:pPr>
              <w:jc w:val="center"/>
              <w:ind w:right="200"/>
              <w:spacing w:after="0"/>
              <w:rPr>
                <w:sz w:val="20"/>
                <w:szCs w:val="20"/>
                <w:color w:val="auto"/>
              </w:rPr>
            </w:pPr>
            <w:r>
              <w:rPr>
                <w:rFonts w:ascii="Arial" w:cs="Arial" w:eastAsia="Arial" w:hAnsi="Arial"/>
                <w:sz w:val="14"/>
                <w:szCs w:val="14"/>
                <w:color w:val="FFFFFF"/>
                <w:w w:val="99"/>
              </w:rPr>
              <w:t>Prior Year that</w:t>
            </w:r>
          </w:p>
        </w:tc>
        <w:tc>
          <w:tcPr>
            <w:tcW w:w="40" w:type="dxa"/>
            <w:vAlign w:val="bottom"/>
            <w:shd w:val="clear" w:color="auto" w:fill="005C5D"/>
          </w:tcPr>
          <w:p>
            <w:pPr>
              <w:spacing w:after="0"/>
              <w:rPr>
                <w:sz w:val="13"/>
                <w:szCs w:val="13"/>
                <w:color w:val="auto"/>
              </w:rPr>
            </w:pPr>
          </w:p>
        </w:tc>
        <w:tc>
          <w:tcPr>
            <w:tcW w:w="940" w:type="dxa"/>
            <w:vAlign w:val="bottom"/>
            <w:shd w:val="clear" w:color="auto" w:fill="005C5D"/>
          </w:tcPr>
          <w:p>
            <w:pPr>
              <w:jc w:val="center"/>
              <w:ind w:right="169"/>
              <w:spacing w:after="0"/>
              <w:rPr>
                <w:sz w:val="20"/>
                <w:szCs w:val="20"/>
                <w:color w:val="auto"/>
              </w:rPr>
            </w:pPr>
            <w:r>
              <w:rPr>
                <w:rFonts w:ascii="Arial" w:cs="Arial" w:eastAsia="Arial" w:hAnsi="Arial"/>
                <w:sz w:val="14"/>
                <w:szCs w:val="14"/>
                <w:color w:val="FFFFFF"/>
                <w:w w:val="98"/>
              </w:rPr>
              <w:t>Awards</w:t>
            </w:r>
          </w:p>
        </w:tc>
        <w:tc>
          <w:tcPr>
            <w:tcW w:w="40" w:type="dxa"/>
            <w:vAlign w:val="bottom"/>
            <w:shd w:val="clear" w:color="auto" w:fill="005C5D"/>
          </w:tcPr>
          <w:p>
            <w:pPr>
              <w:spacing w:after="0"/>
              <w:rPr>
                <w:sz w:val="13"/>
                <w:szCs w:val="13"/>
                <w:color w:val="auto"/>
              </w:rPr>
            </w:pPr>
          </w:p>
        </w:tc>
        <w:tc>
          <w:tcPr>
            <w:tcW w:w="720" w:type="dxa"/>
            <w:vAlign w:val="bottom"/>
            <w:shd w:val="clear" w:color="auto" w:fill="005C5D"/>
          </w:tcPr>
          <w:p>
            <w:pPr>
              <w:spacing w:after="0"/>
              <w:rPr>
                <w:sz w:val="13"/>
                <w:szCs w:val="13"/>
                <w:color w:val="auto"/>
              </w:rPr>
            </w:pPr>
          </w:p>
        </w:tc>
      </w:tr>
      <w:tr>
        <w:trPr>
          <w:trHeight w:val="217"/>
        </w:trPr>
        <w:tc>
          <w:tcPr>
            <w:tcW w:w="2180" w:type="dxa"/>
            <w:vAlign w:val="bottom"/>
            <w:tcBorders>
              <w:bottom w:val="single" w:sz="8" w:color="005C5D"/>
            </w:tcBorders>
            <w:shd w:val="clear" w:color="auto" w:fill="005C5D"/>
          </w:tcPr>
          <w:p>
            <w:pPr>
              <w:ind w:left="80"/>
              <w:spacing w:after="0"/>
              <w:rPr>
                <w:sz w:val="20"/>
                <w:szCs w:val="20"/>
                <w:color w:val="auto"/>
              </w:rPr>
            </w:pPr>
            <w:r>
              <w:rPr>
                <w:rFonts w:ascii="Arial" w:cs="Arial" w:eastAsia="Arial" w:hAnsi="Arial"/>
                <w:sz w:val="14"/>
                <w:szCs w:val="14"/>
                <w:b w:val="1"/>
                <w:bCs w:val="1"/>
                <w:color w:val="FFFFFF"/>
              </w:rPr>
              <w:t>Fiscal Year</w:t>
            </w:r>
          </w:p>
        </w:tc>
        <w:tc>
          <w:tcPr>
            <w:tcW w:w="200" w:type="dxa"/>
            <w:vAlign w:val="bottom"/>
            <w:tcBorders>
              <w:bottom w:val="single" w:sz="8" w:color="005C5D"/>
            </w:tcBorders>
            <w:shd w:val="clear" w:color="auto" w:fill="005C5D"/>
          </w:tcPr>
          <w:p>
            <w:pPr>
              <w:spacing w:after="0"/>
              <w:rPr>
                <w:sz w:val="18"/>
                <w:szCs w:val="18"/>
                <w:color w:val="auto"/>
              </w:rPr>
            </w:pPr>
          </w:p>
        </w:tc>
        <w:tc>
          <w:tcPr>
            <w:tcW w:w="60" w:type="dxa"/>
            <w:vAlign w:val="bottom"/>
            <w:tcBorders>
              <w:bottom w:val="single" w:sz="8" w:color="005C5D"/>
            </w:tcBorders>
            <w:shd w:val="clear" w:color="auto" w:fill="005C5D"/>
          </w:tcPr>
          <w:p>
            <w:pPr>
              <w:spacing w:after="0"/>
              <w:rPr>
                <w:sz w:val="18"/>
                <w:szCs w:val="18"/>
                <w:color w:val="auto"/>
              </w:rPr>
            </w:pPr>
          </w:p>
        </w:tc>
        <w:tc>
          <w:tcPr>
            <w:tcW w:w="960" w:type="dxa"/>
            <w:vAlign w:val="bottom"/>
            <w:tcBorders>
              <w:bottom w:val="single" w:sz="8" w:color="005C5D"/>
            </w:tcBorders>
            <w:shd w:val="clear" w:color="auto" w:fill="005C5D"/>
          </w:tcPr>
          <w:p>
            <w:pPr>
              <w:jc w:val="right"/>
              <w:ind w:right="349"/>
              <w:spacing w:after="0"/>
              <w:rPr>
                <w:sz w:val="20"/>
                <w:szCs w:val="20"/>
                <w:color w:val="auto"/>
              </w:rPr>
            </w:pPr>
            <w:r>
              <w:rPr>
                <w:rFonts w:ascii="Arial" w:cs="Arial" w:eastAsia="Arial" w:hAnsi="Arial"/>
                <w:sz w:val="14"/>
                <w:szCs w:val="14"/>
                <w:color w:val="FFFFFF"/>
              </w:rPr>
              <w:t>NEOs</w:t>
            </w:r>
          </w:p>
        </w:tc>
        <w:tc>
          <w:tcPr>
            <w:tcW w:w="1160" w:type="dxa"/>
            <w:vAlign w:val="bottom"/>
            <w:tcBorders>
              <w:bottom w:val="single" w:sz="8" w:color="005C5D"/>
            </w:tcBorders>
            <w:gridSpan w:val="2"/>
            <w:shd w:val="clear" w:color="auto" w:fill="005C5D"/>
          </w:tcPr>
          <w:p>
            <w:pPr>
              <w:jc w:val="center"/>
              <w:ind w:right="180"/>
              <w:spacing w:after="0"/>
              <w:rPr>
                <w:sz w:val="20"/>
                <w:szCs w:val="20"/>
                <w:color w:val="auto"/>
              </w:rPr>
            </w:pPr>
            <w:r>
              <w:rPr>
                <w:rFonts w:ascii="Arial" w:cs="Arial" w:eastAsia="Arial" w:hAnsi="Arial"/>
                <w:sz w:val="14"/>
                <w:szCs w:val="14"/>
                <w:color w:val="FFFFFF"/>
              </w:rPr>
              <w:t>Awards in SCT</w:t>
            </w:r>
          </w:p>
        </w:tc>
        <w:tc>
          <w:tcPr>
            <w:tcW w:w="1140" w:type="dxa"/>
            <w:vAlign w:val="bottom"/>
            <w:tcBorders>
              <w:bottom w:val="single" w:sz="8" w:color="005C5D"/>
            </w:tcBorders>
            <w:gridSpan w:val="2"/>
            <w:shd w:val="clear" w:color="auto" w:fill="005C5D"/>
          </w:tcPr>
          <w:p>
            <w:pPr>
              <w:jc w:val="center"/>
              <w:ind w:right="160"/>
              <w:spacing w:after="0"/>
              <w:rPr>
                <w:sz w:val="20"/>
                <w:szCs w:val="20"/>
                <w:color w:val="auto"/>
              </w:rPr>
            </w:pPr>
            <w:r>
              <w:rPr>
                <w:rFonts w:ascii="Arial" w:cs="Arial" w:eastAsia="Arial" w:hAnsi="Arial"/>
                <w:sz w:val="14"/>
                <w:szCs w:val="14"/>
                <w:color w:val="FFFFFF"/>
                <w:w w:val="99"/>
              </w:rPr>
              <w:t>Fiscal Year</w:t>
            </w:r>
          </w:p>
        </w:tc>
        <w:tc>
          <w:tcPr>
            <w:tcW w:w="320" w:type="dxa"/>
            <w:vAlign w:val="bottom"/>
            <w:tcBorders>
              <w:bottom w:val="single" w:sz="8" w:color="005C5D"/>
            </w:tcBorders>
            <w:shd w:val="clear" w:color="auto" w:fill="005C5D"/>
          </w:tcPr>
          <w:p>
            <w:pPr>
              <w:spacing w:after="0"/>
              <w:rPr>
                <w:sz w:val="18"/>
                <w:szCs w:val="18"/>
                <w:color w:val="auto"/>
              </w:rPr>
            </w:pPr>
          </w:p>
        </w:tc>
        <w:tc>
          <w:tcPr>
            <w:tcW w:w="880" w:type="dxa"/>
            <w:vAlign w:val="bottom"/>
            <w:tcBorders>
              <w:bottom w:val="single" w:sz="8" w:color="005C5D"/>
            </w:tcBorders>
            <w:shd w:val="clear" w:color="auto" w:fill="005C5D"/>
          </w:tcPr>
          <w:p>
            <w:pPr>
              <w:jc w:val="center"/>
              <w:ind w:right="429"/>
              <w:spacing w:after="0"/>
              <w:rPr>
                <w:sz w:val="20"/>
                <w:szCs w:val="20"/>
                <w:color w:val="auto"/>
              </w:rPr>
            </w:pPr>
            <w:r>
              <w:rPr>
                <w:rFonts w:ascii="Arial" w:cs="Arial" w:eastAsia="Arial" w:hAnsi="Arial"/>
                <w:sz w:val="14"/>
                <w:szCs w:val="14"/>
                <w:color w:val="FFFFFF"/>
              </w:rPr>
              <w:t>Year</w:t>
            </w:r>
          </w:p>
        </w:tc>
        <w:tc>
          <w:tcPr>
            <w:tcW w:w="1140" w:type="dxa"/>
            <w:vAlign w:val="bottom"/>
            <w:tcBorders>
              <w:bottom w:val="single" w:sz="8" w:color="005C5D"/>
            </w:tcBorders>
            <w:gridSpan w:val="2"/>
            <w:shd w:val="clear" w:color="auto" w:fill="005C5D"/>
          </w:tcPr>
          <w:p>
            <w:pPr>
              <w:jc w:val="center"/>
              <w:ind w:right="200"/>
              <w:spacing w:after="0"/>
              <w:rPr>
                <w:sz w:val="20"/>
                <w:szCs w:val="20"/>
                <w:color w:val="auto"/>
              </w:rPr>
            </w:pPr>
            <w:r>
              <w:rPr>
                <w:rFonts w:ascii="Arial" w:cs="Arial" w:eastAsia="Arial" w:hAnsi="Arial"/>
                <w:sz w:val="14"/>
                <w:szCs w:val="14"/>
                <w:color w:val="FFFFFF"/>
                <w:w w:val="99"/>
              </w:rPr>
              <w:t>Prior Years</w:t>
            </w:r>
          </w:p>
        </w:tc>
        <w:tc>
          <w:tcPr>
            <w:tcW w:w="1140" w:type="dxa"/>
            <w:vAlign w:val="bottom"/>
            <w:tcBorders>
              <w:bottom w:val="single" w:sz="8" w:color="005C5D"/>
            </w:tcBorders>
            <w:gridSpan w:val="2"/>
            <w:shd w:val="clear" w:color="auto" w:fill="005C5D"/>
          </w:tcPr>
          <w:p>
            <w:pPr>
              <w:jc w:val="center"/>
              <w:ind w:right="180"/>
              <w:spacing w:after="0"/>
              <w:rPr>
                <w:sz w:val="20"/>
                <w:szCs w:val="20"/>
                <w:color w:val="auto"/>
              </w:rPr>
            </w:pPr>
            <w:r>
              <w:rPr>
                <w:rFonts w:ascii="Arial" w:cs="Arial" w:eastAsia="Arial" w:hAnsi="Arial"/>
                <w:sz w:val="14"/>
                <w:szCs w:val="14"/>
                <w:color w:val="FFFFFF"/>
              </w:rPr>
              <w:t>Vested</w:t>
            </w:r>
          </w:p>
        </w:tc>
        <w:tc>
          <w:tcPr>
            <w:tcW w:w="40" w:type="dxa"/>
            <w:vAlign w:val="bottom"/>
            <w:tcBorders>
              <w:bottom w:val="single" w:sz="8" w:color="005C5D"/>
            </w:tcBorders>
            <w:shd w:val="clear" w:color="auto" w:fill="005C5D"/>
          </w:tcPr>
          <w:p>
            <w:pPr>
              <w:spacing w:after="0"/>
              <w:rPr>
                <w:sz w:val="18"/>
                <w:szCs w:val="18"/>
                <w:color w:val="auto"/>
              </w:rPr>
            </w:pPr>
          </w:p>
        </w:tc>
        <w:tc>
          <w:tcPr>
            <w:tcW w:w="940" w:type="dxa"/>
            <w:vAlign w:val="bottom"/>
            <w:tcBorders>
              <w:bottom w:val="single" w:sz="8" w:color="005C5D"/>
            </w:tcBorders>
            <w:shd w:val="clear" w:color="auto" w:fill="005C5D"/>
          </w:tcPr>
          <w:p>
            <w:pPr>
              <w:jc w:val="center"/>
              <w:ind w:right="169"/>
              <w:spacing w:after="0"/>
              <w:rPr>
                <w:sz w:val="20"/>
                <w:szCs w:val="20"/>
                <w:color w:val="auto"/>
              </w:rPr>
            </w:pPr>
            <w:r>
              <w:rPr>
                <w:rFonts w:ascii="Arial" w:cs="Arial" w:eastAsia="Arial" w:hAnsi="Arial"/>
                <w:sz w:val="14"/>
                <w:szCs w:val="14"/>
                <w:color w:val="FFFFFF"/>
              </w:rPr>
              <w:t>Forfeited</w:t>
            </w:r>
          </w:p>
        </w:tc>
        <w:tc>
          <w:tcPr>
            <w:tcW w:w="760" w:type="dxa"/>
            <w:vAlign w:val="bottom"/>
            <w:tcBorders>
              <w:bottom w:val="single" w:sz="8" w:color="005C5D"/>
            </w:tcBorders>
            <w:gridSpan w:val="2"/>
            <w:shd w:val="clear" w:color="auto" w:fill="005C5D"/>
          </w:tcPr>
          <w:p>
            <w:pPr>
              <w:jc w:val="right"/>
              <w:ind w:right="20"/>
              <w:spacing w:after="0"/>
              <w:rPr>
                <w:sz w:val="20"/>
                <w:szCs w:val="20"/>
                <w:color w:val="auto"/>
              </w:rPr>
            </w:pPr>
            <w:r>
              <w:rPr>
                <w:rFonts w:ascii="Arial" w:cs="Arial" w:eastAsia="Arial" w:hAnsi="Arial"/>
                <w:sz w:val="14"/>
                <w:szCs w:val="14"/>
                <w:color w:val="FFFFFF"/>
                <w:w w:val="97"/>
              </w:rPr>
              <w:t>Total—CAP</w:t>
            </w:r>
          </w:p>
        </w:tc>
      </w:tr>
      <w:tr>
        <w:trPr>
          <w:trHeight w:val="294"/>
        </w:trPr>
        <w:tc>
          <w:tcPr>
            <w:tcW w:w="2180" w:type="dxa"/>
            <w:vAlign w:val="bottom"/>
          </w:tcPr>
          <w:p>
            <w:pPr>
              <w:ind w:left="80"/>
              <w:spacing w:after="0"/>
              <w:rPr>
                <w:sz w:val="20"/>
                <w:szCs w:val="20"/>
                <w:color w:val="auto"/>
              </w:rPr>
            </w:pPr>
            <w:r>
              <w:rPr>
                <w:rFonts w:ascii="Arial" w:cs="Arial" w:eastAsia="Arial" w:hAnsi="Arial"/>
                <w:sz w:val="14"/>
                <w:szCs w:val="14"/>
                <w:color w:val="333333"/>
              </w:rPr>
              <w:t>2026</w:t>
            </w:r>
          </w:p>
        </w:tc>
        <w:tc>
          <w:tcPr>
            <w:tcW w:w="1220" w:type="dxa"/>
            <w:vAlign w:val="bottom"/>
            <w:tcBorders>
              <w:bottom w:val="single" w:sz="8" w:color="FCEFEB"/>
            </w:tcBorders>
            <w:gridSpan w:val="3"/>
            <w:shd w:val="clear" w:color="auto" w:fill="FCEFEB"/>
          </w:tcPr>
          <w:p>
            <w:pPr>
              <w:jc w:val="right"/>
              <w:ind w:right="169"/>
              <w:spacing w:after="0"/>
              <w:rPr>
                <w:sz w:val="20"/>
                <w:szCs w:val="20"/>
                <w:color w:val="auto"/>
              </w:rPr>
            </w:pPr>
            <w:r>
              <w:rPr>
                <w:rFonts w:ascii="Arial" w:cs="Arial" w:eastAsia="Arial" w:hAnsi="Arial"/>
                <w:sz w:val="14"/>
                <w:szCs w:val="14"/>
                <w:color w:val="333333"/>
              </w:rPr>
              <w:t>$1,063,785</w:t>
            </w:r>
          </w:p>
        </w:tc>
        <w:tc>
          <w:tcPr>
            <w:tcW w:w="1160" w:type="dxa"/>
            <w:vAlign w:val="bottom"/>
            <w:tcBorders>
              <w:bottom w:val="single" w:sz="8" w:color="FCEFEB"/>
            </w:tcBorders>
            <w:gridSpan w:val="2"/>
            <w:shd w:val="clear" w:color="auto" w:fill="FCEFEB"/>
          </w:tcPr>
          <w:p>
            <w:pPr>
              <w:jc w:val="right"/>
              <w:ind w:right="220"/>
              <w:spacing w:after="0"/>
              <w:rPr>
                <w:sz w:val="20"/>
                <w:szCs w:val="20"/>
                <w:color w:val="auto"/>
              </w:rPr>
            </w:pPr>
            <w:r>
              <w:rPr>
                <w:rFonts w:ascii="Arial" w:cs="Arial" w:eastAsia="Arial" w:hAnsi="Arial"/>
                <w:sz w:val="14"/>
                <w:szCs w:val="14"/>
                <w:color w:val="333333"/>
              </w:rPr>
              <w:t>$(456,251)</w:t>
            </w:r>
          </w:p>
        </w:tc>
        <w:tc>
          <w:tcPr>
            <w:tcW w:w="1140" w:type="dxa"/>
            <w:vAlign w:val="bottom"/>
            <w:tcBorders>
              <w:bottom w:val="single" w:sz="8" w:color="FCEFEB"/>
            </w:tcBorders>
            <w:gridSpan w:val="2"/>
            <w:shd w:val="clear" w:color="auto" w:fill="FCEFEB"/>
          </w:tcPr>
          <w:p>
            <w:pPr>
              <w:jc w:val="right"/>
              <w:ind w:right="220"/>
              <w:spacing w:after="0"/>
              <w:rPr>
                <w:sz w:val="20"/>
                <w:szCs w:val="20"/>
                <w:color w:val="auto"/>
              </w:rPr>
            </w:pPr>
            <w:r>
              <w:rPr>
                <w:rFonts w:ascii="Arial" w:cs="Arial" w:eastAsia="Arial" w:hAnsi="Arial"/>
                <w:sz w:val="14"/>
                <w:szCs w:val="14"/>
                <w:color w:val="333333"/>
              </w:rPr>
              <w:t>$281,045</w:t>
            </w:r>
          </w:p>
        </w:tc>
        <w:tc>
          <w:tcPr>
            <w:tcW w:w="320" w:type="dxa"/>
            <w:vAlign w:val="bottom"/>
            <w:tcBorders>
              <w:bottom w:val="single" w:sz="8" w:color="FCEFEB"/>
            </w:tcBorders>
            <w:shd w:val="clear" w:color="auto" w:fill="FCEFEB"/>
          </w:tcPr>
          <w:p>
            <w:pPr>
              <w:spacing w:after="0"/>
              <w:rPr>
                <w:sz w:val="24"/>
                <w:szCs w:val="24"/>
                <w:color w:val="auto"/>
              </w:rPr>
            </w:pPr>
          </w:p>
        </w:tc>
        <w:tc>
          <w:tcPr>
            <w:tcW w:w="880" w:type="dxa"/>
            <w:vAlign w:val="bottom"/>
            <w:tcBorders>
              <w:bottom w:val="single" w:sz="8" w:color="FCEFEB"/>
            </w:tcBorders>
            <w:shd w:val="clear" w:color="auto" w:fill="FCEFEB"/>
          </w:tcPr>
          <w:p>
            <w:pPr>
              <w:jc w:val="right"/>
              <w:ind w:right="169"/>
              <w:spacing w:after="0"/>
              <w:rPr>
                <w:sz w:val="20"/>
                <w:szCs w:val="20"/>
                <w:color w:val="auto"/>
              </w:rPr>
            </w:pPr>
            <w:r>
              <w:rPr>
                <w:rFonts w:ascii="Arial" w:cs="Arial" w:eastAsia="Arial" w:hAnsi="Arial"/>
                <w:sz w:val="14"/>
                <w:szCs w:val="14"/>
                <w:color w:val="333333"/>
              </w:rPr>
              <w:t>$         —</w:t>
            </w:r>
          </w:p>
        </w:tc>
        <w:tc>
          <w:tcPr>
            <w:tcW w:w="1140" w:type="dxa"/>
            <w:vAlign w:val="bottom"/>
            <w:tcBorders>
              <w:bottom w:val="single" w:sz="8" w:color="FCEFEB"/>
            </w:tcBorders>
            <w:gridSpan w:val="2"/>
            <w:shd w:val="clear" w:color="auto" w:fill="FCEFEB"/>
          </w:tcPr>
          <w:p>
            <w:pPr>
              <w:jc w:val="right"/>
              <w:ind w:right="240"/>
              <w:spacing w:after="0"/>
              <w:rPr>
                <w:sz w:val="20"/>
                <w:szCs w:val="20"/>
                <w:color w:val="auto"/>
              </w:rPr>
            </w:pPr>
            <w:r>
              <w:rPr>
                <w:rFonts w:ascii="Arial" w:cs="Arial" w:eastAsia="Arial" w:hAnsi="Arial"/>
                <w:sz w:val="14"/>
                <w:szCs w:val="14"/>
                <w:color w:val="333333"/>
              </w:rPr>
              <w:t>$(90,941)</w:t>
            </w:r>
          </w:p>
        </w:tc>
        <w:tc>
          <w:tcPr>
            <w:tcW w:w="1140" w:type="dxa"/>
            <w:vAlign w:val="bottom"/>
            <w:tcBorders>
              <w:bottom w:val="single" w:sz="8" w:color="FCEFEB"/>
            </w:tcBorders>
            <w:gridSpan w:val="2"/>
            <w:shd w:val="clear" w:color="auto" w:fill="FCEFEB"/>
          </w:tcPr>
          <w:p>
            <w:pPr>
              <w:jc w:val="right"/>
              <w:ind w:right="240"/>
              <w:spacing w:after="0"/>
              <w:rPr>
                <w:sz w:val="20"/>
                <w:szCs w:val="20"/>
                <w:color w:val="auto"/>
              </w:rPr>
            </w:pPr>
            <w:r>
              <w:rPr>
                <w:rFonts w:ascii="Arial" w:cs="Arial" w:eastAsia="Arial" w:hAnsi="Arial"/>
                <w:sz w:val="14"/>
                <w:szCs w:val="14"/>
                <w:color w:val="333333"/>
              </w:rPr>
              <w:t>$(47,806)</w:t>
            </w:r>
          </w:p>
        </w:tc>
        <w:tc>
          <w:tcPr>
            <w:tcW w:w="980" w:type="dxa"/>
            <w:vAlign w:val="bottom"/>
            <w:tcBorders>
              <w:bottom w:val="single" w:sz="8" w:color="FCEFEB"/>
            </w:tcBorders>
            <w:gridSpan w:val="2"/>
            <w:shd w:val="clear" w:color="auto" w:fill="FCEFEB"/>
          </w:tcPr>
          <w:p>
            <w:pPr>
              <w:jc w:val="right"/>
              <w:ind w:right="169"/>
              <w:spacing w:after="0"/>
              <w:rPr>
                <w:sz w:val="20"/>
                <w:szCs w:val="20"/>
                <w:color w:val="auto"/>
              </w:rPr>
            </w:pPr>
            <w:r>
              <w:rPr>
                <w:rFonts w:ascii="Arial" w:cs="Arial" w:eastAsia="Arial" w:hAnsi="Arial"/>
                <w:sz w:val="14"/>
                <w:szCs w:val="14"/>
                <w:color w:val="333333"/>
              </w:rPr>
              <w:t>$(215,750)</w:t>
            </w:r>
          </w:p>
        </w:tc>
        <w:tc>
          <w:tcPr>
            <w:tcW w:w="760" w:type="dxa"/>
            <w:vAlign w:val="bottom"/>
            <w:tcBorders>
              <w:bottom w:val="single" w:sz="8" w:color="FCEFEB"/>
            </w:tcBorders>
            <w:gridSpan w:val="2"/>
            <w:shd w:val="clear" w:color="auto" w:fill="FCEFEB"/>
          </w:tcPr>
          <w:p>
            <w:pPr>
              <w:jc w:val="right"/>
              <w:ind w:right="40"/>
              <w:spacing w:after="0"/>
              <w:rPr>
                <w:sz w:val="20"/>
                <w:szCs w:val="20"/>
                <w:color w:val="auto"/>
              </w:rPr>
            </w:pPr>
            <w:r>
              <w:rPr>
                <w:rFonts w:ascii="Arial" w:cs="Arial" w:eastAsia="Arial" w:hAnsi="Arial"/>
                <w:sz w:val="14"/>
                <w:szCs w:val="14"/>
                <w:color w:val="333333"/>
              </w:rPr>
              <w:t>$556,817</w:t>
            </w:r>
          </w:p>
        </w:tc>
      </w:tr>
      <w:tr>
        <w:trPr>
          <w:trHeight w:val="274"/>
        </w:trPr>
        <w:tc>
          <w:tcPr>
            <w:tcW w:w="218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2025</w:t>
            </w:r>
          </w:p>
        </w:tc>
        <w:tc>
          <w:tcPr>
            <w:tcW w:w="1220" w:type="dxa"/>
            <w:vAlign w:val="bottom"/>
            <w:tcBorders>
              <w:top w:val="single" w:sz="8" w:color="005C5D"/>
              <w:bottom w:val="single" w:sz="8" w:color="FCEFEB"/>
            </w:tcBorders>
            <w:gridSpan w:val="3"/>
            <w:shd w:val="clear" w:color="auto" w:fill="FCEFEB"/>
          </w:tcPr>
          <w:p>
            <w:pPr>
              <w:jc w:val="right"/>
              <w:ind w:right="169"/>
              <w:spacing w:after="0"/>
              <w:rPr>
                <w:sz w:val="20"/>
                <w:szCs w:val="20"/>
                <w:color w:val="auto"/>
              </w:rPr>
            </w:pPr>
            <w:r>
              <w:rPr>
                <w:rFonts w:ascii="Arial" w:cs="Arial" w:eastAsia="Arial" w:hAnsi="Arial"/>
                <w:sz w:val="14"/>
                <w:szCs w:val="14"/>
                <w:color w:val="333333"/>
              </w:rPr>
              <w:t>849,335</w:t>
            </w:r>
          </w:p>
        </w:tc>
        <w:tc>
          <w:tcPr>
            <w:tcW w:w="1160" w:type="dxa"/>
            <w:vAlign w:val="bottom"/>
            <w:tcBorders>
              <w:top w:val="single" w:sz="8" w:color="005C5D"/>
              <w:bottom w:val="single" w:sz="8" w:color="FCEFEB"/>
            </w:tcBorders>
            <w:gridSpan w:val="2"/>
            <w:shd w:val="clear" w:color="auto" w:fill="FCEFEB"/>
          </w:tcPr>
          <w:p>
            <w:pPr>
              <w:jc w:val="right"/>
              <w:ind w:right="220"/>
              <w:spacing w:after="0"/>
              <w:rPr>
                <w:sz w:val="20"/>
                <w:szCs w:val="20"/>
                <w:color w:val="auto"/>
              </w:rPr>
            </w:pPr>
            <w:r>
              <w:rPr>
                <w:rFonts w:ascii="Arial" w:cs="Arial" w:eastAsia="Arial" w:hAnsi="Arial"/>
                <w:sz w:val="14"/>
                <w:szCs w:val="14"/>
                <w:color w:val="333333"/>
              </w:rPr>
              <w:t>(356,252)</w:t>
            </w:r>
          </w:p>
        </w:tc>
        <w:tc>
          <w:tcPr>
            <w:tcW w:w="1140" w:type="dxa"/>
            <w:vAlign w:val="bottom"/>
            <w:tcBorders>
              <w:top w:val="single" w:sz="8" w:color="005C5D"/>
              <w:bottom w:val="single" w:sz="8" w:color="FCEFEB"/>
            </w:tcBorders>
            <w:gridSpan w:val="2"/>
            <w:shd w:val="clear" w:color="auto" w:fill="FCEFEB"/>
          </w:tcPr>
          <w:p>
            <w:pPr>
              <w:jc w:val="right"/>
              <w:ind w:right="220"/>
              <w:spacing w:after="0"/>
              <w:rPr>
                <w:sz w:val="20"/>
                <w:szCs w:val="20"/>
                <w:color w:val="auto"/>
              </w:rPr>
            </w:pPr>
            <w:r>
              <w:rPr>
                <w:rFonts w:ascii="Arial" w:cs="Arial" w:eastAsia="Arial" w:hAnsi="Arial"/>
                <w:sz w:val="14"/>
                <w:szCs w:val="14"/>
                <w:color w:val="333333"/>
              </w:rPr>
              <w:t>184,907</w:t>
            </w:r>
          </w:p>
        </w:tc>
        <w:tc>
          <w:tcPr>
            <w:tcW w:w="320" w:type="dxa"/>
            <w:vAlign w:val="bottom"/>
            <w:tcBorders>
              <w:top w:val="single" w:sz="8" w:color="005C5D"/>
              <w:bottom w:val="single" w:sz="8" w:color="FCEFEB"/>
            </w:tcBorders>
            <w:shd w:val="clear" w:color="auto" w:fill="FCEFEB"/>
          </w:tcPr>
          <w:p>
            <w:pPr>
              <w:spacing w:after="0"/>
              <w:rPr>
                <w:sz w:val="23"/>
                <w:szCs w:val="23"/>
                <w:color w:val="auto"/>
              </w:rPr>
            </w:pPr>
          </w:p>
        </w:tc>
        <w:tc>
          <w:tcPr>
            <w:tcW w:w="880" w:type="dxa"/>
            <w:vAlign w:val="bottom"/>
            <w:tcBorders>
              <w:top w:val="single" w:sz="8" w:color="005C5D"/>
              <w:bottom w:val="single" w:sz="8" w:color="FCEFEB"/>
            </w:tcBorders>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1140" w:type="dxa"/>
            <w:vAlign w:val="bottom"/>
            <w:tcBorders>
              <w:top w:val="single" w:sz="8" w:color="005C5D"/>
              <w:bottom w:val="single" w:sz="8" w:color="FCEFEB"/>
            </w:tcBorders>
            <w:gridSpan w:val="2"/>
            <w:shd w:val="clear" w:color="auto" w:fill="FCEFEB"/>
          </w:tcPr>
          <w:p>
            <w:pPr>
              <w:jc w:val="right"/>
              <w:ind w:right="240"/>
              <w:spacing w:after="0"/>
              <w:rPr>
                <w:sz w:val="20"/>
                <w:szCs w:val="20"/>
                <w:color w:val="auto"/>
              </w:rPr>
            </w:pPr>
            <w:r>
              <w:rPr>
                <w:rFonts w:ascii="Arial" w:cs="Arial" w:eastAsia="Arial" w:hAnsi="Arial"/>
                <w:sz w:val="14"/>
                <w:szCs w:val="14"/>
                <w:color w:val="333333"/>
              </w:rPr>
              <w:t>(404,315)</w:t>
            </w:r>
          </w:p>
        </w:tc>
        <w:tc>
          <w:tcPr>
            <w:tcW w:w="1140" w:type="dxa"/>
            <w:vAlign w:val="bottom"/>
            <w:tcBorders>
              <w:top w:val="single" w:sz="8" w:color="005C5D"/>
              <w:bottom w:val="single" w:sz="8" w:color="FCEFEB"/>
            </w:tcBorders>
            <w:gridSpan w:val="2"/>
            <w:shd w:val="clear" w:color="auto" w:fill="FCEFEB"/>
          </w:tcPr>
          <w:p>
            <w:pPr>
              <w:jc w:val="right"/>
              <w:ind w:right="240"/>
              <w:spacing w:after="0"/>
              <w:rPr>
                <w:sz w:val="20"/>
                <w:szCs w:val="20"/>
                <w:color w:val="auto"/>
              </w:rPr>
            </w:pPr>
            <w:r>
              <w:rPr>
                <w:rFonts w:ascii="Arial" w:cs="Arial" w:eastAsia="Arial" w:hAnsi="Arial"/>
                <w:sz w:val="14"/>
                <w:szCs w:val="14"/>
                <w:color w:val="333333"/>
              </w:rPr>
              <w:t>(33,065)</w:t>
            </w:r>
          </w:p>
        </w:tc>
        <w:tc>
          <w:tcPr>
            <w:tcW w:w="40" w:type="dxa"/>
            <w:vAlign w:val="bottom"/>
            <w:tcBorders>
              <w:top w:val="single" w:sz="8" w:color="005C5D"/>
              <w:bottom w:val="single" w:sz="8" w:color="FCEFEB"/>
            </w:tcBorders>
            <w:shd w:val="clear" w:color="auto" w:fill="FCEFEB"/>
          </w:tcPr>
          <w:p>
            <w:pPr>
              <w:spacing w:after="0"/>
              <w:rPr>
                <w:sz w:val="23"/>
                <w:szCs w:val="23"/>
                <w:color w:val="auto"/>
              </w:rPr>
            </w:pPr>
          </w:p>
        </w:tc>
        <w:tc>
          <w:tcPr>
            <w:tcW w:w="940" w:type="dxa"/>
            <w:vAlign w:val="bottom"/>
            <w:tcBorders>
              <w:top w:val="single" w:sz="8" w:color="005C5D"/>
              <w:bottom w:val="single" w:sz="8" w:color="FCEFEB"/>
            </w:tcBorders>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760" w:type="dxa"/>
            <w:vAlign w:val="bottom"/>
            <w:tcBorders>
              <w:top w:val="single" w:sz="8" w:color="005C5D"/>
              <w:bottom w:val="single" w:sz="8" w:color="FCEFEB"/>
            </w:tcBorders>
            <w:gridSpan w:val="2"/>
            <w:shd w:val="clear" w:color="auto" w:fill="FCEFEB"/>
          </w:tcPr>
          <w:p>
            <w:pPr>
              <w:jc w:val="right"/>
              <w:ind w:right="40"/>
              <w:spacing w:after="0"/>
              <w:rPr>
                <w:sz w:val="20"/>
                <w:szCs w:val="20"/>
                <w:color w:val="auto"/>
              </w:rPr>
            </w:pPr>
            <w:r>
              <w:rPr>
                <w:rFonts w:ascii="Arial" w:cs="Arial" w:eastAsia="Arial" w:hAnsi="Arial"/>
                <w:sz w:val="14"/>
                <w:szCs w:val="14"/>
                <w:color w:val="333333"/>
              </w:rPr>
              <w:t>349,955</w:t>
            </w:r>
          </w:p>
        </w:tc>
      </w:tr>
      <w:tr>
        <w:trPr>
          <w:trHeight w:val="254"/>
        </w:trPr>
        <w:tc>
          <w:tcPr>
            <w:tcW w:w="2180" w:type="dxa"/>
            <w:vAlign w:val="bottom"/>
            <w:tcBorders>
              <w:top w:val="single" w:sz="8" w:color="005C5D"/>
            </w:tcBorders>
          </w:tcPr>
          <w:p>
            <w:pPr>
              <w:ind w:left="80"/>
              <w:spacing w:after="0"/>
              <w:rPr>
                <w:sz w:val="20"/>
                <w:szCs w:val="20"/>
                <w:color w:val="auto"/>
              </w:rPr>
            </w:pPr>
            <w:r>
              <w:rPr>
                <w:rFonts w:ascii="Arial" w:cs="Arial" w:eastAsia="Arial" w:hAnsi="Arial"/>
                <w:sz w:val="14"/>
                <w:szCs w:val="14"/>
                <w:color w:val="333333"/>
              </w:rPr>
              <w:t>2024</w:t>
            </w:r>
          </w:p>
        </w:tc>
        <w:tc>
          <w:tcPr>
            <w:tcW w:w="1220" w:type="dxa"/>
            <w:vAlign w:val="bottom"/>
            <w:tcBorders>
              <w:top w:val="single" w:sz="8" w:color="005C5D"/>
              <w:bottom w:val="single" w:sz="8" w:color="FCEFEB"/>
            </w:tcBorders>
            <w:gridSpan w:val="3"/>
            <w:shd w:val="clear" w:color="auto" w:fill="FCEFEB"/>
          </w:tcPr>
          <w:p>
            <w:pPr>
              <w:jc w:val="right"/>
              <w:ind w:right="169"/>
              <w:spacing w:after="0"/>
              <w:rPr>
                <w:sz w:val="20"/>
                <w:szCs w:val="20"/>
                <w:color w:val="auto"/>
              </w:rPr>
            </w:pPr>
            <w:r>
              <w:rPr>
                <w:rFonts w:ascii="Arial" w:cs="Arial" w:eastAsia="Arial" w:hAnsi="Arial"/>
                <w:sz w:val="14"/>
                <w:szCs w:val="14"/>
                <w:color w:val="333333"/>
              </w:rPr>
              <w:t>1,463,940</w:t>
            </w:r>
          </w:p>
        </w:tc>
        <w:tc>
          <w:tcPr>
            <w:tcW w:w="1160" w:type="dxa"/>
            <w:vAlign w:val="bottom"/>
            <w:tcBorders>
              <w:top w:val="single" w:sz="8" w:color="005C5D"/>
              <w:bottom w:val="single" w:sz="8" w:color="FCEFEB"/>
            </w:tcBorders>
            <w:gridSpan w:val="2"/>
            <w:shd w:val="clear" w:color="auto" w:fill="FCEFEB"/>
          </w:tcPr>
          <w:p>
            <w:pPr>
              <w:jc w:val="right"/>
              <w:ind w:right="220"/>
              <w:spacing w:after="0"/>
              <w:rPr>
                <w:sz w:val="20"/>
                <w:szCs w:val="20"/>
                <w:color w:val="auto"/>
              </w:rPr>
            </w:pPr>
            <w:r>
              <w:rPr>
                <w:rFonts w:ascii="Arial" w:cs="Arial" w:eastAsia="Arial" w:hAnsi="Arial"/>
                <w:sz w:val="14"/>
                <w:szCs w:val="14"/>
                <w:color w:val="333333"/>
              </w:rPr>
              <w:t>(453,748)</w:t>
            </w:r>
          </w:p>
        </w:tc>
        <w:tc>
          <w:tcPr>
            <w:tcW w:w="1140" w:type="dxa"/>
            <w:vAlign w:val="bottom"/>
            <w:tcBorders>
              <w:top w:val="single" w:sz="8" w:color="005C5D"/>
              <w:bottom w:val="single" w:sz="8" w:color="FCEFEB"/>
            </w:tcBorders>
            <w:gridSpan w:val="2"/>
            <w:shd w:val="clear" w:color="auto" w:fill="FCEFEB"/>
          </w:tcPr>
          <w:p>
            <w:pPr>
              <w:jc w:val="right"/>
              <w:ind w:right="220"/>
              <w:spacing w:after="0"/>
              <w:rPr>
                <w:sz w:val="20"/>
                <w:szCs w:val="20"/>
                <w:color w:val="auto"/>
              </w:rPr>
            </w:pPr>
            <w:r>
              <w:rPr>
                <w:rFonts w:ascii="Arial" w:cs="Arial" w:eastAsia="Arial" w:hAnsi="Arial"/>
                <w:sz w:val="14"/>
                <w:szCs w:val="14"/>
                <w:color w:val="333333"/>
              </w:rPr>
              <w:t>601,877</w:t>
            </w:r>
          </w:p>
        </w:tc>
        <w:tc>
          <w:tcPr>
            <w:tcW w:w="320" w:type="dxa"/>
            <w:vAlign w:val="bottom"/>
            <w:tcBorders>
              <w:top w:val="single" w:sz="8" w:color="005C5D"/>
              <w:bottom w:val="single" w:sz="8" w:color="FCEFEB"/>
            </w:tcBorders>
            <w:shd w:val="clear" w:color="auto" w:fill="FCEFEB"/>
          </w:tcPr>
          <w:p>
            <w:pPr>
              <w:spacing w:after="0"/>
              <w:rPr>
                <w:sz w:val="22"/>
                <w:szCs w:val="22"/>
                <w:color w:val="auto"/>
              </w:rPr>
            </w:pPr>
          </w:p>
        </w:tc>
        <w:tc>
          <w:tcPr>
            <w:tcW w:w="880" w:type="dxa"/>
            <w:vAlign w:val="bottom"/>
            <w:tcBorders>
              <w:top w:val="single" w:sz="8" w:color="005C5D"/>
              <w:bottom w:val="single" w:sz="8" w:color="FCEFEB"/>
            </w:tcBorders>
            <w:shd w:val="clear" w:color="auto" w:fill="FCEFEB"/>
          </w:tcPr>
          <w:p>
            <w:pPr>
              <w:jc w:val="right"/>
              <w:ind w:right="169"/>
              <w:spacing w:after="0"/>
              <w:rPr>
                <w:sz w:val="20"/>
                <w:szCs w:val="20"/>
                <w:color w:val="auto"/>
              </w:rPr>
            </w:pPr>
            <w:r>
              <w:rPr>
                <w:rFonts w:ascii="Arial" w:cs="Arial" w:eastAsia="Arial" w:hAnsi="Arial"/>
                <w:sz w:val="14"/>
                <w:szCs w:val="14"/>
                <w:color w:val="333333"/>
              </w:rPr>
              <w:t>—</w:t>
            </w:r>
          </w:p>
        </w:tc>
        <w:tc>
          <w:tcPr>
            <w:tcW w:w="1140" w:type="dxa"/>
            <w:vAlign w:val="bottom"/>
            <w:tcBorders>
              <w:top w:val="single" w:sz="8" w:color="005C5D"/>
              <w:bottom w:val="single" w:sz="8" w:color="FCEFEB"/>
            </w:tcBorders>
            <w:gridSpan w:val="2"/>
            <w:shd w:val="clear" w:color="auto" w:fill="FCEFEB"/>
          </w:tcPr>
          <w:p>
            <w:pPr>
              <w:jc w:val="right"/>
              <w:ind w:right="240"/>
              <w:spacing w:after="0"/>
              <w:rPr>
                <w:sz w:val="20"/>
                <w:szCs w:val="20"/>
                <w:color w:val="auto"/>
              </w:rPr>
            </w:pPr>
            <w:r>
              <w:rPr>
                <w:rFonts w:ascii="Arial" w:cs="Arial" w:eastAsia="Arial" w:hAnsi="Arial"/>
                <w:sz w:val="14"/>
                <w:szCs w:val="14"/>
                <w:color w:val="333333"/>
              </w:rPr>
              <w:t>44,327</w:t>
            </w:r>
          </w:p>
        </w:tc>
        <w:tc>
          <w:tcPr>
            <w:tcW w:w="1140" w:type="dxa"/>
            <w:vAlign w:val="bottom"/>
            <w:tcBorders>
              <w:top w:val="single" w:sz="8" w:color="005C5D"/>
              <w:bottom w:val="single" w:sz="8" w:color="FCEFEB"/>
            </w:tcBorders>
            <w:gridSpan w:val="2"/>
            <w:shd w:val="clear" w:color="auto" w:fill="FCEFEB"/>
          </w:tcPr>
          <w:p>
            <w:pPr>
              <w:jc w:val="right"/>
              <w:ind w:right="240"/>
              <w:spacing w:after="0"/>
              <w:rPr>
                <w:sz w:val="20"/>
                <w:szCs w:val="20"/>
                <w:color w:val="auto"/>
              </w:rPr>
            </w:pPr>
            <w:r>
              <w:rPr>
                <w:rFonts w:ascii="Arial" w:cs="Arial" w:eastAsia="Arial" w:hAnsi="Arial"/>
                <w:sz w:val="14"/>
                <w:szCs w:val="14"/>
                <w:color w:val="333333"/>
              </w:rPr>
              <w:t>14,569</w:t>
            </w:r>
          </w:p>
        </w:tc>
        <w:tc>
          <w:tcPr>
            <w:tcW w:w="980" w:type="dxa"/>
            <w:vAlign w:val="bottom"/>
            <w:tcBorders>
              <w:top w:val="single" w:sz="8" w:color="005C5D"/>
              <w:bottom w:val="single" w:sz="8" w:color="FCEFEB"/>
            </w:tcBorders>
            <w:gridSpan w:val="2"/>
            <w:shd w:val="clear" w:color="auto" w:fill="FCEFEB"/>
          </w:tcPr>
          <w:p>
            <w:pPr>
              <w:jc w:val="right"/>
              <w:ind w:right="169"/>
              <w:spacing w:after="0"/>
              <w:rPr>
                <w:sz w:val="20"/>
                <w:szCs w:val="20"/>
                <w:color w:val="auto"/>
              </w:rPr>
            </w:pPr>
            <w:r>
              <w:rPr>
                <w:rFonts w:ascii="Arial" w:cs="Arial" w:eastAsia="Arial" w:hAnsi="Arial"/>
                <w:sz w:val="14"/>
                <w:szCs w:val="14"/>
                <w:color w:val="333333"/>
              </w:rPr>
              <w:t>(142,495)</w:t>
            </w:r>
          </w:p>
        </w:tc>
        <w:tc>
          <w:tcPr>
            <w:tcW w:w="760" w:type="dxa"/>
            <w:vAlign w:val="bottom"/>
            <w:tcBorders>
              <w:top w:val="single" w:sz="8" w:color="005C5D"/>
              <w:bottom w:val="single" w:sz="8" w:color="FCEFEB"/>
            </w:tcBorders>
            <w:gridSpan w:val="2"/>
            <w:shd w:val="clear" w:color="auto" w:fill="FCEFEB"/>
          </w:tcPr>
          <w:p>
            <w:pPr>
              <w:jc w:val="right"/>
              <w:ind w:right="40"/>
              <w:spacing w:after="0"/>
              <w:rPr>
                <w:sz w:val="20"/>
                <w:szCs w:val="20"/>
                <w:color w:val="auto"/>
              </w:rPr>
            </w:pPr>
            <w:r>
              <w:rPr>
                <w:rFonts w:ascii="Arial" w:cs="Arial" w:eastAsia="Arial" w:hAnsi="Arial"/>
                <w:sz w:val="14"/>
                <w:szCs w:val="14"/>
                <w:color w:val="333333"/>
              </w:rPr>
              <w:t>1,528,470</w:t>
            </w:r>
          </w:p>
        </w:tc>
      </w:tr>
      <w:tr>
        <w:trPr>
          <w:trHeight w:val="27"/>
        </w:trPr>
        <w:tc>
          <w:tcPr>
            <w:tcW w:w="2180" w:type="dxa"/>
            <w:vAlign w:val="bottom"/>
            <w:shd w:val="clear" w:color="auto" w:fill="005C5D"/>
          </w:tcPr>
          <w:p>
            <w:pPr>
              <w:spacing w:after="0"/>
              <w:rPr>
                <w:sz w:val="2"/>
                <w:szCs w:val="2"/>
                <w:color w:val="auto"/>
              </w:rPr>
            </w:pPr>
          </w:p>
        </w:tc>
        <w:tc>
          <w:tcPr>
            <w:tcW w:w="200" w:type="dxa"/>
            <w:vAlign w:val="bottom"/>
            <w:shd w:val="clear" w:color="auto" w:fill="005C5D"/>
          </w:tcPr>
          <w:p>
            <w:pPr>
              <w:spacing w:after="0"/>
              <w:rPr>
                <w:sz w:val="2"/>
                <w:szCs w:val="2"/>
                <w:color w:val="auto"/>
              </w:rPr>
            </w:pPr>
          </w:p>
        </w:tc>
        <w:tc>
          <w:tcPr>
            <w:tcW w:w="60" w:type="dxa"/>
            <w:vAlign w:val="bottom"/>
            <w:shd w:val="clear" w:color="auto" w:fill="005C5D"/>
          </w:tcPr>
          <w:p>
            <w:pPr>
              <w:spacing w:after="0"/>
              <w:rPr>
                <w:sz w:val="2"/>
                <w:szCs w:val="2"/>
                <w:color w:val="auto"/>
              </w:rPr>
            </w:pPr>
          </w:p>
        </w:tc>
        <w:tc>
          <w:tcPr>
            <w:tcW w:w="960" w:type="dxa"/>
            <w:vAlign w:val="bottom"/>
            <w:shd w:val="clear" w:color="auto" w:fill="005C5D"/>
          </w:tcPr>
          <w:p>
            <w:pPr>
              <w:spacing w:after="0"/>
              <w:rPr>
                <w:sz w:val="2"/>
                <w:szCs w:val="2"/>
                <w:color w:val="auto"/>
              </w:rPr>
            </w:pPr>
          </w:p>
        </w:tc>
        <w:tc>
          <w:tcPr>
            <w:tcW w:w="240" w:type="dxa"/>
            <w:vAlign w:val="bottom"/>
            <w:shd w:val="clear" w:color="auto" w:fill="005C5D"/>
          </w:tcPr>
          <w:p>
            <w:pPr>
              <w:spacing w:after="0"/>
              <w:rPr>
                <w:sz w:val="2"/>
                <w:szCs w:val="2"/>
                <w:color w:val="auto"/>
              </w:rPr>
            </w:pPr>
          </w:p>
        </w:tc>
        <w:tc>
          <w:tcPr>
            <w:tcW w:w="920" w:type="dxa"/>
            <w:vAlign w:val="bottom"/>
            <w:shd w:val="clear" w:color="auto" w:fill="005C5D"/>
          </w:tcPr>
          <w:p>
            <w:pPr>
              <w:spacing w:after="0"/>
              <w:rPr>
                <w:sz w:val="2"/>
                <w:szCs w:val="2"/>
                <w:color w:val="auto"/>
              </w:rPr>
            </w:pPr>
          </w:p>
        </w:tc>
        <w:tc>
          <w:tcPr>
            <w:tcW w:w="320" w:type="dxa"/>
            <w:vAlign w:val="bottom"/>
            <w:shd w:val="clear" w:color="auto" w:fill="005C5D"/>
          </w:tcPr>
          <w:p>
            <w:pPr>
              <w:spacing w:after="0"/>
              <w:rPr>
                <w:sz w:val="2"/>
                <w:szCs w:val="2"/>
                <w:color w:val="auto"/>
              </w:rPr>
            </w:pPr>
          </w:p>
        </w:tc>
        <w:tc>
          <w:tcPr>
            <w:tcW w:w="820" w:type="dxa"/>
            <w:vAlign w:val="bottom"/>
            <w:shd w:val="clear" w:color="auto" w:fill="005C5D"/>
          </w:tcPr>
          <w:p>
            <w:pPr>
              <w:spacing w:after="0"/>
              <w:rPr>
                <w:sz w:val="2"/>
                <w:szCs w:val="2"/>
                <w:color w:val="auto"/>
              </w:rPr>
            </w:pPr>
          </w:p>
        </w:tc>
        <w:tc>
          <w:tcPr>
            <w:tcW w:w="320" w:type="dxa"/>
            <w:vAlign w:val="bottom"/>
            <w:shd w:val="clear" w:color="auto" w:fill="005C5D"/>
          </w:tcPr>
          <w:p>
            <w:pPr>
              <w:spacing w:after="0"/>
              <w:rPr>
                <w:sz w:val="2"/>
                <w:szCs w:val="2"/>
                <w:color w:val="auto"/>
              </w:rPr>
            </w:pPr>
          </w:p>
        </w:tc>
        <w:tc>
          <w:tcPr>
            <w:tcW w:w="880" w:type="dxa"/>
            <w:vAlign w:val="bottom"/>
            <w:shd w:val="clear" w:color="auto" w:fill="005C5D"/>
          </w:tcPr>
          <w:p>
            <w:pPr>
              <w:spacing w:after="0"/>
              <w:rPr>
                <w:sz w:val="2"/>
                <w:szCs w:val="2"/>
                <w:color w:val="auto"/>
              </w:rPr>
            </w:pPr>
          </w:p>
        </w:tc>
        <w:tc>
          <w:tcPr>
            <w:tcW w:w="240" w:type="dxa"/>
            <w:vAlign w:val="bottom"/>
            <w:shd w:val="clear" w:color="auto" w:fill="005C5D"/>
          </w:tcPr>
          <w:p>
            <w:pPr>
              <w:spacing w:after="0"/>
              <w:rPr>
                <w:sz w:val="2"/>
                <w:szCs w:val="2"/>
                <w:color w:val="auto"/>
              </w:rPr>
            </w:pPr>
          </w:p>
        </w:tc>
        <w:tc>
          <w:tcPr>
            <w:tcW w:w="900" w:type="dxa"/>
            <w:vAlign w:val="bottom"/>
            <w:shd w:val="clear" w:color="auto" w:fill="005C5D"/>
          </w:tcPr>
          <w:p>
            <w:pPr>
              <w:spacing w:after="0"/>
              <w:rPr>
                <w:sz w:val="2"/>
                <w:szCs w:val="2"/>
                <w:color w:val="auto"/>
              </w:rPr>
            </w:pPr>
          </w:p>
        </w:tc>
        <w:tc>
          <w:tcPr>
            <w:tcW w:w="280" w:type="dxa"/>
            <w:vAlign w:val="bottom"/>
            <w:shd w:val="clear" w:color="auto" w:fill="005C5D"/>
          </w:tcPr>
          <w:p>
            <w:pPr>
              <w:spacing w:after="0"/>
              <w:rPr>
                <w:sz w:val="2"/>
                <w:szCs w:val="2"/>
                <w:color w:val="auto"/>
              </w:rPr>
            </w:pPr>
          </w:p>
        </w:tc>
        <w:tc>
          <w:tcPr>
            <w:tcW w:w="860" w:type="dxa"/>
            <w:vAlign w:val="bottom"/>
            <w:shd w:val="clear" w:color="auto" w:fill="005C5D"/>
          </w:tcPr>
          <w:p>
            <w:pPr>
              <w:spacing w:after="0"/>
              <w:rPr>
                <w:sz w:val="2"/>
                <w:szCs w:val="2"/>
                <w:color w:val="auto"/>
              </w:rPr>
            </w:pPr>
          </w:p>
        </w:tc>
        <w:tc>
          <w:tcPr>
            <w:tcW w:w="40" w:type="dxa"/>
            <w:vAlign w:val="bottom"/>
            <w:shd w:val="clear" w:color="auto" w:fill="005C5D"/>
          </w:tcPr>
          <w:p>
            <w:pPr>
              <w:spacing w:after="0"/>
              <w:rPr>
                <w:sz w:val="2"/>
                <w:szCs w:val="2"/>
                <w:color w:val="auto"/>
              </w:rPr>
            </w:pPr>
          </w:p>
        </w:tc>
        <w:tc>
          <w:tcPr>
            <w:tcW w:w="940" w:type="dxa"/>
            <w:vAlign w:val="bottom"/>
            <w:shd w:val="clear" w:color="auto" w:fill="005C5D"/>
          </w:tcPr>
          <w:p>
            <w:pPr>
              <w:spacing w:after="0"/>
              <w:rPr>
                <w:sz w:val="2"/>
                <w:szCs w:val="2"/>
                <w:color w:val="auto"/>
              </w:rPr>
            </w:pPr>
          </w:p>
        </w:tc>
        <w:tc>
          <w:tcPr>
            <w:tcW w:w="40" w:type="dxa"/>
            <w:vAlign w:val="bottom"/>
            <w:shd w:val="clear" w:color="auto" w:fill="005C5D"/>
          </w:tcPr>
          <w:p>
            <w:pPr>
              <w:spacing w:after="0"/>
              <w:rPr>
                <w:sz w:val="2"/>
                <w:szCs w:val="2"/>
                <w:color w:val="auto"/>
              </w:rPr>
            </w:pPr>
          </w:p>
        </w:tc>
        <w:tc>
          <w:tcPr>
            <w:tcW w:w="720" w:type="dxa"/>
            <w:vAlign w:val="bottom"/>
            <w:shd w:val="clear" w:color="auto" w:fill="005C5D"/>
          </w:tcPr>
          <w:p>
            <w:pPr>
              <w:spacing w:after="0"/>
              <w:rPr>
                <w:sz w:val="2"/>
                <w:szCs w:val="2"/>
                <w:color w:val="auto"/>
              </w:rPr>
            </w:pPr>
          </w:p>
        </w:tc>
      </w:tr>
    </w:tbl>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333333"/>
        </w:rPr>
        <w:t>The following charts illustrate the relationship between CAP, the Company’s cumulative TSR, and peer group TSR over the three most recently completed fiscal years; CAP and GAAP net (loss) income; and CAP and adjusted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51435</wp:posOffset>
            </wp:positionV>
            <wp:extent cx="4305935" cy="25901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05935"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tabs>
          <w:tab w:leader="none" w:pos="1960" w:val="left"/>
          <w:tab w:leader="none" w:pos="14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43</w:t>
      </w:r>
    </w:p>
    <w:p>
      <w:pPr>
        <w:sectPr>
          <w:pgSz w:w="11900" w:h="16838" w:orient="portrait"/>
          <w:cols w:equalWidth="0" w:num="1">
            <w:col w:w="10920"/>
          </w:cols>
          <w:pgMar w:left="480" w:top="304" w:right="49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005C5D"/>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Pay Versus Performance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6929755" cy="54013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29755" cy="5401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79" w:lineRule="auto"/>
        <w:rPr>
          <w:sz w:val="20"/>
          <w:szCs w:val="20"/>
          <w:color w:val="auto"/>
        </w:rPr>
      </w:pPr>
      <w:r>
        <w:rPr>
          <w:rFonts w:ascii="Arial" w:cs="Arial" w:eastAsia="Arial" w:hAnsi="Arial"/>
          <w:sz w:val="16"/>
          <w:szCs w:val="16"/>
          <w:color w:val="333333"/>
        </w:rPr>
        <w:t>The following details an unranked list of the financial measures we believe to be the most important measures used to link executive compensation actually paid to Company performance for fiscal 2026:</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333333"/>
        </w:rPr>
        <w:t>Net Revenue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333333"/>
        </w:rPr>
        <w:t>Adjusted Operating Income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333333"/>
        </w:rPr>
        <w:t>Adjusted EPS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333333"/>
        </w:rPr>
        <w:t>Adjusted EBITDA</w:t>
      </w:r>
    </w:p>
    <w:p>
      <w:pPr>
        <w:spacing w:after="0" w:line="262" w:lineRule="exact"/>
        <w:rPr>
          <w:sz w:val="20"/>
          <w:szCs w:val="20"/>
          <w:color w:val="auto"/>
        </w:rPr>
      </w:pPr>
    </w:p>
    <w:p>
      <w:pPr>
        <w:spacing w:after="0"/>
        <w:tabs>
          <w:tab w:leader="none" w:pos="4760" w:val="left"/>
        </w:tabs>
        <w:rPr>
          <w:sz w:val="20"/>
          <w:szCs w:val="20"/>
          <w:color w:val="auto"/>
        </w:rPr>
      </w:pPr>
      <w:r>
        <w:rPr>
          <w:rFonts w:ascii="Arial" w:cs="Arial" w:eastAsia="Arial" w:hAnsi="Arial"/>
          <w:sz w:val="14"/>
          <w:szCs w:val="14"/>
          <w:color w:val="005C5D"/>
        </w:rPr>
        <w:t xml:space="preserve">44 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0920"/>
          </w:cols>
          <w:pgMar w:left="480" w:top="304"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Questions and Answers About the Proxy Materials and the 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94" w:lineRule="exact"/>
        <w:rPr>
          <w:sz w:val="20"/>
          <w:szCs w:val="20"/>
          <w:color w:val="auto"/>
        </w:rPr>
      </w:pPr>
    </w:p>
    <w:p>
      <w:pPr>
        <w:ind w:left="160" w:right="1040"/>
        <w:spacing w:after="0" w:line="283" w:lineRule="auto"/>
        <w:rPr>
          <w:sz w:val="20"/>
          <w:szCs w:val="20"/>
          <w:color w:val="auto"/>
        </w:rPr>
      </w:pPr>
      <w:r>
        <w:rPr>
          <w:rFonts w:ascii="Arial" w:cs="Arial" w:eastAsia="Arial" w:hAnsi="Arial"/>
          <w:sz w:val="27"/>
          <w:szCs w:val="27"/>
          <w:b w:val="1"/>
          <w:bCs w:val="1"/>
          <w:color w:val="005C5D"/>
        </w:rPr>
        <w:t>QUESTIONS AND ANSWERS ABOUT THE PROXY MATERIALS AND THE 2026 ANNUAL MEETING OF SHAREHOLDERS</w:t>
      </w:r>
    </w:p>
    <w:p>
      <w:pPr>
        <w:sectPr>
          <w:pgSz w:w="11900" w:h="16838" w:orient="portrait"/>
          <w:cols w:equalWidth="0" w:num="1">
            <w:col w:w="11080"/>
          </w:cols>
          <w:pgMar w:left="320" w:top="478" w:right="499" w:bottom="1440" w:gutter="0" w:footer="0" w:header="0"/>
        </w:sectPr>
      </w:pP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005C5D"/>
        </w:rPr>
        <w:t>Why am I receiving these materials?</w:t>
      </w:r>
    </w:p>
    <w:p>
      <w:pPr>
        <w:spacing w:after="0" w:line="108" w:lineRule="exact"/>
        <w:rPr>
          <w:sz w:val="20"/>
          <w:szCs w:val="20"/>
          <w:color w:val="auto"/>
        </w:rPr>
      </w:pPr>
    </w:p>
    <w:p>
      <w:pPr>
        <w:jc w:val="both"/>
        <w:ind w:left="160"/>
        <w:spacing w:after="0" w:line="247" w:lineRule="auto"/>
        <w:rPr>
          <w:sz w:val="20"/>
          <w:szCs w:val="20"/>
          <w:color w:val="auto"/>
        </w:rPr>
      </w:pPr>
      <w:r>
        <w:rPr>
          <w:rFonts w:ascii="Arial" w:cs="Arial" w:eastAsia="Arial" w:hAnsi="Arial"/>
          <w:sz w:val="16"/>
          <w:szCs w:val="16"/>
          <w:color w:val="333333"/>
        </w:rPr>
        <w:t>We are providing these proxy materials to you in connection with the solicitation, by the Board of Directors of Vera Bradley, Inc. (we, us, the “Company,” or “Vera Bradley”), of proxies to be voted at the Company’s 2026 Annual Meeting of Shareholders and at any adjournments or postponements of the meeting. The Annual Meeting is scheduled to be held on Thursday, June 4, 2026 beginning at 8:30 a.m., Eastern Time, at the Vera Bradley Design Center, 12420 Stonebridge Road, Roanoke, IN 46783. As a shareholder, you are invited to attend the Annual Meeting and are entitled and requested to vote on the proposals described in this Proxy Statement. This Proxy Statement and the accompanying proxy card are being mailed to shareholders starting on or about April 24, 2026. The mailing address of the Company’s principal executive offices is 12420 Stonebridge Road, Roanoke, Indiana 46783.</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05C5D"/>
        </w:rPr>
        <w:t>What proposals will be voted on at the Annual Meeting?</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Three proposals are scheduled to be voted on at the Annual Meeting:</w:t>
      </w:r>
    </w:p>
    <w:p>
      <w:pPr>
        <w:spacing w:after="0" w:line="124" w:lineRule="exact"/>
        <w:rPr>
          <w:sz w:val="20"/>
          <w:szCs w:val="20"/>
          <w:color w:val="auto"/>
        </w:rPr>
      </w:pPr>
    </w:p>
    <w:p>
      <w:pPr>
        <w:ind w:left="360" w:right="20" w:hanging="193"/>
        <w:spacing w:after="0" w:line="279" w:lineRule="auto"/>
        <w:tabs>
          <w:tab w:leader="none" w:pos="360" w:val="left"/>
        </w:tabs>
        <w:numPr>
          <w:ilvl w:val="0"/>
          <w:numId w:val="53"/>
        </w:numPr>
        <w:rPr>
          <w:rFonts w:ascii="Arial" w:cs="Arial" w:eastAsia="Arial" w:hAnsi="Arial"/>
          <w:sz w:val="16"/>
          <w:szCs w:val="16"/>
          <w:color w:val="333333"/>
        </w:rPr>
      </w:pPr>
      <w:r>
        <w:rPr>
          <w:rFonts w:ascii="Arial" w:cs="Arial" w:eastAsia="Arial" w:hAnsi="Arial"/>
          <w:sz w:val="16"/>
          <w:szCs w:val="16"/>
          <w:color w:val="333333"/>
        </w:rPr>
        <w:t>The election of six directors to the Board of Directors for a one-year term</w:t>
      </w:r>
    </w:p>
    <w:p>
      <w:pPr>
        <w:spacing w:after="0" w:line="67" w:lineRule="exact"/>
        <w:rPr>
          <w:rFonts w:ascii="Arial" w:cs="Arial" w:eastAsia="Arial" w:hAnsi="Arial"/>
          <w:sz w:val="16"/>
          <w:szCs w:val="16"/>
          <w:color w:val="333333"/>
        </w:rPr>
      </w:pPr>
    </w:p>
    <w:p>
      <w:pPr>
        <w:jc w:val="both"/>
        <w:ind w:left="360" w:hanging="193"/>
        <w:spacing w:after="0" w:line="262" w:lineRule="auto"/>
        <w:tabs>
          <w:tab w:leader="none" w:pos="360" w:val="left"/>
        </w:tabs>
        <w:numPr>
          <w:ilvl w:val="0"/>
          <w:numId w:val="53"/>
        </w:numPr>
        <w:rPr>
          <w:rFonts w:ascii="Arial" w:cs="Arial" w:eastAsia="Arial" w:hAnsi="Arial"/>
          <w:sz w:val="16"/>
          <w:szCs w:val="16"/>
          <w:color w:val="333333"/>
        </w:rPr>
      </w:pPr>
      <w:r>
        <w:rPr>
          <w:rFonts w:ascii="Arial" w:cs="Arial" w:eastAsia="Arial" w:hAnsi="Arial"/>
          <w:sz w:val="16"/>
          <w:szCs w:val="16"/>
          <w:color w:val="333333"/>
        </w:rPr>
        <w:t>The ratification of the appointment of Deloitte &amp; Touche LLP (“Deloitte”) as our independent registered public accounting firm for fiscal 2026</w:t>
      </w:r>
    </w:p>
    <w:p>
      <w:pPr>
        <w:spacing w:after="0" w:line="79" w:lineRule="exact"/>
        <w:rPr>
          <w:rFonts w:ascii="Arial" w:cs="Arial" w:eastAsia="Arial" w:hAnsi="Arial"/>
          <w:sz w:val="16"/>
          <w:szCs w:val="16"/>
          <w:color w:val="333333"/>
        </w:rPr>
      </w:pPr>
    </w:p>
    <w:p>
      <w:pPr>
        <w:ind w:left="360" w:hanging="193"/>
        <w:spacing w:after="0" w:line="279" w:lineRule="auto"/>
        <w:tabs>
          <w:tab w:leader="none" w:pos="360" w:val="left"/>
        </w:tabs>
        <w:numPr>
          <w:ilvl w:val="0"/>
          <w:numId w:val="53"/>
        </w:numPr>
        <w:rPr>
          <w:rFonts w:ascii="Arial" w:cs="Arial" w:eastAsia="Arial" w:hAnsi="Arial"/>
          <w:sz w:val="16"/>
          <w:szCs w:val="16"/>
          <w:color w:val="333333"/>
        </w:rPr>
      </w:pPr>
      <w:r>
        <w:rPr>
          <w:rFonts w:ascii="Arial" w:cs="Arial" w:eastAsia="Arial" w:hAnsi="Arial"/>
          <w:sz w:val="16"/>
          <w:szCs w:val="16"/>
          <w:color w:val="333333"/>
        </w:rPr>
        <w:t>The approval, on an advisory basis, of the compensation of our named executive officers (“NEOs”); and</w:t>
      </w:r>
    </w:p>
    <w:p>
      <w:pPr>
        <w:spacing w:after="0" w:line="67" w:lineRule="exact"/>
        <w:rPr>
          <w:rFonts w:ascii="Arial" w:cs="Arial" w:eastAsia="Arial" w:hAnsi="Arial"/>
          <w:sz w:val="16"/>
          <w:szCs w:val="16"/>
          <w:color w:val="333333"/>
        </w:rPr>
      </w:pPr>
    </w:p>
    <w:p>
      <w:pPr>
        <w:jc w:val="both"/>
        <w:ind w:left="360" w:hanging="193"/>
        <w:spacing w:after="0" w:line="262" w:lineRule="auto"/>
        <w:tabs>
          <w:tab w:leader="none" w:pos="360" w:val="left"/>
        </w:tabs>
        <w:numPr>
          <w:ilvl w:val="0"/>
          <w:numId w:val="53"/>
        </w:numPr>
        <w:rPr>
          <w:rFonts w:ascii="Arial" w:cs="Arial" w:eastAsia="Arial" w:hAnsi="Arial"/>
          <w:sz w:val="16"/>
          <w:szCs w:val="16"/>
          <w:color w:val="333333"/>
        </w:rPr>
      </w:pPr>
      <w:r>
        <w:rPr>
          <w:rFonts w:ascii="Arial" w:cs="Arial" w:eastAsia="Arial" w:hAnsi="Arial"/>
          <w:sz w:val="16"/>
          <w:szCs w:val="16"/>
          <w:color w:val="333333"/>
        </w:rPr>
        <w:t>The approval of an amendment to the Company’s 2020 Equity and Incentive Plan to increase the number of shares authorized for issuance by 3,000,000 shares.</w:t>
      </w:r>
    </w:p>
    <w:p>
      <w:pPr>
        <w:spacing w:after="0" w:line="173" w:lineRule="exact"/>
        <w:rPr>
          <w:sz w:val="20"/>
          <w:szCs w:val="20"/>
          <w:color w:val="auto"/>
        </w:rPr>
      </w:pPr>
    </w:p>
    <w:p>
      <w:pPr>
        <w:jc w:val="both"/>
        <w:ind w:left="160"/>
        <w:spacing w:after="0" w:line="251" w:lineRule="auto"/>
        <w:rPr>
          <w:sz w:val="20"/>
          <w:szCs w:val="20"/>
          <w:color w:val="auto"/>
        </w:rPr>
      </w:pPr>
      <w:r>
        <w:rPr>
          <w:rFonts w:ascii="Arial" w:cs="Arial" w:eastAsia="Arial" w:hAnsi="Arial"/>
          <w:sz w:val="16"/>
          <w:szCs w:val="16"/>
          <w:color w:val="333333"/>
        </w:rPr>
        <w:t>Our Board of Directors is not aware of any other matter that will be presented at the Annual Meeting. If any other matter is properly presented at the Annual Meeting, the persons named on your proxy will, in the absence of your instructions to the contrary, vote the shares for which such persons have voting authority in accordance with their discretion on the matter.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005C5D"/>
        </w:rPr>
        <w:t>What are the Board of Directors’ voting recommendations?</w:t>
      </w:r>
    </w:p>
    <w:p>
      <w:pPr>
        <w:spacing w:after="0" w:line="108" w:lineRule="exact"/>
        <w:rPr>
          <w:sz w:val="20"/>
          <w:szCs w:val="20"/>
          <w:color w:val="auto"/>
        </w:rPr>
      </w:pPr>
    </w:p>
    <w:p>
      <w:pPr>
        <w:ind w:left="7"/>
        <w:spacing w:after="0"/>
        <w:rPr>
          <w:sz w:val="20"/>
          <w:szCs w:val="20"/>
          <w:color w:val="auto"/>
        </w:rPr>
      </w:pPr>
      <w:r>
        <w:rPr>
          <w:rFonts w:ascii="Arial" w:cs="Arial" w:eastAsia="Arial" w:hAnsi="Arial"/>
          <w:sz w:val="16"/>
          <w:szCs w:val="16"/>
          <w:color w:val="333333"/>
        </w:rPr>
        <w:t>The Company’s Board of Directors recommends that you vote your shares:</w:t>
      </w:r>
    </w:p>
    <w:p>
      <w:pPr>
        <w:spacing w:after="0" w:line="124" w:lineRule="exact"/>
        <w:rPr>
          <w:sz w:val="20"/>
          <w:szCs w:val="20"/>
          <w:color w:val="auto"/>
        </w:rPr>
      </w:pPr>
    </w:p>
    <w:p>
      <w:pPr>
        <w:ind w:left="207" w:right="20" w:hanging="207"/>
        <w:spacing w:after="0" w:line="279" w:lineRule="auto"/>
        <w:tabs>
          <w:tab w:leader="none" w:pos="207" w:val="left"/>
        </w:tabs>
        <w:numPr>
          <w:ilvl w:val="0"/>
          <w:numId w:val="54"/>
        </w:numPr>
        <w:rPr>
          <w:rFonts w:ascii="Arial" w:cs="Arial" w:eastAsia="Arial" w:hAnsi="Arial"/>
          <w:sz w:val="16"/>
          <w:szCs w:val="16"/>
          <w:color w:val="333333"/>
        </w:rPr>
      </w:pPr>
      <w:r>
        <w:rPr>
          <w:rFonts w:ascii="Arial" w:cs="Arial" w:eastAsia="Arial" w:hAnsi="Arial"/>
          <w:sz w:val="16"/>
          <w:szCs w:val="16"/>
          <w:color w:val="333333"/>
        </w:rPr>
        <w:t>“</w:t>
      </w:r>
      <w:r>
        <w:rPr>
          <w:rFonts w:ascii="Arial" w:cs="Arial" w:eastAsia="Arial" w:hAnsi="Arial"/>
          <w:sz w:val="16"/>
          <w:szCs w:val="16"/>
          <w:b w:val="1"/>
          <w:bCs w:val="1"/>
          <w:color w:val="337C7D"/>
        </w:rPr>
        <w:t>FOR</w:t>
      </w:r>
      <w:r>
        <w:rPr>
          <w:rFonts w:ascii="Arial" w:cs="Arial" w:eastAsia="Arial" w:hAnsi="Arial"/>
          <w:sz w:val="16"/>
          <w:szCs w:val="16"/>
          <w:color w:val="333333"/>
        </w:rPr>
        <w:t>” the election of each of the director nominees to the Board of Directors</w:t>
      </w:r>
    </w:p>
    <w:p>
      <w:pPr>
        <w:spacing w:after="0" w:line="67" w:lineRule="exact"/>
        <w:rPr>
          <w:rFonts w:ascii="Arial" w:cs="Arial" w:eastAsia="Arial" w:hAnsi="Arial"/>
          <w:sz w:val="16"/>
          <w:szCs w:val="16"/>
          <w:color w:val="333333"/>
        </w:rPr>
      </w:pPr>
    </w:p>
    <w:p>
      <w:pPr>
        <w:ind w:left="207" w:right="20" w:hanging="207"/>
        <w:spacing w:after="0" w:line="279" w:lineRule="auto"/>
        <w:tabs>
          <w:tab w:leader="none" w:pos="207" w:val="left"/>
        </w:tabs>
        <w:numPr>
          <w:ilvl w:val="0"/>
          <w:numId w:val="54"/>
        </w:numPr>
        <w:rPr>
          <w:rFonts w:ascii="Arial" w:cs="Arial" w:eastAsia="Arial" w:hAnsi="Arial"/>
          <w:sz w:val="16"/>
          <w:szCs w:val="16"/>
          <w:color w:val="333333"/>
        </w:rPr>
      </w:pPr>
      <w:r>
        <w:rPr>
          <w:rFonts w:ascii="Arial" w:cs="Arial" w:eastAsia="Arial" w:hAnsi="Arial"/>
          <w:sz w:val="16"/>
          <w:szCs w:val="16"/>
          <w:color w:val="333333"/>
        </w:rPr>
        <w:t>“</w:t>
      </w:r>
      <w:r>
        <w:rPr>
          <w:rFonts w:ascii="Arial" w:cs="Arial" w:eastAsia="Arial" w:hAnsi="Arial"/>
          <w:sz w:val="16"/>
          <w:szCs w:val="16"/>
          <w:b w:val="1"/>
          <w:bCs w:val="1"/>
          <w:color w:val="337C7D"/>
        </w:rPr>
        <w:t>FOR</w:t>
      </w:r>
      <w:r>
        <w:rPr>
          <w:rFonts w:ascii="Arial" w:cs="Arial" w:eastAsia="Arial" w:hAnsi="Arial"/>
          <w:sz w:val="16"/>
          <w:szCs w:val="16"/>
          <w:color w:val="333333"/>
        </w:rPr>
        <w:t>” the ratification of the appointment of Deloitte as our independent registered public accounting firm for fiscal 2026</w:t>
      </w:r>
    </w:p>
    <w:p>
      <w:pPr>
        <w:spacing w:after="0" w:line="67" w:lineRule="exact"/>
        <w:rPr>
          <w:rFonts w:ascii="Arial" w:cs="Arial" w:eastAsia="Arial" w:hAnsi="Arial"/>
          <w:sz w:val="16"/>
          <w:szCs w:val="16"/>
          <w:color w:val="333333"/>
        </w:rPr>
      </w:pPr>
    </w:p>
    <w:p>
      <w:pPr>
        <w:ind w:left="207" w:hanging="207"/>
        <w:spacing w:after="0"/>
        <w:tabs>
          <w:tab w:leader="none" w:pos="207" w:val="left"/>
        </w:tabs>
        <w:numPr>
          <w:ilvl w:val="0"/>
          <w:numId w:val="54"/>
        </w:numPr>
        <w:rPr>
          <w:rFonts w:ascii="Arial" w:cs="Arial" w:eastAsia="Arial" w:hAnsi="Arial"/>
          <w:sz w:val="16"/>
          <w:szCs w:val="16"/>
          <w:color w:val="333333"/>
        </w:rPr>
      </w:pPr>
      <w:r>
        <w:rPr>
          <w:rFonts w:ascii="Arial" w:cs="Arial" w:eastAsia="Arial" w:hAnsi="Arial"/>
          <w:sz w:val="16"/>
          <w:szCs w:val="16"/>
          <w:color w:val="333333"/>
        </w:rPr>
        <w:t>“</w:t>
      </w:r>
      <w:r>
        <w:rPr>
          <w:rFonts w:ascii="Arial" w:cs="Arial" w:eastAsia="Arial" w:hAnsi="Arial"/>
          <w:sz w:val="16"/>
          <w:szCs w:val="16"/>
          <w:b w:val="1"/>
          <w:bCs w:val="1"/>
          <w:color w:val="337C7D"/>
        </w:rPr>
        <w:t>FOR</w:t>
      </w:r>
      <w:r>
        <w:rPr>
          <w:rFonts w:ascii="Arial" w:cs="Arial" w:eastAsia="Arial" w:hAnsi="Arial"/>
          <w:sz w:val="16"/>
          <w:szCs w:val="16"/>
          <w:color w:val="333333"/>
        </w:rPr>
        <w:t>” approval of the compensation of the NEOs; and</w:t>
      </w:r>
    </w:p>
    <w:p>
      <w:pPr>
        <w:spacing w:after="0" w:line="123" w:lineRule="exact"/>
        <w:rPr>
          <w:rFonts w:ascii="Arial" w:cs="Arial" w:eastAsia="Arial" w:hAnsi="Arial"/>
          <w:sz w:val="16"/>
          <w:szCs w:val="16"/>
          <w:color w:val="333333"/>
        </w:rPr>
      </w:pPr>
    </w:p>
    <w:p>
      <w:pPr>
        <w:jc w:val="both"/>
        <w:ind w:left="207" w:right="20" w:hanging="207"/>
        <w:spacing w:after="0" w:line="262" w:lineRule="auto"/>
        <w:tabs>
          <w:tab w:leader="none" w:pos="207" w:val="left"/>
        </w:tabs>
        <w:numPr>
          <w:ilvl w:val="0"/>
          <w:numId w:val="54"/>
        </w:numPr>
        <w:rPr>
          <w:rFonts w:ascii="Arial" w:cs="Arial" w:eastAsia="Arial" w:hAnsi="Arial"/>
          <w:sz w:val="16"/>
          <w:szCs w:val="16"/>
          <w:color w:val="333333"/>
        </w:rPr>
      </w:pPr>
      <w:r>
        <w:rPr>
          <w:rFonts w:ascii="Arial" w:cs="Arial" w:eastAsia="Arial" w:hAnsi="Arial"/>
          <w:sz w:val="16"/>
          <w:szCs w:val="16"/>
          <w:color w:val="333333"/>
        </w:rPr>
        <w:t>“</w:t>
      </w:r>
      <w:r>
        <w:rPr>
          <w:rFonts w:ascii="Arial" w:cs="Arial" w:eastAsia="Arial" w:hAnsi="Arial"/>
          <w:sz w:val="16"/>
          <w:szCs w:val="16"/>
          <w:b w:val="1"/>
          <w:bCs w:val="1"/>
          <w:color w:val="337C7D"/>
        </w:rPr>
        <w:t>FOR</w:t>
      </w:r>
      <w:r>
        <w:rPr>
          <w:rFonts w:ascii="Arial" w:cs="Arial" w:eastAsia="Arial" w:hAnsi="Arial"/>
          <w:sz w:val="16"/>
          <w:szCs w:val="16"/>
          <w:color w:val="333333"/>
        </w:rPr>
        <w:t>” approval of an amendment to the Company’s 2020 Equity and Incentive Plan to increase the number of shares authorized for issuance by 3,000,000 shares.</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005C5D"/>
        </w:rPr>
        <w:t>Who is entitled to vote?</w:t>
      </w:r>
    </w:p>
    <w:p>
      <w:pPr>
        <w:spacing w:after="0" w:line="108" w:lineRule="exact"/>
        <w:rPr>
          <w:sz w:val="20"/>
          <w:szCs w:val="20"/>
          <w:color w:val="auto"/>
        </w:rPr>
      </w:pPr>
    </w:p>
    <w:p>
      <w:pPr>
        <w:jc w:val="both"/>
        <w:ind w:left="7"/>
        <w:spacing w:after="0" w:line="247" w:lineRule="auto"/>
        <w:rPr>
          <w:sz w:val="20"/>
          <w:szCs w:val="20"/>
          <w:color w:val="auto"/>
        </w:rPr>
      </w:pPr>
      <w:r>
        <w:rPr>
          <w:rFonts w:ascii="Arial" w:cs="Arial" w:eastAsia="Arial" w:hAnsi="Arial"/>
          <w:sz w:val="16"/>
          <w:szCs w:val="16"/>
          <w:color w:val="333333"/>
        </w:rPr>
        <w:t>Only holders of record of our common shares at the close of business on April 8, 2026 (the “Record Date”), will be entitled to notice of and to vote at the Annual Meeting or at any postponements or adjournments thereof. If you hold your shares in “street name” and wish to vote your shares in person at the Annual Meeting, you must obtain a legal proxy from your broker, bank or other nominee (who is the shareholder of record), giving you the right to vote the shares; otherwise, your broker, bank or other nominee will vote for you pursuant to voting instructions provided by you, if any, and may vote only on routine matters. On the Record Date, 28,438,252 common shares were issued and outstanding. Each common share is entitled to one vote on each matter presented at the Annual Meeting.</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005C5D"/>
        </w:rPr>
        <w:t>What do I need to do now?</w:t>
      </w:r>
    </w:p>
    <w:p>
      <w:pPr>
        <w:spacing w:after="0" w:line="108" w:lineRule="exact"/>
        <w:rPr>
          <w:sz w:val="20"/>
          <w:szCs w:val="20"/>
          <w:color w:val="auto"/>
        </w:rPr>
      </w:pPr>
    </w:p>
    <w:p>
      <w:pPr>
        <w:jc w:val="both"/>
        <w:ind w:left="7"/>
        <w:spacing w:after="0" w:line="248" w:lineRule="auto"/>
        <w:rPr>
          <w:sz w:val="20"/>
          <w:szCs w:val="20"/>
          <w:color w:val="auto"/>
        </w:rPr>
      </w:pPr>
      <w:r>
        <w:rPr>
          <w:rFonts w:ascii="Arial" w:cs="Arial" w:eastAsia="Arial" w:hAnsi="Arial"/>
          <w:sz w:val="16"/>
          <w:szCs w:val="16"/>
          <w:color w:val="333333"/>
        </w:rPr>
        <w:t>Please carefully consider the information in this Proxy Statement and respond as soon as possible so that your shares will be represented at the meeting. You can respond by following the instructions for granting a proxy to vote on the proxy card or, for shares held by your broker, bank, or other nominee on the voting instruction card that your broker, bank, or other nominee provides to you. Alternatively, you may attend the Annual Meeting and vote your shares in person, in which case, only your in-person votes will count. Remember that you will need to obtain a legal proxy from your bank, broker, or nominee if your shares are held in “street name” and you wish to vote in person at the Annual Meeting.</w:t>
      </w:r>
    </w:p>
    <w:p>
      <w:pPr>
        <w:spacing w:after="0" w:line="200" w:lineRule="exact"/>
        <w:rPr>
          <w:sz w:val="20"/>
          <w:szCs w:val="20"/>
          <w:color w:val="auto"/>
        </w:rPr>
      </w:pPr>
    </w:p>
    <w:p>
      <w:pPr>
        <w:sectPr>
          <w:pgSz w:w="11900" w:h="16838" w:orient="portrait"/>
          <w:cols w:equalWidth="0" w:num="2">
            <w:col w:w="5400" w:space="333"/>
            <w:col w:w="5347"/>
          </w:cols>
          <w:pgMar w:left="320" w:top="478" w:right="499" w:bottom="1440" w:gutter="0" w:footer="0" w:header="0"/>
          <w:type w:val="continuous"/>
        </w:sectPr>
      </w:pPr>
    </w:p>
    <w:p>
      <w:pPr>
        <w:spacing w:after="0" w:line="57" w:lineRule="exact"/>
        <w:rPr>
          <w:sz w:val="20"/>
          <w:szCs w:val="20"/>
          <w:color w:val="auto"/>
        </w:rPr>
      </w:pPr>
    </w:p>
    <w:p>
      <w:pPr>
        <w:ind w:left="4940"/>
        <w:spacing w:after="0"/>
        <w:tabs>
          <w:tab w:leader="none" w:pos="9080" w:val="left"/>
          <w:tab w:leader="none" w:pos="1090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45</w:t>
      </w:r>
    </w:p>
    <w:p>
      <w:pPr>
        <w:sectPr>
          <w:pgSz w:w="11900" w:h="16838" w:orient="portrait"/>
          <w:cols w:equalWidth="0" w:num="1">
            <w:col w:w="11080"/>
          </w:cols>
          <w:pgMar w:left="320" w:top="478" w:right="49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Questions and Answers About the Proxy Materials and the 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8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005C5D"/>
        </w:rPr>
        <w:t>Do I need to attend the meeting?</w:t>
      </w:r>
    </w:p>
    <w:p>
      <w:pPr>
        <w:spacing w:after="0" w:line="108" w:lineRule="exact"/>
        <w:rPr>
          <w:sz w:val="20"/>
          <w:szCs w:val="20"/>
          <w:color w:val="auto"/>
        </w:rPr>
      </w:pPr>
    </w:p>
    <w:p>
      <w:pPr>
        <w:jc w:val="both"/>
        <w:ind w:left="160"/>
        <w:spacing w:after="0" w:line="256" w:lineRule="auto"/>
        <w:rPr>
          <w:sz w:val="20"/>
          <w:szCs w:val="20"/>
          <w:color w:val="auto"/>
        </w:rPr>
      </w:pPr>
      <w:r>
        <w:rPr>
          <w:rFonts w:ascii="Arial" w:cs="Arial" w:eastAsia="Arial" w:hAnsi="Arial"/>
          <w:sz w:val="16"/>
          <w:szCs w:val="16"/>
          <w:color w:val="333333"/>
        </w:rPr>
        <w:t>No. You may authorize your shares to be voted by following the instructions on the proxy card or, for shares held by your broker, bank, or other nominee on the voting instruction card that your broker or other nominee provides to you.</w:t>
      </w:r>
    </w:p>
    <w:p>
      <w:pPr>
        <w:spacing w:after="0" w:line="180" w:lineRule="exact"/>
        <w:rPr>
          <w:sz w:val="20"/>
          <w:szCs w:val="20"/>
          <w:color w:val="auto"/>
        </w:rPr>
      </w:pPr>
    </w:p>
    <w:p>
      <w:pPr>
        <w:jc w:val="both"/>
        <w:ind w:left="160"/>
        <w:spacing w:after="0" w:line="290" w:lineRule="auto"/>
        <w:rPr>
          <w:sz w:val="20"/>
          <w:szCs w:val="20"/>
          <w:color w:val="auto"/>
        </w:rPr>
      </w:pPr>
      <w:r>
        <w:rPr>
          <w:rFonts w:ascii="Arial" w:cs="Arial" w:eastAsia="Arial" w:hAnsi="Arial"/>
          <w:sz w:val="16"/>
          <w:szCs w:val="16"/>
          <w:b w:val="1"/>
          <w:bCs w:val="1"/>
          <w:i w:val="1"/>
          <w:iCs w:val="1"/>
          <w:color w:val="005C5D"/>
        </w:rPr>
        <w:t>If I wish to attend the meeting, what identification must I show to attend?</w:t>
      </w:r>
    </w:p>
    <w:p>
      <w:pPr>
        <w:spacing w:after="0" w:line="35" w:lineRule="exact"/>
        <w:rPr>
          <w:sz w:val="20"/>
          <w:szCs w:val="20"/>
          <w:color w:val="auto"/>
        </w:rPr>
      </w:pPr>
    </w:p>
    <w:p>
      <w:pPr>
        <w:jc w:val="both"/>
        <w:ind w:left="160"/>
        <w:spacing w:after="0" w:line="279" w:lineRule="auto"/>
        <w:rPr>
          <w:sz w:val="20"/>
          <w:szCs w:val="20"/>
          <w:color w:val="auto"/>
        </w:rPr>
      </w:pPr>
      <w:r>
        <w:rPr>
          <w:rFonts w:ascii="Arial" w:cs="Arial" w:eastAsia="Arial" w:hAnsi="Arial"/>
          <w:sz w:val="16"/>
          <w:szCs w:val="16"/>
          <w:color w:val="333333"/>
        </w:rPr>
        <w:t>All shareholders should bring a driver’s license, passport, or other form of government-issued identification to verify their identities. In addition:</w:t>
      </w:r>
    </w:p>
    <w:p>
      <w:pPr>
        <w:spacing w:after="0" w:line="67" w:lineRule="exact"/>
        <w:rPr>
          <w:sz w:val="20"/>
          <w:szCs w:val="20"/>
          <w:color w:val="auto"/>
        </w:rPr>
      </w:pPr>
    </w:p>
    <w:p>
      <w:pPr>
        <w:jc w:val="both"/>
        <w:ind w:left="360" w:hanging="193"/>
        <w:spacing w:after="0" w:line="251" w:lineRule="auto"/>
        <w:tabs>
          <w:tab w:leader="none" w:pos="360" w:val="left"/>
        </w:tabs>
        <w:numPr>
          <w:ilvl w:val="0"/>
          <w:numId w:val="55"/>
        </w:numPr>
        <w:rPr>
          <w:rFonts w:ascii="Arial" w:cs="Arial" w:eastAsia="Arial" w:hAnsi="Arial"/>
          <w:sz w:val="16"/>
          <w:szCs w:val="16"/>
          <w:color w:val="333333"/>
        </w:rPr>
      </w:pPr>
      <w:r>
        <w:rPr>
          <w:rFonts w:ascii="Arial" w:cs="Arial" w:eastAsia="Arial" w:hAnsi="Arial"/>
          <w:sz w:val="16"/>
          <w:szCs w:val="16"/>
          <w:color w:val="333333"/>
        </w:rPr>
        <w:t>If your shares are held through a broker, bank, or other nominee (known as holding your shares in “street name”), you will need to bring either (1) a letter from your broker, bank, or other nominee stating that you held the Company’s shares through that institution as of the Record Date or (2) a copy of the notice of Annual Meeting document you received in the mail.</w:t>
      </w:r>
    </w:p>
    <w:p>
      <w:pPr>
        <w:spacing w:after="0" w:line="183"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color w:val="333333"/>
        </w:rPr>
        <w:t>If you are a registered shareholder (meaning, your shares are held directly with the Company’s transfer agent), you do not need anything additional because we can check your name against the list of registered shareholders at the door; however, it is a good idea to bring this notice of Annual Meeting document you received in the mail. Shareholders whose shares are held jointly or through a company, group, or other institution may bring one other person with them to attend the meeting. Please understand that, for security reasons, we cannot admit to the meeting people who lack the proper identification.</w:t>
      </w:r>
    </w:p>
    <w:p>
      <w:pPr>
        <w:spacing w:after="0" w:line="190" w:lineRule="exact"/>
        <w:rPr>
          <w:sz w:val="20"/>
          <w:szCs w:val="20"/>
          <w:color w:val="auto"/>
        </w:rPr>
      </w:pPr>
    </w:p>
    <w:p>
      <w:pPr>
        <w:jc w:val="both"/>
        <w:ind w:left="160"/>
        <w:spacing w:after="0" w:line="290" w:lineRule="auto"/>
        <w:rPr>
          <w:sz w:val="20"/>
          <w:szCs w:val="20"/>
          <w:color w:val="auto"/>
        </w:rPr>
      </w:pPr>
      <w:r>
        <w:rPr>
          <w:rFonts w:ascii="Arial" w:cs="Arial" w:eastAsia="Arial" w:hAnsi="Arial"/>
          <w:sz w:val="16"/>
          <w:szCs w:val="16"/>
          <w:b w:val="1"/>
          <w:bCs w:val="1"/>
          <w:i w:val="1"/>
          <w:iCs w:val="1"/>
          <w:color w:val="005C5D"/>
        </w:rPr>
        <w:t>How do I vote shares that are held by my broker, bank, or other nominee?</w:t>
      </w:r>
    </w:p>
    <w:p>
      <w:pPr>
        <w:spacing w:after="0" w:line="35"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color w:val="333333"/>
        </w:rPr>
        <w:t>If you have shares held by a broker, bank, or other nominee, you may instruct your broker, bank, or other nominee to vote your shares by following the instructions that your broker, bank, or other nominee provides to you. Most brokers offer voting by mail, telephone, and the Internet. Shares held in street name may be voted in person by you at the Annual Meeting only if you obtain a signed proxy from the record holder giving you the right to vote the shares.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005C5D"/>
        </w:rPr>
        <w:t>What is the quorum requirement for the Annual Meeting?</w:t>
      </w:r>
    </w:p>
    <w:p>
      <w:pPr>
        <w:spacing w:after="0" w:line="108"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color w:val="333333"/>
        </w:rPr>
        <w:t>A quorum is necessary for the Company’s shareholders to conduct business at the Annual Meeting. The presence at the meeting, in person or by proxy, of the holders of a majority of the shares entitled to vote on the Record Date will constitute a quorum, permitting us to conduct the business of the meeting. Proxies received but</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33333"/>
        </w:rPr>
        <w:t>marked as abstentions, if any, and broker non-votes, described below, will be included in the calculation of the number of shares considered to be present at the meeting for quorum purposes.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C5D"/>
        </w:rPr>
        <w:t>What is the voting requirement to approve each of the proposals?</w:t>
      </w:r>
    </w:p>
    <w:p>
      <w:pPr>
        <w:spacing w:after="0" w:line="10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333333"/>
        </w:rPr>
        <w:t>Six directors have been nominated for election at the Annual Meeting. Directors will be elected by a plurality of the votes properly cast in the election of directors at the Annual Meeting. This means that the six nominees who receive the largest number of “FOR” votes cast will be elected as directors. Shareholders cannot cumulate votes in the election of directors.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The proposals to (i) ratify the appointment of Deloitte as our independent registered public accounting firm and (ii) approve, on an advisory basis, the compensation of our NEOs will be approved if the votes properly cast favoring the proposal exceed the votes properly cast opposing the proposal.</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33333"/>
        </w:rPr>
        <w:t>The vote on the compensation of our NEOs is advisory, and the results thereof will not be binding on us, the Board of Directors, or the Talent and Compensation Committee.</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005C5D"/>
        </w:rPr>
        <w:t>What does it mean if I receive more than one proxy or voting instruction card?</w:t>
      </w:r>
    </w:p>
    <w:p>
      <w:pPr>
        <w:spacing w:after="0" w:line="3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33333"/>
        </w:rPr>
        <w:t>It means your shares are registered differently or are in more than one account. Please provide voting instructions for all proxy and voting instruction cards you receive.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C5D"/>
        </w:rPr>
        <w:t>Who will count the vote?</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33333"/>
        </w:rPr>
        <w:t>A representative of Broadridge Financial Solutions, Inc., the Company’s mailing agent, will tabulate the votes. Mark C. Dely, the Company’s Secretary, will act as the inspector of election.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C5D"/>
        </w:rPr>
        <w:t>How are broker non-votes counted? What if I abstain?</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333333"/>
        </w:rPr>
        <w:t>When a proposal is not a routine matter and a brokerage firm has not received voting instructions from the beneficial owner of the shares with respect to that proposal, the brokerage firm cannot vote the shares on that proposal. This is called a broker non-vote. Absent instructions, your broker will NOT be able to vote your shares with respect to the election of directors or the approval of NEO compensation, because these matters are considered to be “non-routine” matters. Abstentions and broker non-votes will be counted for purposes of determining whether a quorum is present, but will generally have no effect on these proposals because they are not considered votes cast.</w:t>
      </w:r>
    </w:p>
    <w:p>
      <w:pPr>
        <w:spacing w:after="0" w:line="200"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57" w:lineRule="exact"/>
        <w:rPr>
          <w:sz w:val="20"/>
          <w:szCs w:val="20"/>
          <w:color w:val="auto"/>
        </w:rPr>
      </w:pPr>
    </w:p>
    <w:p>
      <w:pPr>
        <w:ind w:left="160"/>
        <w:spacing w:after="0"/>
        <w:tabs>
          <w:tab w:leader="none" w:pos="4920" w:val="left"/>
        </w:tabs>
        <w:rPr>
          <w:sz w:val="20"/>
          <w:szCs w:val="20"/>
          <w:color w:val="auto"/>
        </w:rPr>
      </w:pPr>
      <w:r>
        <w:rPr>
          <w:rFonts w:ascii="Arial" w:cs="Arial" w:eastAsia="Arial" w:hAnsi="Arial"/>
          <w:sz w:val="14"/>
          <w:szCs w:val="14"/>
          <w:color w:val="005C5D"/>
        </w:rPr>
        <w:t xml:space="preserve">46 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1080"/>
          </w:cols>
          <w:pgMar w:left="320" w:top="478" w:right="49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Questions and Answers About the Proxy Materials and the 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82" w:lineRule="exact"/>
        <w:rPr>
          <w:sz w:val="20"/>
          <w:szCs w:val="20"/>
          <w:color w:val="auto"/>
        </w:rPr>
      </w:pPr>
    </w:p>
    <w:p>
      <w:pPr>
        <w:jc w:val="both"/>
        <w:ind w:left="160"/>
        <w:spacing w:after="0" w:line="251" w:lineRule="auto"/>
        <w:rPr>
          <w:sz w:val="20"/>
          <w:szCs w:val="20"/>
          <w:color w:val="auto"/>
        </w:rPr>
      </w:pPr>
      <w:r>
        <w:rPr>
          <w:rFonts w:ascii="Arial" w:cs="Arial" w:eastAsia="Arial" w:hAnsi="Arial"/>
          <w:sz w:val="16"/>
          <w:szCs w:val="16"/>
          <w:b w:val="1"/>
          <w:bCs w:val="1"/>
          <w:color w:val="337C7D"/>
        </w:rPr>
        <w:t xml:space="preserve">We strongly encourage you to vote your shares and exercise your right to vote as a shareholder. </w:t>
      </w:r>
      <w:r>
        <w:rPr>
          <w:rFonts w:ascii="Arial" w:cs="Arial" w:eastAsia="Arial" w:hAnsi="Arial"/>
          <w:sz w:val="16"/>
          <w:szCs w:val="16"/>
          <w:color w:val="333333"/>
        </w:rPr>
        <w:t>We also encourage all shareholders to</w:t>
      </w:r>
      <w:r>
        <w:rPr>
          <w:rFonts w:ascii="Arial" w:cs="Arial" w:eastAsia="Arial" w:hAnsi="Arial"/>
          <w:sz w:val="16"/>
          <w:szCs w:val="16"/>
          <w:b w:val="1"/>
          <w:bCs w:val="1"/>
          <w:color w:val="337C7D"/>
        </w:rPr>
        <w:t xml:space="preserve"> </w:t>
      </w:r>
      <w:r>
        <w:rPr>
          <w:rFonts w:ascii="Arial" w:cs="Arial" w:eastAsia="Arial" w:hAnsi="Arial"/>
          <w:sz w:val="16"/>
          <w:szCs w:val="16"/>
          <w:color w:val="333333"/>
        </w:rPr>
        <w:t>take advantage of Internet and telephone voting in advance even if planning on attending the Annual Meeting since this will make the tabulation process easier and ensures your vote is counted if for some reason you are unable to attend.</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005C5D"/>
        </w:rPr>
        <w:t>Can I revoke my proxy or change my vote?</w:t>
      </w:r>
    </w:p>
    <w:p>
      <w:pPr>
        <w:spacing w:after="0" w:line="108" w:lineRule="exact"/>
        <w:rPr>
          <w:sz w:val="20"/>
          <w:szCs w:val="20"/>
          <w:color w:val="auto"/>
        </w:rPr>
      </w:pPr>
    </w:p>
    <w:p>
      <w:pPr>
        <w:jc w:val="both"/>
        <w:ind w:left="160"/>
        <w:spacing w:after="0" w:line="279" w:lineRule="auto"/>
        <w:rPr>
          <w:sz w:val="20"/>
          <w:szCs w:val="20"/>
          <w:color w:val="auto"/>
        </w:rPr>
      </w:pPr>
      <w:r>
        <w:rPr>
          <w:rFonts w:ascii="Arial" w:cs="Arial" w:eastAsia="Arial" w:hAnsi="Arial"/>
          <w:sz w:val="16"/>
          <w:szCs w:val="16"/>
          <w:color w:val="333333"/>
        </w:rPr>
        <w:t>Yes. You may revoke your proxy or change your voting instructions at any time prior to the vote at the Annual Meeting by:</w:t>
      </w:r>
    </w:p>
    <w:p>
      <w:pPr>
        <w:spacing w:after="0" w:line="67" w:lineRule="exact"/>
        <w:rPr>
          <w:sz w:val="20"/>
          <w:szCs w:val="20"/>
          <w:color w:val="auto"/>
        </w:rPr>
      </w:pPr>
    </w:p>
    <w:p>
      <w:pPr>
        <w:ind w:left="360" w:hanging="193"/>
        <w:spacing w:after="0"/>
        <w:tabs>
          <w:tab w:leader="none" w:pos="360" w:val="left"/>
        </w:tabs>
        <w:numPr>
          <w:ilvl w:val="0"/>
          <w:numId w:val="56"/>
        </w:numPr>
        <w:rPr>
          <w:rFonts w:ascii="Arial" w:cs="Arial" w:eastAsia="Arial" w:hAnsi="Arial"/>
          <w:sz w:val="16"/>
          <w:szCs w:val="16"/>
          <w:color w:val="333333"/>
        </w:rPr>
      </w:pPr>
      <w:r>
        <w:rPr>
          <w:rFonts w:ascii="Arial" w:cs="Arial" w:eastAsia="Arial" w:hAnsi="Arial"/>
          <w:sz w:val="16"/>
          <w:szCs w:val="16"/>
          <w:color w:val="333333"/>
        </w:rPr>
        <w:t>providing written notice to the Secretary of the Company;</w:t>
      </w:r>
    </w:p>
    <w:p>
      <w:pPr>
        <w:spacing w:after="0" w:line="123" w:lineRule="exact"/>
        <w:rPr>
          <w:rFonts w:ascii="Arial" w:cs="Arial" w:eastAsia="Arial" w:hAnsi="Arial"/>
          <w:sz w:val="16"/>
          <w:szCs w:val="16"/>
          <w:color w:val="333333"/>
        </w:rPr>
      </w:pPr>
    </w:p>
    <w:p>
      <w:pPr>
        <w:ind w:left="360" w:hanging="193"/>
        <w:spacing w:after="0" w:line="279" w:lineRule="auto"/>
        <w:tabs>
          <w:tab w:leader="none" w:pos="360" w:val="left"/>
        </w:tabs>
        <w:numPr>
          <w:ilvl w:val="0"/>
          <w:numId w:val="56"/>
        </w:numPr>
        <w:rPr>
          <w:rFonts w:ascii="Arial" w:cs="Arial" w:eastAsia="Arial" w:hAnsi="Arial"/>
          <w:sz w:val="16"/>
          <w:szCs w:val="16"/>
          <w:color w:val="333333"/>
        </w:rPr>
      </w:pPr>
      <w:r>
        <w:rPr>
          <w:rFonts w:ascii="Arial" w:cs="Arial" w:eastAsia="Arial" w:hAnsi="Arial"/>
          <w:sz w:val="16"/>
          <w:szCs w:val="16"/>
          <w:color w:val="333333"/>
        </w:rPr>
        <w:t>delivering a valid, later-dated proxy or a later-dated vote on the Internet or by telephone; or</w:t>
      </w:r>
    </w:p>
    <w:p>
      <w:pPr>
        <w:spacing w:after="0" w:line="67" w:lineRule="exact"/>
        <w:rPr>
          <w:rFonts w:ascii="Arial" w:cs="Arial" w:eastAsia="Arial" w:hAnsi="Arial"/>
          <w:sz w:val="16"/>
          <w:szCs w:val="16"/>
          <w:color w:val="333333"/>
        </w:rPr>
      </w:pPr>
    </w:p>
    <w:p>
      <w:pPr>
        <w:ind w:left="360" w:hanging="193"/>
        <w:spacing w:after="0"/>
        <w:tabs>
          <w:tab w:leader="none" w:pos="360" w:val="left"/>
        </w:tabs>
        <w:numPr>
          <w:ilvl w:val="0"/>
          <w:numId w:val="56"/>
        </w:numPr>
        <w:rPr>
          <w:rFonts w:ascii="Arial" w:cs="Arial" w:eastAsia="Arial" w:hAnsi="Arial"/>
          <w:sz w:val="16"/>
          <w:szCs w:val="16"/>
          <w:color w:val="333333"/>
        </w:rPr>
      </w:pPr>
      <w:r>
        <w:rPr>
          <w:rFonts w:ascii="Arial" w:cs="Arial" w:eastAsia="Arial" w:hAnsi="Arial"/>
          <w:sz w:val="16"/>
          <w:szCs w:val="16"/>
          <w:color w:val="333333"/>
        </w:rPr>
        <w:t>attending the Annual Meeting and voting in person.</w:t>
      </w:r>
    </w:p>
    <w:p>
      <w:pPr>
        <w:spacing w:after="0" w:line="217" w:lineRule="exact"/>
        <w:rPr>
          <w:sz w:val="20"/>
          <w:szCs w:val="20"/>
          <w:color w:val="auto"/>
        </w:rPr>
      </w:pPr>
    </w:p>
    <w:p>
      <w:pPr>
        <w:jc w:val="both"/>
        <w:ind w:left="160"/>
        <w:spacing w:after="0" w:line="249" w:lineRule="auto"/>
        <w:rPr>
          <w:sz w:val="20"/>
          <w:szCs w:val="20"/>
          <w:color w:val="auto"/>
        </w:rPr>
      </w:pPr>
      <w:r>
        <w:rPr>
          <w:rFonts w:ascii="Arial" w:cs="Arial" w:eastAsia="Arial" w:hAnsi="Arial"/>
          <w:sz w:val="16"/>
          <w:szCs w:val="16"/>
          <w:color w:val="333333"/>
        </w:rPr>
        <w:t>Please note that your attendance in person at the Annual Meeting will not cause your previously granted proxy to be revoked unless you specifically so request. Shares held in street name may be voted in person by you at the Annual Meeting only if you obtain a signed proxy from the record holder giving you the right to vote the shares. If your shares are held in street name, you must contact your brokerage firm, bank, or other nominee to change your vote or obtain a proxy to vote your shares if you wish to cast your votes in person at the meeting.</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005C5D"/>
        </w:rPr>
        <w:t>Who will bear the cost of soliciting votes for the Annual Meeting?</w:t>
      </w:r>
    </w:p>
    <w:p>
      <w:pPr>
        <w:spacing w:after="0" w:line="108" w:lineRule="exact"/>
        <w:rPr>
          <w:sz w:val="20"/>
          <w:szCs w:val="20"/>
          <w:color w:val="auto"/>
        </w:rPr>
      </w:pPr>
    </w:p>
    <w:p>
      <w:pPr>
        <w:jc w:val="both"/>
        <w:ind w:left="160"/>
        <w:spacing w:after="0" w:line="248" w:lineRule="auto"/>
        <w:rPr>
          <w:sz w:val="20"/>
          <w:szCs w:val="20"/>
          <w:color w:val="auto"/>
        </w:rPr>
      </w:pPr>
      <w:r>
        <w:rPr>
          <w:rFonts w:ascii="Arial" w:cs="Arial" w:eastAsia="Arial" w:hAnsi="Arial"/>
          <w:sz w:val="16"/>
          <w:szCs w:val="16"/>
          <w:color w:val="333333"/>
        </w:rPr>
        <w:t>The Company is soliciting your proxy and will pay the entire cost of preparing, assembling, printing, mailing, and distributing these proxy materials. In addition to the mailing of these proxy materials, the solicitation of proxies or votes may be made in person, by telephone, or by electronic and facsimile transmission by our directors, officers, and employees, who will not receive any additional compensation for such solicitation activities. We may reimburse brokerage firms and other persons representing beneficial owners of our common shares for their expenses in forwarding solicitation material to such beneficial owners.</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i w:val="1"/>
          <w:iCs w:val="1"/>
          <w:color w:val="005C5D"/>
        </w:rPr>
        <w:t>I share an address with another shareholder and we received only one paper copy of the proxy materials. How may I obtain an additional copy of the proxy materials?</w:t>
      </w:r>
    </w:p>
    <w:p>
      <w:pPr>
        <w:spacing w:after="0" w:line="5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333333"/>
        </w:rPr>
        <w:t>The Company has adopted a procedure called “householding,” which the Securities and Exchange Commission (the “SEC”) has approved. Under this procedure, the Company is delivering a single copy of this Proxy Statement to multiple shareholders who share the same address unless the Company has received contrary instructions from one or more of the shareholders. This procedure is environmentally responsible and reduces the Company’s printing costs, mailing costs, and fees. Shareholders who participate in householding will continue to be able to access and receive separate proxy cards. Upon written or oral request, a separate copy of this Proxy Statement will be promptly delivered to any shareholder at a shared address to which the Company delivered a single copy. To receive a separate copy of this Proxy Statement, or a separate copy of future proxy statements, shareholders may write or call Broadridge Financial Solutions, Inc. at the following address and telephone number: Householding Department, 51 Mercedes Way, Edgewood, New York 11717 or 1-800-542-1061. Shareholders who hold shares in street name may contact their brokerage firm, bank, broker-dealer, or other similar organization to request information about householding.</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005C5D"/>
        </w:rPr>
        <w:t>Can I access the Company’s proxy materials and Annual Report electronically?</w:t>
      </w:r>
    </w:p>
    <w:p>
      <w:pPr>
        <w:spacing w:after="0" w:line="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333333"/>
        </w:rPr>
        <w:t>This Proxy Statement and copies of the Company’s Annual Report on Form 10-K for the fiscal year ended January 31, 2026, as filed with the SEC, are available to shareholders free of charge in the “Investor Relations” section of the Company’s website at www.verabradley.com or by writing to Vera Bradley, Inc., 12420 Stonebridge Road, Roanoke, Indiana 46783.</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5C5D"/>
        </w:rPr>
        <w:t>Where can I find the voting results of the Annual Meeting?</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333333"/>
        </w:rPr>
        <w:t>The Company will announce preliminary voting results at the Annual Meeting and publish results in a Current Report on Form 8-K within four business days of the Annual Meeting.</w:t>
      </w:r>
    </w:p>
    <w:p>
      <w:pPr>
        <w:spacing w:after="0" w:line="278"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60" w:lineRule="exact"/>
        <w:rPr>
          <w:sz w:val="20"/>
          <w:szCs w:val="20"/>
          <w:color w:val="auto"/>
        </w:rPr>
      </w:pPr>
    </w:p>
    <w:p>
      <w:pPr>
        <w:ind w:left="4940"/>
        <w:spacing w:after="0"/>
        <w:tabs>
          <w:tab w:leader="none" w:pos="9080" w:val="left"/>
          <w:tab w:leader="none" w:pos="1090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47</w:t>
      </w:r>
    </w:p>
    <w:p>
      <w:pPr>
        <w:sectPr>
          <w:pgSz w:w="11900" w:h="16838" w:orient="portrait"/>
          <w:cols w:equalWidth="0" w:num="1">
            <w:col w:w="11080"/>
          </w:cols>
          <w:pgMar w:left="320" w:top="478" w:right="4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Share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27"/>
          <w:szCs w:val="27"/>
          <w:b w:val="1"/>
          <w:bCs w:val="1"/>
          <w:color w:val="005C5D"/>
        </w:rPr>
        <w:t>SHARE OWNERSHIP OF CERTAIN BENEFICIAL OWNERS AND MANAGEMENT</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6"/>
          <w:szCs w:val="16"/>
          <w:color w:val="333333"/>
        </w:rPr>
        <w:t>The following table sets forth certain information regarding ownership of our common shares as of April 8, 2026 for the following individuals:</w:t>
      </w:r>
    </w:p>
    <w:p>
      <w:pPr>
        <w:spacing w:after="0" w:line="124" w:lineRule="exact"/>
        <w:rPr>
          <w:sz w:val="20"/>
          <w:szCs w:val="20"/>
          <w:color w:val="auto"/>
        </w:rPr>
      </w:pPr>
    </w:p>
    <w:p>
      <w:pPr>
        <w:ind w:left="380" w:hanging="213"/>
        <w:spacing w:after="0"/>
        <w:tabs>
          <w:tab w:leader="none" w:pos="380" w:val="left"/>
        </w:tabs>
        <w:numPr>
          <w:ilvl w:val="0"/>
          <w:numId w:val="57"/>
        </w:numPr>
        <w:rPr>
          <w:rFonts w:ascii="Arial" w:cs="Arial" w:eastAsia="Arial" w:hAnsi="Arial"/>
          <w:sz w:val="16"/>
          <w:szCs w:val="16"/>
          <w:color w:val="333333"/>
        </w:rPr>
      </w:pPr>
      <w:r>
        <w:rPr>
          <w:rFonts w:ascii="Arial" w:cs="Arial" w:eastAsia="Arial" w:hAnsi="Arial"/>
          <w:sz w:val="16"/>
          <w:szCs w:val="16"/>
          <w:color w:val="333333"/>
        </w:rPr>
        <w:t>each person known to us to own beneficially more than 5% of our outstanding common shares;</w:t>
      </w:r>
    </w:p>
    <w:p>
      <w:pPr>
        <w:spacing w:after="0" w:line="123" w:lineRule="exact"/>
        <w:rPr>
          <w:rFonts w:ascii="Arial" w:cs="Arial" w:eastAsia="Arial" w:hAnsi="Arial"/>
          <w:sz w:val="16"/>
          <w:szCs w:val="16"/>
          <w:color w:val="333333"/>
        </w:rPr>
      </w:pPr>
    </w:p>
    <w:p>
      <w:pPr>
        <w:ind w:left="380" w:hanging="213"/>
        <w:spacing w:after="0"/>
        <w:tabs>
          <w:tab w:leader="none" w:pos="380" w:val="left"/>
        </w:tabs>
        <w:numPr>
          <w:ilvl w:val="0"/>
          <w:numId w:val="57"/>
        </w:numPr>
        <w:rPr>
          <w:rFonts w:ascii="Arial" w:cs="Arial" w:eastAsia="Arial" w:hAnsi="Arial"/>
          <w:sz w:val="16"/>
          <w:szCs w:val="16"/>
          <w:color w:val="333333"/>
        </w:rPr>
      </w:pPr>
      <w:r>
        <w:rPr>
          <w:rFonts w:ascii="Arial" w:cs="Arial" w:eastAsia="Arial" w:hAnsi="Arial"/>
          <w:sz w:val="16"/>
          <w:szCs w:val="16"/>
          <w:color w:val="333333"/>
        </w:rPr>
        <w:t>each of our executive officers named in the summary compensation table;</w:t>
      </w:r>
    </w:p>
    <w:p>
      <w:pPr>
        <w:spacing w:after="0" w:line="123" w:lineRule="exact"/>
        <w:rPr>
          <w:rFonts w:ascii="Arial" w:cs="Arial" w:eastAsia="Arial" w:hAnsi="Arial"/>
          <w:sz w:val="16"/>
          <w:szCs w:val="16"/>
          <w:color w:val="333333"/>
        </w:rPr>
      </w:pPr>
    </w:p>
    <w:p>
      <w:pPr>
        <w:ind w:left="380" w:hanging="213"/>
        <w:spacing w:after="0"/>
        <w:tabs>
          <w:tab w:leader="none" w:pos="380" w:val="left"/>
        </w:tabs>
        <w:numPr>
          <w:ilvl w:val="0"/>
          <w:numId w:val="57"/>
        </w:numPr>
        <w:rPr>
          <w:rFonts w:ascii="Arial" w:cs="Arial" w:eastAsia="Arial" w:hAnsi="Arial"/>
          <w:sz w:val="16"/>
          <w:szCs w:val="16"/>
          <w:color w:val="333333"/>
        </w:rPr>
      </w:pPr>
      <w:r>
        <w:rPr>
          <w:rFonts w:ascii="Arial" w:cs="Arial" w:eastAsia="Arial" w:hAnsi="Arial"/>
          <w:sz w:val="16"/>
          <w:szCs w:val="16"/>
          <w:color w:val="333333"/>
        </w:rPr>
        <w:t>each of our directors; and</w:t>
      </w:r>
    </w:p>
    <w:p>
      <w:pPr>
        <w:spacing w:after="0" w:line="123" w:lineRule="exact"/>
        <w:rPr>
          <w:rFonts w:ascii="Arial" w:cs="Arial" w:eastAsia="Arial" w:hAnsi="Arial"/>
          <w:sz w:val="16"/>
          <w:szCs w:val="16"/>
          <w:color w:val="333333"/>
        </w:rPr>
      </w:pPr>
    </w:p>
    <w:p>
      <w:pPr>
        <w:ind w:left="380" w:hanging="213"/>
        <w:spacing w:after="0"/>
        <w:tabs>
          <w:tab w:leader="none" w:pos="380" w:val="left"/>
        </w:tabs>
        <w:numPr>
          <w:ilvl w:val="0"/>
          <w:numId w:val="57"/>
        </w:numPr>
        <w:rPr>
          <w:rFonts w:ascii="Arial" w:cs="Arial" w:eastAsia="Arial" w:hAnsi="Arial"/>
          <w:sz w:val="16"/>
          <w:szCs w:val="16"/>
          <w:color w:val="333333"/>
        </w:rPr>
      </w:pPr>
      <w:r>
        <w:rPr>
          <w:rFonts w:ascii="Arial" w:cs="Arial" w:eastAsia="Arial" w:hAnsi="Arial"/>
          <w:sz w:val="16"/>
          <w:szCs w:val="16"/>
          <w:color w:val="333333"/>
        </w:rPr>
        <w:t>all of our executive officers and directors as a group.</w:t>
      </w:r>
    </w:p>
    <w:p>
      <w:pPr>
        <w:spacing w:after="0" w:line="137" w:lineRule="exact"/>
        <w:rPr>
          <w:sz w:val="20"/>
          <w:szCs w:val="20"/>
          <w:color w:val="auto"/>
        </w:rPr>
      </w:pPr>
    </w:p>
    <w:p>
      <w:pPr>
        <w:jc w:val="both"/>
        <w:ind w:left="160"/>
        <w:spacing w:after="0" w:line="251" w:lineRule="auto"/>
        <w:rPr>
          <w:sz w:val="20"/>
          <w:szCs w:val="20"/>
          <w:color w:val="auto"/>
        </w:rPr>
      </w:pPr>
      <w:r>
        <w:rPr>
          <w:rFonts w:ascii="Arial" w:cs="Arial" w:eastAsia="Arial" w:hAnsi="Arial"/>
          <w:sz w:val="16"/>
          <w:szCs w:val="16"/>
          <w:color w:val="333333"/>
        </w:rPr>
        <w:t>Beneficial ownership is determined in accordance with the rules of the SEC and generally means the power to vote or to direct disposition. Except as described below, in computing the number of shares beneficially owned by a person and the percentage ownership of that person, common shares subject to options or warrants held by that person that were currently exercisable or exercisable within 60 days of April 8, 2026, are deemed outstanding but are not deemed outstanding for computing the percentage ownership of any other person. These rules generally attribute beneficial ownership of securities to persons who possess sole or shared voting power or investment power with respect to such securities. All of the shares reflected in the table are common shares.</w:t>
      </w:r>
    </w:p>
    <w:p>
      <w:pPr>
        <w:spacing w:after="0" w:line="116" w:lineRule="exact"/>
        <w:rPr>
          <w:sz w:val="20"/>
          <w:szCs w:val="20"/>
          <w:color w:val="auto"/>
        </w:rPr>
      </w:pPr>
    </w:p>
    <w:p>
      <w:pPr>
        <w:jc w:val="both"/>
        <w:ind w:left="160" w:right="20"/>
        <w:spacing w:after="0" w:line="279" w:lineRule="auto"/>
        <w:rPr>
          <w:sz w:val="20"/>
          <w:szCs w:val="20"/>
          <w:color w:val="auto"/>
        </w:rPr>
      </w:pPr>
      <w:r>
        <w:rPr>
          <w:rFonts w:ascii="Arial" w:cs="Arial" w:eastAsia="Arial" w:hAnsi="Arial"/>
          <w:sz w:val="16"/>
          <w:szCs w:val="16"/>
          <w:color w:val="333333"/>
        </w:rPr>
        <w:t>Percentage of beneficial ownership is based on 28,438,252 common shares outstanding as of April 8, 2026. Unless otherwise indicated, the address of each beneficial owner listed below is c/o Vera Bradley, Inc., 12420 Stonebridge Road, Roanoke, Indiana 46783.</w:t>
      </w:r>
    </w:p>
    <w:p>
      <w:pPr>
        <w:spacing w:after="0" w:line="202"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80" w:type="dxa"/>
            <w:vAlign w:val="bottom"/>
            <w:tcBorders>
              <w:right w:val="single" w:sz="8" w:color="005C5D"/>
            </w:tcBorders>
          </w:tcPr>
          <w:p>
            <w:pPr>
              <w:spacing w:after="0"/>
              <w:rPr>
                <w:sz w:val="18"/>
                <w:szCs w:val="18"/>
                <w:color w:val="auto"/>
              </w:rPr>
            </w:pPr>
          </w:p>
        </w:tc>
        <w:tc>
          <w:tcPr>
            <w:tcW w:w="1400" w:type="dxa"/>
            <w:vAlign w:val="bottom"/>
            <w:shd w:val="clear" w:color="auto" w:fill="005C5D"/>
          </w:tcPr>
          <w:p>
            <w:pPr>
              <w:spacing w:after="0"/>
              <w:rPr>
                <w:sz w:val="18"/>
                <w:szCs w:val="18"/>
                <w:color w:val="auto"/>
              </w:rPr>
            </w:pPr>
          </w:p>
        </w:tc>
        <w:tc>
          <w:tcPr>
            <w:tcW w:w="640" w:type="dxa"/>
            <w:vAlign w:val="bottom"/>
            <w:shd w:val="clear" w:color="auto" w:fill="005C5D"/>
          </w:tcPr>
          <w:p>
            <w:pPr>
              <w:spacing w:after="0"/>
              <w:rPr>
                <w:sz w:val="18"/>
                <w:szCs w:val="18"/>
                <w:color w:val="auto"/>
              </w:rPr>
            </w:pPr>
          </w:p>
        </w:tc>
        <w:tc>
          <w:tcPr>
            <w:tcW w:w="2120" w:type="dxa"/>
            <w:vAlign w:val="bottom"/>
            <w:shd w:val="clear" w:color="auto" w:fill="005C5D"/>
          </w:tcPr>
          <w:p>
            <w:pPr>
              <w:spacing w:after="0"/>
              <w:rPr>
                <w:sz w:val="18"/>
                <w:szCs w:val="18"/>
                <w:color w:val="auto"/>
              </w:rPr>
            </w:pPr>
          </w:p>
        </w:tc>
        <w:tc>
          <w:tcPr>
            <w:tcW w:w="4240" w:type="dxa"/>
            <w:vAlign w:val="bottom"/>
            <w:shd w:val="clear" w:color="auto" w:fill="005C5D"/>
          </w:tcPr>
          <w:p>
            <w:pPr>
              <w:spacing w:after="0"/>
              <w:rPr>
                <w:sz w:val="18"/>
                <w:szCs w:val="18"/>
                <w:color w:val="auto"/>
              </w:rPr>
            </w:pPr>
          </w:p>
        </w:tc>
        <w:tc>
          <w:tcPr>
            <w:tcW w:w="1800" w:type="dxa"/>
            <w:vAlign w:val="bottom"/>
            <w:shd w:val="clear" w:color="auto" w:fill="005C5D"/>
          </w:tcPr>
          <w:p>
            <w:pPr>
              <w:jc w:val="right"/>
              <w:spacing w:after="0"/>
              <w:rPr>
                <w:sz w:val="20"/>
                <w:szCs w:val="20"/>
                <w:color w:val="auto"/>
              </w:rPr>
            </w:pPr>
            <w:r>
              <w:rPr>
                <w:rFonts w:ascii="Arial" w:cs="Arial" w:eastAsia="Arial" w:hAnsi="Arial"/>
                <w:sz w:val="14"/>
                <w:szCs w:val="14"/>
                <w:color w:val="FFFFFF"/>
              </w:rPr>
              <w:t>COMMON SHARES</w:t>
            </w:r>
          </w:p>
        </w:tc>
        <w:tc>
          <w:tcPr>
            <w:tcW w:w="640" w:type="dxa"/>
            <w:vAlign w:val="bottom"/>
            <w:shd w:val="clear" w:color="auto" w:fill="005C5D"/>
          </w:tcPr>
          <w:p>
            <w:pPr>
              <w:spacing w:after="0"/>
              <w:rPr>
                <w:sz w:val="18"/>
                <w:szCs w:val="18"/>
                <w:color w:val="auto"/>
              </w:rPr>
            </w:pPr>
          </w:p>
        </w:tc>
      </w:tr>
      <w:tr>
        <w:trPr>
          <w:trHeight w:val="189"/>
        </w:trPr>
        <w:tc>
          <w:tcPr>
            <w:tcW w:w="80" w:type="dxa"/>
            <w:vAlign w:val="bottom"/>
            <w:tcBorders>
              <w:right w:val="single" w:sz="8" w:color="005C5D"/>
            </w:tcBorders>
          </w:tcPr>
          <w:p>
            <w:pPr>
              <w:spacing w:after="0"/>
              <w:rPr>
                <w:sz w:val="16"/>
                <w:szCs w:val="16"/>
                <w:color w:val="auto"/>
              </w:rPr>
            </w:pPr>
          </w:p>
        </w:tc>
        <w:tc>
          <w:tcPr>
            <w:tcW w:w="1400" w:type="dxa"/>
            <w:vAlign w:val="bottom"/>
            <w:shd w:val="clear" w:color="auto" w:fill="005C5D"/>
          </w:tcPr>
          <w:p>
            <w:pPr>
              <w:spacing w:after="0"/>
              <w:rPr>
                <w:sz w:val="16"/>
                <w:szCs w:val="16"/>
                <w:color w:val="auto"/>
              </w:rPr>
            </w:pPr>
          </w:p>
        </w:tc>
        <w:tc>
          <w:tcPr>
            <w:tcW w:w="640" w:type="dxa"/>
            <w:vAlign w:val="bottom"/>
            <w:shd w:val="clear" w:color="auto" w:fill="005C5D"/>
          </w:tcPr>
          <w:p>
            <w:pPr>
              <w:spacing w:after="0"/>
              <w:rPr>
                <w:sz w:val="16"/>
                <w:szCs w:val="16"/>
                <w:color w:val="auto"/>
              </w:rPr>
            </w:pPr>
          </w:p>
        </w:tc>
        <w:tc>
          <w:tcPr>
            <w:tcW w:w="2120" w:type="dxa"/>
            <w:vAlign w:val="bottom"/>
            <w:shd w:val="clear" w:color="auto" w:fill="005C5D"/>
          </w:tcPr>
          <w:p>
            <w:pPr>
              <w:spacing w:after="0"/>
              <w:rPr>
                <w:sz w:val="16"/>
                <w:szCs w:val="16"/>
                <w:color w:val="auto"/>
              </w:rPr>
            </w:pPr>
          </w:p>
        </w:tc>
        <w:tc>
          <w:tcPr>
            <w:tcW w:w="4240" w:type="dxa"/>
            <w:vAlign w:val="bottom"/>
            <w:shd w:val="clear" w:color="auto" w:fill="005C5D"/>
          </w:tcPr>
          <w:p>
            <w:pPr>
              <w:spacing w:after="0"/>
              <w:rPr>
                <w:sz w:val="16"/>
                <w:szCs w:val="16"/>
                <w:color w:val="auto"/>
              </w:rPr>
            </w:pPr>
          </w:p>
        </w:tc>
        <w:tc>
          <w:tcPr>
            <w:tcW w:w="2440" w:type="dxa"/>
            <w:vAlign w:val="bottom"/>
            <w:gridSpan w:val="2"/>
            <w:shd w:val="clear" w:color="auto" w:fill="005C5D"/>
          </w:tcPr>
          <w:p>
            <w:pPr>
              <w:jc w:val="right"/>
              <w:ind w:right="409"/>
              <w:spacing w:after="0"/>
              <w:rPr>
                <w:sz w:val="20"/>
                <w:szCs w:val="20"/>
                <w:color w:val="auto"/>
              </w:rPr>
            </w:pPr>
            <w:r>
              <w:rPr>
                <w:rFonts w:ascii="Arial" w:cs="Arial" w:eastAsia="Arial" w:hAnsi="Arial"/>
                <w:sz w:val="14"/>
                <w:szCs w:val="14"/>
                <w:color w:val="FFFFFF"/>
              </w:rPr>
              <w:t>BENEFICIALLY OWNED</w:t>
            </w:r>
          </w:p>
        </w:tc>
      </w:tr>
      <w:tr>
        <w:trPr>
          <w:trHeight w:val="322"/>
        </w:trPr>
        <w:tc>
          <w:tcPr>
            <w:tcW w:w="80" w:type="dxa"/>
            <w:vAlign w:val="bottom"/>
            <w:tcBorders>
              <w:right w:val="single" w:sz="8" w:color="005C5D"/>
            </w:tcBorders>
          </w:tcPr>
          <w:p>
            <w:pPr>
              <w:spacing w:after="0"/>
              <w:rPr>
                <w:sz w:val="24"/>
                <w:szCs w:val="24"/>
                <w:color w:val="auto"/>
              </w:rPr>
            </w:pPr>
          </w:p>
        </w:tc>
        <w:tc>
          <w:tcPr>
            <w:tcW w:w="4160" w:type="dxa"/>
            <w:vAlign w:val="bottom"/>
            <w:tcBorders>
              <w:bottom w:val="single" w:sz="8" w:color="005C5D"/>
            </w:tcBorders>
            <w:gridSpan w:val="3"/>
            <w:shd w:val="clear" w:color="auto" w:fill="005C5D"/>
          </w:tcPr>
          <w:p>
            <w:pPr>
              <w:spacing w:after="0"/>
              <w:rPr>
                <w:sz w:val="20"/>
                <w:szCs w:val="20"/>
                <w:color w:val="auto"/>
              </w:rPr>
            </w:pPr>
            <w:r>
              <w:rPr>
                <w:rFonts w:ascii="Arial" w:cs="Arial" w:eastAsia="Arial" w:hAnsi="Arial"/>
                <w:sz w:val="14"/>
                <w:szCs w:val="14"/>
                <w:color w:val="FFFFFF"/>
              </w:rPr>
              <w:t>NAME OF BENEFICIAL OWNER</w:t>
            </w:r>
          </w:p>
        </w:tc>
        <w:tc>
          <w:tcPr>
            <w:tcW w:w="4240" w:type="dxa"/>
            <w:vAlign w:val="bottom"/>
            <w:tcBorders>
              <w:bottom w:val="single" w:sz="8" w:color="005C5D"/>
            </w:tcBorders>
            <w:shd w:val="clear" w:color="auto" w:fill="005C5D"/>
          </w:tcPr>
          <w:p>
            <w:pPr>
              <w:spacing w:after="0"/>
              <w:rPr>
                <w:sz w:val="24"/>
                <w:szCs w:val="24"/>
                <w:color w:val="auto"/>
              </w:rPr>
            </w:pPr>
          </w:p>
        </w:tc>
        <w:tc>
          <w:tcPr>
            <w:tcW w:w="1800" w:type="dxa"/>
            <w:vAlign w:val="bottom"/>
            <w:tcBorders>
              <w:bottom w:val="single" w:sz="8" w:color="005C5D"/>
            </w:tcBorders>
            <w:shd w:val="clear" w:color="auto" w:fill="005C5D"/>
          </w:tcPr>
          <w:p>
            <w:pPr>
              <w:jc w:val="right"/>
              <w:ind w:right="729"/>
              <w:spacing w:after="0"/>
              <w:rPr>
                <w:sz w:val="20"/>
                <w:szCs w:val="20"/>
                <w:color w:val="auto"/>
              </w:rPr>
            </w:pPr>
            <w:r>
              <w:rPr>
                <w:rFonts w:ascii="Arial" w:cs="Arial" w:eastAsia="Arial" w:hAnsi="Arial"/>
                <w:sz w:val="14"/>
                <w:szCs w:val="14"/>
                <w:color w:val="FFFFFF"/>
              </w:rPr>
              <w:t>SHARES</w:t>
            </w:r>
          </w:p>
        </w:tc>
        <w:tc>
          <w:tcPr>
            <w:tcW w:w="640" w:type="dxa"/>
            <w:vAlign w:val="bottom"/>
            <w:tcBorders>
              <w:bottom w:val="single" w:sz="8" w:color="005C5D"/>
            </w:tcBorders>
            <w:shd w:val="clear" w:color="auto" w:fill="005C5D"/>
          </w:tcPr>
          <w:p>
            <w:pPr>
              <w:jc w:val="right"/>
              <w:ind w:right="429"/>
              <w:spacing w:after="0"/>
              <w:rPr>
                <w:sz w:val="20"/>
                <w:szCs w:val="20"/>
                <w:color w:val="auto"/>
              </w:rPr>
            </w:pPr>
            <w:r>
              <w:rPr>
                <w:rFonts w:ascii="Arial" w:cs="Arial" w:eastAsia="Arial" w:hAnsi="Arial"/>
                <w:sz w:val="14"/>
                <w:szCs w:val="14"/>
                <w:color w:val="FFFFFF"/>
                <w:w w:val="96"/>
              </w:rPr>
              <w:t>%</w:t>
            </w:r>
          </w:p>
        </w:tc>
      </w:tr>
      <w:tr>
        <w:trPr>
          <w:trHeight w:val="147"/>
        </w:trPr>
        <w:tc>
          <w:tcPr>
            <w:tcW w:w="80" w:type="dxa"/>
            <w:vAlign w:val="bottom"/>
          </w:tcPr>
          <w:p>
            <w:pPr>
              <w:spacing w:after="0"/>
              <w:rPr>
                <w:sz w:val="12"/>
                <w:szCs w:val="12"/>
                <w:color w:val="auto"/>
              </w:rPr>
            </w:pPr>
          </w:p>
        </w:tc>
        <w:tc>
          <w:tcPr>
            <w:tcW w:w="1400" w:type="dxa"/>
            <w:vAlign w:val="bottom"/>
            <w:tcBorders>
              <w:bottom w:val="single" w:sz="8" w:color="333333"/>
            </w:tcBorders>
          </w:tcPr>
          <w:p>
            <w:pPr>
              <w:spacing w:after="0" w:line="147" w:lineRule="exact"/>
              <w:rPr>
                <w:sz w:val="20"/>
                <w:szCs w:val="20"/>
                <w:color w:val="auto"/>
              </w:rPr>
            </w:pPr>
            <w:r>
              <w:rPr>
                <w:rFonts w:ascii="Arial" w:cs="Arial" w:eastAsia="Arial" w:hAnsi="Arial"/>
                <w:sz w:val="14"/>
                <w:szCs w:val="14"/>
                <w:color w:val="333333"/>
              </w:rPr>
              <w:t>5% Beneficial Owners</w:t>
            </w:r>
          </w:p>
        </w:tc>
        <w:tc>
          <w:tcPr>
            <w:tcW w:w="2760" w:type="dxa"/>
            <w:vAlign w:val="bottom"/>
            <w:gridSpan w:val="2"/>
          </w:tcPr>
          <w:p>
            <w:pPr>
              <w:spacing w:after="0"/>
              <w:rPr>
                <w:sz w:val="12"/>
                <w:szCs w:val="12"/>
                <w:color w:val="auto"/>
              </w:rPr>
            </w:pPr>
          </w:p>
        </w:tc>
        <w:tc>
          <w:tcPr>
            <w:tcW w:w="4240" w:type="dxa"/>
            <w:vAlign w:val="bottom"/>
          </w:tcPr>
          <w:p>
            <w:pPr>
              <w:spacing w:after="0"/>
              <w:rPr>
                <w:sz w:val="12"/>
                <w:szCs w:val="12"/>
                <w:color w:val="auto"/>
              </w:rPr>
            </w:pPr>
          </w:p>
        </w:tc>
        <w:tc>
          <w:tcPr>
            <w:tcW w:w="1800" w:type="dxa"/>
            <w:vAlign w:val="bottom"/>
            <w:tcBorders>
              <w:bottom w:val="single" w:sz="8" w:color="FCEFEB"/>
            </w:tcBorders>
            <w:shd w:val="clear" w:color="auto" w:fill="FCEFEB"/>
          </w:tcPr>
          <w:p>
            <w:pPr>
              <w:spacing w:after="0"/>
              <w:rPr>
                <w:sz w:val="12"/>
                <w:szCs w:val="12"/>
                <w:color w:val="auto"/>
              </w:rPr>
            </w:pPr>
          </w:p>
        </w:tc>
        <w:tc>
          <w:tcPr>
            <w:tcW w:w="640" w:type="dxa"/>
            <w:vAlign w:val="bottom"/>
            <w:tcBorders>
              <w:bottom w:val="single" w:sz="8" w:color="FCEFEB"/>
            </w:tcBorders>
            <w:shd w:val="clear" w:color="auto" w:fill="FCEFEB"/>
          </w:tcPr>
          <w:p>
            <w:pPr>
              <w:spacing w:after="0"/>
              <w:rPr>
                <w:sz w:val="12"/>
                <w:szCs w:val="12"/>
                <w:color w:val="auto"/>
              </w:rPr>
            </w:pPr>
          </w:p>
        </w:tc>
      </w:tr>
      <w:tr>
        <w:trPr>
          <w:trHeight w:val="328"/>
        </w:trPr>
        <w:tc>
          <w:tcPr>
            <w:tcW w:w="80" w:type="dxa"/>
            <w:vAlign w:val="bottom"/>
          </w:tcPr>
          <w:p>
            <w:pPr>
              <w:spacing w:after="0"/>
              <w:rPr>
                <w:sz w:val="24"/>
                <w:szCs w:val="24"/>
                <w:color w:val="auto"/>
              </w:rPr>
            </w:pPr>
          </w:p>
        </w:tc>
        <w:tc>
          <w:tcPr>
            <w:tcW w:w="4160" w:type="dxa"/>
            <w:vAlign w:val="bottom"/>
            <w:tcBorders>
              <w:bottom w:val="single" w:sz="8" w:color="005C5D"/>
            </w:tcBorders>
            <w:gridSpan w:val="3"/>
          </w:tcPr>
          <w:p>
            <w:pPr>
              <w:spacing w:after="0"/>
              <w:rPr>
                <w:sz w:val="20"/>
                <w:szCs w:val="20"/>
                <w:color w:val="auto"/>
              </w:rPr>
            </w:pPr>
            <w:r>
              <w:rPr>
                <w:rFonts w:ascii="Arial" w:cs="Arial" w:eastAsia="Arial" w:hAnsi="Arial"/>
                <w:sz w:val="14"/>
                <w:szCs w:val="14"/>
                <w:color w:val="333333"/>
              </w:rPr>
              <w:t>Patricia R. Miller</w:t>
            </w:r>
            <w:r>
              <w:rPr>
                <w:rFonts w:ascii="Arial" w:cs="Arial" w:eastAsia="Arial" w:hAnsi="Arial"/>
                <w:sz w:val="21"/>
                <w:szCs w:val="21"/>
                <w:color w:val="333333"/>
                <w:vertAlign w:val="superscript"/>
              </w:rPr>
              <w:t>(1)</w:t>
            </w:r>
          </w:p>
        </w:tc>
        <w:tc>
          <w:tcPr>
            <w:tcW w:w="4240" w:type="dxa"/>
            <w:vAlign w:val="bottom"/>
            <w:tcBorders>
              <w:bottom w:val="single" w:sz="8" w:color="005C5D"/>
            </w:tcBorders>
          </w:tcPr>
          <w:p>
            <w:pPr>
              <w:spacing w:after="0"/>
              <w:rPr>
                <w:sz w:val="24"/>
                <w:szCs w:val="24"/>
                <w:color w:val="auto"/>
              </w:rPr>
            </w:pPr>
          </w:p>
        </w:tc>
        <w:tc>
          <w:tcPr>
            <w:tcW w:w="1800" w:type="dxa"/>
            <w:vAlign w:val="bottom"/>
            <w:tcBorders>
              <w:bottom w:val="single" w:sz="8" w:color="005C5D"/>
            </w:tcBorders>
            <w:shd w:val="clear" w:color="auto" w:fill="FCEFEB"/>
          </w:tcPr>
          <w:p>
            <w:pPr>
              <w:jc w:val="right"/>
              <w:ind w:right="529"/>
              <w:spacing w:after="0"/>
              <w:rPr>
                <w:sz w:val="20"/>
                <w:szCs w:val="20"/>
                <w:color w:val="auto"/>
              </w:rPr>
            </w:pPr>
            <w:r>
              <w:rPr>
                <w:rFonts w:ascii="Arial" w:cs="Arial" w:eastAsia="Arial" w:hAnsi="Arial"/>
                <w:sz w:val="14"/>
                <w:szCs w:val="14"/>
                <w:color w:val="333333"/>
              </w:rPr>
              <w:t>3,042,590</w:t>
            </w:r>
          </w:p>
        </w:tc>
        <w:tc>
          <w:tcPr>
            <w:tcW w:w="640" w:type="dxa"/>
            <w:vAlign w:val="bottom"/>
            <w:tcBorders>
              <w:bottom w:val="single" w:sz="8" w:color="005C5D"/>
            </w:tcBorders>
            <w:shd w:val="clear" w:color="auto" w:fill="FCEFEB"/>
          </w:tcPr>
          <w:p>
            <w:pPr>
              <w:jc w:val="right"/>
              <w:ind w:right="129"/>
              <w:spacing w:after="0"/>
              <w:rPr>
                <w:sz w:val="20"/>
                <w:szCs w:val="20"/>
                <w:color w:val="auto"/>
              </w:rPr>
            </w:pPr>
            <w:r>
              <w:rPr>
                <w:rFonts w:ascii="Arial" w:cs="Arial" w:eastAsia="Arial" w:hAnsi="Arial"/>
                <w:sz w:val="14"/>
                <w:szCs w:val="14"/>
                <w:color w:val="333333"/>
              </w:rPr>
              <w:t>10.7%</w:t>
            </w:r>
          </w:p>
        </w:tc>
      </w:tr>
      <w:tr>
        <w:trPr>
          <w:trHeight w:val="274"/>
        </w:trPr>
        <w:tc>
          <w:tcPr>
            <w:tcW w:w="80" w:type="dxa"/>
            <w:vAlign w:val="bottom"/>
          </w:tcPr>
          <w:p>
            <w:pPr>
              <w:spacing w:after="0"/>
              <w:rPr>
                <w:sz w:val="23"/>
                <w:szCs w:val="23"/>
                <w:color w:val="auto"/>
              </w:rPr>
            </w:pPr>
          </w:p>
        </w:tc>
        <w:tc>
          <w:tcPr>
            <w:tcW w:w="4160" w:type="dxa"/>
            <w:vAlign w:val="bottom"/>
            <w:tcBorders>
              <w:bottom w:val="single" w:sz="8" w:color="005C5D"/>
            </w:tcBorders>
            <w:gridSpan w:val="3"/>
          </w:tcPr>
          <w:p>
            <w:pPr>
              <w:spacing w:after="0"/>
              <w:rPr>
                <w:sz w:val="20"/>
                <w:szCs w:val="20"/>
                <w:color w:val="auto"/>
              </w:rPr>
            </w:pPr>
            <w:r>
              <w:rPr>
                <w:rFonts w:ascii="Arial" w:cs="Arial" w:eastAsia="Arial" w:hAnsi="Arial"/>
                <w:sz w:val="14"/>
                <w:szCs w:val="14"/>
                <w:color w:val="333333"/>
              </w:rPr>
              <w:t>P. Michael Miller</w:t>
            </w:r>
            <w:r>
              <w:rPr>
                <w:rFonts w:ascii="Arial" w:cs="Arial" w:eastAsia="Arial" w:hAnsi="Arial"/>
                <w:sz w:val="21"/>
                <w:szCs w:val="21"/>
                <w:color w:val="333333"/>
                <w:vertAlign w:val="superscript"/>
              </w:rPr>
              <w:t>(1)</w:t>
            </w:r>
          </w:p>
        </w:tc>
        <w:tc>
          <w:tcPr>
            <w:tcW w:w="4240" w:type="dxa"/>
            <w:vAlign w:val="bottom"/>
            <w:tcBorders>
              <w:bottom w:val="single" w:sz="8" w:color="005C5D"/>
            </w:tcBorders>
          </w:tcPr>
          <w:p>
            <w:pPr>
              <w:spacing w:after="0"/>
              <w:rPr>
                <w:sz w:val="23"/>
                <w:szCs w:val="23"/>
                <w:color w:val="auto"/>
              </w:rPr>
            </w:pPr>
          </w:p>
        </w:tc>
        <w:tc>
          <w:tcPr>
            <w:tcW w:w="1800" w:type="dxa"/>
            <w:vAlign w:val="bottom"/>
            <w:tcBorders>
              <w:bottom w:val="single" w:sz="8" w:color="005C5D"/>
            </w:tcBorders>
            <w:shd w:val="clear" w:color="auto" w:fill="FCEFEB"/>
          </w:tcPr>
          <w:p>
            <w:pPr>
              <w:jc w:val="right"/>
              <w:ind w:right="529"/>
              <w:spacing w:after="0"/>
              <w:rPr>
                <w:sz w:val="20"/>
                <w:szCs w:val="20"/>
                <w:color w:val="auto"/>
              </w:rPr>
            </w:pPr>
            <w:r>
              <w:rPr>
                <w:rFonts w:ascii="Arial" w:cs="Arial" w:eastAsia="Arial" w:hAnsi="Arial"/>
                <w:sz w:val="14"/>
                <w:szCs w:val="14"/>
                <w:color w:val="333333"/>
              </w:rPr>
              <w:t>3,042,590</w:t>
            </w:r>
          </w:p>
        </w:tc>
        <w:tc>
          <w:tcPr>
            <w:tcW w:w="640" w:type="dxa"/>
            <w:vAlign w:val="bottom"/>
            <w:tcBorders>
              <w:bottom w:val="single" w:sz="8" w:color="005C5D"/>
            </w:tcBorders>
            <w:shd w:val="clear" w:color="auto" w:fill="FCEFEB"/>
          </w:tcPr>
          <w:p>
            <w:pPr>
              <w:jc w:val="right"/>
              <w:ind w:right="129"/>
              <w:spacing w:after="0"/>
              <w:rPr>
                <w:sz w:val="20"/>
                <w:szCs w:val="20"/>
                <w:color w:val="auto"/>
              </w:rPr>
            </w:pPr>
            <w:r>
              <w:rPr>
                <w:rFonts w:ascii="Arial" w:cs="Arial" w:eastAsia="Arial" w:hAnsi="Arial"/>
                <w:sz w:val="14"/>
                <w:szCs w:val="14"/>
                <w:color w:val="333333"/>
              </w:rPr>
              <w:t>10.7%</w:t>
            </w:r>
          </w:p>
        </w:tc>
      </w:tr>
      <w:tr>
        <w:trPr>
          <w:trHeight w:val="274"/>
        </w:trPr>
        <w:tc>
          <w:tcPr>
            <w:tcW w:w="80" w:type="dxa"/>
            <w:vAlign w:val="bottom"/>
          </w:tcPr>
          <w:p>
            <w:pPr>
              <w:spacing w:after="0"/>
              <w:rPr>
                <w:sz w:val="23"/>
                <w:szCs w:val="23"/>
                <w:color w:val="auto"/>
              </w:rPr>
            </w:pPr>
          </w:p>
        </w:tc>
        <w:tc>
          <w:tcPr>
            <w:tcW w:w="4160" w:type="dxa"/>
            <w:vAlign w:val="bottom"/>
            <w:tcBorders>
              <w:bottom w:val="single" w:sz="8" w:color="005C5D"/>
            </w:tcBorders>
            <w:gridSpan w:val="3"/>
          </w:tcPr>
          <w:p>
            <w:pPr>
              <w:spacing w:after="0"/>
              <w:rPr>
                <w:sz w:val="20"/>
                <w:szCs w:val="20"/>
                <w:color w:val="auto"/>
              </w:rPr>
            </w:pPr>
            <w:r>
              <w:rPr>
                <w:rFonts w:ascii="Arial" w:cs="Arial" w:eastAsia="Arial" w:hAnsi="Arial"/>
                <w:sz w:val="14"/>
                <w:szCs w:val="14"/>
                <w:color w:val="333333"/>
              </w:rPr>
              <w:t>Joan B. Hall</w:t>
            </w:r>
            <w:r>
              <w:rPr>
                <w:rFonts w:ascii="Arial" w:cs="Arial" w:eastAsia="Arial" w:hAnsi="Arial"/>
                <w:sz w:val="21"/>
                <w:szCs w:val="21"/>
                <w:color w:val="333333"/>
                <w:vertAlign w:val="superscript"/>
              </w:rPr>
              <w:t>(2)(3)</w:t>
            </w:r>
          </w:p>
        </w:tc>
        <w:tc>
          <w:tcPr>
            <w:tcW w:w="4240" w:type="dxa"/>
            <w:vAlign w:val="bottom"/>
            <w:tcBorders>
              <w:bottom w:val="single" w:sz="8" w:color="005C5D"/>
            </w:tcBorders>
          </w:tcPr>
          <w:p>
            <w:pPr>
              <w:spacing w:after="0"/>
              <w:rPr>
                <w:sz w:val="23"/>
                <w:szCs w:val="23"/>
                <w:color w:val="auto"/>
              </w:rPr>
            </w:pPr>
          </w:p>
        </w:tc>
        <w:tc>
          <w:tcPr>
            <w:tcW w:w="1800" w:type="dxa"/>
            <w:vAlign w:val="bottom"/>
            <w:tcBorders>
              <w:bottom w:val="single" w:sz="8" w:color="005C5D"/>
            </w:tcBorders>
            <w:shd w:val="clear" w:color="auto" w:fill="FCEFEB"/>
          </w:tcPr>
          <w:p>
            <w:pPr>
              <w:jc w:val="right"/>
              <w:ind w:right="529"/>
              <w:spacing w:after="0"/>
              <w:rPr>
                <w:sz w:val="20"/>
                <w:szCs w:val="20"/>
                <w:color w:val="auto"/>
              </w:rPr>
            </w:pPr>
            <w:r>
              <w:rPr>
                <w:rFonts w:ascii="Arial" w:cs="Arial" w:eastAsia="Arial" w:hAnsi="Arial"/>
                <w:sz w:val="14"/>
                <w:szCs w:val="14"/>
                <w:color w:val="333333"/>
              </w:rPr>
              <w:t>2,743,883</w:t>
            </w:r>
          </w:p>
        </w:tc>
        <w:tc>
          <w:tcPr>
            <w:tcW w:w="640" w:type="dxa"/>
            <w:vAlign w:val="bottom"/>
            <w:tcBorders>
              <w:bottom w:val="single" w:sz="8" w:color="005C5D"/>
            </w:tcBorders>
            <w:shd w:val="clear" w:color="auto" w:fill="FCEFEB"/>
          </w:tcPr>
          <w:p>
            <w:pPr>
              <w:jc w:val="right"/>
              <w:ind w:right="129"/>
              <w:spacing w:after="0"/>
              <w:rPr>
                <w:sz w:val="20"/>
                <w:szCs w:val="20"/>
                <w:color w:val="auto"/>
              </w:rPr>
            </w:pPr>
            <w:r>
              <w:rPr>
                <w:rFonts w:ascii="Arial" w:cs="Arial" w:eastAsia="Arial" w:hAnsi="Arial"/>
                <w:sz w:val="14"/>
                <w:szCs w:val="14"/>
                <w:color w:val="333333"/>
              </w:rPr>
              <w:t>9.6%</w:t>
            </w:r>
          </w:p>
        </w:tc>
      </w:tr>
      <w:tr>
        <w:trPr>
          <w:trHeight w:val="274"/>
        </w:trPr>
        <w:tc>
          <w:tcPr>
            <w:tcW w:w="80" w:type="dxa"/>
            <w:vAlign w:val="bottom"/>
          </w:tcPr>
          <w:p>
            <w:pPr>
              <w:spacing w:after="0"/>
              <w:rPr>
                <w:sz w:val="23"/>
                <w:szCs w:val="23"/>
                <w:color w:val="auto"/>
              </w:rPr>
            </w:pPr>
          </w:p>
        </w:tc>
        <w:tc>
          <w:tcPr>
            <w:tcW w:w="4160" w:type="dxa"/>
            <w:vAlign w:val="bottom"/>
            <w:tcBorders>
              <w:bottom w:val="single" w:sz="8" w:color="005C5D"/>
            </w:tcBorders>
            <w:gridSpan w:val="3"/>
          </w:tcPr>
          <w:p>
            <w:pPr>
              <w:spacing w:after="0"/>
              <w:rPr>
                <w:sz w:val="20"/>
                <w:szCs w:val="20"/>
                <w:color w:val="auto"/>
              </w:rPr>
            </w:pPr>
            <w:r>
              <w:rPr>
                <w:rFonts w:ascii="Arial" w:cs="Arial" w:eastAsia="Arial" w:hAnsi="Arial"/>
                <w:sz w:val="14"/>
                <w:szCs w:val="14"/>
                <w:color w:val="333333"/>
              </w:rPr>
              <w:t>Michael C. Ray</w:t>
            </w:r>
            <w:r>
              <w:rPr>
                <w:rFonts w:ascii="Arial" w:cs="Arial" w:eastAsia="Arial" w:hAnsi="Arial"/>
                <w:sz w:val="21"/>
                <w:szCs w:val="21"/>
                <w:color w:val="333333"/>
                <w:vertAlign w:val="superscript"/>
              </w:rPr>
              <w:t>(2)(4)</w:t>
            </w:r>
          </w:p>
        </w:tc>
        <w:tc>
          <w:tcPr>
            <w:tcW w:w="4240" w:type="dxa"/>
            <w:vAlign w:val="bottom"/>
            <w:tcBorders>
              <w:bottom w:val="single" w:sz="8" w:color="005C5D"/>
            </w:tcBorders>
          </w:tcPr>
          <w:p>
            <w:pPr>
              <w:spacing w:after="0"/>
              <w:rPr>
                <w:sz w:val="23"/>
                <w:szCs w:val="23"/>
                <w:color w:val="auto"/>
              </w:rPr>
            </w:pPr>
          </w:p>
        </w:tc>
        <w:tc>
          <w:tcPr>
            <w:tcW w:w="1800" w:type="dxa"/>
            <w:vAlign w:val="bottom"/>
            <w:tcBorders>
              <w:bottom w:val="single" w:sz="8" w:color="005C5D"/>
            </w:tcBorders>
            <w:shd w:val="clear" w:color="auto" w:fill="FCEFEB"/>
          </w:tcPr>
          <w:p>
            <w:pPr>
              <w:jc w:val="right"/>
              <w:ind w:right="529"/>
              <w:spacing w:after="0"/>
              <w:rPr>
                <w:sz w:val="20"/>
                <w:szCs w:val="20"/>
                <w:color w:val="auto"/>
              </w:rPr>
            </w:pPr>
            <w:r>
              <w:rPr>
                <w:rFonts w:ascii="Arial" w:cs="Arial" w:eastAsia="Arial" w:hAnsi="Arial"/>
                <w:sz w:val="14"/>
                <w:szCs w:val="14"/>
                <w:color w:val="333333"/>
              </w:rPr>
              <w:t>2,749,316</w:t>
            </w:r>
          </w:p>
        </w:tc>
        <w:tc>
          <w:tcPr>
            <w:tcW w:w="640" w:type="dxa"/>
            <w:vAlign w:val="bottom"/>
            <w:tcBorders>
              <w:bottom w:val="single" w:sz="8" w:color="005C5D"/>
            </w:tcBorders>
            <w:shd w:val="clear" w:color="auto" w:fill="FCEFEB"/>
          </w:tcPr>
          <w:p>
            <w:pPr>
              <w:jc w:val="right"/>
              <w:ind w:right="129"/>
              <w:spacing w:after="0"/>
              <w:rPr>
                <w:sz w:val="20"/>
                <w:szCs w:val="20"/>
                <w:color w:val="auto"/>
              </w:rPr>
            </w:pPr>
            <w:r>
              <w:rPr>
                <w:rFonts w:ascii="Arial" w:cs="Arial" w:eastAsia="Arial" w:hAnsi="Arial"/>
                <w:sz w:val="14"/>
                <w:szCs w:val="14"/>
                <w:color w:val="333333"/>
              </w:rPr>
              <w:t>9.7%</w:t>
            </w:r>
          </w:p>
        </w:tc>
      </w:tr>
      <w:tr>
        <w:trPr>
          <w:trHeight w:val="274"/>
        </w:trPr>
        <w:tc>
          <w:tcPr>
            <w:tcW w:w="80" w:type="dxa"/>
            <w:vAlign w:val="bottom"/>
          </w:tcPr>
          <w:p>
            <w:pPr>
              <w:spacing w:after="0"/>
              <w:rPr>
                <w:sz w:val="23"/>
                <w:szCs w:val="23"/>
                <w:color w:val="auto"/>
              </w:rPr>
            </w:pPr>
          </w:p>
        </w:tc>
        <w:tc>
          <w:tcPr>
            <w:tcW w:w="4160" w:type="dxa"/>
            <w:vAlign w:val="bottom"/>
            <w:tcBorders>
              <w:bottom w:val="single" w:sz="8" w:color="005C5D"/>
            </w:tcBorders>
            <w:gridSpan w:val="3"/>
          </w:tcPr>
          <w:p>
            <w:pPr>
              <w:spacing w:after="0"/>
              <w:rPr>
                <w:sz w:val="20"/>
                <w:szCs w:val="20"/>
                <w:color w:val="auto"/>
              </w:rPr>
            </w:pPr>
            <w:r>
              <w:rPr>
                <w:rFonts w:ascii="Arial" w:cs="Arial" w:eastAsia="Arial" w:hAnsi="Arial"/>
                <w:sz w:val="14"/>
                <w:szCs w:val="14"/>
                <w:color w:val="333333"/>
              </w:rPr>
              <w:t>Anne-Marie Ray</w:t>
            </w:r>
            <w:r>
              <w:rPr>
                <w:rFonts w:ascii="Arial" w:cs="Arial" w:eastAsia="Arial" w:hAnsi="Arial"/>
                <w:sz w:val="21"/>
                <w:szCs w:val="21"/>
                <w:color w:val="333333"/>
                <w:vertAlign w:val="superscript"/>
              </w:rPr>
              <w:t>(2)(5)</w:t>
            </w:r>
          </w:p>
        </w:tc>
        <w:tc>
          <w:tcPr>
            <w:tcW w:w="4240" w:type="dxa"/>
            <w:vAlign w:val="bottom"/>
            <w:tcBorders>
              <w:bottom w:val="single" w:sz="8" w:color="005C5D"/>
            </w:tcBorders>
          </w:tcPr>
          <w:p>
            <w:pPr>
              <w:spacing w:after="0"/>
              <w:rPr>
                <w:sz w:val="23"/>
                <w:szCs w:val="23"/>
                <w:color w:val="auto"/>
              </w:rPr>
            </w:pPr>
          </w:p>
        </w:tc>
        <w:tc>
          <w:tcPr>
            <w:tcW w:w="1800" w:type="dxa"/>
            <w:vAlign w:val="bottom"/>
            <w:tcBorders>
              <w:bottom w:val="single" w:sz="8" w:color="005C5D"/>
            </w:tcBorders>
            <w:shd w:val="clear" w:color="auto" w:fill="FCEFEB"/>
          </w:tcPr>
          <w:p>
            <w:pPr>
              <w:jc w:val="right"/>
              <w:ind w:right="529"/>
              <w:spacing w:after="0"/>
              <w:rPr>
                <w:sz w:val="20"/>
                <w:szCs w:val="20"/>
                <w:color w:val="auto"/>
              </w:rPr>
            </w:pPr>
            <w:r>
              <w:rPr>
                <w:rFonts w:ascii="Arial" w:cs="Arial" w:eastAsia="Arial" w:hAnsi="Arial"/>
                <w:sz w:val="14"/>
                <w:szCs w:val="14"/>
                <w:color w:val="333333"/>
              </w:rPr>
              <w:t>2,749,316</w:t>
            </w:r>
          </w:p>
        </w:tc>
        <w:tc>
          <w:tcPr>
            <w:tcW w:w="640" w:type="dxa"/>
            <w:vAlign w:val="bottom"/>
            <w:tcBorders>
              <w:bottom w:val="single" w:sz="8" w:color="005C5D"/>
            </w:tcBorders>
            <w:shd w:val="clear" w:color="auto" w:fill="FCEFEB"/>
          </w:tcPr>
          <w:p>
            <w:pPr>
              <w:jc w:val="right"/>
              <w:ind w:right="129"/>
              <w:spacing w:after="0"/>
              <w:rPr>
                <w:sz w:val="20"/>
                <w:szCs w:val="20"/>
                <w:color w:val="auto"/>
              </w:rPr>
            </w:pPr>
            <w:r>
              <w:rPr>
                <w:rFonts w:ascii="Arial" w:cs="Arial" w:eastAsia="Arial" w:hAnsi="Arial"/>
                <w:sz w:val="14"/>
                <w:szCs w:val="14"/>
                <w:color w:val="333333"/>
              </w:rPr>
              <w:t>9.7%</w:t>
            </w:r>
          </w:p>
        </w:tc>
      </w:tr>
      <w:tr>
        <w:trPr>
          <w:trHeight w:val="274"/>
        </w:trPr>
        <w:tc>
          <w:tcPr>
            <w:tcW w:w="80" w:type="dxa"/>
            <w:vAlign w:val="bottom"/>
          </w:tcPr>
          <w:p>
            <w:pPr>
              <w:spacing w:after="0"/>
              <w:rPr>
                <w:sz w:val="23"/>
                <w:szCs w:val="23"/>
                <w:color w:val="auto"/>
              </w:rPr>
            </w:pPr>
          </w:p>
        </w:tc>
        <w:tc>
          <w:tcPr>
            <w:tcW w:w="4160" w:type="dxa"/>
            <w:vAlign w:val="bottom"/>
            <w:tcBorders>
              <w:bottom w:val="single" w:sz="8" w:color="005C5D"/>
            </w:tcBorders>
            <w:gridSpan w:val="3"/>
          </w:tcPr>
          <w:p>
            <w:pPr>
              <w:spacing w:after="0"/>
              <w:rPr>
                <w:sz w:val="20"/>
                <w:szCs w:val="20"/>
                <w:color w:val="auto"/>
              </w:rPr>
            </w:pPr>
            <w:r>
              <w:rPr>
                <w:rFonts w:ascii="Arial" w:cs="Arial" w:eastAsia="Arial" w:hAnsi="Arial"/>
                <w:sz w:val="14"/>
                <w:szCs w:val="14"/>
                <w:color w:val="333333"/>
              </w:rPr>
              <w:t>James B. Byrne</w:t>
            </w:r>
            <w:r>
              <w:rPr>
                <w:rFonts w:ascii="Arial" w:cs="Arial" w:eastAsia="Arial" w:hAnsi="Arial"/>
                <w:sz w:val="21"/>
                <w:szCs w:val="21"/>
                <w:color w:val="333333"/>
                <w:vertAlign w:val="superscript"/>
              </w:rPr>
              <w:t>(2)(6)</w:t>
            </w:r>
          </w:p>
        </w:tc>
        <w:tc>
          <w:tcPr>
            <w:tcW w:w="4240" w:type="dxa"/>
            <w:vAlign w:val="bottom"/>
            <w:tcBorders>
              <w:bottom w:val="single" w:sz="8" w:color="005C5D"/>
            </w:tcBorders>
          </w:tcPr>
          <w:p>
            <w:pPr>
              <w:spacing w:after="0"/>
              <w:rPr>
                <w:sz w:val="23"/>
                <w:szCs w:val="23"/>
                <w:color w:val="auto"/>
              </w:rPr>
            </w:pPr>
          </w:p>
        </w:tc>
        <w:tc>
          <w:tcPr>
            <w:tcW w:w="1800" w:type="dxa"/>
            <w:vAlign w:val="bottom"/>
            <w:tcBorders>
              <w:bottom w:val="single" w:sz="8" w:color="005C5D"/>
            </w:tcBorders>
            <w:shd w:val="clear" w:color="auto" w:fill="FCEFEB"/>
          </w:tcPr>
          <w:p>
            <w:pPr>
              <w:jc w:val="right"/>
              <w:ind w:right="529"/>
              <w:spacing w:after="0"/>
              <w:rPr>
                <w:sz w:val="20"/>
                <w:szCs w:val="20"/>
                <w:color w:val="auto"/>
              </w:rPr>
            </w:pPr>
            <w:r>
              <w:rPr>
                <w:rFonts w:ascii="Arial" w:cs="Arial" w:eastAsia="Arial" w:hAnsi="Arial"/>
                <w:sz w:val="14"/>
                <w:szCs w:val="14"/>
                <w:color w:val="333333"/>
              </w:rPr>
              <w:t>2,744,186</w:t>
            </w:r>
          </w:p>
        </w:tc>
        <w:tc>
          <w:tcPr>
            <w:tcW w:w="640" w:type="dxa"/>
            <w:vAlign w:val="bottom"/>
            <w:tcBorders>
              <w:bottom w:val="single" w:sz="8" w:color="005C5D"/>
            </w:tcBorders>
            <w:shd w:val="clear" w:color="auto" w:fill="FCEFEB"/>
          </w:tcPr>
          <w:p>
            <w:pPr>
              <w:jc w:val="right"/>
              <w:ind w:right="129"/>
              <w:spacing w:after="0"/>
              <w:rPr>
                <w:sz w:val="20"/>
                <w:szCs w:val="20"/>
                <w:color w:val="auto"/>
              </w:rPr>
            </w:pPr>
            <w:r>
              <w:rPr>
                <w:rFonts w:ascii="Arial" w:cs="Arial" w:eastAsia="Arial" w:hAnsi="Arial"/>
                <w:sz w:val="14"/>
                <w:szCs w:val="14"/>
                <w:color w:val="333333"/>
              </w:rPr>
              <w:t>9.6%</w:t>
            </w:r>
          </w:p>
        </w:tc>
      </w:tr>
      <w:tr>
        <w:trPr>
          <w:trHeight w:val="274"/>
        </w:trPr>
        <w:tc>
          <w:tcPr>
            <w:tcW w:w="80" w:type="dxa"/>
            <w:vAlign w:val="bottom"/>
          </w:tcPr>
          <w:p>
            <w:pPr>
              <w:spacing w:after="0"/>
              <w:rPr>
                <w:sz w:val="23"/>
                <w:szCs w:val="23"/>
                <w:color w:val="auto"/>
              </w:rPr>
            </w:pPr>
          </w:p>
        </w:tc>
        <w:tc>
          <w:tcPr>
            <w:tcW w:w="4160" w:type="dxa"/>
            <w:vAlign w:val="bottom"/>
            <w:tcBorders>
              <w:bottom w:val="single" w:sz="8" w:color="005C5D"/>
            </w:tcBorders>
            <w:gridSpan w:val="3"/>
          </w:tcPr>
          <w:p>
            <w:pPr>
              <w:spacing w:after="0"/>
              <w:rPr>
                <w:sz w:val="20"/>
                <w:szCs w:val="20"/>
                <w:color w:val="auto"/>
              </w:rPr>
            </w:pPr>
            <w:r>
              <w:rPr>
                <w:rFonts w:ascii="Arial" w:cs="Arial" w:eastAsia="Arial" w:hAnsi="Arial"/>
                <w:sz w:val="14"/>
                <w:szCs w:val="14"/>
                <w:color w:val="333333"/>
              </w:rPr>
              <w:t>Thomas F. Byrne II</w:t>
            </w:r>
            <w:r>
              <w:rPr>
                <w:rFonts w:ascii="Arial" w:cs="Arial" w:eastAsia="Arial" w:hAnsi="Arial"/>
                <w:sz w:val="21"/>
                <w:szCs w:val="21"/>
                <w:color w:val="333333"/>
                <w:vertAlign w:val="superscript"/>
              </w:rPr>
              <w:t>(2)(7)</w:t>
            </w:r>
          </w:p>
        </w:tc>
        <w:tc>
          <w:tcPr>
            <w:tcW w:w="4240" w:type="dxa"/>
            <w:vAlign w:val="bottom"/>
            <w:tcBorders>
              <w:bottom w:val="single" w:sz="8" w:color="005C5D"/>
            </w:tcBorders>
          </w:tcPr>
          <w:p>
            <w:pPr>
              <w:spacing w:after="0"/>
              <w:rPr>
                <w:sz w:val="23"/>
                <w:szCs w:val="23"/>
                <w:color w:val="auto"/>
              </w:rPr>
            </w:pPr>
          </w:p>
        </w:tc>
        <w:tc>
          <w:tcPr>
            <w:tcW w:w="1800" w:type="dxa"/>
            <w:vAlign w:val="bottom"/>
            <w:tcBorders>
              <w:bottom w:val="single" w:sz="8" w:color="005C5D"/>
            </w:tcBorders>
            <w:shd w:val="clear" w:color="auto" w:fill="FCEFEB"/>
          </w:tcPr>
          <w:p>
            <w:pPr>
              <w:jc w:val="right"/>
              <w:ind w:right="529"/>
              <w:spacing w:after="0"/>
              <w:rPr>
                <w:sz w:val="20"/>
                <w:szCs w:val="20"/>
                <w:color w:val="auto"/>
              </w:rPr>
            </w:pPr>
            <w:r>
              <w:rPr>
                <w:rFonts w:ascii="Arial" w:cs="Arial" w:eastAsia="Arial" w:hAnsi="Arial"/>
                <w:sz w:val="14"/>
                <w:szCs w:val="14"/>
                <w:color w:val="333333"/>
              </w:rPr>
              <w:t>2,744,186</w:t>
            </w:r>
          </w:p>
        </w:tc>
        <w:tc>
          <w:tcPr>
            <w:tcW w:w="640" w:type="dxa"/>
            <w:vAlign w:val="bottom"/>
            <w:tcBorders>
              <w:bottom w:val="single" w:sz="8" w:color="005C5D"/>
            </w:tcBorders>
            <w:shd w:val="clear" w:color="auto" w:fill="FCEFEB"/>
          </w:tcPr>
          <w:p>
            <w:pPr>
              <w:jc w:val="right"/>
              <w:ind w:right="129"/>
              <w:spacing w:after="0"/>
              <w:rPr>
                <w:sz w:val="20"/>
                <w:szCs w:val="20"/>
                <w:color w:val="auto"/>
              </w:rPr>
            </w:pPr>
            <w:r>
              <w:rPr>
                <w:rFonts w:ascii="Arial" w:cs="Arial" w:eastAsia="Arial" w:hAnsi="Arial"/>
                <w:sz w:val="14"/>
                <w:szCs w:val="14"/>
                <w:color w:val="333333"/>
              </w:rPr>
              <w:t>9.6%</w:t>
            </w:r>
          </w:p>
        </w:tc>
      </w:tr>
      <w:tr>
        <w:trPr>
          <w:trHeight w:val="234"/>
        </w:trPr>
        <w:tc>
          <w:tcPr>
            <w:tcW w:w="80" w:type="dxa"/>
            <w:vAlign w:val="bottom"/>
          </w:tcPr>
          <w:p>
            <w:pPr>
              <w:spacing w:after="0"/>
              <w:rPr>
                <w:sz w:val="20"/>
                <w:szCs w:val="20"/>
                <w:color w:val="auto"/>
              </w:rPr>
            </w:pPr>
          </w:p>
        </w:tc>
        <w:tc>
          <w:tcPr>
            <w:tcW w:w="2040" w:type="dxa"/>
            <w:vAlign w:val="bottom"/>
            <w:tcBorders>
              <w:bottom w:val="single" w:sz="8" w:color="333333"/>
            </w:tcBorders>
            <w:gridSpan w:val="2"/>
          </w:tcPr>
          <w:p>
            <w:pPr>
              <w:spacing w:after="0"/>
              <w:rPr>
                <w:sz w:val="20"/>
                <w:szCs w:val="20"/>
                <w:color w:val="auto"/>
              </w:rPr>
            </w:pPr>
            <w:r>
              <w:rPr>
                <w:rFonts w:ascii="Arial" w:cs="Arial" w:eastAsia="Arial" w:hAnsi="Arial"/>
                <w:sz w:val="14"/>
                <w:szCs w:val="14"/>
                <w:color w:val="333333"/>
              </w:rPr>
              <w:t>Directors and Executive Officers</w:t>
            </w:r>
          </w:p>
        </w:tc>
        <w:tc>
          <w:tcPr>
            <w:tcW w:w="21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800" w:type="dxa"/>
            <w:vAlign w:val="bottom"/>
            <w:tcBorders>
              <w:bottom w:val="single" w:sz="8" w:color="FCEFEB"/>
            </w:tcBorders>
            <w:shd w:val="clear" w:color="auto" w:fill="FCEFEB"/>
          </w:tcPr>
          <w:p>
            <w:pPr>
              <w:spacing w:after="0"/>
              <w:rPr>
                <w:sz w:val="20"/>
                <w:szCs w:val="20"/>
                <w:color w:val="auto"/>
              </w:rPr>
            </w:pPr>
          </w:p>
        </w:tc>
        <w:tc>
          <w:tcPr>
            <w:tcW w:w="640" w:type="dxa"/>
            <w:vAlign w:val="bottom"/>
            <w:tcBorders>
              <w:bottom w:val="single" w:sz="8" w:color="FCEFEB"/>
            </w:tcBorders>
            <w:shd w:val="clear" w:color="auto" w:fill="FCEFEB"/>
          </w:tcPr>
          <w:p>
            <w:pPr>
              <w:spacing w:after="0"/>
              <w:rPr>
                <w:sz w:val="20"/>
                <w:szCs w:val="20"/>
                <w:color w:val="auto"/>
              </w:rPr>
            </w:pPr>
          </w:p>
        </w:tc>
      </w:tr>
      <w:tr>
        <w:trPr>
          <w:trHeight w:val="328"/>
        </w:trPr>
        <w:tc>
          <w:tcPr>
            <w:tcW w:w="8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4"/>
                <w:szCs w:val="14"/>
                <w:color w:val="333333"/>
              </w:rPr>
              <w:t>Ian Bickley</w:t>
            </w:r>
          </w:p>
        </w:tc>
        <w:tc>
          <w:tcPr>
            <w:tcW w:w="4240" w:type="dxa"/>
            <w:vAlign w:val="bottom"/>
          </w:tcPr>
          <w:p>
            <w:pPr>
              <w:spacing w:after="0"/>
              <w:rPr>
                <w:sz w:val="24"/>
                <w:szCs w:val="24"/>
                <w:color w:val="auto"/>
              </w:rPr>
            </w:pPr>
          </w:p>
        </w:tc>
        <w:tc>
          <w:tcPr>
            <w:tcW w:w="1800" w:type="dxa"/>
            <w:vAlign w:val="bottom"/>
            <w:tcBorders>
              <w:bottom w:val="single" w:sz="8" w:color="FCEFEB"/>
            </w:tcBorders>
            <w:shd w:val="clear" w:color="auto" w:fill="FCEFEB"/>
          </w:tcPr>
          <w:p>
            <w:pPr>
              <w:jc w:val="right"/>
              <w:ind w:right="529"/>
              <w:spacing w:after="0"/>
              <w:rPr>
                <w:sz w:val="20"/>
                <w:szCs w:val="20"/>
                <w:color w:val="auto"/>
              </w:rPr>
            </w:pPr>
            <w:r>
              <w:rPr>
                <w:rFonts w:ascii="Arial" w:cs="Arial" w:eastAsia="Arial" w:hAnsi="Arial"/>
                <w:sz w:val="14"/>
                <w:szCs w:val="14"/>
                <w:color w:val="333333"/>
              </w:rPr>
              <w:t>131,163</w:t>
            </w:r>
          </w:p>
        </w:tc>
        <w:tc>
          <w:tcPr>
            <w:tcW w:w="640" w:type="dxa"/>
            <w:vAlign w:val="bottom"/>
            <w:tcBorders>
              <w:bottom w:val="single" w:sz="8" w:color="FCEFEB"/>
            </w:tcBorders>
            <w:shd w:val="clear" w:color="auto" w:fill="FCEFEB"/>
          </w:tcPr>
          <w:p>
            <w:pPr>
              <w:jc w:val="right"/>
              <w:ind w:right="249"/>
              <w:spacing w:after="0"/>
              <w:rPr>
                <w:sz w:val="20"/>
                <w:szCs w:val="20"/>
                <w:color w:val="auto"/>
              </w:rPr>
            </w:pPr>
            <w:r>
              <w:rPr>
                <w:rFonts w:ascii="Arial" w:cs="Arial" w:eastAsia="Arial" w:hAnsi="Arial"/>
                <w:sz w:val="14"/>
                <w:szCs w:val="14"/>
                <w:color w:val="333333"/>
              </w:rPr>
              <w:t>*</w:t>
            </w:r>
          </w:p>
        </w:tc>
      </w:tr>
      <w:tr>
        <w:trPr>
          <w:trHeight w:val="274"/>
        </w:trPr>
        <w:tc>
          <w:tcPr>
            <w:tcW w:w="80" w:type="dxa"/>
            <w:vAlign w:val="bottom"/>
          </w:tcPr>
          <w:p>
            <w:pPr>
              <w:spacing w:after="0"/>
              <w:rPr>
                <w:sz w:val="23"/>
                <w:szCs w:val="23"/>
                <w:color w:val="auto"/>
              </w:rPr>
            </w:pPr>
          </w:p>
        </w:tc>
        <w:tc>
          <w:tcPr>
            <w:tcW w:w="4160" w:type="dxa"/>
            <w:vAlign w:val="bottom"/>
            <w:tcBorders>
              <w:top w:val="single" w:sz="8" w:color="005C5D"/>
              <w:bottom w:val="single" w:sz="8" w:color="005C5D"/>
            </w:tcBorders>
            <w:gridSpan w:val="3"/>
          </w:tcPr>
          <w:p>
            <w:pPr>
              <w:spacing w:after="0"/>
              <w:rPr>
                <w:sz w:val="20"/>
                <w:szCs w:val="20"/>
                <w:color w:val="auto"/>
              </w:rPr>
            </w:pPr>
            <w:r>
              <w:rPr>
                <w:rFonts w:ascii="Arial" w:cs="Arial" w:eastAsia="Arial" w:hAnsi="Arial"/>
                <w:sz w:val="14"/>
                <w:szCs w:val="14"/>
                <w:color w:val="333333"/>
              </w:rPr>
              <w:t>Barbara Bradley Baekgaard</w:t>
            </w:r>
            <w:r>
              <w:rPr>
                <w:rFonts w:ascii="Arial" w:cs="Arial" w:eastAsia="Arial" w:hAnsi="Arial"/>
                <w:sz w:val="21"/>
                <w:szCs w:val="21"/>
                <w:color w:val="333333"/>
                <w:vertAlign w:val="superscript"/>
              </w:rPr>
              <w:t>(8)</w:t>
            </w:r>
          </w:p>
        </w:tc>
        <w:tc>
          <w:tcPr>
            <w:tcW w:w="4240" w:type="dxa"/>
            <w:vAlign w:val="bottom"/>
            <w:tcBorders>
              <w:top w:val="single" w:sz="8" w:color="005C5D"/>
              <w:bottom w:val="single" w:sz="8" w:color="005C5D"/>
            </w:tcBorders>
          </w:tcPr>
          <w:p>
            <w:pPr>
              <w:spacing w:after="0"/>
              <w:rPr>
                <w:sz w:val="23"/>
                <w:szCs w:val="23"/>
                <w:color w:val="auto"/>
              </w:rPr>
            </w:pPr>
          </w:p>
        </w:tc>
        <w:tc>
          <w:tcPr>
            <w:tcW w:w="1800" w:type="dxa"/>
            <w:vAlign w:val="bottom"/>
            <w:tcBorders>
              <w:top w:val="single" w:sz="8" w:color="005C5D"/>
              <w:bottom w:val="single" w:sz="8" w:color="005C5D"/>
            </w:tcBorders>
            <w:shd w:val="clear" w:color="auto" w:fill="FCEFEB"/>
          </w:tcPr>
          <w:p>
            <w:pPr>
              <w:jc w:val="right"/>
              <w:ind w:right="529"/>
              <w:spacing w:after="0"/>
              <w:rPr>
                <w:sz w:val="20"/>
                <w:szCs w:val="20"/>
                <w:color w:val="auto"/>
              </w:rPr>
            </w:pPr>
            <w:r>
              <w:rPr>
                <w:rFonts w:ascii="Arial" w:cs="Arial" w:eastAsia="Arial" w:hAnsi="Arial"/>
                <w:sz w:val="14"/>
                <w:szCs w:val="14"/>
                <w:color w:val="333333"/>
              </w:rPr>
              <w:t>28,636</w:t>
            </w:r>
          </w:p>
        </w:tc>
        <w:tc>
          <w:tcPr>
            <w:tcW w:w="640" w:type="dxa"/>
            <w:vAlign w:val="bottom"/>
            <w:tcBorders>
              <w:top w:val="single" w:sz="8" w:color="005C5D"/>
              <w:bottom w:val="single" w:sz="8" w:color="005C5D"/>
            </w:tcBorders>
            <w:shd w:val="clear" w:color="auto" w:fill="FCEFEB"/>
          </w:tcPr>
          <w:p>
            <w:pPr>
              <w:jc w:val="right"/>
              <w:ind w:right="249"/>
              <w:spacing w:after="0"/>
              <w:rPr>
                <w:sz w:val="20"/>
                <w:szCs w:val="20"/>
                <w:color w:val="auto"/>
              </w:rPr>
            </w:pPr>
            <w:r>
              <w:rPr>
                <w:rFonts w:ascii="Arial" w:cs="Arial" w:eastAsia="Arial" w:hAnsi="Arial"/>
                <w:sz w:val="14"/>
                <w:szCs w:val="14"/>
                <w:color w:val="333333"/>
              </w:rPr>
              <w:t>*</w:t>
            </w:r>
          </w:p>
        </w:tc>
      </w:tr>
      <w:tr>
        <w:trPr>
          <w:trHeight w:val="274"/>
        </w:trPr>
        <w:tc>
          <w:tcPr>
            <w:tcW w:w="80" w:type="dxa"/>
            <w:vAlign w:val="bottom"/>
          </w:tcPr>
          <w:p>
            <w:pPr>
              <w:spacing w:after="0"/>
              <w:rPr>
                <w:sz w:val="23"/>
                <w:szCs w:val="23"/>
                <w:color w:val="auto"/>
              </w:rPr>
            </w:pPr>
          </w:p>
        </w:tc>
        <w:tc>
          <w:tcPr>
            <w:tcW w:w="4160" w:type="dxa"/>
            <w:vAlign w:val="bottom"/>
            <w:tcBorders>
              <w:bottom w:val="single" w:sz="8" w:color="005C5D"/>
            </w:tcBorders>
            <w:gridSpan w:val="3"/>
          </w:tcPr>
          <w:p>
            <w:pPr>
              <w:spacing w:after="0"/>
              <w:rPr>
                <w:sz w:val="20"/>
                <w:szCs w:val="20"/>
                <w:color w:val="auto"/>
              </w:rPr>
            </w:pPr>
            <w:r>
              <w:rPr>
                <w:rFonts w:ascii="Arial" w:cs="Arial" w:eastAsia="Arial" w:hAnsi="Arial"/>
                <w:sz w:val="14"/>
                <w:szCs w:val="14"/>
                <w:color w:val="333333"/>
              </w:rPr>
              <w:t>Robert J. Hall</w:t>
            </w:r>
            <w:r>
              <w:rPr>
                <w:rFonts w:ascii="Arial" w:cs="Arial" w:eastAsia="Arial" w:hAnsi="Arial"/>
                <w:sz w:val="21"/>
                <w:szCs w:val="21"/>
                <w:color w:val="333333"/>
                <w:vertAlign w:val="superscript"/>
              </w:rPr>
              <w:t>(2)(9)</w:t>
            </w:r>
          </w:p>
        </w:tc>
        <w:tc>
          <w:tcPr>
            <w:tcW w:w="4240" w:type="dxa"/>
            <w:vAlign w:val="bottom"/>
            <w:tcBorders>
              <w:bottom w:val="single" w:sz="8" w:color="005C5D"/>
            </w:tcBorders>
          </w:tcPr>
          <w:p>
            <w:pPr>
              <w:spacing w:after="0"/>
              <w:rPr>
                <w:sz w:val="23"/>
                <w:szCs w:val="23"/>
                <w:color w:val="auto"/>
              </w:rPr>
            </w:pPr>
          </w:p>
        </w:tc>
        <w:tc>
          <w:tcPr>
            <w:tcW w:w="1800" w:type="dxa"/>
            <w:vAlign w:val="bottom"/>
            <w:tcBorders>
              <w:bottom w:val="single" w:sz="8" w:color="005C5D"/>
            </w:tcBorders>
            <w:shd w:val="clear" w:color="auto" w:fill="FCEFEB"/>
          </w:tcPr>
          <w:p>
            <w:pPr>
              <w:jc w:val="right"/>
              <w:ind w:right="529"/>
              <w:spacing w:after="0"/>
              <w:rPr>
                <w:sz w:val="20"/>
                <w:szCs w:val="20"/>
                <w:color w:val="auto"/>
              </w:rPr>
            </w:pPr>
            <w:r>
              <w:rPr>
                <w:rFonts w:ascii="Arial" w:cs="Arial" w:eastAsia="Arial" w:hAnsi="Arial"/>
                <w:sz w:val="14"/>
                <w:szCs w:val="14"/>
                <w:color w:val="333333"/>
              </w:rPr>
              <w:t>2,929,272</w:t>
            </w:r>
          </w:p>
        </w:tc>
        <w:tc>
          <w:tcPr>
            <w:tcW w:w="640" w:type="dxa"/>
            <w:vAlign w:val="bottom"/>
            <w:tcBorders>
              <w:bottom w:val="single" w:sz="8" w:color="005C5D"/>
            </w:tcBorders>
            <w:shd w:val="clear" w:color="auto" w:fill="FCEFEB"/>
          </w:tcPr>
          <w:p>
            <w:pPr>
              <w:jc w:val="right"/>
              <w:ind w:right="129"/>
              <w:spacing w:after="0"/>
              <w:rPr>
                <w:sz w:val="20"/>
                <w:szCs w:val="20"/>
                <w:color w:val="auto"/>
              </w:rPr>
            </w:pPr>
            <w:r>
              <w:rPr>
                <w:rFonts w:ascii="Arial" w:cs="Arial" w:eastAsia="Arial" w:hAnsi="Arial"/>
                <w:sz w:val="14"/>
                <w:szCs w:val="14"/>
                <w:color w:val="333333"/>
              </w:rPr>
              <w:t>10.3%</w:t>
            </w:r>
          </w:p>
        </w:tc>
      </w:tr>
      <w:tr>
        <w:trPr>
          <w:trHeight w:val="274"/>
        </w:trPr>
        <w:tc>
          <w:tcPr>
            <w:tcW w:w="8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4"/>
                <w:szCs w:val="14"/>
                <w:color w:val="333333"/>
              </w:rPr>
              <w:t>Ian Bickley</w:t>
            </w:r>
          </w:p>
        </w:tc>
        <w:tc>
          <w:tcPr>
            <w:tcW w:w="4240" w:type="dxa"/>
            <w:vAlign w:val="bottom"/>
          </w:tcPr>
          <w:p>
            <w:pPr>
              <w:spacing w:after="0"/>
              <w:rPr>
                <w:sz w:val="23"/>
                <w:szCs w:val="23"/>
                <w:color w:val="auto"/>
              </w:rPr>
            </w:pPr>
          </w:p>
        </w:tc>
        <w:tc>
          <w:tcPr>
            <w:tcW w:w="1800" w:type="dxa"/>
            <w:vAlign w:val="bottom"/>
            <w:tcBorders>
              <w:bottom w:val="single" w:sz="8" w:color="FCEFEB"/>
            </w:tcBorders>
            <w:shd w:val="clear" w:color="auto" w:fill="FCEFEB"/>
          </w:tcPr>
          <w:p>
            <w:pPr>
              <w:jc w:val="right"/>
              <w:ind w:right="529"/>
              <w:spacing w:after="0"/>
              <w:rPr>
                <w:sz w:val="20"/>
                <w:szCs w:val="20"/>
                <w:color w:val="auto"/>
              </w:rPr>
            </w:pPr>
            <w:r>
              <w:rPr>
                <w:rFonts w:ascii="Arial" w:cs="Arial" w:eastAsia="Arial" w:hAnsi="Arial"/>
                <w:sz w:val="14"/>
                <w:szCs w:val="14"/>
                <w:color w:val="333333"/>
              </w:rPr>
              <w:t>—</w:t>
            </w:r>
          </w:p>
        </w:tc>
        <w:tc>
          <w:tcPr>
            <w:tcW w:w="640" w:type="dxa"/>
            <w:vAlign w:val="bottom"/>
            <w:tcBorders>
              <w:bottom w:val="single" w:sz="8" w:color="FCEFEB"/>
            </w:tcBorders>
            <w:shd w:val="clear" w:color="auto" w:fill="FCEFEB"/>
          </w:tcPr>
          <w:p>
            <w:pPr>
              <w:jc w:val="right"/>
              <w:ind w:right="249"/>
              <w:spacing w:after="0"/>
              <w:rPr>
                <w:sz w:val="20"/>
                <w:szCs w:val="20"/>
                <w:color w:val="auto"/>
              </w:rPr>
            </w:pPr>
            <w:r>
              <w:rPr>
                <w:rFonts w:ascii="Arial" w:cs="Arial" w:eastAsia="Arial" w:hAnsi="Arial"/>
                <w:sz w:val="14"/>
                <w:szCs w:val="14"/>
                <w:color w:val="333333"/>
              </w:rPr>
              <w:t>*</w:t>
            </w:r>
          </w:p>
        </w:tc>
      </w:tr>
      <w:tr>
        <w:trPr>
          <w:trHeight w:val="274"/>
        </w:trPr>
        <w:tc>
          <w:tcPr>
            <w:tcW w:w="80" w:type="dxa"/>
            <w:vAlign w:val="bottom"/>
          </w:tcPr>
          <w:p>
            <w:pPr>
              <w:spacing w:after="0"/>
              <w:rPr>
                <w:sz w:val="23"/>
                <w:szCs w:val="23"/>
                <w:color w:val="auto"/>
              </w:rPr>
            </w:pPr>
          </w:p>
        </w:tc>
        <w:tc>
          <w:tcPr>
            <w:tcW w:w="4160" w:type="dxa"/>
            <w:vAlign w:val="bottom"/>
            <w:tcBorders>
              <w:top w:val="single" w:sz="8" w:color="005C5D"/>
            </w:tcBorders>
            <w:gridSpan w:val="3"/>
          </w:tcPr>
          <w:p>
            <w:pPr>
              <w:spacing w:after="0"/>
              <w:rPr>
                <w:sz w:val="20"/>
                <w:szCs w:val="20"/>
                <w:color w:val="auto"/>
              </w:rPr>
            </w:pPr>
            <w:r>
              <w:rPr>
                <w:rFonts w:ascii="Arial" w:cs="Arial" w:eastAsia="Arial" w:hAnsi="Arial"/>
                <w:sz w:val="14"/>
                <w:szCs w:val="14"/>
                <w:color w:val="333333"/>
              </w:rPr>
              <w:t>Kristina Cashman</w:t>
            </w:r>
          </w:p>
        </w:tc>
        <w:tc>
          <w:tcPr>
            <w:tcW w:w="4240" w:type="dxa"/>
            <w:vAlign w:val="bottom"/>
            <w:tcBorders>
              <w:top w:val="single" w:sz="8" w:color="005C5D"/>
            </w:tcBorders>
          </w:tcPr>
          <w:p>
            <w:pPr>
              <w:spacing w:after="0"/>
              <w:rPr>
                <w:sz w:val="23"/>
                <w:szCs w:val="23"/>
                <w:color w:val="auto"/>
              </w:rPr>
            </w:pPr>
          </w:p>
        </w:tc>
        <w:tc>
          <w:tcPr>
            <w:tcW w:w="1800" w:type="dxa"/>
            <w:vAlign w:val="bottom"/>
            <w:tcBorders>
              <w:top w:val="single" w:sz="8" w:color="005C5D"/>
              <w:bottom w:val="single" w:sz="8" w:color="FCEFEB"/>
            </w:tcBorders>
            <w:shd w:val="clear" w:color="auto" w:fill="FCEFEB"/>
          </w:tcPr>
          <w:p>
            <w:pPr>
              <w:jc w:val="right"/>
              <w:ind w:right="529"/>
              <w:spacing w:after="0"/>
              <w:rPr>
                <w:sz w:val="20"/>
                <w:szCs w:val="20"/>
                <w:color w:val="auto"/>
              </w:rPr>
            </w:pPr>
            <w:r>
              <w:rPr>
                <w:rFonts w:ascii="Arial" w:cs="Arial" w:eastAsia="Arial" w:hAnsi="Arial"/>
                <w:sz w:val="14"/>
                <w:szCs w:val="14"/>
                <w:color w:val="333333"/>
              </w:rPr>
              <w:t>86,463</w:t>
            </w:r>
          </w:p>
        </w:tc>
        <w:tc>
          <w:tcPr>
            <w:tcW w:w="640" w:type="dxa"/>
            <w:vAlign w:val="bottom"/>
            <w:tcBorders>
              <w:top w:val="single" w:sz="8" w:color="005C5D"/>
              <w:bottom w:val="single" w:sz="8" w:color="FCEFEB"/>
            </w:tcBorders>
            <w:shd w:val="clear" w:color="auto" w:fill="FCEFEB"/>
          </w:tcPr>
          <w:p>
            <w:pPr>
              <w:jc w:val="right"/>
              <w:ind w:right="249"/>
              <w:spacing w:after="0"/>
              <w:rPr>
                <w:sz w:val="20"/>
                <w:szCs w:val="20"/>
                <w:color w:val="auto"/>
              </w:rPr>
            </w:pPr>
            <w:r>
              <w:rPr>
                <w:rFonts w:ascii="Arial" w:cs="Arial" w:eastAsia="Arial" w:hAnsi="Arial"/>
                <w:sz w:val="14"/>
                <w:szCs w:val="14"/>
                <w:color w:val="333333"/>
              </w:rPr>
              <w:t>*</w:t>
            </w:r>
          </w:p>
        </w:tc>
      </w:tr>
      <w:tr>
        <w:trPr>
          <w:trHeight w:val="274"/>
        </w:trPr>
        <w:tc>
          <w:tcPr>
            <w:tcW w:w="80" w:type="dxa"/>
            <w:vAlign w:val="bottom"/>
          </w:tcPr>
          <w:p>
            <w:pPr>
              <w:spacing w:after="0"/>
              <w:rPr>
                <w:sz w:val="23"/>
                <w:szCs w:val="23"/>
                <w:color w:val="auto"/>
              </w:rPr>
            </w:pPr>
          </w:p>
        </w:tc>
        <w:tc>
          <w:tcPr>
            <w:tcW w:w="4160" w:type="dxa"/>
            <w:vAlign w:val="bottom"/>
            <w:tcBorders>
              <w:top w:val="single" w:sz="8" w:color="005C5D"/>
            </w:tcBorders>
            <w:gridSpan w:val="3"/>
          </w:tcPr>
          <w:p>
            <w:pPr>
              <w:spacing w:after="0"/>
              <w:rPr>
                <w:sz w:val="20"/>
                <w:szCs w:val="20"/>
                <w:color w:val="auto"/>
              </w:rPr>
            </w:pPr>
            <w:r>
              <w:rPr>
                <w:rFonts w:ascii="Arial" w:cs="Arial" w:eastAsia="Arial" w:hAnsi="Arial"/>
                <w:sz w:val="14"/>
                <w:szCs w:val="14"/>
                <w:color w:val="333333"/>
              </w:rPr>
              <w:t>Andrew Meslow</w:t>
            </w:r>
          </w:p>
        </w:tc>
        <w:tc>
          <w:tcPr>
            <w:tcW w:w="4240" w:type="dxa"/>
            <w:vAlign w:val="bottom"/>
            <w:tcBorders>
              <w:top w:val="single" w:sz="8" w:color="005C5D"/>
            </w:tcBorders>
          </w:tcPr>
          <w:p>
            <w:pPr>
              <w:spacing w:after="0"/>
              <w:rPr>
                <w:sz w:val="23"/>
                <w:szCs w:val="23"/>
                <w:color w:val="auto"/>
              </w:rPr>
            </w:pPr>
          </w:p>
        </w:tc>
        <w:tc>
          <w:tcPr>
            <w:tcW w:w="1800" w:type="dxa"/>
            <w:vAlign w:val="bottom"/>
            <w:tcBorders>
              <w:top w:val="single" w:sz="8" w:color="005C5D"/>
              <w:bottom w:val="single" w:sz="8" w:color="FCEFEB"/>
            </w:tcBorders>
            <w:shd w:val="clear" w:color="auto" w:fill="FCEFEB"/>
          </w:tcPr>
          <w:p>
            <w:pPr>
              <w:jc w:val="right"/>
              <w:ind w:right="529"/>
              <w:spacing w:after="0"/>
              <w:rPr>
                <w:sz w:val="20"/>
                <w:szCs w:val="20"/>
                <w:color w:val="auto"/>
              </w:rPr>
            </w:pPr>
            <w:r>
              <w:rPr>
                <w:rFonts w:ascii="Arial" w:cs="Arial" w:eastAsia="Arial" w:hAnsi="Arial"/>
                <w:sz w:val="14"/>
                <w:szCs w:val="14"/>
                <w:color w:val="333333"/>
              </w:rPr>
              <w:t>600,000</w:t>
            </w:r>
          </w:p>
        </w:tc>
        <w:tc>
          <w:tcPr>
            <w:tcW w:w="640" w:type="dxa"/>
            <w:vAlign w:val="bottom"/>
            <w:tcBorders>
              <w:top w:val="single" w:sz="8" w:color="005C5D"/>
              <w:bottom w:val="single" w:sz="8" w:color="FCEFEB"/>
            </w:tcBorders>
            <w:shd w:val="clear" w:color="auto" w:fill="FCEFEB"/>
          </w:tcPr>
          <w:p>
            <w:pPr>
              <w:jc w:val="right"/>
              <w:ind w:right="249"/>
              <w:spacing w:after="0"/>
              <w:rPr>
                <w:sz w:val="20"/>
                <w:szCs w:val="20"/>
                <w:color w:val="auto"/>
              </w:rPr>
            </w:pPr>
            <w:r>
              <w:rPr>
                <w:rFonts w:ascii="Arial" w:cs="Arial" w:eastAsia="Arial" w:hAnsi="Arial"/>
                <w:sz w:val="14"/>
                <w:szCs w:val="14"/>
                <w:color w:val="333333"/>
              </w:rPr>
              <w:t>*</w:t>
            </w:r>
          </w:p>
        </w:tc>
      </w:tr>
      <w:tr>
        <w:trPr>
          <w:trHeight w:val="274"/>
        </w:trPr>
        <w:tc>
          <w:tcPr>
            <w:tcW w:w="80" w:type="dxa"/>
            <w:vAlign w:val="bottom"/>
          </w:tcPr>
          <w:p>
            <w:pPr>
              <w:spacing w:after="0"/>
              <w:rPr>
                <w:sz w:val="23"/>
                <w:szCs w:val="23"/>
                <w:color w:val="auto"/>
              </w:rPr>
            </w:pPr>
          </w:p>
        </w:tc>
        <w:tc>
          <w:tcPr>
            <w:tcW w:w="4160" w:type="dxa"/>
            <w:vAlign w:val="bottom"/>
            <w:tcBorders>
              <w:top w:val="single" w:sz="8" w:color="005C5D"/>
            </w:tcBorders>
            <w:gridSpan w:val="3"/>
          </w:tcPr>
          <w:p>
            <w:pPr>
              <w:spacing w:after="0"/>
              <w:rPr>
                <w:sz w:val="20"/>
                <w:szCs w:val="20"/>
                <w:color w:val="auto"/>
              </w:rPr>
            </w:pPr>
            <w:r>
              <w:rPr>
                <w:rFonts w:ascii="Arial" w:cs="Arial" w:eastAsia="Arial" w:hAnsi="Arial"/>
                <w:sz w:val="14"/>
                <w:szCs w:val="14"/>
                <w:color w:val="333333"/>
              </w:rPr>
              <w:t>Jessica Rodriguez</w:t>
            </w:r>
          </w:p>
        </w:tc>
        <w:tc>
          <w:tcPr>
            <w:tcW w:w="4240" w:type="dxa"/>
            <w:vAlign w:val="bottom"/>
            <w:tcBorders>
              <w:top w:val="single" w:sz="8" w:color="005C5D"/>
            </w:tcBorders>
          </w:tcPr>
          <w:p>
            <w:pPr>
              <w:spacing w:after="0"/>
              <w:rPr>
                <w:sz w:val="23"/>
                <w:szCs w:val="23"/>
                <w:color w:val="auto"/>
              </w:rPr>
            </w:pPr>
          </w:p>
        </w:tc>
        <w:tc>
          <w:tcPr>
            <w:tcW w:w="1800" w:type="dxa"/>
            <w:vAlign w:val="bottom"/>
            <w:tcBorders>
              <w:top w:val="single" w:sz="8" w:color="005C5D"/>
              <w:bottom w:val="single" w:sz="8" w:color="FCEFEB"/>
            </w:tcBorders>
            <w:shd w:val="clear" w:color="auto" w:fill="FCEFEB"/>
          </w:tcPr>
          <w:p>
            <w:pPr>
              <w:jc w:val="right"/>
              <w:ind w:right="529"/>
              <w:spacing w:after="0"/>
              <w:rPr>
                <w:sz w:val="20"/>
                <w:szCs w:val="20"/>
                <w:color w:val="auto"/>
              </w:rPr>
            </w:pPr>
            <w:r>
              <w:rPr>
                <w:rFonts w:ascii="Arial" w:cs="Arial" w:eastAsia="Arial" w:hAnsi="Arial"/>
                <w:sz w:val="14"/>
                <w:szCs w:val="14"/>
                <w:color w:val="333333"/>
              </w:rPr>
              <w:t>52,593</w:t>
            </w:r>
          </w:p>
        </w:tc>
        <w:tc>
          <w:tcPr>
            <w:tcW w:w="640" w:type="dxa"/>
            <w:vAlign w:val="bottom"/>
            <w:tcBorders>
              <w:top w:val="single" w:sz="8" w:color="005C5D"/>
              <w:bottom w:val="single" w:sz="8" w:color="FCEFEB"/>
            </w:tcBorders>
            <w:shd w:val="clear" w:color="auto" w:fill="FCEFEB"/>
          </w:tcPr>
          <w:p>
            <w:pPr>
              <w:jc w:val="right"/>
              <w:ind w:right="249"/>
              <w:spacing w:after="0"/>
              <w:rPr>
                <w:sz w:val="20"/>
                <w:szCs w:val="20"/>
                <w:color w:val="auto"/>
              </w:rPr>
            </w:pPr>
            <w:r>
              <w:rPr>
                <w:rFonts w:ascii="Arial" w:cs="Arial" w:eastAsia="Arial" w:hAnsi="Arial"/>
                <w:sz w:val="14"/>
                <w:szCs w:val="14"/>
                <w:color w:val="333333"/>
              </w:rPr>
              <w:t>*</w:t>
            </w:r>
          </w:p>
        </w:tc>
      </w:tr>
      <w:tr>
        <w:trPr>
          <w:trHeight w:val="274"/>
        </w:trPr>
        <w:tc>
          <w:tcPr>
            <w:tcW w:w="80" w:type="dxa"/>
            <w:vAlign w:val="bottom"/>
          </w:tcPr>
          <w:p>
            <w:pPr>
              <w:spacing w:after="0"/>
              <w:rPr>
                <w:sz w:val="23"/>
                <w:szCs w:val="23"/>
                <w:color w:val="auto"/>
              </w:rPr>
            </w:pPr>
          </w:p>
        </w:tc>
        <w:tc>
          <w:tcPr>
            <w:tcW w:w="4160" w:type="dxa"/>
            <w:vAlign w:val="bottom"/>
            <w:tcBorders>
              <w:top w:val="single" w:sz="8" w:color="005C5D"/>
            </w:tcBorders>
            <w:gridSpan w:val="3"/>
          </w:tcPr>
          <w:p>
            <w:pPr>
              <w:spacing w:after="0"/>
              <w:rPr>
                <w:sz w:val="20"/>
                <w:szCs w:val="20"/>
                <w:color w:val="auto"/>
              </w:rPr>
            </w:pPr>
            <w:r>
              <w:rPr>
                <w:rFonts w:ascii="Arial" w:cs="Arial" w:eastAsia="Arial" w:hAnsi="Arial"/>
                <w:sz w:val="14"/>
                <w:szCs w:val="14"/>
                <w:color w:val="333333"/>
              </w:rPr>
              <w:t>Carrie M. Tharp</w:t>
            </w:r>
          </w:p>
        </w:tc>
        <w:tc>
          <w:tcPr>
            <w:tcW w:w="4240" w:type="dxa"/>
            <w:vAlign w:val="bottom"/>
            <w:tcBorders>
              <w:top w:val="single" w:sz="8" w:color="005C5D"/>
            </w:tcBorders>
          </w:tcPr>
          <w:p>
            <w:pPr>
              <w:spacing w:after="0"/>
              <w:rPr>
                <w:sz w:val="23"/>
                <w:szCs w:val="23"/>
                <w:color w:val="auto"/>
              </w:rPr>
            </w:pPr>
          </w:p>
        </w:tc>
        <w:tc>
          <w:tcPr>
            <w:tcW w:w="1800" w:type="dxa"/>
            <w:vAlign w:val="bottom"/>
            <w:tcBorders>
              <w:top w:val="single" w:sz="8" w:color="005C5D"/>
              <w:bottom w:val="single" w:sz="8" w:color="FCEFEB"/>
            </w:tcBorders>
            <w:shd w:val="clear" w:color="auto" w:fill="FCEFEB"/>
          </w:tcPr>
          <w:p>
            <w:pPr>
              <w:jc w:val="right"/>
              <w:ind w:right="529"/>
              <w:spacing w:after="0"/>
              <w:rPr>
                <w:sz w:val="20"/>
                <w:szCs w:val="20"/>
                <w:color w:val="auto"/>
              </w:rPr>
            </w:pPr>
            <w:r>
              <w:rPr>
                <w:rFonts w:ascii="Arial" w:cs="Arial" w:eastAsia="Arial" w:hAnsi="Arial"/>
                <w:sz w:val="14"/>
                <w:szCs w:val="14"/>
                <w:color w:val="333333"/>
              </w:rPr>
              <w:t>86,463</w:t>
            </w:r>
          </w:p>
        </w:tc>
        <w:tc>
          <w:tcPr>
            <w:tcW w:w="640" w:type="dxa"/>
            <w:vAlign w:val="bottom"/>
            <w:tcBorders>
              <w:top w:val="single" w:sz="8" w:color="005C5D"/>
              <w:bottom w:val="single" w:sz="8" w:color="FCEFEB"/>
            </w:tcBorders>
            <w:shd w:val="clear" w:color="auto" w:fill="FCEFEB"/>
          </w:tcPr>
          <w:p>
            <w:pPr>
              <w:jc w:val="right"/>
              <w:ind w:right="249"/>
              <w:spacing w:after="0"/>
              <w:rPr>
                <w:sz w:val="20"/>
                <w:szCs w:val="20"/>
                <w:color w:val="auto"/>
              </w:rPr>
            </w:pPr>
            <w:r>
              <w:rPr>
                <w:rFonts w:ascii="Arial" w:cs="Arial" w:eastAsia="Arial" w:hAnsi="Arial"/>
                <w:sz w:val="14"/>
                <w:szCs w:val="14"/>
                <w:color w:val="333333"/>
              </w:rPr>
              <w:t>*</w:t>
            </w:r>
          </w:p>
        </w:tc>
      </w:tr>
      <w:tr>
        <w:trPr>
          <w:trHeight w:val="274"/>
        </w:trPr>
        <w:tc>
          <w:tcPr>
            <w:tcW w:w="80" w:type="dxa"/>
            <w:vAlign w:val="bottom"/>
          </w:tcPr>
          <w:p>
            <w:pPr>
              <w:spacing w:after="0"/>
              <w:rPr>
                <w:sz w:val="23"/>
                <w:szCs w:val="23"/>
                <w:color w:val="auto"/>
              </w:rPr>
            </w:pPr>
          </w:p>
        </w:tc>
        <w:tc>
          <w:tcPr>
            <w:tcW w:w="4160" w:type="dxa"/>
            <w:vAlign w:val="bottom"/>
            <w:tcBorders>
              <w:top w:val="single" w:sz="8" w:color="005C5D"/>
            </w:tcBorders>
            <w:gridSpan w:val="3"/>
          </w:tcPr>
          <w:p>
            <w:pPr>
              <w:spacing w:after="0"/>
              <w:rPr>
                <w:sz w:val="20"/>
                <w:szCs w:val="20"/>
                <w:color w:val="auto"/>
              </w:rPr>
            </w:pPr>
            <w:r>
              <w:rPr>
                <w:rFonts w:ascii="Arial" w:cs="Arial" w:eastAsia="Arial" w:hAnsi="Arial"/>
                <w:sz w:val="14"/>
                <w:szCs w:val="14"/>
                <w:color w:val="333333"/>
              </w:rPr>
              <w:t>Martin Layding</w:t>
            </w:r>
          </w:p>
        </w:tc>
        <w:tc>
          <w:tcPr>
            <w:tcW w:w="4240" w:type="dxa"/>
            <w:vAlign w:val="bottom"/>
            <w:tcBorders>
              <w:top w:val="single" w:sz="8" w:color="005C5D"/>
            </w:tcBorders>
          </w:tcPr>
          <w:p>
            <w:pPr>
              <w:spacing w:after="0"/>
              <w:rPr>
                <w:sz w:val="23"/>
                <w:szCs w:val="23"/>
                <w:color w:val="auto"/>
              </w:rPr>
            </w:pPr>
          </w:p>
        </w:tc>
        <w:tc>
          <w:tcPr>
            <w:tcW w:w="1800" w:type="dxa"/>
            <w:vAlign w:val="bottom"/>
            <w:tcBorders>
              <w:top w:val="single" w:sz="8" w:color="005C5D"/>
              <w:bottom w:val="single" w:sz="8" w:color="FCEFEB"/>
            </w:tcBorders>
            <w:shd w:val="clear" w:color="auto" w:fill="FCEFEB"/>
          </w:tcPr>
          <w:p>
            <w:pPr>
              <w:jc w:val="right"/>
              <w:ind w:right="529"/>
              <w:spacing w:after="0"/>
              <w:rPr>
                <w:sz w:val="20"/>
                <w:szCs w:val="20"/>
                <w:color w:val="auto"/>
              </w:rPr>
            </w:pPr>
            <w:r>
              <w:rPr>
                <w:rFonts w:ascii="Arial" w:cs="Arial" w:eastAsia="Arial" w:hAnsi="Arial"/>
                <w:sz w:val="14"/>
                <w:szCs w:val="14"/>
                <w:color w:val="333333"/>
              </w:rPr>
              <w:t>250</w:t>
            </w:r>
          </w:p>
        </w:tc>
        <w:tc>
          <w:tcPr>
            <w:tcW w:w="640" w:type="dxa"/>
            <w:vAlign w:val="bottom"/>
            <w:tcBorders>
              <w:top w:val="single" w:sz="8" w:color="005C5D"/>
              <w:bottom w:val="single" w:sz="8" w:color="FCEFEB"/>
            </w:tcBorders>
            <w:shd w:val="clear" w:color="auto" w:fill="FCEFEB"/>
          </w:tcPr>
          <w:p>
            <w:pPr>
              <w:jc w:val="right"/>
              <w:ind w:right="249"/>
              <w:spacing w:after="0"/>
              <w:rPr>
                <w:sz w:val="20"/>
                <w:szCs w:val="20"/>
                <w:color w:val="auto"/>
              </w:rPr>
            </w:pPr>
            <w:r>
              <w:rPr>
                <w:rFonts w:ascii="Arial" w:cs="Arial" w:eastAsia="Arial" w:hAnsi="Arial"/>
                <w:sz w:val="14"/>
                <w:szCs w:val="14"/>
                <w:color w:val="333333"/>
              </w:rPr>
              <w:t>*</w:t>
            </w:r>
          </w:p>
        </w:tc>
      </w:tr>
      <w:tr>
        <w:trPr>
          <w:trHeight w:val="274"/>
        </w:trPr>
        <w:tc>
          <w:tcPr>
            <w:tcW w:w="80" w:type="dxa"/>
            <w:vAlign w:val="bottom"/>
          </w:tcPr>
          <w:p>
            <w:pPr>
              <w:spacing w:after="0"/>
              <w:rPr>
                <w:sz w:val="23"/>
                <w:szCs w:val="23"/>
                <w:color w:val="auto"/>
              </w:rPr>
            </w:pPr>
          </w:p>
        </w:tc>
        <w:tc>
          <w:tcPr>
            <w:tcW w:w="4160" w:type="dxa"/>
            <w:vAlign w:val="bottom"/>
            <w:tcBorders>
              <w:top w:val="single" w:sz="8" w:color="005C5D"/>
            </w:tcBorders>
            <w:gridSpan w:val="3"/>
          </w:tcPr>
          <w:p>
            <w:pPr>
              <w:spacing w:after="0"/>
              <w:rPr>
                <w:sz w:val="20"/>
                <w:szCs w:val="20"/>
                <w:color w:val="auto"/>
              </w:rPr>
            </w:pPr>
            <w:r>
              <w:rPr>
                <w:rFonts w:ascii="Arial" w:cs="Arial" w:eastAsia="Arial" w:hAnsi="Arial"/>
                <w:sz w:val="14"/>
                <w:szCs w:val="14"/>
                <w:color w:val="333333"/>
              </w:rPr>
              <w:t>Mark C. Dely</w:t>
            </w:r>
          </w:p>
        </w:tc>
        <w:tc>
          <w:tcPr>
            <w:tcW w:w="4240" w:type="dxa"/>
            <w:vAlign w:val="bottom"/>
            <w:tcBorders>
              <w:top w:val="single" w:sz="8" w:color="005C5D"/>
            </w:tcBorders>
          </w:tcPr>
          <w:p>
            <w:pPr>
              <w:spacing w:after="0"/>
              <w:rPr>
                <w:sz w:val="23"/>
                <w:szCs w:val="23"/>
                <w:color w:val="auto"/>
              </w:rPr>
            </w:pPr>
          </w:p>
        </w:tc>
        <w:tc>
          <w:tcPr>
            <w:tcW w:w="1800" w:type="dxa"/>
            <w:vAlign w:val="bottom"/>
            <w:tcBorders>
              <w:top w:val="single" w:sz="8" w:color="005C5D"/>
              <w:bottom w:val="single" w:sz="8" w:color="FCEFEB"/>
            </w:tcBorders>
            <w:shd w:val="clear" w:color="auto" w:fill="FCEFEB"/>
          </w:tcPr>
          <w:p>
            <w:pPr>
              <w:jc w:val="right"/>
              <w:ind w:right="529"/>
              <w:spacing w:after="0"/>
              <w:rPr>
                <w:sz w:val="20"/>
                <w:szCs w:val="20"/>
                <w:color w:val="auto"/>
              </w:rPr>
            </w:pPr>
            <w:r>
              <w:rPr>
                <w:rFonts w:ascii="Arial" w:cs="Arial" w:eastAsia="Arial" w:hAnsi="Arial"/>
                <w:sz w:val="14"/>
                <w:szCs w:val="14"/>
                <w:color w:val="333333"/>
              </w:rPr>
              <w:t>163,072</w:t>
            </w:r>
          </w:p>
        </w:tc>
        <w:tc>
          <w:tcPr>
            <w:tcW w:w="640" w:type="dxa"/>
            <w:vAlign w:val="bottom"/>
            <w:tcBorders>
              <w:top w:val="single" w:sz="8" w:color="005C5D"/>
              <w:bottom w:val="single" w:sz="8" w:color="FCEFEB"/>
            </w:tcBorders>
            <w:shd w:val="clear" w:color="auto" w:fill="FCEFEB"/>
          </w:tcPr>
          <w:p>
            <w:pPr>
              <w:jc w:val="right"/>
              <w:ind w:right="249"/>
              <w:spacing w:after="0"/>
              <w:rPr>
                <w:sz w:val="20"/>
                <w:szCs w:val="20"/>
                <w:color w:val="auto"/>
              </w:rPr>
            </w:pPr>
            <w:r>
              <w:rPr>
                <w:rFonts w:ascii="Arial" w:cs="Arial" w:eastAsia="Arial" w:hAnsi="Arial"/>
                <w:sz w:val="14"/>
                <w:szCs w:val="14"/>
                <w:color w:val="333333"/>
              </w:rPr>
              <w:t>*</w:t>
            </w:r>
          </w:p>
        </w:tc>
      </w:tr>
      <w:tr>
        <w:trPr>
          <w:trHeight w:val="254"/>
        </w:trPr>
        <w:tc>
          <w:tcPr>
            <w:tcW w:w="80" w:type="dxa"/>
            <w:vAlign w:val="bottom"/>
          </w:tcPr>
          <w:p>
            <w:pPr>
              <w:spacing w:after="0"/>
              <w:rPr>
                <w:sz w:val="22"/>
                <w:szCs w:val="22"/>
                <w:color w:val="auto"/>
              </w:rPr>
            </w:pPr>
          </w:p>
        </w:tc>
        <w:tc>
          <w:tcPr>
            <w:tcW w:w="4160" w:type="dxa"/>
            <w:vAlign w:val="bottom"/>
            <w:tcBorders>
              <w:top w:val="single" w:sz="8" w:color="005C5D"/>
            </w:tcBorders>
            <w:gridSpan w:val="3"/>
          </w:tcPr>
          <w:p>
            <w:pPr>
              <w:spacing w:after="0"/>
              <w:rPr>
                <w:sz w:val="20"/>
                <w:szCs w:val="20"/>
                <w:color w:val="auto"/>
              </w:rPr>
            </w:pPr>
            <w:r>
              <w:rPr>
                <w:rFonts w:ascii="Arial" w:cs="Arial" w:eastAsia="Arial" w:hAnsi="Arial"/>
                <w:sz w:val="14"/>
                <w:szCs w:val="14"/>
                <w:color w:val="333333"/>
              </w:rPr>
              <w:t>Directors and Executive Officers as a Group (11 persons)</w:t>
            </w:r>
          </w:p>
        </w:tc>
        <w:tc>
          <w:tcPr>
            <w:tcW w:w="4240" w:type="dxa"/>
            <w:vAlign w:val="bottom"/>
            <w:tcBorders>
              <w:top w:val="single" w:sz="8" w:color="005C5D"/>
            </w:tcBorders>
          </w:tcPr>
          <w:p>
            <w:pPr>
              <w:spacing w:after="0"/>
              <w:rPr>
                <w:sz w:val="22"/>
                <w:szCs w:val="22"/>
                <w:color w:val="auto"/>
              </w:rPr>
            </w:pPr>
          </w:p>
        </w:tc>
        <w:tc>
          <w:tcPr>
            <w:tcW w:w="1800" w:type="dxa"/>
            <w:vAlign w:val="bottom"/>
            <w:tcBorders>
              <w:top w:val="single" w:sz="8" w:color="005C5D"/>
              <w:bottom w:val="single" w:sz="8" w:color="FCEFEB"/>
            </w:tcBorders>
            <w:shd w:val="clear" w:color="auto" w:fill="FCEFEB"/>
          </w:tcPr>
          <w:p>
            <w:pPr>
              <w:jc w:val="right"/>
              <w:ind w:right="529"/>
              <w:spacing w:after="0"/>
              <w:rPr>
                <w:sz w:val="20"/>
                <w:szCs w:val="20"/>
                <w:color w:val="auto"/>
              </w:rPr>
            </w:pPr>
            <w:r>
              <w:rPr>
                <w:rFonts w:ascii="Arial" w:cs="Arial" w:eastAsia="Arial" w:hAnsi="Arial"/>
                <w:sz w:val="14"/>
                <w:szCs w:val="14"/>
                <w:color w:val="333333"/>
              </w:rPr>
              <w:t>4,077,912</w:t>
            </w:r>
          </w:p>
        </w:tc>
        <w:tc>
          <w:tcPr>
            <w:tcW w:w="640" w:type="dxa"/>
            <w:vAlign w:val="bottom"/>
            <w:tcBorders>
              <w:top w:val="single" w:sz="8" w:color="005C5D"/>
              <w:bottom w:val="single" w:sz="8" w:color="FCEFEB"/>
            </w:tcBorders>
            <w:shd w:val="clear" w:color="auto" w:fill="FCEFEB"/>
          </w:tcPr>
          <w:p>
            <w:pPr>
              <w:jc w:val="right"/>
              <w:ind w:right="129"/>
              <w:spacing w:after="0"/>
              <w:rPr>
                <w:sz w:val="20"/>
                <w:szCs w:val="20"/>
                <w:color w:val="auto"/>
              </w:rPr>
            </w:pPr>
            <w:r>
              <w:rPr>
                <w:rFonts w:ascii="Arial" w:cs="Arial" w:eastAsia="Arial" w:hAnsi="Arial"/>
                <w:sz w:val="14"/>
                <w:szCs w:val="14"/>
                <w:color w:val="333333"/>
              </w:rPr>
              <w:t>14.3%</w:t>
            </w:r>
          </w:p>
        </w:tc>
      </w:tr>
      <w:tr>
        <w:trPr>
          <w:trHeight w:val="27"/>
        </w:trPr>
        <w:tc>
          <w:tcPr>
            <w:tcW w:w="80" w:type="dxa"/>
            <w:vAlign w:val="bottom"/>
            <w:tcBorders>
              <w:right w:val="single" w:sz="8" w:color="005C5D"/>
            </w:tcBorders>
          </w:tcPr>
          <w:p>
            <w:pPr>
              <w:spacing w:after="0"/>
              <w:rPr>
                <w:sz w:val="2"/>
                <w:szCs w:val="2"/>
                <w:color w:val="auto"/>
              </w:rPr>
            </w:pPr>
          </w:p>
        </w:tc>
        <w:tc>
          <w:tcPr>
            <w:tcW w:w="1400" w:type="dxa"/>
            <w:vAlign w:val="bottom"/>
            <w:shd w:val="clear" w:color="auto" w:fill="005C5D"/>
          </w:tcPr>
          <w:p>
            <w:pPr>
              <w:spacing w:after="0"/>
              <w:rPr>
                <w:sz w:val="2"/>
                <w:szCs w:val="2"/>
                <w:color w:val="auto"/>
              </w:rPr>
            </w:pPr>
          </w:p>
        </w:tc>
        <w:tc>
          <w:tcPr>
            <w:tcW w:w="640" w:type="dxa"/>
            <w:vAlign w:val="bottom"/>
            <w:shd w:val="clear" w:color="auto" w:fill="005C5D"/>
          </w:tcPr>
          <w:p>
            <w:pPr>
              <w:spacing w:after="0"/>
              <w:rPr>
                <w:sz w:val="2"/>
                <w:szCs w:val="2"/>
                <w:color w:val="auto"/>
              </w:rPr>
            </w:pPr>
          </w:p>
        </w:tc>
        <w:tc>
          <w:tcPr>
            <w:tcW w:w="2120" w:type="dxa"/>
            <w:vAlign w:val="bottom"/>
            <w:shd w:val="clear" w:color="auto" w:fill="005C5D"/>
          </w:tcPr>
          <w:p>
            <w:pPr>
              <w:spacing w:after="0"/>
              <w:rPr>
                <w:sz w:val="2"/>
                <w:szCs w:val="2"/>
                <w:color w:val="auto"/>
              </w:rPr>
            </w:pPr>
          </w:p>
        </w:tc>
        <w:tc>
          <w:tcPr>
            <w:tcW w:w="6040" w:type="dxa"/>
            <w:vAlign w:val="bottom"/>
            <w:gridSpan w:val="2"/>
            <w:shd w:val="clear" w:color="auto" w:fill="005C5D"/>
          </w:tcPr>
          <w:p>
            <w:pPr>
              <w:spacing w:after="0"/>
              <w:rPr>
                <w:sz w:val="2"/>
                <w:szCs w:val="2"/>
                <w:color w:val="auto"/>
              </w:rPr>
            </w:pPr>
          </w:p>
        </w:tc>
        <w:tc>
          <w:tcPr>
            <w:tcW w:w="640" w:type="dxa"/>
            <w:vAlign w:val="bottom"/>
            <w:shd w:val="clear" w:color="auto" w:fill="005C5D"/>
          </w:tcPr>
          <w:p>
            <w:pPr>
              <w:spacing w:after="0"/>
              <w:rPr>
                <w:sz w:val="2"/>
                <w:szCs w:val="2"/>
                <w:color w:val="auto"/>
              </w:rPr>
            </w:pPr>
          </w:p>
        </w:tc>
      </w:tr>
      <w:tr>
        <w:trPr>
          <w:trHeight w:val="333"/>
        </w:trPr>
        <w:tc>
          <w:tcPr>
            <w:tcW w:w="4240" w:type="dxa"/>
            <w:vAlign w:val="bottom"/>
            <w:gridSpan w:val="4"/>
          </w:tcPr>
          <w:p>
            <w:pPr>
              <w:spacing w:after="0"/>
              <w:rPr>
                <w:sz w:val="20"/>
                <w:szCs w:val="20"/>
                <w:color w:val="auto"/>
              </w:rPr>
            </w:pPr>
            <w:r>
              <w:rPr>
                <w:rFonts w:ascii="Arial" w:cs="Arial" w:eastAsia="Arial" w:hAnsi="Arial"/>
                <w:sz w:val="14"/>
                <w:szCs w:val="14"/>
                <w:color w:val="005C5D"/>
              </w:rPr>
              <w:t xml:space="preserve">48 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p>
        </w:tc>
        <w:tc>
          <w:tcPr>
            <w:tcW w:w="6040" w:type="dxa"/>
            <w:vAlign w:val="bottom"/>
            <w:gridSpan w:val="2"/>
          </w:tcPr>
          <w:p>
            <w:pPr>
              <w:jc w:val="right"/>
              <w:ind w:right="3949"/>
              <w:spacing w:after="0"/>
              <w:rPr>
                <w:sz w:val="20"/>
                <w:szCs w:val="20"/>
                <w:color w:val="auto"/>
              </w:rPr>
            </w:pPr>
            <w:r>
              <w:rPr>
                <w:rFonts w:ascii="Arial" w:cs="Arial" w:eastAsia="Arial" w:hAnsi="Arial"/>
                <w:sz w:val="14"/>
                <w:szCs w:val="14"/>
                <w:b w:val="1"/>
                <w:bCs w:val="1"/>
                <w:color w:val="005C5D"/>
              </w:rPr>
              <w:t>VERA BRADLEY, INC.</w:t>
            </w:r>
          </w:p>
        </w:tc>
        <w:tc>
          <w:tcPr>
            <w:tcW w:w="640" w:type="dxa"/>
            <w:vAlign w:val="bottom"/>
          </w:tcPr>
          <w:p>
            <w:pPr>
              <w:spacing w:after="0"/>
              <w:rPr>
                <w:sz w:val="24"/>
                <w:szCs w:val="24"/>
                <w:color w:val="auto"/>
              </w:rPr>
            </w:pPr>
          </w:p>
        </w:tc>
      </w:tr>
    </w:tbl>
    <w:p>
      <w:pPr>
        <w:sectPr>
          <w:pgSz w:w="11900" w:h="16838" w:orient="portrait"/>
          <w:cols w:equalWidth="0" w:num="1">
            <w:col w:w="11080"/>
          </w:cols>
          <w:pgMar w:left="320" w:top="478"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005C5D"/>
        </w:rPr>
        <w:t>Share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305" w:lineRule="exact"/>
        <w:rPr>
          <w:sz w:val="20"/>
          <w:szCs w:val="20"/>
          <w:color w:val="auto"/>
        </w:rPr>
      </w:pPr>
    </w:p>
    <w:p>
      <w:pPr>
        <w:ind w:left="480" w:hanging="313"/>
        <w:spacing w:after="0"/>
        <w:tabs>
          <w:tab w:leader="none" w:pos="480" w:val="left"/>
        </w:tabs>
        <w:numPr>
          <w:ilvl w:val="0"/>
          <w:numId w:val="58"/>
        </w:numPr>
        <w:rPr>
          <w:rFonts w:ascii="Arial" w:cs="Arial" w:eastAsia="Arial" w:hAnsi="Arial"/>
          <w:sz w:val="12"/>
          <w:szCs w:val="12"/>
          <w:color w:val="333333"/>
        </w:rPr>
      </w:pPr>
      <w:r>
        <w:rPr>
          <w:rFonts w:ascii="Arial" w:cs="Arial" w:eastAsia="Arial" w:hAnsi="Arial"/>
          <w:sz w:val="12"/>
          <w:szCs w:val="12"/>
          <w:color w:val="333333"/>
        </w:rPr>
        <w:t>Represents beneficial ownership of less than one percent of the outstanding common shares.</w:t>
      </w:r>
    </w:p>
    <w:p>
      <w:pPr>
        <w:spacing w:after="0" w:line="8" w:lineRule="exact"/>
        <w:rPr>
          <w:sz w:val="20"/>
          <w:szCs w:val="20"/>
          <w:color w:val="auto"/>
        </w:rPr>
      </w:pPr>
    </w:p>
    <w:p>
      <w:pPr>
        <w:ind w:left="480" w:hanging="313"/>
        <w:spacing w:after="0" w:line="232" w:lineRule="auto"/>
        <w:tabs>
          <w:tab w:leader="none" w:pos="480" w:val="left"/>
        </w:tabs>
        <w:numPr>
          <w:ilvl w:val="0"/>
          <w:numId w:val="59"/>
        </w:numPr>
        <w:rPr>
          <w:rFonts w:ascii="Arial" w:cs="Arial" w:eastAsia="Arial" w:hAnsi="Arial"/>
          <w:sz w:val="12"/>
          <w:szCs w:val="12"/>
          <w:color w:val="333333"/>
        </w:rPr>
      </w:pPr>
      <w:r>
        <w:rPr>
          <w:rFonts w:ascii="Arial" w:cs="Arial" w:eastAsia="Arial" w:hAnsi="Arial"/>
          <w:sz w:val="12"/>
          <w:szCs w:val="12"/>
          <w:color w:val="333333"/>
        </w:rPr>
        <w:t>P. Michael Miller and Patricia R. Miller are husband and wife. Collectively, they beneficially owned an aggregate of 3,042,590 common shares as of April 8, 2026. Of these shares 1,500,000 shares were held by the Miller Marital Trust of which Mrs. Miller is the trustee; 1,421,811 shares were held by Patricia R. Miller; and 120,779 shares were held by P. Michael Miller.</w:t>
      </w:r>
    </w:p>
    <w:p>
      <w:pPr>
        <w:jc w:val="both"/>
        <w:ind w:left="480" w:hanging="313"/>
        <w:spacing w:after="0" w:line="232" w:lineRule="auto"/>
        <w:tabs>
          <w:tab w:leader="none" w:pos="480" w:val="left"/>
        </w:tabs>
        <w:numPr>
          <w:ilvl w:val="0"/>
          <w:numId w:val="59"/>
        </w:numPr>
        <w:rPr>
          <w:rFonts w:ascii="Arial" w:cs="Arial" w:eastAsia="Arial" w:hAnsi="Arial"/>
          <w:sz w:val="12"/>
          <w:szCs w:val="12"/>
          <w:color w:val="333333"/>
        </w:rPr>
      </w:pPr>
      <w:r>
        <w:rPr>
          <w:rFonts w:ascii="Arial" w:cs="Arial" w:eastAsia="Arial" w:hAnsi="Arial"/>
          <w:sz w:val="12"/>
          <w:szCs w:val="12"/>
          <w:color w:val="333333"/>
        </w:rPr>
        <w:t>Michael C. Ray, Anne-Marie Ray, James B. Byrne, Thomas F. Byrne II, Robert J. Hall, and Joan B. Hall, each of whom is related by blood or marriage to Barbara Bradley Baekgaard, share voting and investment power with regard to 2,345,706 shares held by the Barbara B. Baekgaard 2009 Grantor Retained Annuity Trust (the “Baekgaard Trust”) and 31,358 shares held by the Barbara Bradley Baekgaard Family Foundation, a trust from which distributions are made exclusively to charitable organizations (the “Foundation”). In the aggregate, Michael C. Ray, Anne-Marie Ray, James B. Byrne, Thomas F. Byrne II, Robert J. Hall, and Joan B. Hall beneficially owned 4,035,768 shares as of April 8, 2026.</w:t>
      </w:r>
    </w:p>
    <w:p>
      <w:pPr>
        <w:spacing w:after="0" w:line="1" w:lineRule="exact"/>
        <w:rPr>
          <w:rFonts w:ascii="Arial" w:cs="Arial" w:eastAsia="Arial" w:hAnsi="Arial"/>
          <w:sz w:val="12"/>
          <w:szCs w:val="12"/>
          <w:color w:val="333333"/>
        </w:rPr>
      </w:pPr>
    </w:p>
    <w:p>
      <w:pPr>
        <w:ind w:left="480" w:hanging="313"/>
        <w:spacing w:after="0" w:line="232" w:lineRule="auto"/>
        <w:tabs>
          <w:tab w:leader="none" w:pos="480" w:val="left"/>
        </w:tabs>
        <w:numPr>
          <w:ilvl w:val="0"/>
          <w:numId w:val="59"/>
        </w:numPr>
        <w:rPr>
          <w:rFonts w:ascii="Arial" w:cs="Arial" w:eastAsia="Arial" w:hAnsi="Arial"/>
          <w:sz w:val="12"/>
          <w:szCs w:val="12"/>
          <w:color w:val="333333"/>
        </w:rPr>
      </w:pPr>
      <w:r>
        <w:rPr>
          <w:rFonts w:ascii="Arial" w:cs="Arial" w:eastAsia="Arial" w:hAnsi="Arial"/>
          <w:sz w:val="12"/>
          <w:szCs w:val="12"/>
          <w:color w:val="333333"/>
        </w:rPr>
        <w:t>Represents 2,345,706 shares held by the Baekgaard Trust; 31,358 shares held by the Foundation, of which Mrs. Hall is a trustee; and 34,065 and 332,754 shares held by the Joan Byrne Hall 2017 Grantor Retained Annuity Trust #1 and Joan Byrne Hall Revocable Trust, respectively (collectively the “Joan Byrne Hall Trusts”) of which Mrs. Hall is the sole trustee</w:t>
      </w:r>
    </w:p>
    <w:p>
      <w:pPr>
        <w:jc w:val="both"/>
        <w:ind w:left="480" w:right="20" w:hanging="313"/>
        <w:spacing w:after="0"/>
        <w:tabs>
          <w:tab w:leader="none" w:pos="480" w:val="left"/>
        </w:tabs>
        <w:numPr>
          <w:ilvl w:val="0"/>
          <w:numId w:val="59"/>
        </w:numPr>
        <w:rPr>
          <w:rFonts w:ascii="Arial" w:cs="Arial" w:eastAsia="Arial" w:hAnsi="Arial"/>
          <w:sz w:val="12"/>
          <w:szCs w:val="12"/>
          <w:color w:val="333333"/>
        </w:rPr>
      </w:pPr>
      <w:r>
        <w:rPr>
          <w:rFonts w:ascii="Arial" w:cs="Arial" w:eastAsia="Arial" w:hAnsi="Arial"/>
          <w:sz w:val="12"/>
          <w:szCs w:val="12"/>
          <w:color w:val="333333"/>
        </w:rPr>
        <w:t>Represents 2,345,706 shares held by the Baekgaard Trust; 34,065 and 338,187 shares held by the Anne-Marie Ray 2017 Grantor Retained Annuity Trust #1 and the Anne-Marie Ray Revocable Trust, respectively (collectively the “Anne-Marie Trusts”), of which Mr. Ray’s spouse is the sole trustee; and 31,358 shares held by the Foundation, of which Mr. Ray’s spouse is a trustee.</w:t>
      </w:r>
    </w:p>
    <w:p>
      <w:pPr>
        <w:spacing w:after="0" w:line="125" w:lineRule="exact"/>
        <w:rPr>
          <w:rFonts w:ascii="Arial" w:cs="Arial" w:eastAsia="Arial" w:hAnsi="Arial"/>
          <w:sz w:val="12"/>
          <w:szCs w:val="12"/>
          <w:color w:val="333333"/>
        </w:rPr>
      </w:pPr>
    </w:p>
    <w:p>
      <w:pPr>
        <w:ind w:left="480" w:hanging="313"/>
        <w:spacing w:after="0" w:line="232" w:lineRule="auto"/>
        <w:tabs>
          <w:tab w:leader="none" w:pos="480" w:val="left"/>
        </w:tabs>
        <w:numPr>
          <w:ilvl w:val="0"/>
          <w:numId w:val="59"/>
        </w:numPr>
        <w:rPr>
          <w:rFonts w:ascii="Arial" w:cs="Arial" w:eastAsia="Arial" w:hAnsi="Arial"/>
          <w:sz w:val="12"/>
          <w:szCs w:val="12"/>
          <w:color w:val="333333"/>
        </w:rPr>
      </w:pPr>
      <w:r>
        <w:rPr>
          <w:rFonts w:ascii="Arial" w:cs="Arial" w:eastAsia="Arial" w:hAnsi="Arial"/>
          <w:sz w:val="12"/>
          <w:szCs w:val="12"/>
          <w:color w:val="333333"/>
        </w:rPr>
        <w:t>Represents 2,345,706 shares held by the Baekgaard Trust; 372,252 shares held by the Anne-Marie Trusts, of which Mrs. Ray is the sole trustee; and 31,358 shares held by the Foundation, of which Mrs. Ray is a trustee.</w:t>
      </w:r>
    </w:p>
    <w:p>
      <w:pPr>
        <w:ind w:left="480" w:hanging="313"/>
        <w:spacing w:after="0" w:line="232" w:lineRule="auto"/>
        <w:tabs>
          <w:tab w:leader="none" w:pos="480" w:val="left"/>
        </w:tabs>
        <w:numPr>
          <w:ilvl w:val="0"/>
          <w:numId w:val="59"/>
        </w:numPr>
        <w:rPr>
          <w:rFonts w:ascii="Arial" w:cs="Arial" w:eastAsia="Arial" w:hAnsi="Arial"/>
          <w:sz w:val="12"/>
          <w:szCs w:val="12"/>
          <w:color w:val="333333"/>
        </w:rPr>
      </w:pPr>
      <w:r>
        <w:rPr>
          <w:rFonts w:ascii="Arial" w:cs="Arial" w:eastAsia="Arial" w:hAnsi="Arial"/>
          <w:sz w:val="12"/>
          <w:szCs w:val="12"/>
          <w:color w:val="333333"/>
        </w:rPr>
        <w:t>Represents 2,345,706 shares held by the Baekgaard Trust; 31,358 shares held by the Foundation, of which Mr. Byrne is a trustee; and 34,065 and 333,057 shares held by the James B. Byrne 2017 Grantor Retained Annuity Trust #1 and James Bradley Byrne Revocable Trust, respectively, of which Mr. Byrne is the sole trustee.</w:t>
      </w:r>
    </w:p>
    <w:p>
      <w:pPr>
        <w:ind w:left="480" w:hanging="313"/>
        <w:spacing w:after="0" w:line="232" w:lineRule="auto"/>
        <w:tabs>
          <w:tab w:leader="none" w:pos="480" w:val="left"/>
        </w:tabs>
        <w:numPr>
          <w:ilvl w:val="0"/>
          <w:numId w:val="59"/>
        </w:numPr>
        <w:rPr>
          <w:rFonts w:ascii="Arial" w:cs="Arial" w:eastAsia="Arial" w:hAnsi="Arial"/>
          <w:sz w:val="12"/>
          <w:szCs w:val="12"/>
          <w:color w:val="333333"/>
        </w:rPr>
      </w:pPr>
      <w:r>
        <w:rPr>
          <w:rFonts w:ascii="Arial" w:cs="Arial" w:eastAsia="Arial" w:hAnsi="Arial"/>
          <w:sz w:val="12"/>
          <w:szCs w:val="12"/>
          <w:color w:val="333333"/>
        </w:rPr>
        <w:t>Represents 2,345,706 shares held by the Baekgaard Trust; 31,358 shares held by the Foundation, of which Mr. Byrne is a trustee; and 34,065 and 333,057 shares held by the Thomas F. Byrne II 2017 Grantor Retained Annuity Trust #1 and Thomas F. Byrne II Revocable Trust, respectively, of which Mr. Byrne is the sole trustee.</w:t>
      </w:r>
    </w:p>
    <w:p>
      <w:pPr>
        <w:ind w:left="480" w:hanging="313"/>
        <w:spacing w:after="0" w:line="232" w:lineRule="auto"/>
        <w:tabs>
          <w:tab w:leader="none" w:pos="480" w:val="left"/>
        </w:tabs>
        <w:numPr>
          <w:ilvl w:val="0"/>
          <w:numId w:val="59"/>
        </w:numPr>
        <w:rPr>
          <w:rFonts w:ascii="Arial" w:cs="Arial" w:eastAsia="Arial" w:hAnsi="Arial"/>
          <w:sz w:val="12"/>
          <w:szCs w:val="12"/>
          <w:color w:val="333333"/>
        </w:rPr>
      </w:pPr>
      <w:r>
        <w:rPr>
          <w:rFonts w:ascii="Arial" w:cs="Arial" w:eastAsia="Arial" w:hAnsi="Arial"/>
          <w:sz w:val="12"/>
          <w:szCs w:val="12"/>
          <w:color w:val="333333"/>
        </w:rPr>
        <w:t>During fiscal 2026, Ms. Baekgaard became a non-voting director given her Director Emeritus role.</w:t>
      </w:r>
    </w:p>
    <w:p>
      <w:pPr>
        <w:ind w:left="480" w:hanging="313"/>
        <w:spacing w:after="0" w:line="258" w:lineRule="auto"/>
        <w:tabs>
          <w:tab w:leader="none" w:pos="480" w:val="left"/>
        </w:tabs>
        <w:numPr>
          <w:ilvl w:val="0"/>
          <w:numId w:val="59"/>
        </w:numPr>
        <w:rPr>
          <w:rFonts w:ascii="Arial" w:cs="Arial" w:eastAsia="Arial" w:hAnsi="Arial"/>
          <w:sz w:val="12"/>
          <w:szCs w:val="12"/>
          <w:color w:val="333333"/>
        </w:rPr>
      </w:pPr>
      <w:r>
        <w:rPr>
          <w:rFonts w:ascii="Arial" w:cs="Arial" w:eastAsia="Arial" w:hAnsi="Arial"/>
          <w:sz w:val="12"/>
          <w:szCs w:val="12"/>
          <w:color w:val="333333"/>
        </w:rPr>
        <w:t>Represents 145,483 shares held by Robert J. Hall; 2,345,706 shares held by the Baekgaard Trust; 366,819 shares held by the Joan Byrne Hall Trusts, of which Mr. Hall’s spouse is the sole trustee; and 31,358 shares held by the Foundation, of which Mr. Hall’s spouse is a trustee.</w:t>
      </w:r>
    </w:p>
    <w:p>
      <w:pPr>
        <w:spacing w:after="0" w:line="115" w:lineRule="exact"/>
        <w:rPr>
          <w:sz w:val="20"/>
          <w:szCs w:val="20"/>
          <w:color w:val="auto"/>
        </w:rPr>
      </w:pPr>
    </w:p>
    <w:p>
      <w:pPr>
        <w:ind w:left="4940"/>
        <w:spacing w:after="0"/>
        <w:tabs>
          <w:tab w:leader="none" w:pos="9080" w:val="left"/>
          <w:tab w:leader="none" w:pos="10900" w:val="left"/>
        </w:tabs>
        <w:rPr>
          <w:sz w:val="20"/>
          <w:szCs w:val="20"/>
          <w:color w:val="auto"/>
        </w:rPr>
      </w:pPr>
      <w:r>
        <w:rPr>
          <w:rFonts w:ascii="Arial" w:cs="Arial" w:eastAsia="Arial" w:hAnsi="Arial"/>
          <w:sz w:val="14"/>
          <w:szCs w:val="14"/>
          <w:b w:val="1"/>
          <w:bCs w:val="1"/>
          <w:color w:val="005C5D"/>
        </w:rPr>
        <w:t>VERA BRADLEY, INC.</w:t>
      </w:r>
      <w:r>
        <w:rPr>
          <w:sz w:val="20"/>
          <w:szCs w:val="20"/>
          <w:color w:val="auto"/>
        </w:rPr>
        <w:tab/>
      </w:r>
      <w:r>
        <w:rPr>
          <w:rFonts w:ascii="Arial" w:cs="Arial" w:eastAsia="Arial" w:hAnsi="Arial"/>
          <w:sz w:val="14"/>
          <w:szCs w:val="14"/>
          <w:color w:val="005C5D"/>
        </w:rPr>
        <w:t xml:space="preserve">2026 Proxy Statement 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w:t>
        <w:tab/>
        <w:t>49</w:t>
      </w:r>
    </w:p>
    <w:p>
      <w:pPr>
        <w:sectPr>
          <w:pgSz w:w="11900" w:h="16838" w:orient="portrait"/>
          <w:cols w:equalWidth="0" w:num="1">
            <w:col w:w="11080"/>
          </w:cols>
          <w:pgMar w:left="320" w:top="478"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4"/>
          <w:szCs w:val="14"/>
          <w:color w:val="005C5D"/>
        </w:rPr>
        <w:t>Other Business and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26"/>
          <w:szCs w:val="26"/>
          <w:b w:val="1"/>
          <w:bCs w:val="1"/>
          <w:color w:val="005C5D"/>
        </w:rPr>
        <w:t>OTHER BUSINESS AND ADDITIONAL INFORMATION</w:t>
      </w:r>
    </w:p>
    <w:p>
      <w:pPr>
        <w:sectPr>
          <w:pgSz w:w="11900" w:h="16838" w:orient="portrait"/>
          <w:cols w:equalWidth="0" w:num="1">
            <w:col w:w="11080"/>
          </w:cols>
          <w:pgMar w:left="320" w:top="478" w:right="499" w:bottom="1440" w:gutter="0" w:footer="0" w:header="0"/>
        </w:sectPr>
      </w:pPr>
    </w:p>
    <w:p>
      <w:pPr>
        <w:spacing w:after="0" w:line="18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5C5D"/>
        </w:rPr>
        <w:t>DELINQUENT SECTION 16(a) REPORTS</w:t>
      </w:r>
    </w:p>
    <w:p>
      <w:pPr>
        <w:spacing w:after="0" w:line="100" w:lineRule="exact"/>
        <w:rPr>
          <w:sz w:val="20"/>
          <w:szCs w:val="20"/>
          <w:color w:val="auto"/>
        </w:rPr>
      </w:pPr>
    </w:p>
    <w:p>
      <w:pPr>
        <w:jc w:val="both"/>
        <w:ind w:left="160"/>
        <w:spacing w:after="0" w:line="246" w:lineRule="auto"/>
        <w:rPr>
          <w:sz w:val="20"/>
          <w:szCs w:val="20"/>
          <w:color w:val="auto"/>
        </w:rPr>
      </w:pPr>
      <w:r>
        <w:rPr>
          <w:rFonts w:ascii="Arial" w:cs="Arial" w:eastAsia="Arial" w:hAnsi="Arial"/>
          <w:sz w:val="16"/>
          <w:szCs w:val="16"/>
          <w:color w:val="333333"/>
        </w:rPr>
        <w:t>Section 16(a) of the Exchange Act requires Vera Bradley’s executive officers, directors, and persons who beneficially own more than 10% of our common shares to file initial reports of ownership and reports of changes in ownership with the Securities and Exchange Commission. Such persons are required by Commission regulations to furnish Vera Bradley with copies of all Section 16(a) forms filed by such persons. The Company discloses Melinda Paraie became an officer on November 1, 2025; her Form 3 was filed on December 12, 2025. Further, Ivan Brockman became a director on November 17, 2025; his Form 3 was filed on December 12, 2025. Based solely on Vera Bradley’s review of such forms furnished to it and written representations from certain reporting persons, Vera Bradley believes that all other filing requirements applicable to its executive officers, directors and more than 10% shareholders were complied with during fiscal 2026.</w:t>
      </w:r>
    </w:p>
    <w:p>
      <w:pPr>
        <w:spacing w:after="0" w:line="79" w:lineRule="exact"/>
        <w:rPr>
          <w:sz w:val="20"/>
          <w:szCs w:val="20"/>
          <w:color w:val="auto"/>
        </w:rPr>
      </w:pPr>
    </w:p>
    <w:p>
      <w:pPr>
        <w:jc w:val="center"/>
        <w:ind w:left="180" w:right="140"/>
        <w:spacing w:after="0" w:line="237" w:lineRule="auto"/>
        <w:rPr>
          <w:sz w:val="20"/>
          <w:szCs w:val="20"/>
          <w:color w:val="auto"/>
        </w:rPr>
      </w:pPr>
      <w:r>
        <w:rPr>
          <w:rFonts w:ascii="Arial" w:cs="Arial" w:eastAsia="Arial" w:hAnsi="Arial"/>
          <w:sz w:val="20"/>
          <w:szCs w:val="20"/>
          <w:b w:val="1"/>
          <w:bCs w:val="1"/>
          <w:color w:val="005C5D"/>
        </w:rPr>
        <w:t>REQUIREMENTS, INCLUDING DEADLINES, FOR SUBMISSION OF PROXY PROPOSALS, NOMINATION OF DIRECTORS AND OTHER BUSINESS OF SHAREHOLDERS</w:t>
      </w:r>
    </w:p>
    <w:p>
      <w:pPr>
        <w:spacing w:after="0" w:line="64"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color w:val="333333"/>
        </w:rPr>
        <w:t>In order to submit shareholder proposals for the 2027 annual meeting of shareholders for inclusion in the Company’s Proxy Statement pursuant to SEC Rule 14a-8, materials must be received by the Secretary at the Company’s principal office in Roanoke, Indiana, no later than January 23, 2027.</w:t>
      </w:r>
    </w:p>
    <w:p>
      <w:pPr>
        <w:spacing w:after="0" w:line="100" w:lineRule="exact"/>
        <w:rPr>
          <w:sz w:val="20"/>
          <w:szCs w:val="20"/>
          <w:color w:val="auto"/>
        </w:rPr>
      </w:pPr>
    </w:p>
    <w:p>
      <w:pPr>
        <w:jc w:val="both"/>
        <w:ind w:left="160"/>
        <w:spacing w:after="0" w:line="253" w:lineRule="auto"/>
        <w:rPr>
          <w:sz w:val="20"/>
          <w:szCs w:val="20"/>
          <w:color w:val="auto"/>
        </w:rPr>
      </w:pPr>
      <w:r>
        <w:rPr>
          <w:rFonts w:ascii="Arial" w:cs="Arial" w:eastAsia="Arial" w:hAnsi="Arial"/>
          <w:sz w:val="16"/>
          <w:szCs w:val="16"/>
          <w:color w:val="333333"/>
        </w:rPr>
        <w:t>The proposals must comply with all of the requirements of SEC Rule 14a-8. Proposals should be addressed to: Corporate Secretary, Vera Bradley, Inc., 12420 Stonebridge Road, Roanoke, Indiana 46783. As the rules of the SEC make clear, simply submitting a proposal does not guarantee its inclusion.</w:t>
      </w:r>
    </w:p>
    <w:p>
      <w:pPr>
        <w:spacing w:after="0" w:line="114"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333333"/>
        </w:rPr>
        <w:t>The Company’s amended and restated bylaws also establish an advance notice procedure with regard to director nominations and shareholder proposals that are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333333"/>
        </w:rPr>
        <w:t>not submitted for inclusion in the Proxy Statement, but that a shareholder instead wishes to present directly at an annual meeting. To properly bring before the 2027 annual meeting, a nomination or other matter the shareholder wishes to present at the meeting, the shareholder must have given written notification thereof, either by personal delivery or by United States mail, postage prepaid, to the Secretary of the Company no earlier than 120 days and not later than 90 days in advance of the date of the Company’s Proxy Statement released to shareholders in connection with the previous year’s annual meeting of shareholders. As a result, any notice given by or on behalf of a shareholder pursuant to these provisions of the Company’s amended and restated bylaws (and not pursuant to SEC Rule 14a-8) must be received no earlier than December 26, 2026, and no later than January 23, 2027. All director nominations and shareholder proposals must comply with the requirements of the Company’s amended and restated bylaws, a copy of which may be obtained at no cost from the Secretary of the Company.</w:t>
      </w:r>
    </w:p>
    <w:p>
      <w:pPr>
        <w:spacing w:after="0" w:line="11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333333"/>
        </w:rPr>
        <w:t>Other than the three proposals described in this Proxy Statement, Vera Bradley does not expect any matters to be presented for a vote at the Annual Meeting. If you grant a proxy, the persons named as proxy holders on the proxy card will have the discretion to vote your shares on any additional matters properly presented for a vote at the Annual Meeting. If for any unforeseen reason, any one or more of Vera Bradley’s nominees is not available as a candidate for director, the persons named as proxy holders will vote your proxy for such other candidate or candidates as may be nominated by the Board of Directors.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333333"/>
        </w:rPr>
        <w:t>The chair of the meeting may refuse to allow the transaction of any business not presented beforehand or to require acknowledgment of the nomination of any person not made in compliance with the foregoing procedures.</w:t>
      </w:r>
    </w:p>
    <w:p>
      <w:pPr>
        <w:spacing w:after="0" w:line="1221"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45" w:lineRule="exact"/>
        <w:rPr>
          <w:sz w:val="20"/>
          <w:szCs w:val="20"/>
          <w:color w:val="auto"/>
        </w:rPr>
      </w:pPr>
    </w:p>
    <w:p>
      <w:pPr>
        <w:ind w:left="160"/>
        <w:spacing w:after="0"/>
        <w:tabs>
          <w:tab w:leader="none" w:pos="4920" w:val="left"/>
        </w:tabs>
        <w:rPr>
          <w:sz w:val="20"/>
          <w:szCs w:val="20"/>
          <w:color w:val="auto"/>
        </w:rPr>
      </w:pPr>
      <w:r>
        <w:rPr>
          <w:rFonts w:ascii="Arial" w:cs="Arial" w:eastAsia="Arial" w:hAnsi="Arial"/>
          <w:sz w:val="14"/>
          <w:szCs w:val="14"/>
          <w:color w:val="005C5D"/>
        </w:rPr>
        <w:t xml:space="preserve">50   </w:t>
      </w:r>
      <w:r>
        <w:rPr>
          <w:rFonts w:ascii="Times New Roman" w:cs="Times New Roman" w:eastAsia="Times New Roman" w:hAnsi="Times New Roman"/>
          <w:sz w:val="14"/>
          <w:szCs w:val="14"/>
          <w:color w:val="F5CABF"/>
        </w:rPr>
        <w:t>●</w:t>
      </w:r>
      <w:r>
        <w:rPr>
          <w:rFonts w:ascii="Arial" w:cs="Arial" w:eastAsia="Arial" w:hAnsi="Arial"/>
          <w:sz w:val="14"/>
          <w:szCs w:val="14"/>
          <w:color w:val="005C5D"/>
        </w:rPr>
        <w:t xml:space="preserve">   2026 Proxy Statement</w:t>
      </w:r>
      <w:r>
        <w:rPr>
          <w:sz w:val="20"/>
          <w:szCs w:val="20"/>
          <w:color w:val="auto"/>
        </w:rPr>
        <w:tab/>
      </w:r>
      <w:r>
        <w:rPr>
          <w:rFonts w:ascii="Arial" w:cs="Arial" w:eastAsia="Arial" w:hAnsi="Arial"/>
          <w:sz w:val="14"/>
          <w:szCs w:val="14"/>
          <w:b w:val="1"/>
          <w:bCs w:val="1"/>
          <w:color w:val="005C5D"/>
        </w:rPr>
        <w:t>VERA BRADLEY, INC.</w:t>
      </w:r>
    </w:p>
    <w:p>
      <w:pPr>
        <w:sectPr>
          <w:pgSz w:w="11900" w:h="16838" w:orient="portrait"/>
          <w:cols w:equalWidth="0" w:num="1">
            <w:col w:w="11080"/>
          </w:cols>
          <w:pgMar w:left="320" w:top="478" w:right="49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92975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2020 EQUITY AND INCENTIVE PLAN</w:t>
      </w:r>
    </w:p>
    <w:p>
      <w:pPr>
        <w:spacing w:after="0" w:line="105" w:lineRule="exact"/>
        <w:rPr>
          <w:sz w:val="20"/>
          <w:szCs w:val="20"/>
          <w:color w:val="auto"/>
        </w:rPr>
      </w:pPr>
    </w:p>
    <w:p>
      <w:pPr>
        <w:ind w:left="520" w:hanging="353"/>
        <w:spacing w:after="0"/>
        <w:tabs>
          <w:tab w:leader="none" w:pos="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Establishment, Objectives, and Duration</w:t>
      </w:r>
    </w:p>
    <w:p>
      <w:pPr>
        <w:spacing w:after="0" w:line="114" w:lineRule="exact"/>
        <w:rPr>
          <w:sz w:val="20"/>
          <w:szCs w:val="20"/>
          <w:color w:val="auto"/>
        </w:rPr>
      </w:pPr>
    </w:p>
    <w:p>
      <w:pPr>
        <w:ind w:left="160" w:right="40" w:firstLine="209"/>
        <w:spacing w:after="0" w:line="271"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b w:val="1"/>
          <w:bCs w:val="1"/>
          <w:color w:val="auto"/>
        </w:rPr>
        <w:t>Establishment of the Plan</w:t>
      </w:r>
      <w:r>
        <w:rPr>
          <w:rFonts w:ascii="Times New Roman" w:cs="Times New Roman" w:eastAsia="Times New Roman" w:hAnsi="Times New Roman"/>
          <w:sz w:val="17"/>
          <w:szCs w:val="17"/>
          <w:color w:val="auto"/>
        </w:rPr>
        <w:t>. Vera Bradley, Inc., an Indiana corporation, has adopted this “Vera Bradley, Inc. 2020 Equity and Incentive Plan.” Capitalized terms will have the meanings given to them in Article 2. The Plan permits the grant of Nonqualified Stock Options, Incentive Stock Options, Stock Appreciation Rights, Restricted Stock, Restricted Stock Units, Performance Shares, Performance Units, Performance Awards, and other stock or cash-based awards.</w:t>
      </w:r>
    </w:p>
    <w:p>
      <w:pPr>
        <w:spacing w:after="0" w:line="60" w:lineRule="exact"/>
        <w:rPr>
          <w:sz w:val="20"/>
          <w:szCs w:val="20"/>
          <w:color w:val="auto"/>
        </w:rPr>
      </w:pPr>
    </w:p>
    <w:p>
      <w:pPr>
        <w:ind w:left="160" w:right="120" w:firstLine="209"/>
        <w:spacing w:after="0" w:line="25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Objectives of the Plan</w:t>
      </w:r>
      <w:r>
        <w:rPr>
          <w:rFonts w:ascii="Times New Roman" w:cs="Times New Roman" w:eastAsia="Times New Roman" w:hAnsi="Times New Roman"/>
          <w:sz w:val="18"/>
          <w:szCs w:val="18"/>
          <w:color w:val="auto"/>
        </w:rPr>
        <w:t>. The Plan’s purposes are to optimize the profitability and growth of the Company through short-term and long-term incentives that are consistent with the Company’s objectives and that link Participants’ interests to those of the Company’s stockholders; to give Participants an incentive for excellence in individual performance; to promote teamwork among Participants; and to give the Company a significant advantage in attracting and retaining key employees, directors, and consultants.</w:t>
      </w:r>
    </w:p>
    <w:p>
      <w:pPr>
        <w:spacing w:after="0" w:line="73" w:lineRule="exact"/>
        <w:rPr>
          <w:sz w:val="20"/>
          <w:szCs w:val="20"/>
          <w:color w:val="auto"/>
        </w:rPr>
      </w:pPr>
    </w:p>
    <w:p>
      <w:pPr>
        <w:ind w:left="160" w:right="40" w:firstLine="209"/>
        <w:spacing w:after="0" w:line="276"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The Plan will be effective October 21, 2020. The Plan must be approved by the Company’s stockholders within twelve</w:t>
      </w:r>
    </w:p>
    <w:p>
      <w:pPr>
        <w:spacing w:after="0" w:line="1" w:lineRule="exact"/>
        <w:rPr>
          <w:sz w:val="20"/>
          <w:szCs w:val="20"/>
          <w:color w:val="auto"/>
        </w:rPr>
      </w:pPr>
    </w:p>
    <w:p>
      <w:pPr>
        <w:ind w:left="160" w:right="20" w:firstLine="7"/>
        <w:spacing w:after="0" w:line="249" w:lineRule="auto"/>
        <w:tabs>
          <w:tab w:leader="none" w:pos="50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before or after the date the Plan is adopted. The Committee may make Awards and issue Shares under the Plan at any time after the Plan’s Effective Date. The Plan will remain in effect, subject to the right of the Board or the Committee to amend or terminate the Plan at any time pursuant to Article 14, until all Shares subject to the Plan have been issued or transferred according to the Plan’s provisions. In no event may an Award be granted under the Plan on or after the ten year anniversary of the Effective Date.</w:t>
      </w:r>
    </w:p>
    <w:p>
      <w:pPr>
        <w:spacing w:after="0" w:line="332" w:lineRule="exact"/>
        <w:rPr>
          <w:sz w:val="20"/>
          <w:szCs w:val="20"/>
          <w:color w:val="auto"/>
        </w:rPr>
      </w:pPr>
    </w:p>
    <w:p>
      <w:pPr>
        <w:ind w:left="520" w:hanging="353"/>
        <w:spacing w:after="0"/>
        <w:tabs>
          <w:tab w:leader="none" w:pos="5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18" w:lineRule="exact"/>
        <w:rPr>
          <w:sz w:val="20"/>
          <w:szCs w:val="20"/>
          <w:color w:val="auto"/>
        </w:rPr>
      </w:pPr>
    </w:p>
    <w:p>
      <w:pPr>
        <w:ind w:left="160" w:firstLine="209"/>
        <w:spacing w:after="0" w:line="263" w:lineRule="auto"/>
        <w:rPr>
          <w:sz w:val="20"/>
          <w:szCs w:val="20"/>
          <w:color w:val="auto"/>
        </w:rPr>
      </w:pPr>
      <w:r>
        <w:rPr>
          <w:rFonts w:ascii="Times New Roman" w:cs="Times New Roman" w:eastAsia="Times New Roman" w:hAnsi="Times New Roman"/>
          <w:sz w:val="18"/>
          <w:szCs w:val="18"/>
          <w:color w:val="auto"/>
        </w:rPr>
        <w:t>Whenever used in the Plan, the following terms have the meanings set forth below, and when the meaning is intended, the initial letter of the word will be capitalized.</w:t>
      </w:r>
    </w:p>
    <w:p>
      <w:pPr>
        <w:spacing w:after="0" w:line="175" w:lineRule="exact"/>
        <w:rPr>
          <w:sz w:val="20"/>
          <w:szCs w:val="20"/>
          <w:color w:val="auto"/>
        </w:rPr>
      </w:pPr>
    </w:p>
    <w:p>
      <w:pPr>
        <w:ind w:left="160" w:right="140" w:firstLine="209"/>
        <w:spacing w:after="0" w:line="278" w:lineRule="auto"/>
        <w:rPr>
          <w:sz w:val="20"/>
          <w:szCs w:val="20"/>
          <w:color w:val="auto"/>
        </w:rPr>
      </w:pPr>
      <w:r>
        <w:rPr>
          <w:rFonts w:ascii="Times New Roman" w:cs="Times New Roman" w:eastAsia="Times New Roman" w:hAnsi="Times New Roman"/>
          <w:sz w:val="18"/>
          <w:szCs w:val="18"/>
          <w:color w:val="auto"/>
        </w:rPr>
        <w:t>“Advisor” means a consultant, advisor, or other independent service provider to any of the Company Parties.</w:t>
      </w:r>
    </w:p>
    <w:p>
      <w:pPr>
        <w:spacing w:after="0" w:line="162" w:lineRule="exact"/>
        <w:rPr>
          <w:sz w:val="20"/>
          <w:szCs w:val="20"/>
          <w:color w:val="auto"/>
        </w:rPr>
      </w:pPr>
    </w:p>
    <w:p>
      <w:pPr>
        <w:ind w:left="160" w:right="260" w:firstLine="209"/>
        <w:spacing w:after="0" w:line="263" w:lineRule="auto"/>
        <w:rPr>
          <w:sz w:val="20"/>
          <w:szCs w:val="20"/>
          <w:color w:val="auto"/>
        </w:rPr>
      </w:pPr>
      <w:r>
        <w:rPr>
          <w:rFonts w:ascii="Times New Roman" w:cs="Times New Roman" w:eastAsia="Times New Roman" w:hAnsi="Times New Roman"/>
          <w:sz w:val="18"/>
          <w:szCs w:val="18"/>
          <w:color w:val="auto"/>
        </w:rPr>
        <w:t>“Affiliate” means any corporation that is a parent or subsidiary corporation (as Code Sections 424(e) and (f) define those terms) with respect to the Company.</w:t>
      </w:r>
    </w:p>
    <w:p>
      <w:pPr>
        <w:spacing w:after="0" w:line="175" w:lineRule="exact"/>
        <w:rPr>
          <w:sz w:val="20"/>
          <w:szCs w:val="20"/>
          <w:color w:val="auto"/>
        </w:rPr>
      </w:pPr>
    </w:p>
    <w:p>
      <w:pPr>
        <w:ind w:left="160" w:firstLine="209"/>
        <w:spacing w:after="0" w:line="278" w:lineRule="auto"/>
        <w:rPr>
          <w:sz w:val="20"/>
          <w:szCs w:val="20"/>
          <w:color w:val="auto"/>
        </w:rPr>
      </w:pPr>
      <w:r>
        <w:rPr>
          <w:rFonts w:ascii="Times New Roman" w:cs="Times New Roman" w:eastAsia="Times New Roman" w:hAnsi="Times New Roman"/>
          <w:sz w:val="18"/>
          <w:szCs w:val="18"/>
          <w:color w:val="auto"/>
        </w:rPr>
        <w:t>“Award” means, individually or collectively, a grant under this Plan to a Participant of Nonqualified Stock</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7" w:right="200"/>
        <w:spacing w:after="0" w:line="263" w:lineRule="auto"/>
        <w:rPr>
          <w:sz w:val="20"/>
          <w:szCs w:val="20"/>
          <w:color w:val="auto"/>
        </w:rPr>
      </w:pPr>
      <w:r>
        <w:rPr>
          <w:rFonts w:ascii="Times New Roman" w:cs="Times New Roman" w:eastAsia="Times New Roman" w:hAnsi="Times New Roman"/>
          <w:sz w:val="18"/>
          <w:szCs w:val="18"/>
          <w:color w:val="auto"/>
        </w:rPr>
        <w:t>Options, Incentive Stock Options, Restricted Stock, Restricted Stock Units, Performance Shares, Performance Units, Performance Awards, or other stock or cash-based awards.</w:t>
      </w:r>
    </w:p>
    <w:p>
      <w:pPr>
        <w:spacing w:after="0" w:line="175" w:lineRule="exact"/>
        <w:rPr>
          <w:sz w:val="20"/>
          <w:szCs w:val="20"/>
          <w:color w:val="auto"/>
        </w:rPr>
      </w:pPr>
    </w:p>
    <w:p>
      <w:pPr>
        <w:ind w:left="7" w:right="380" w:firstLine="214"/>
        <w:spacing w:after="0" w:line="263" w:lineRule="auto"/>
        <w:rPr>
          <w:sz w:val="20"/>
          <w:szCs w:val="20"/>
          <w:color w:val="auto"/>
        </w:rPr>
      </w:pPr>
      <w:r>
        <w:rPr>
          <w:rFonts w:ascii="Times New Roman" w:cs="Times New Roman" w:eastAsia="Times New Roman" w:hAnsi="Times New Roman"/>
          <w:sz w:val="18"/>
          <w:szCs w:val="18"/>
          <w:color w:val="auto"/>
        </w:rPr>
        <w:t>“Award Agreement” means an agreement entered into between the Company and a Participant setting forth the terms and provisions applicable to an Award or Awards granted to the Participant.</w:t>
      </w:r>
    </w:p>
    <w:p>
      <w:pPr>
        <w:spacing w:after="0" w:line="175" w:lineRule="exact"/>
        <w:rPr>
          <w:sz w:val="20"/>
          <w:szCs w:val="20"/>
          <w:color w:val="auto"/>
        </w:rPr>
      </w:pPr>
    </w:p>
    <w:p>
      <w:pPr>
        <w:ind w:left="7" w:right="200" w:firstLine="214"/>
        <w:spacing w:after="0" w:line="278" w:lineRule="auto"/>
        <w:rPr>
          <w:sz w:val="20"/>
          <w:szCs w:val="20"/>
          <w:color w:val="auto"/>
        </w:rPr>
      </w:pPr>
      <w:r>
        <w:rPr>
          <w:rFonts w:ascii="Times New Roman" w:cs="Times New Roman" w:eastAsia="Times New Roman" w:hAnsi="Times New Roman"/>
          <w:sz w:val="18"/>
          <w:szCs w:val="18"/>
          <w:color w:val="auto"/>
        </w:rPr>
        <w:t>“Board” or “Board of Directors” means the Board of Directors of the Company.</w:t>
      </w:r>
    </w:p>
    <w:p>
      <w:pPr>
        <w:spacing w:after="0" w:line="162" w:lineRule="exact"/>
        <w:rPr>
          <w:sz w:val="20"/>
          <w:szCs w:val="20"/>
          <w:color w:val="auto"/>
        </w:rPr>
      </w:pPr>
    </w:p>
    <w:p>
      <w:pPr>
        <w:ind w:left="7" w:right="20" w:firstLine="214"/>
        <w:spacing w:after="0" w:line="265" w:lineRule="auto"/>
        <w:rPr>
          <w:sz w:val="20"/>
          <w:szCs w:val="20"/>
          <w:color w:val="auto"/>
        </w:rPr>
      </w:pPr>
      <w:r>
        <w:rPr>
          <w:rFonts w:ascii="Times New Roman" w:cs="Times New Roman" w:eastAsia="Times New Roman" w:hAnsi="Times New Roman"/>
          <w:sz w:val="17"/>
          <w:szCs w:val="17"/>
          <w:color w:val="auto"/>
        </w:rPr>
        <w:t>“Cause” shall have the meaning set forth in any employment, consulting, or other agreement between the Company and the Participant. If there is no employment, consulting, or other agreement between the Company and the Participant, or if such agreement does not define “Cause,” then “Cause” will mean: (i) theft or embezzlement, or attempted theft or embezzlement, of money or property of the Company or Company Parties, perpetration or attempted perpetration of fraud, or participation in a fraud or attempted fraud, on the Company or Company Parties, or unauthorized appropriation of, or attempt to misappropriate, any tangible or intangible assets or property of the Company or Company Parties;</w:t>
      </w:r>
    </w:p>
    <w:p>
      <w:pPr>
        <w:ind w:left="7" w:right="40" w:hanging="7"/>
        <w:spacing w:after="0" w:line="265" w:lineRule="auto"/>
        <w:tabs>
          <w:tab w:leader="none" w:pos="27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of disloyalty, moral turpitude, or material misconduct that is injurious to the interest, property, value, operations, business or reputation of the Company or Company Parties, or conviction of a crime that results in injury to the Company or Company Parties; or (iii) repeated refusal (other than by reason of Disability) of a Participant to carry out reasonable instructions from his or her superiors or the Board. In addition, the Participant’s Service will be deemed to have terminated for Cause if, after the Participant’s Service has terminated, facts and circumstances are discovered that would have justified a termination for Cause.</w:t>
      </w:r>
    </w:p>
    <w:p>
      <w:pPr>
        <w:spacing w:after="0" w:line="178" w:lineRule="exact"/>
        <w:rPr>
          <w:sz w:val="20"/>
          <w:szCs w:val="20"/>
          <w:color w:val="auto"/>
        </w:rPr>
      </w:pPr>
    </w:p>
    <w:p>
      <w:pPr>
        <w:ind w:left="7" w:right="20" w:firstLine="214"/>
        <w:spacing w:after="0" w:line="250" w:lineRule="auto"/>
        <w:rPr>
          <w:sz w:val="20"/>
          <w:szCs w:val="20"/>
          <w:color w:val="auto"/>
        </w:rPr>
      </w:pPr>
      <w:r>
        <w:rPr>
          <w:rFonts w:ascii="Times New Roman" w:cs="Times New Roman" w:eastAsia="Times New Roman" w:hAnsi="Times New Roman"/>
          <w:sz w:val="18"/>
          <w:szCs w:val="18"/>
          <w:color w:val="auto"/>
        </w:rPr>
        <w:t>“Change in Control” means a change in control of the Company as defined in the applicable Award Agreement. Notwithstanding the foregoing, if an Award, or amount payable with respect to an Award, is “deferred compensation” for purposes of Code Section 409A, and if a payment of such Award or amount would be accelerated or otherwise triggered upon a “Change in Control,” then the foregoing definition (in the applicable Award Agreement) is modified, only to the extent necessary to prevent the imposition of an additional tax under Code Section 409A, to mean a “change in control event” as such term is defined for purposes of Code Section 409A. For purposes of clarity, if an Award would, for example, vest and be paid on a “Change in Control” as defined herein but payment of such Award would violate the provisions of Code Section 409A,</w:t>
      </w:r>
    </w:p>
    <w:p>
      <w:pPr>
        <w:spacing w:after="0" w:line="925" w:lineRule="exact"/>
        <w:rPr>
          <w:sz w:val="20"/>
          <w:szCs w:val="20"/>
          <w:color w:val="auto"/>
        </w:rPr>
      </w:pPr>
    </w:p>
    <w:p>
      <w:pPr>
        <w:sectPr>
          <w:pgSz w:w="11900" w:h="16838" w:orient="portrait"/>
          <w:cols w:equalWidth="0" w:num="2">
            <w:col w:w="5380" w:space="353"/>
            <w:col w:w="5347"/>
          </w:cols>
          <w:pgMar w:left="320" w:top="478" w:right="499" w:bottom="1440" w:gutter="0" w:footer="0" w:header="0"/>
          <w:type w:val="continuous"/>
        </w:sectPr>
      </w:pPr>
    </w:p>
    <w:p>
      <w:pPr>
        <w:spacing w:after="0" w:line="29" w:lineRule="exact"/>
        <w:rPr>
          <w:sz w:val="20"/>
          <w:szCs w:val="20"/>
          <w:color w:val="auto"/>
        </w:rPr>
      </w:pPr>
    </w:p>
    <w:p>
      <w:pPr>
        <w:ind w:left="4940"/>
        <w:spacing w:after="0"/>
        <w:tabs>
          <w:tab w:leader="none" w:pos="8700" w:val="left"/>
          <w:tab w:leader="none" w:pos="10460" w:val="left"/>
          <w:tab w:leader="none" w:pos="10780" w:val="left"/>
        </w:tabs>
        <w:rPr>
          <w:sz w:val="20"/>
          <w:szCs w:val="20"/>
          <w:color w:val="auto"/>
        </w:rPr>
      </w:pPr>
      <w:r>
        <w:rPr>
          <w:rFonts w:ascii="Arial" w:cs="Arial" w:eastAsia="Arial" w:hAnsi="Arial"/>
          <w:sz w:val="28"/>
          <w:szCs w:val="28"/>
          <w:b w:val="1"/>
          <w:bCs w:val="1"/>
          <w:color w:val="005C5D"/>
          <w:vertAlign w:val="superscript"/>
        </w:rPr>
        <w:t>VERA BRADLEY, INC.</w:t>
      </w:r>
      <w:r>
        <w:rPr>
          <w:sz w:val="20"/>
          <w:szCs w:val="20"/>
          <w:color w:val="auto"/>
        </w:rPr>
        <w:tab/>
      </w:r>
      <w:r>
        <w:rPr>
          <w:rFonts w:ascii="Times New Roman" w:cs="Times New Roman" w:eastAsia="Times New Roman" w:hAnsi="Times New Roman"/>
          <w:sz w:val="18"/>
          <w:szCs w:val="18"/>
          <w:color w:val="005C5D"/>
        </w:rPr>
        <w:t>2026 Proxy Statement </w:t>
      </w:r>
      <w:r>
        <w:rPr>
          <w:rFonts w:ascii="Times New Roman" w:cs="Times New Roman" w:eastAsia="Times New Roman" w:hAnsi="Times New Roman"/>
          <w:sz w:val="18"/>
          <w:szCs w:val="18"/>
          <w:color w:val="F5CABF"/>
        </w:rPr>
        <w:tab/>
        <w:t>●</w:t>
      </w:r>
      <w:r>
        <w:rPr>
          <w:rFonts w:ascii="Times New Roman" w:cs="Times New Roman" w:eastAsia="Times New Roman" w:hAnsi="Times New Roman"/>
          <w:sz w:val="18"/>
          <w:szCs w:val="18"/>
          <w:color w:val="005C5D"/>
        </w:rPr>
        <w:t xml:space="preserve"> </w:t>
      </w:r>
      <w:r>
        <w:rPr>
          <w:sz w:val="20"/>
          <w:szCs w:val="20"/>
          <w:color w:val="auto"/>
        </w:rPr>
        <w:tab/>
      </w:r>
      <w:r>
        <w:rPr>
          <w:rFonts w:ascii="Times New Roman" w:cs="Times New Roman" w:eastAsia="Times New Roman" w:hAnsi="Times New Roman"/>
          <w:sz w:val="17"/>
          <w:szCs w:val="17"/>
          <w:color w:val="005C5D"/>
        </w:rPr>
        <w:t>A-1</w:t>
      </w:r>
    </w:p>
    <w:p>
      <w:pPr>
        <w:sectPr>
          <w:pgSz w:w="11900" w:h="16838" w:orient="portrait"/>
          <w:cols w:equalWidth="0" w:num="1">
            <w:col w:w="11080"/>
          </w:cols>
          <w:pgMar w:left="320" w:top="478" w:right="4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92975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80" w:lineRule="exact"/>
        <w:rPr>
          <w:sz w:val="20"/>
          <w:szCs w:val="20"/>
          <w:color w:val="auto"/>
        </w:rPr>
      </w:pPr>
    </w:p>
    <w:p>
      <w:pPr>
        <w:ind w:left="160" w:right="140"/>
        <w:spacing w:after="0" w:line="308" w:lineRule="auto"/>
        <w:rPr>
          <w:sz w:val="20"/>
          <w:szCs w:val="20"/>
          <w:color w:val="auto"/>
        </w:rPr>
      </w:pPr>
      <w:r>
        <w:rPr>
          <w:rFonts w:ascii="Times New Roman" w:cs="Times New Roman" w:eastAsia="Times New Roman" w:hAnsi="Times New Roman"/>
          <w:sz w:val="17"/>
          <w:szCs w:val="17"/>
          <w:color w:val="auto"/>
        </w:rPr>
        <w:t>then the Award shall vest but will be paid only in compliance with its terms and Code Section 409A (i.e., upon a permissible payment event).</w:t>
      </w:r>
    </w:p>
    <w:p>
      <w:pPr>
        <w:spacing w:after="0" w:line="140" w:lineRule="exact"/>
        <w:rPr>
          <w:sz w:val="20"/>
          <w:szCs w:val="20"/>
          <w:color w:val="auto"/>
        </w:rPr>
      </w:pPr>
    </w:p>
    <w:p>
      <w:pPr>
        <w:ind w:left="160" w:right="120" w:firstLine="209"/>
        <w:spacing w:after="0" w:line="278" w:lineRule="auto"/>
        <w:rPr>
          <w:sz w:val="20"/>
          <w:szCs w:val="20"/>
          <w:color w:val="auto"/>
        </w:rPr>
      </w:pPr>
      <w:r>
        <w:rPr>
          <w:rFonts w:ascii="Times New Roman" w:cs="Times New Roman" w:eastAsia="Times New Roman" w:hAnsi="Times New Roman"/>
          <w:sz w:val="18"/>
          <w:szCs w:val="18"/>
          <w:color w:val="auto"/>
        </w:rPr>
        <w:t>“Code” means the Internal Revenue Code of 1986, as amended from time to time.</w:t>
      </w:r>
    </w:p>
    <w:p>
      <w:pPr>
        <w:spacing w:after="0" w:line="162" w:lineRule="exact"/>
        <w:rPr>
          <w:sz w:val="20"/>
          <w:szCs w:val="20"/>
          <w:color w:val="auto"/>
        </w:rPr>
      </w:pPr>
    </w:p>
    <w:p>
      <w:pPr>
        <w:ind w:left="160" w:right="40" w:firstLine="209"/>
        <w:spacing w:after="0" w:line="254" w:lineRule="auto"/>
        <w:rPr>
          <w:sz w:val="20"/>
          <w:szCs w:val="20"/>
          <w:color w:val="auto"/>
        </w:rPr>
      </w:pPr>
      <w:r>
        <w:rPr>
          <w:rFonts w:ascii="Times New Roman" w:cs="Times New Roman" w:eastAsia="Times New Roman" w:hAnsi="Times New Roman"/>
          <w:sz w:val="18"/>
          <w:szCs w:val="18"/>
          <w:color w:val="auto"/>
        </w:rPr>
        <w:t>“Committee” means, as specified in Article 3, a Committee appointed by the Board to administer the Plan. The Committee shall consist of at least two directors who are “independent directors” within the meaning of the stock exchange or market on which the shares of Common Stock are then listed and “non-employee directors” within the meaning of Exchange Act Rule 16b-3.</w:t>
      </w:r>
    </w:p>
    <w:p>
      <w:pPr>
        <w:spacing w:after="0" w:line="184" w:lineRule="exact"/>
        <w:rPr>
          <w:sz w:val="20"/>
          <w:szCs w:val="20"/>
          <w:color w:val="auto"/>
        </w:rPr>
      </w:pPr>
    </w:p>
    <w:p>
      <w:pPr>
        <w:ind w:left="160" w:right="80" w:firstLine="209"/>
        <w:spacing w:after="0" w:line="278" w:lineRule="auto"/>
        <w:rPr>
          <w:sz w:val="20"/>
          <w:szCs w:val="20"/>
          <w:color w:val="auto"/>
        </w:rPr>
      </w:pPr>
      <w:r>
        <w:rPr>
          <w:rFonts w:ascii="Times New Roman" w:cs="Times New Roman" w:eastAsia="Times New Roman" w:hAnsi="Times New Roman"/>
          <w:sz w:val="18"/>
          <w:szCs w:val="18"/>
          <w:color w:val="auto"/>
        </w:rPr>
        <w:t>“Common Stock” means the Company’s common stock, no par value per share.</w:t>
      </w:r>
    </w:p>
    <w:p>
      <w:pPr>
        <w:spacing w:after="0" w:line="162" w:lineRule="exact"/>
        <w:rPr>
          <w:sz w:val="20"/>
          <w:szCs w:val="20"/>
          <w:color w:val="auto"/>
        </w:rPr>
      </w:pPr>
    </w:p>
    <w:p>
      <w:pPr>
        <w:ind w:left="160" w:right="300" w:firstLine="209"/>
        <w:spacing w:after="0" w:line="278" w:lineRule="auto"/>
        <w:rPr>
          <w:sz w:val="20"/>
          <w:szCs w:val="20"/>
          <w:color w:val="auto"/>
        </w:rPr>
      </w:pPr>
      <w:r>
        <w:rPr>
          <w:rFonts w:ascii="Times New Roman" w:cs="Times New Roman" w:eastAsia="Times New Roman" w:hAnsi="Times New Roman"/>
          <w:sz w:val="18"/>
          <w:szCs w:val="18"/>
          <w:color w:val="auto"/>
        </w:rPr>
        <w:t>“Company” means Vera Bradley, Inc., an Indiana corporation, and any successor thereto as provided in Article 16.</w:t>
      </w:r>
    </w:p>
    <w:p>
      <w:pPr>
        <w:spacing w:after="0" w:line="162" w:lineRule="exact"/>
        <w:rPr>
          <w:sz w:val="20"/>
          <w:szCs w:val="20"/>
          <w:color w:val="auto"/>
        </w:rPr>
      </w:pPr>
    </w:p>
    <w:p>
      <w:pPr>
        <w:ind w:left="160" w:right="180" w:firstLine="209"/>
        <w:spacing w:after="0" w:line="278" w:lineRule="auto"/>
        <w:rPr>
          <w:sz w:val="20"/>
          <w:szCs w:val="20"/>
          <w:color w:val="auto"/>
        </w:rPr>
      </w:pPr>
      <w:r>
        <w:rPr>
          <w:rFonts w:ascii="Times New Roman" w:cs="Times New Roman" w:eastAsia="Times New Roman" w:hAnsi="Times New Roman"/>
          <w:sz w:val="18"/>
          <w:szCs w:val="18"/>
          <w:color w:val="auto"/>
        </w:rPr>
        <w:t>“Company Parties” means, collectively and without duplication, the Company and any of its Affiliates.</w:t>
      </w:r>
    </w:p>
    <w:p>
      <w:pPr>
        <w:spacing w:after="0" w:line="162" w:lineRule="exact"/>
        <w:rPr>
          <w:sz w:val="20"/>
          <w:szCs w:val="20"/>
          <w:color w:val="auto"/>
        </w:rPr>
      </w:pPr>
    </w:p>
    <w:p>
      <w:pPr>
        <w:ind w:left="160" w:right="320" w:firstLine="209"/>
        <w:spacing w:after="0" w:line="278" w:lineRule="auto"/>
        <w:rPr>
          <w:sz w:val="20"/>
          <w:szCs w:val="20"/>
          <w:color w:val="auto"/>
        </w:rPr>
      </w:pPr>
      <w:r>
        <w:rPr>
          <w:rFonts w:ascii="Times New Roman" w:cs="Times New Roman" w:eastAsia="Times New Roman" w:hAnsi="Times New Roman"/>
          <w:sz w:val="18"/>
          <w:szCs w:val="18"/>
          <w:color w:val="auto"/>
        </w:rPr>
        <w:t>“Covered Employee” means a “covered employee” as that term is defined in Code Section 162(m)(3) or any successor provision.</w:t>
      </w:r>
    </w:p>
    <w:p>
      <w:pPr>
        <w:spacing w:after="0" w:line="162" w:lineRule="exact"/>
        <w:rPr>
          <w:sz w:val="20"/>
          <w:szCs w:val="20"/>
          <w:color w:val="auto"/>
        </w:rPr>
      </w:pPr>
    </w:p>
    <w:p>
      <w:pPr>
        <w:ind w:left="160" w:firstLine="209"/>
        <w:spacing w:after="0" w:line="253" w:lineRule="auto"/>
        <w:rPr>
          <w:sz w:val="20"/>
          <w:szCs w:val="20"/>
          <w:color w:val="auto"/>
        </w:rPr>
      </w:pPr>
      <w:r>
        <w:rPr>
          <w:rFonts w:ascii="Times New Roman" w:cs="Times New Roman" w:eastAsia="Times New Roman" w:hAnsi="Times New Roman"/>
          <w:sz w:val="18"/>
          <w:szCs w:val="18"/>
          <w:color w:val="auto"/>
        </w:rPr>
        <w:t>“Designated Beneficiary” means the Person or Persons the Participant designates in a signed writing, filed with the Company, as the beneficiary of any amounts or benefits the Participant owns or is to receive under the Plan. If the Participant has not designated a beneficiary under the Plan, or if the Participant’s Designated Beneficiary is not living on the relevant date hereunder, the Company will treat the Participant’s estate as the Designated Beneficiary.</w:t>
      </w:r>
    </w:p>
    <w:p>
      <w:pPr>
        <w:spacing w:after="0" w:line="184" w:lineRule="exact"/>
        <w:rPr>
          <w:sz w:val="20"/>
          <w:szCs w:val="20"/>
          <w:color w:val="auto"/>
        </w:rPr>
      </w:pPr>
    </w:p>
    <w:p>
      <w:pPr>
        <w:ind w:left="160" w:right="340" w:firstLine="209"/>
        <w:spacing w:after="0" w:line="278" w:lineRule="auto"/>
        <w:rPr>
          <w:sz w:val="20"/>
          <w:szCs w:val="20"/>
          <w:color w:val="auto"/>
        </w:rPr>
      </w:pPr>
      <w:r>
        <w:rPr>
          <w:rFonts w:ascii="Times New Roman" w:cs="Times New Roman" w:eastAsia="Times New Roman" w:hAnsi="Times New Roman"/>
          <w:sz w:val="18"/>
          <w:szCs w:val="18"/>
          <w:color w:val="auto"/>
        </w:rPr>
        <w:t>“Director” means any individual who is a member of the board of directors of the Company.</w:t>
      </w:r>
    </w:p>
    <w:p>
      <w:pPr>
        <w:spacing w:after="0" w:line="162" w:lineRule="exact"/>
        <w:rPr>
          <w:sz w:val="20"/>
          <w:szCs w:val="20"/>
          <w:color w:val="auto"/>
        </w:rPr>
      </w:pPr>
    </w:p>
    <w:p>
      <w:pPr>
        <w:ind w:left="160" w:right="80" w:firstLine="209"/>
        <w:spacing w:after="0" w:line="251" w:lineRule="auto"/>
        <w:rPr>
          <w:sz w:val="20"/>
          <w:szCs w:val="20"/>
          <w:color w:val="auto"/>
        </w:rPr>
      </w:pPr>
      <w:r>
        <w:rPr>
          <w:rFonts w:ascii="Times New Roman" w:cs="Times New Roman" w:eastAsia="Times New Roman" w:hAnsi="Times New Roman"/>
          <w:sz w:val="18"/>
          <w:szCs w:val="18"/>
          <w:color w:val="auto"/>
        </w:rPr>
        <w:t>“Disability” shall have the meaning set forth in any employment, consulting, or other agreement between any of the Company Parties and the Participant which agreement shall be determinative. Only if there is no employment, consulting, or other agreement between any of the Company Parties and the Participant, or if such agreement does not define “Disability,” then “Disability” will mean (i) any permanent physical or mental incapacity or disability rendering the Participant unable or unfit to perform effectively the duties and obligations of the Participant’s Service, or (ii) any illness, accident, injury, physical or mental incapacity or other disability, which</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condition is expected to be permanent or long-lasting and has rendered the Participant unable or unfit to perform effectively the duties and obligations of the Participant’s Service for a period of at least 180 days in any twelve-consecutive month period (in either case, as determined in the good faith judgment of the Committee).</w:t>
      </w:r>
    </w:p>
    <w:p>
      <w:pPr>
        <w:spacing w:after="0" w:line="184" w:lineRule="exact"/>
        <w:rPr>
          <w:sz w:val="20"/>
          <w:szCs w:val="20"/>
          <w:color w:val="auto"/>
        </w:rPr>
      </w:pPr>
    </w:p>
    <w:p>
      <w:pPr>
        <w:ind w:right="20" w:firstLine="214"/>
        <w:spacing w:after="0" w:line="250" w:lineRule="auto"/>
        <w:rPr>
          <w:sz w:val="20"/>
          <w:szCs w:val="20"/>
          <w:color w:val="auto"/>
        </w:rPr>
      </w:pPr>
      <w:r>
        <w:rPr>
          <w:rFonts w:ascii="Times New Roman" w:cs="Times New Roman" w:eastAsia="Times New Roman" w:hAnsi="Times New Roman"/>
          <w:sz w:val="18"/>
          <w:szCs w:val="18"/>
          <w:color w:val="auto"/>
        </w:rPr>
        <w:t>Notwithstanding the foregoing, if an Award, or amount payable with respect to an Award, is “deferred compensation” for purposes of Code Section 409A, and if a payment of such Award or amount would be accelerated or otherwise triggered upon a “Disability,” then the foregoing definition is modified, to the extent necessary to prevent the imposition of an additional tax under Code Section 409A, to refer to a Participant who is “disabled,” as such term is defined for purposes of Code Section 409A. For purposes of clarity, if an Award would, for example, vest and be paid on a “Disability” as defined herein but payment of such Award would violate the provisions of Code Section 409A, then the Award shall vest but will be paid only in compliance with its terms and Code Section 409A (i.e., upon a permissible payment event).</w:t>
      </w:r>
    </w:p>
    <w:p>
      <w:pPr>
        <w:spacing w:after="0" w:line="194" w:lineRule="exact"/>
        <w:rPr>
          <w:sz w:val="20"/>
          <w:szCs w:val="20"/>
          <w:color w:val="auto"/>
        </w:rPr>
      </w:pPr>
    </w:p>
    <w:p>
      <w:pPr>
        <w:ind w:right="620" w:firstLine="214"/>
        <w:spacing w:after="0" w:line="278" w:lineRule="auto"/>
        <w:rPr>
          <w:sz w:val="20"/>
          <w:szCs w:val="20"/>
          <w:color w:val="auto"/>
        </w:rPr>
      </w:pPr>
      <w:r>
        <w:rPr>
          <w:rFonts w:ascii="Times New Roman" w:cs="Times New Roman" w:eastAsia="Times New Roman" w:hAnsi="Times New Roman"/>
          <w:sz w:val="18"/>
          <w:szCs w:val="18"/>
          <w:color w:val="auto"/>
        </w:rPr>
        <w:t>“Disqualifying Disposition” shall have the meaning set forth in Section 11.3.</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“Effective Date” means October 21, 2020.</w:t>
      </w:r>
    </w:p>
    <w:p>
      <w:pPr>
        <w:spacing w:after="0" w:line="221" w:lineRule="exact"/>
        <w:rPr>
          <w:sz w:val="20"/>
          <w:szCs w:val="20"/>
          <w:color w:val="auto"/>
        </w:rPr>
      </w:pPr>
    </w:p>
    <w:p>
      <w:pPr>
        <w:ind w:right="80" w:firstLine="214"/>
        <w:spacing w:after="0" w:line="278" w:lineRule="auto"/>
        <w:rPr>
          <w:sz w:val="20"/>
          <w:szCs w:val="20"/>
          <w:color w:val="auto"/>
        </w:rPr>
      </w:pPr>
      <w:r>
        <w:rPr>
          <w:rFonts w:ascii="Times New Roman" w:cs="Times New Roman" w:eastAsia="Times New Roman" w:hAnsi="Times New Roman"/>
          <w:sz w:val="18"/>
          <w:szCs w:val="18"/>
          <w:color w:val="auto"/>
        </w:rPr>
        <w:t>“Employee” means a person employed by the Company or an Affiliate in a common law employee-employer relationship.</w:t>
      </w:r>
    </w:p>
    <w:p>
      <w:pPr>
        <w:spacing w:after="0" w:line="162" w:lineRule="exact"/>
        <w:rPr>
          <w:sz w:val="20"/>
          <w:szCs w:val="20"/>
          <w:color w:val="auto"/>
        </w:rPr>
      </w:pPr>
    </w:p>
    <w:p>
      <w:pPr>
        <w:ind w:right="580" w:firstLine="214"/>
        <w:spacing w:after="0" w:line="278" w:lineRule="auto"/>
        <w:rPr>
          <w:sz w:val="20"/>
          <w:szCs w:val="20"/>
          <w:color w:val="auto"/>
        </w:rPr>
      </w:pPr>
      <w:r>
        <w:rPr>
          <w:rFonts w:ascii="Times New Roman" w:cs="Times New Roman" w:eastAsia="Times New Roman" w:hAnsi="Times New Roman"/>
          <w:sz w:val="18"/>
          <w:szCs w:val="18"/>
          <w:color w:val="auto"/>
        </w:rPr>
        <w:t>“Exchange Act” means the Securities Exchange Act of 1934, as amended from time to time, or any successor act thereto.</w:t>
      </w:r>
    </w:p>
    <w:p>
      <w:pPr>
        <w:spacing w:after="0" w:line="162" w:lineRule="exact"/>
        <w:rPr>
          <w:sz w:val="20"/>
          <w:szCs w:val="20"/>
          <w:color w:val="auto"/>
        </w:rPr>
      </w:pPr>
    </w:p>
    <w:p>
      <w:pPr>
        <w:ind w:right="40" w:firstLine="214"/>
        <w:spacing w:after="0" w:line="278" w:lineRule="auto"/>
        <w:rPr>
          <w:sz w:val="20"/>
          <w:szCs w:val="20"/>
          <w:color w:val="auto"/>
        </w:rPr>
      </w:pPr>
      <w:r>
        <w:rPr>
          <w:rFonts w:ascii="Times New Roman" w:cs="Times New Roman" w:eastAsia="Times New Roman" w:hAnsi="Times New Roman"/>
          <w:sz w:val="18"/>
          <w:szCs w:val="18"/>
          <w:color w:val="auto"/>
        </w:rPr>
        <w:t>“Exercise Price” means the price at which a Participant may purchase a Share pursuant to an Option.</w:t>
      </w:r>
    </w:p>
    <w:p>
      <w:pPr>
        <w:spacing w:after="0" w:line="162" w:lineRule="exact"/>
        <w:rPr>
          <w:sz w:val="20"/>
          <w:szCs w:val="20"/>
          <w:color w:val="auto"/>
        </w:rPr>
      </w:pPr>
    </w:p>
    <w:p>
      <w:pPr>
        <w:ind w:right="40" w:firstLine="214"/>
        <w:spacing w:after="0" w:line="250" w:lineRule="auto"/>
        <w:rPr>
          <w:sz w:val="20"/>
          <w:szCs w:val="20"/>
          <w:color w:val="auto"/>
        </w:rPr>
      </w:pPr>
      <w:r>
        <w:rPr>
          <w:rFonts w:ascii="Times New Roman" w:cs="Times New Roman" w:eastAsia="Times New Roman" w:hAnsi="Times New Roman"/>
          <w:sz w:val="18"/>
          <w:szCs w:val="18"/>
          <w:color w:val="auto"/>
        </w:rPr>
        <w:t>“Fair Market Value” means, as it relates to Common Stock, as of the relevant date: (i) the closing price of such Common Stock as reported on the principal national securities exchange on which the shares of Common Stock are then listed or, if there were no sales on such date, on the next preceding day on which there were sales or, if such Common Stock is not listed on a national securities exchange, the last reported bid price in the over-the-counter market; or (ii) if such Common Stock is not listed on a national securities exchange or traded in the over-the-counter market, the Board or the Committee shall determine Fair Market Value in good faith based on such considerations as the Board or the Committee deems important and consistent with Code Sections 409A and 422 (to the extent applicable).</w:t>
      </w:r>
    </w:p>
    <w:p>
      <w:pPr>
        <w:spacing w:after="0" w:line="419"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56" w:lineRule="exact"/>
        <w:rPr>
          <w:sz w:val="20"/>
          <w:szCs w:val="20"/>
          <w:color w:val="auto"/>
        </w:rPr>
      </w:pPr>
    </w:p>
    <w:p>
      <w:pPr>
        <w:ind w:left="160"/>
        <w:spacing w:after="0"/>
        <w:tabs>
          <w:tab w:leader="none" w:pos="600" w:val="left"/>
          <w:tab w:leader="none" w:pos="880" w:val="left"/>
          <w:tab w:leader="none" w:pos="4920" w:val="left"/>
        </w:tabs>
        <w:rPr>
          <w:sz w:val="20"/>
          <w:szCs w:val="20"/>
          <w:color w:val="auto"/>
        </w:rPr>
      </w:pPr>
      <w:r>
        <w:rPr>
          <w:rFonts w:ascii="Times New Roman" w:cs="Times New Roman" w:eastAsia="Times New Roman" w:hAnsi="Times New Roman"/>
          <w:sz w:val="18"/>
          <w:szCs w:val="18"/>
          <w:color w:val="005C5D"/>
        </w:rPr>
        <w:t>A-2 </w:t>
      </w:r>
      <w:r>
        <w:rPr>
          <w:rFonts w:ascii="Times New Roman" w:cs="Times New Roman" w:eastAsia="Times New Roman" w:hAnsi="Times New Roman"/>
          <w:sz w:val="18"/>
          <w:szCs w:val="18"/>
          <w:color w:val="F5CABF"/>
        </w:rPr>
        <w:tab/>
        <w:t>●</w:t>
      </w:r>
      <w:r>
        <w:rPr>
          <w:rFonts w:ascii="Times New Roman" w:cs="Times New Roman" w:eastAsia="Times New Roman" w:hAnsi="Times New Roman"/>
          <w:sz w:val="18"/>
          <w:szCs w:val="18"/>
          <w:color w:val="005C5D"/>
        </w:rPr>
        <w:t xml:space="preserve"> </w:t>
        <w:tab/>
        <w:t>2026 Proxy Statement</w:t>
      </w:r>
      <w:r>
        <w:rPr>
          <w:sz w:val="20"/>
          <w:szCs w:val="20"/>
          <w:color w:val="auto"/>
        </w:rPr>
        <w:tab/>
      </w:r>
      <w:r>
        <w:rPr>
          <w:rFonts w:ascii="Arial" w:cs="Arial" w:eastAsia="Arial" w:hAnsi="Arial"/>
          <w:sz w:val="21"/>
          <w:szCs w:val="21"/>
          <w:b w:val="1"/>
          <w:bCs w:val="1"/>
          <w:color w:val="005C5D"/>
          <w:vertAlign w:val="superscript"/>
        </w:rPr>
        <w:t>VERA BRADLEY, INC.</w:t>
      </w:r>
    </w:p>
    <w:p>
      <w:pPr>
        <w:sectPr>
          <w:pgSz w:w="11900" w:h="16838" w:orient="portrait"/>
          <w:cols w:equalWidth="0" w:num="1">
            <w:col w:w="11080"/>
          </w:cols>
          <w:pgMar w:left="320" w:top="478" w:right="49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92975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80" w:lineRule="exact"/>
        <w:rPr>
          <w:sz w:val="20"/>
          <w:szCs w:val="20"/>
          <w:color w:val="auto"/>
        </w:rPr>
      </w:pPr>
    </w:p>
    <w:p>
      <w:pPr>
        <w:ind w:left="160" w:right="100" w:firstLine="209"/>
        <w:spacing w:after="0" w:line="258" w:lineRule="auto"/>
        <w:rPr>
          <w:sz w:val="20"/>
          <w:szCs w:val="20"/>
          <w:color w:val="auto"/>
        </w:rPr>
      </w:pPr>
      <w:r>
        <w:rPr>
          <w:rFonts w:ascii="Times New Roman" w:cs="Times New Roman" w:eastAsia="Times New Roman" w:hAnsi="Times New Roman"/>
          <w:sz w:val="18"/>
          <w:szCs w:val="18"/>
          <w:color w:val="auto"/>
        </w:rPr>
        <w:t>“Incentive Stock Option” or “ISO” means an option to purchase Shares granted under Article 6 that the Committee designates as an Incentive Stock Option, and that is intended to meet the requirements of Code Section 422.</w:t>
      </w:r>
    </w:p>
    <w:p>
      <w:pPr>
        <w:spacing w:after="0" w:line="180" w:lineRule="exact"/>
        <w:rPr>
          <w:sz w:val="20"/>
          <w:szCs w:val="20"/>
          <w:color w:val="auto"/>
        </w:rPr>
      </w:pPr>
    </w:p>
    <w:p>
      <w:pPr>
        <w:ind w:left="160" w:right="140" w:firstLine="209"/>
        <w:spacing w:after="0" w:line="263" w:lineRule="auto"/>
        <w:rPr>
          <w:sz w:val="20"/>
          <w:szCs w:val="20"/>
          <w:color w:val="auto"/>
        </w:rPr>
      </w:pPr>
      <w:r>
        <w:rPr>
          <w:rFonts w:ascii="Times New Roman" w:cs="Times New Roman" w:eastAsia="Times New Roman" w:hAnsi="Times New Roman"/>
          <w:sz w:val="18"/>
          <w:szCs w:val="18"/>
          <w:color w:val="auto"/>
        </w:rPr>
        <w:t>“Nonqualified Stock Option” or “NQSO” means an option to purchase Shares granted under Article 6 that is not intended to meet the requirements of Code Section 422.</w:t>
      </w:r>
    </w:p>
    <w:p>
      <w:pPr>
        <w:spacing w:after="0" w:line="175" w:lineRule="exact"/>
        <w:rPr>
          <w:sz w:val="20"/>
          <w:szCs w:val="20"/>
          <w:color w:val="auto"/>
        </w:rPr>
      </w:pPr>
    </w:p>
    <w:p>
      <w:pPr>
        <w:ind w:left="160" w:right="200" w:firstLine="209"/>
        <w:spacing w:after="0" w:line="278" w:lineRule="auto"/>
        <w:rPr>
          <w:sz w:val="20"/>
          <w:szCs w:val="20"/>
          <w:color w:val="auto"/>
        </w:rPr>
      </w:pPr>
      <w:r>
        <w:rPr>
          <w:rFonts w:ascii="Times New Roman" w:cs="Times New Roman" w:eastAsia="Times New Roman" w:hAnsi="Times New Roman"/>
          <w:sz w:val="18"/>
          <w:szCs w:val="18"/>
          <w:color w:val="auto"/>
        </w:rPr>
        <w:t>“Option” means an Incentive Stock Option or a Nonqualified Stock Option, as described in Article 6.</w:t>
      </w:r>
    </w:p>
    <w:p>
      <w:pPr>
        <w:spacing w:after="0" w:line="162" w:lineRule="exact"/>
        <w:rPr>
          <w:sz w:val="20"/>
          <w:szCs w:val="20"/>
          <w:color w:val="auto"/>
        </w:rPr>
      </w:pPr>
    </w:p>
    <w:p>
      <w:pPr>
        <w:ind w:left="160" w:right="20" w:firstLine="209"/>
        <w:spacing w:after="0" w:line="263" w:lineRule="auto"/>
        <w:rPr>
          <w:sz w:val="20"/>
          <w:szCs w:val="20"/>
          <w:color w:val="auto"/>
        </w:rPr>
      </w:pPr>
      <w:r>
        <w:rPr>
          <w:rFonts w:ascii="Times New Roman" w:cs="Times New Roman" w:eastAsia="Times New Roman" w:hAnsi="Times New Roman"/>
          <w:sz w:val="18"/>
          <w:szCs w:val="18"/>
          <w:color w:val="auto"/>
        </w:rPr>
        <w:t>“Owned Shares” means Shares that a Participant has acquired through the exercise of an Option or the vesting of Restricted Stock, in accordance with Article 6 or 7, and the terms of any Award Agreement.</w:t>
      </w:r>
    </w:p>
    <w:p>
      <w:pPr>
        <w:spacing w:after="0" w:line="175" w:lineRule="exact"/>
        <w:rPr>
          <w:sz w:val="20"/>
          <w:szCs w:val="20"/>
          <w:color w:val="auto"/>
        </w:rPr>
      </w:pPr>
    </w:p>
    <w:p>
      <w:pPr>
        <w:ind w:left="160" w:right="100" w:firstLine="209"/>
        <w:spacing w:after="0" w:line="263" w:lineRule="auto"/>
        <w:rPr>
          <w:sz w:val="20"/>
          <w:szCs w:val="20"/>
          <w:color w:val="auto"/>
        </w:rPr>
      </w:pPr>
      <w:r>
        <w:rPr>
          <w:rFonts w:ascii="Times New Roman" w:cs="Times New Roman" w:eastAsia="Times New Roman" w:hAnsi="Times New Roman"/>
          <w:sz w:val="18"/>
          <w:szCs w:val="18"/>
          <w:color w:val="auto"/>
        </w:rPr>
        <w:t>“Participant” means a Person whom the Committee has selected to receive an Award under the Plan, pursuant to Section 5.2, or who has an outstanding Award granted under the Plan.</w:t>
      </w:r>
    </w:p>
    <w:p>
      <w:pPr>
        <w:spacing w:after="0" w:line="175" w:lineRule="exact"/>
        <w:rPr>
          <w:sz w:val="20"/>
          <w:szCs w:val="20"/>
          <w:color w:val="auto"/>
        </w:rPr>
      </w:pPr>
    </w:p>
    <w:p>
      <w:pPr>
        <w:jc w:val="both"/>
        <w:ind w:left="160" w:right="360" w:firstLine="209"/>
        <w:spacing w:after="0" w:line="285" w:lineRule="auto"/>
        <w:rPr>
          <w:sz w:val="20"/>
          <w:szCs w:val="20"/>
          <w:color w:val="auto"/>
        </w:rPr>
      </w:pPr>
      <w:r>
        <w:rPr>
          <w:rFonts w:ascii="Times New Roman" w:cs="Times New Roman" w:eastAsia="Times New Roman" w:hAnsi="Times New Roman"/>
          <w:sz w:val="17"/>
          <w:szCs w:val="17"/>
          <w:color w:val="auto"/>
        </w:rPr>
        <w:t>“Performance Award” means a right to receive cash or Shares (as determined by the Committee) upon the achievement, in whole or in part, of the applicable Performance Criteria pursuant to Article 9.</w:t>
      </w:r>
    </w:p>
    <w:p>
      <w:pPr>
        <w:spacing w:after="0" w:line="160" w:lineRule="exact"/>
        <w:rPr>
          <w:sz w:val="20"/>
          <w:szCs w:val="20"/>
          <w:color w:val="auto"/>
        </w:rPr>
      </w:pPr>
    </w:p>
    <w:p>
      <w:pPr>
        <w:ind w:left="160" w:right="120" w:firstLine="209"/>
        <w:spacing w:after="0" w:line="258" w:lineRule="auto"/>
        <w:rPr>
          <w:sz w:val="20"/>
          <w:szCs w:val="20"/>
          <w:color w:val="auto"/>
        </w:rPr>
      </w:pPr>
      <w:r>
        <w:rPr>
          <w:rFonts w:ascii="Times New Roman" w:cs="Times New Roman" w:eastAsia="Times New Roman" w:hAnsi="Times New Roman"/>
          <w:sz w:val="18"/>
          <w:szCs w:val="18"/>
          <w:color w:val="auto"/>
        </w:rPr>
        <w:t>“Performance Criteria” means the objectives established by the Committee for a Performance Period for the purpose of determining the extent to which an Award of Performance Shares, Performance Awards, or Performance Units has been earned.</w:t>
      </w:r>
    </w:p>
    <w:p>
      <w:pPr>
        <w:spacing w:after="0" w:line="180" w:lineRule="exact"/>
        <w:rPr>
          <w:sz w:val="20"/>
          <w:szCs w:val="20"/>
          <w:color w:val="auto"/>
        </w:rPr>
      </w:pPr>
    </w:p>
    <w:p>
      <w:pPr>
        <w:ind w:left="160" w:right="80" w:firstLine="209"/>
        <w:spacing w:after="0" w:line="277" w:lineRule="auto"/>
        <w:rPr>
          <w:sz w:val="20"/>
          <w:szCs w:val="20"/>
          <w:color w:val="auto"/>
        </w:rPr>
      </w:pPr>
      <w:r>
        <w:rPr>
          <w:rFonts w:ascii="Times New Roman" w:cs="Times New Roman" w:eastAsia="Times New Roman" w:hAnsi="Times New Roman"/>
          <w:sz w:val="17"/>
          <w:szCs w:val="17"/>
          <w:color w:val="auto"/>
        </w:rPr>
        <w:t>“Performance Period” means any period as determined by the Committee in its sole discretion. The Committee may establish different Performance Periods for different Participants, and the Committee may establish concurrent or overlapping Performance Periods.</w:t>
      </w:r>
    </w:p>
    <w:p>
      <w:pPr>
        <w:spacing w:after="0" w:line="167" w:lineRule="exact"/>
        <w:rPr>
          <w:sz w:val="20"/>
          <w:szCs w:val="20"/>
          <w:color w:val="auto"/>
        </w:rPr>
      </w:pPr>
    </w:p>
    <w:p>
      <w:pPr>
        <w:ind w:left="160" w:right="240" w:firstLine="209"/>
        <w:spacing w:after="0" w:line="258" w:lineRule="auto"/>
        <w:rPr>
          <w:sz w:val="20"/>
          <w:szCs w:val="20"/>
          <w:color w:val="auto"/>
        </w:rPr>
      </w:pPr>
      <w:r>
        <w:rPr>
          <w:rFonts w:ascii="Times New Roman" w:cs="Times New Roman" w:eastAsia="Times New Roman" w:hAnsi="Times New Roman"/>
          <w:sz w:val="18"/>
          <w:szCs w:val="18"/>
          <w:color w:val="auto"/>
        </w:rPr>
        <w:t>“Performance Share” means an award with an initial value equal to the Fair Market Value on the date of grant, which is based on the Participant’s attainment of performance objectives, as described in Article 9.</w:t>
      </w:r>
    </w:p>
    <w:p>
      <w:pPr>
        <w:spacing w:after="0" w:line="180" w:lineRule="exact"/>
        <w:rPr>
          <w:sz w:val="20"/>
          <w:szCs w:val="20"/>
          <w:color w:val="auto"/>
        </w:rPr>
      </w:pPr>
    </w:p>
    <w:p>
      <w:pPr>
        <w:ind w:left="160" w:firstLine="209"/>
        <w:spacing w:after="0" w:line="285" w:lineRule="auto"/>
        <w:rPr>
          <w:sz w:val="20"/>
          <w:szCs w:val="20"/>
          <w:color w:val="auto"/>
        </w:rPr>
      </w:pPr>
      <w:r>
        <w:rPr>
          <w:rFonts w:ascii="Times New Roman" w:cs="Times New Roman" w:eastAsia="Times New Roman" w:hAnsi="Times New Roman"/>
          <w:sz w:val="17"/>
          <w:szCs w:val="17"/>
          <w:color w:val="auto"/>
        </w:rPr>
        <w:t>“Performance Unit” means an award with an initial value established by the Committee at the time of grant, which is based on the Participant’s attainment of performance objectives, as described in Article 9.</w:t>
      </w:r>
    </w:p>
    <w:p>
      <w:pPr>
        <w:spacing w:after="0" w:line="160" w:lineRule="exact"/>
        <w:rPr>
          <w:sz w:val="20"/>
          <w:szCs w:val="20"/>
          <w:color w:val="auto"/>
        </w:rPr>
      </w:pPr>
    </w:p>
    <w:p>
      <w:pPr>
        <w:ind w:left="160" w:right="140" w:firstLine="209"/>
        <w:spacing w:after="0" w:line="258" w:lineRule="auto"/>
        <w:rPr>
          <w:sz w:val="20"/>
          <w:szCs w:val="20"/>
          <w:color w:val="auto"/>
        </w:rPr>
      </w:pPr>
      <w:r>
        <w:rPr>
          <w:rFonts w:ascii="Times New Roman" w:cs="Times New Roman" w:eastAsia="Times New Roman" w:hAnsi="Times New Roman"/>
          <w:sz w:val="18"/>
          <w:szCs w:val="18"/>
          <w:color w:val="auto"/>
        </w:rPr>
        <w:t>“Person” means any individual, partnership, corporation, limited liability company, association, joint stock company, trust, joint venture, unincorporated organization and any governmental entity or any department, agency or political subdivision thereof.</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7" w:right="40" w:firstLine="214"/>
        <w:spacing w:after="0" w:line="278" w:lineRule="auto"/>
        <w:rPr>
          <w:sz w:val="20"/>
          <w:szCs w:val="20"/>
          <w:color w:val="auto"/>
        </w:rPr>
      </w:pPr>
      <w:r>
        <w:rPr>
          <w:rFonts w:ascii="Times New Roman" w:cs="Times New Roman" w:eastAsia="Times New Roman" w:hAnsi="Times New Roman"/>
          <w:sz w:val="18"/>
          <w:szCs w:val="18"/>
          <w:color w:val="auto"/>
        </w:rPr>
        <w:t>“Plan” means the Vera Bradley, Inc. 2020 Equity and Incentive Plan, as set forth in this document, as from time to time amended.</w:t>
      </w:r>
    </w:p>
    <w:p>
      <w:pPr>
        <w:spacing w:after="0" w:line="162" w:lineRule="exact"/>
        <w:rPr>
          <w:sz w:val="20"/>
          <w:szCs w:val="20"/>
          <w:color w:val="auto"/>
        </w:rPr>
      </w:pPr>
    </w:p>
    <w:p>
      <w:pPr>
        <w:ind w:left="7" w:right="20" w:firstLine="214"/>
        <w:spacing w:after="0" w:line="255" w:lineRule="auto"/>
        <w:rPr>
          <w:sz w:val="20"/>
          <w:szCs w:val="20"/>
          <w:color w:val="auto"/>
        </w:rPr>
      </w:pPr>
      <w:r>
        <w:rPr>
          <w:rFonts w:ascii="Times New Roman" w:cs="Times New Roman" w:eastAsia="Times New Roman" w:hAnsi="Times New Roman"/>
          <w:sz w:val="18"/>
          <w:szCs w:val="18"/>
          <w:color w:val="auto"/>
        </w:rPr>
        <w:t>“Restricted Period” means the period during which the transfer of Shares of Restricted Stock is limited in some way (based on the passage of time, the achievement of performance objectives, or the occurrence of other events as the Committee determines, in its discretion), and/or the Restricted Stock is not vested.</w:t>
      </w:r>
    </w:p>
    <w:p>
      <w:pPr>
        <w:spacing w:after="0" w:line="184" w:lineRule="exact"/>
        <w:rPr>
          <w:sz w:val="20"/>
          <w:szCs w:val="20"/>
          <w:color w:val="auto"/>
        </w:rPr>
      </w:pPr>
    </w:p>
    <w:p>
      <w:pPr>
        <w:ind w:left="7" w:right="300" w:firstLine="214"/>
        <w:spacing w:after="0" w:line="278" w:lineRule="auto"/>
        <w:rPr>
          <w:sz w:val="20"/>
          <w:szCs w:val="20"/>
          <w:color w:val="auto"/>
        </w:rPr>
      </w:pPr>
      <w:r>
        <w:rPr>
          <w:rFonts w:ascii="Times New Roman" w:cs="Times New Roman" w:eastAsia="Times New Roman" w:hAnsi="Times New Roman"/>
          <w:sz w:val="18"/>
          <w:szCs w:val="18"/>
          <w:color w:val="auto"/>
        </w:rPr>
        <w:t>“Restricted Stock” means a contingent grant of Shares awarded to a Participant pursuant to Article 8.</w:t>
      </w:r>
    </w:p>
    <w:p>
      <w:pPr>
        <w:spacing w:after="0" w:line="162" w:lineRule="exact"/>
        <w:rPr>
          <w:sz w:val="20"/>
          <w:szCs w:val="20"/>
          <w:color w:val="auto"/>
        </w:rPr>
      </w:pPr>
    </w:p>
    <w:p>
      <w:pPr>
        <w:ind w:left="7" w:right="440" w:firstLine="214"/>
        <w:spacing w:after="0" w:line="278" w:lineRule="auto"/>
        <w:rPr>
          <w:sz w:val="20"/>
          <w:szCs w:val="20"/>
          <w:color w:val="auto"/>
        </w:rPr>
      </w:pPr>
      <w:r>
        <w:rPr>
          <w:rFonts w:ascii="Times New Roman" w:cs="Times New Roman" w:eastAsia="Times New Roman" w:hAnsi="Times New Roman"/>
          <w:sz w:val="18"/>
          <w:szCs w:val="18"/>
          <w:color w:val="auto"/>
        </w:rPr>
        <w:t>“Restricted Stock Unit” or “RSU” means an Award granted under Article 8 denominated in units of Common Stock.</w:t>
      </w:r>
    </w:p>
    <w:p>
      <w:pPr>
        <w:spacing w:after="0" w:line="162" w:lineRule="exact"/>
        <w:rPr>
          <w:sz w:val="20"/>
          <w:szCs w:val="20"/>
          <w:color w:val="auto"/>
        </w:rPr>
      </w:pPr>
    </w:p>
    <w:p>
      <w:pPr>
        <w:ind w:left="7" w:right="20" w:firstLine="214"/>
        <w:spacing w:after="0" w:line="255" w:lineRule="auto"/>
        <w:rPr>
          <w:sz w:val="20"/>
          <w:szCs w:val="20"/>
          <w:color w:val="auto"/>
        </w:rPr>
      </w:pPr>
      <w:r>
        <w:rPr>
          <w:rFonts w:ascii="Times New Roman" w:cs="Times New Roman" w:eastAsia="Times New Roman" w:hAnsi="Times New Roman"/>
          <w:sz w:val="18"/>
          <w:szCs w:val="18"/>
          <w:color w:val="auto"/>
        </w:rPr>
        <w:t>“Retirement” means termination of Service on or after reaching the age established by the Company as the normal retirement age in any unexpired employment, consulting or other agreement between the Participant and the Company and/or an Affiliate, or, if different, a qualified retirement plan sponsored by the Company.</w:t>
      </w:r>
    </w:p>
    <w:p>
      <w:pPr>
        <w:spacing w:after="0" w:line="184" w:lineRule="exact"/>
        <w:rPr>
          <w:sz w:val="20"/>
          <w:szCs w:val="20"/>
          <w:color w:val="auto"/>
        </w:rPr>
      </w:pPr>
    </w:p>
    <w:p>
      <w:pPr>
        <w:ind w:left="7" w:right="240" w:firstLine="214"/>
        <w:spacing w:after="0" w:line="278" w:lineRule="auto"/>
        <w:rPr>
          <w:sz w:val="20"/>
          <w:szCs w:val="20"/>
          <w:color w:val="auto"/>
        </w:rPr>
      </w:pPr>
      <w:r>
        <w:rPr>
          <w:rFonts w:ascii="Times New Roman" w:cs="Times New Roman" w:eastAsia="Times New Roman" w:hAnsi="Times New Roman"/>
          <w:sz w:val="18"/>
          <w:szCs w:val="18"/>
          <w:color w:val="auto"/>
        </w:rPr>
        <w:t>“Securities Act” means the Securities Act of 1933, as amended from time to time.</w:t>
      </w:r>
    </w:p>
    <w:p>
      <w:pPr>
        <w:spacing w:after="0" w:line="162" w:lineRule="exact"/>
        <w:rPr>
          <w:sz w:val="20"/>
          <w:szCs w:val="20"/>
          <w:color w:val="auto"/>
        </w:rPr>
      </w:pPr>
    </w:p>
    <w:p>
      <w:pPr>
        <w:ind w:left="7" w:right="100" w:firstLine="214"/>
        <w:spacing w:after="0" w:line="277" w:lineRule="auto"/>
        <w:rPr>
          <w:sz w:val="20"/>
          <w:szCs w:val="20"/>
          <w:color w:val="auto"/>
        </w:rPr>
      </w:pPr>
      <w:r>
        <w:rPr>
          <w:rFonts w:ascii="Times New Roman" w:cs="Times New Roman" w:eastAsia="Times New Roman" w:hAnsi="Times New Roman"/>
          <w:sz w:val="17"/>
          <w:szCs w:val="17"/>
          <w:color w:val="auto"/>
        </w:rPr>
        <w:t>“Service” means the provision of services in the capacity of (i) an employee of the Company or an Affiliate, (ii) a non-employee member of the Company’s Board or the board of directors of an Affiliate, or (iii) a consultant or other independent advisor to the Company or an Affiliate.</w:t>
      </w:r>
    </w:p>
    <w:p>
      <w:pPr>
        <w:spacing w:after="0" w:line="167" w:lineRule="exact"/>
        <w:rPr>
          <w:sz w:val="20"/>
          <w:szCs w:val="20"/>
          <w:color w:val="auto"/>
        </w:rPr>
      </w:pPr>
    </w:p>
    <w:p>
      <w:pPr>
        <w:ind w:left="207"/>
        <w:spacing w:after="0"/>
        <w:rPr>
          <w:sz w:val="20"/>
          <w:szCs w:val="20"/>
          <w:color w:val="auto"/>
        </w:rPr>
      </w:pPr>
      <w:r>
        <w:rPr>
          <w:rFonts w:ascii="Times New Roman" w:cs="Times New Roman" w:eastAsia="Times New Roman" w:hAnsi="Times New Roman"/>
          <w:sz w:val="18"/>
          <w:szCs w:val="18"/>
          <w:color w:val="auto"/>
        </w:rPr>
        <w:t>“Shares” means shares of the Company’s Common Stock.</w:t>
      </w:r>
    </w:p>
    <w:p>
      <w:pPr>
        <w:spacing w:after="0" w:line="221" w:lineRule="exact"/>
        <w:rPr>
          <w:sz w:val="20"/>
          <w:szCs w:val="20"/>
          <w:color w:val="auto"/>
        </w:rPr>
      </w:pPr>
    </w:p>
    <w:p>
      <w:pPr>
        <w:ind w:left="7" w:right="140" w:firstLine="214"/>
        <w:spacing w:after="0" w:line="263" w:lineRule="auto"/>
        <w:rPr>
          <w:sz w:val="20"/>
          <w:szCs w:val="20"/>
          <w:color w:val="auto"/>
        </w:rPr>
      </w:pPr>
      <w:r>
        <w:rPr>
          <w:rFonts w:ascii="Times New Roman" w:cs="Times New Roman" w:eastAsia="Times New Roman" w:hAnsi="Times New Roman"/>
          <w:sz w:val="18"/>
          <w:szCs w:val="18"/>
          <w:color w:val="auto"/>
        </w:rPr>
        <w:t>“Stock Appreciation Right” or “SAR” means an Award, granted alone or in connection with a related Option, designated as a SAR pursuant to the terms of Article 7.</w:t>
      </w:r>
    </w:p>
    <w:p>
      <w:pPr>
        <w:spacing w:after="0" w:line="319" w:lineRule="exact"/>
        <w:rPr>
          <w:sz w:val="20"/>
          <w:szCs w:val="20"/>
          <w:color w:val="auto"/>
        </w:rPr>
      </w:pPr>
    </w:p>
    <w:p>
      <w:pPr>
        <w:ind w:left="367" w:hanging="367"/>
        <w:spacing w:after="0"/>
        <w:tabs>
          <w:tab w:leader="none" w:pos="367"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114" w:lineRule="exact"/>
        <w:rPr>
          <w:sz w:val="20"/>
          <w:szCs w:val="20"/>
          <w:color w:val="auto"/>
        </w:rPr>
      </w:pPr>
    </w:p>
    <w:p>
      <w:pPr>
        <w:ind w:left="7" w:right="20" w:firstLine="214"/>
        <w:spacing w:after="0" w:line="253"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Plan Administration</w:t>
      </w:r>
      <w:r>
        <w:rPr>
          <w:rFonts w:ascii="Times New Roman" w:cs="Times New Roman" w:eastAsia="Times New Roman" w:hAnsi="Times New Roman"/>
          <w:sz w:val="18"/>
          <w:szCs w:val="18"/>
          <w:color w:val="auto"/>
        </w:rPr>
        <w:t>. The Plan will be administered by the Committee that the Board designates for this purpose. If the Committee does not exist, or for any other reason determined by the Board, and to the extent not prohibited by applicable law or the applicable rules of any stock exchange and to the extent that such action does not require approval by “outside directors” to comply with applicable law, the Board may take any action under the Plan that would otherwise be the responsibility of the Committee. The Board will appoint the Committee</w:t>
      </w:r>
    </w:p>
    <w:p>
      <w:pPr>
        <w:spacing w:after="0" w:line="592" w:lineRule="exact"/>
        <w:rPr>
          <w:sz w:val="20"/>
          <w:szCs w:val="20"/>
          <w:color w:val="auto"/>
        </w:rPr>
      </w:pPr>
    </w:p>
    <w:p>
      <w:pPr>
        <w:sectPr>
          <w:pgSz w:w="11900" w:h="16838" w:orient="portrait"/>
          <w:cols w:equalWidth="0" w:num="2">
            <w:col w:w="5400" w:space="333"/>
            <w:col w:w="5347"/>
          </w:cols>
          <w:pgMar w:left="320" w:top="478" w:right="499" w:bottom="1440" w:gutter="0" w:footer="0" w:header="0"/>
          <w:type w:val="continuous"/>
        </w:sectPr>
      </w:pPr>
    </w:p>
    <w:p>
      <w:pPr>
        <w:spacing w:after="0" w:line="47" w:lineRule="exact"/>
        <w:rPr>
          <w:sz w:val="20"/>
          <w:szCs w:val="20"/>
          <w:color w:val="auto"/>
        </w:rPr>
      </w:pPr>
    </w:p>
    <w:p>
      <w:pPr>
        <w:ind w:left="4940"/>
        <w:spacing w:after="0"/>
        <w:tabs>
          <w:tab w:leader="none" w:pos="8700" w:val="left"/>
          <w:tab w:leader="none" w:pos="10460" w:val="left"/>
          <w:tab w:leader="none" w:pos="10780" w:val="left"/>
        </w:tabs>
        <w:rPr>
          <w:sz w:val="20"/>
          <w:szCs w:val="20"/>
          <w:color w:val="auto"/>
        </w:rPr>
      </w:pPr>
      <w:r>
        <w:rPr>
          <w:rFonts w:ascii="Arial" w:cs="Arial" w:eastAsia="Arial" w:hAnsi="Arial"/>
          <w:sz w:val="28"/>
          <w:szCs w:val="28"/>
          <w:b w:val="1"/>
          <w:bCs w:val="1"/>
          <w:color w:val="005C5D"/>
          <w:vertAlign w:val="superscript"/>
        </w:rPr>
        <w:t>VERA BRADLEY, INC.</w:t>
      </w:r>
      <w:r>
        <w:rPr>
          <w:sz w:val="20"/>
          <w:szCs w:val="20"/>
          <w:color w:val="auto"/>
        </w:rPr>
        <w:tab/>
      </w:r>
      <w:r>
        <w:rPr>
          <w:rFonts w:ascii="Times New Roman" w:cs="Times New Roman" w:eastAsia="Times New Roman" w:hAnsi="Times New Roman"/>
          <w:sz w:val="18"/>
          <w:szCs w:val="18"/>
          <w:color w:val="005C5D"/>
        </w:rPr>
        <w:t>2026 Proxy Statement </w:t>
      </w:r>
      <w:r>
        <w:rPr>
          <w:rFonts w:ascii="Times New Roman" w:cs="Times New Roman" w:eastAsia="Times New Roman" w:hAnsi="Times New Roman"/>
          <w:sz w:val="18"/>
          <w:szCs w:val="18"/>
          <w:color w:val="F5CABF"/>
        </w:rPr>
        <w:tab/>
        <w:t>●</w:t>
      </w:r>
      <w:r>
        <w:rPr>
          <w:rFonts w:ascii="Times New Roman" w:cs="Times New Roman" w:eastAsia="Times New Roman" w:hAnsi="Times New Roman"/>
          <w:sz w:val="18"/>
          <w:szCs w:val="18"/>
          <w:color w:val="005C5D"/>
        </w:rPr>
        <w:t xml:space="preserve"> </w:t>
      </w:r>
      <w:r>
        <w:rPr>
          <w:sz w:val="20"/>
          <w:szCs w:val="20"/>
          <w:color w:val="auto"/>
        </w:rPr>
        <w:tab/>
      </w:r>
      <w:r>
        <w:rPr>
          <w:rFonts w:ascii="Times New Roman" w:cs="Times New Roman" w:eastAsia="Times New Roman" w:hAnsi="Times New Roman"/>
          <w:sz w:val="17"/>
          <w:szCs w:val="17"/>
          <w:color w:val="005C5D"/>
        </w:rPr>
        <w:t>A-3</w:t>
      </w:r>
    </w:p>
    <w:p>
      <w:pPr>
        <w:sectPr>
          <w:pgSz w:w="11900" w:h="16838" w:orient="portrait"/>
          <w:cols w:equalWidth="0" w:num="1">
            <w:col w:w="11080"/>
          </w:cols>
          <w:pgMar w:left="320" w:top="478" w:right="4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92975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60"/>
          </w:cols>
          <w:pgMar w:left="320" w:top="478" w:right="519" w:bottom="1440" w:gutter="0" w:footer="0" w:header="0"/>
        </w:sectPr>
      </w:pPr>
    </w:p>
    <w:p>
      <w:pPr>
        <w:spacing w:after="0" w:line="380" w:lineRule="exact"/>
        <w:rPr>
          <w:sz w:val="20"/>
          <w:szCs w:val="20"/>
          <w:color w:val="auto"/>
        </w:rPr>
      </w:pPr>
    </w:p>
    <w:p>
      <w:pPr>
        <w:ind w:left="160" w:right="60"/>
        <w:spacing w:after="0" w:line="255" w:lineRule="auto"/>
        <w:rPr>
          <w:sz w:val="20"/>
          <w:szCs w:val="20"/>
          <w:color w:val="auto"/>
        </w:rPr>
      </w:pPr>
      <w:r>
        <w:rPr>
          <w:rFonts w:ascii="Times New Roman" w:cs="Times New Roman" w:eastAsia="Times New Roman" w:hAnsi="Times New Roman"/>
          <w:sz w:val="18"/>
          <w:szCs w:val="18"/>
          <w:color w:val="auto"/>
        </w:rPr>
        <w:t>members, from time to time, and the Committee members will serve at the Board’s discretion. The Committee will act by a majority of its members at the time in office and eligible to vote on any particular matter, and Committee action may be taken either by a vote at a meeting or in writing without a meeting.</w:t>
      </w:r>
    </w:p>
    <w:p>
      <w:pPr>
        <w:spacing w:after="0" w:line="73" w:lineRule="exact"/>
        <w:rPr>
          <w:sz w:val="20"/>
          <w:szCs w:val="20"/>
          <w:color w:val="auto"/>
        </w:rPr>
      </w:pPr>
    </w:p>
    <w:p>
      <w:pPr>
        <w:ind w:left="160" w:firstLine="209"/>
        <w:spacing w:after="0" w:line="250"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Authority of the Committee</w:t>
      </w:r>
      <w:r>
        <w:rPr>
          <w:rFonts w:ascii="Times New Roman" w:cs="Times New Roman" w:eastAsia="Times New Roman" w:hAnsi="Times New Roman"/>
          <w:sz w:val="18"/>
          <w:szCs w:val="18"/>
          <w:color w:val="auto"/>
        </w:rPr>
        <w:t>. Except as limited by law and subject to the provisions of this Plan, the Committee will have full power to: (i) select eligible Persons to participate in the Plan; (ii) determine the sizes and types of Awards; (iii) determine the terms and conditions of Awards in a manner consistent with the Plan; (iv) construe and interpret the Plan and any agreement or instrument entered into under the Plan; (v) establish, amend or waive rules and regulations for the Plan’s administration; and (vi) subject to the provisions of Article 14, amend the Plan or the terms and conditions of any outstanding Award to the extent the terms are within the Committee’s discretion under the Plan. Further, the Committee will make all other determinations that may be necessary or advisable to administer the Plan. As permitted by law and consistent with Section 3.1, the Committee may delegate some or all of its authority under the Plan.</w:t>
      </w:r>
    </w:p>
    <w:p>
      <w:pPr>
        <w:spacing w:after="0" w:line="84" w:lineRule="exact"/>
        <w:rPr>
          <w:sz w:val="20"/>
          <w:szCs w:val="20"/>
          <w:color w:val="auto"/>
        </w:rPr>
      </w:pPr>
    </w:p>
    <w:p>
      <w:pPr>
        <w:ind w:left="160" w:firstLine="209"/>
        <w:spacing w:after="0" w:line="25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Decisions Binding</w:t>
      </w:r>
      <w:r>
        <w:rPr>
          <w:rFonts w:ascii="Times New Roman" w:cs="Times New Roman" w:eastAsia="Times New Roman" w:hAnsi="Times New Roman"/>
          <w:sz w:val="18"/>
          <w:szCs w:val="18"/>
          <w:color w:val="auto"/>
        </w:rPr>
        <w:t>. All determinations and decisions made by the Committee pursuant to the provisions of the Plan will be final, conclusive and binding on all Persons, including, without limitation, the Company, its shareholders, all Affiliates, employees, Participants, and their estates and beneficiaries.</w:t>
      </w:r>
    </w:p>
    <w:p>
      <w:pPr>
        <w:spacing w:after="0" w:line="327" w:lineRule="exact"/>
        <w:rPr>
          <w:sz w:val="20"/>
          <w:szCs w:val="20"/>
          <w:color w:val="auto"/>
        </w:rPr>
      </w:pPr>
    </w:p>
    <w:p>
      <w:pPr>
        <w:ind w:left="520" w:hanging="353"/>
        <w:spacing w:after="0"/>
        <w:tabs>
          <w:tab w:leader="none" w:pos="5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 and Maximum Grants</w:t>
      </w:r>
    </w:p>
    <w:p>
      <w:pPr>
        <w:spacing w:after="0" w:line="114" w:lineRule="exact"/>
        <w:rPr>
          <w:sz w:val="20"/>
          <w:szCs w:val="20"/>
          <w:color w:val="auto"/>
        </w:rPr>
      </w:pPr>
    </w:p>
    <w:p>
      <w:pPr>
        <w:ind w:left="160" w:right="40" w:firstLine="209"/>
        <w:spacing w:after="0" w:line="266"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b w:val="1"/>
          <w:bCs w:val="1"/>
          <w:color w:val="auto"/>
        </w:rPr>
        <w:t>Number of Shares Available for Grants</w:t>
      </w:r>
      <w:r>
        <w:rPr>
          <w:rFonts w:ascii="Times New Roman" w:cs="Times New Roman" w:eastAsia="Times New Roman" w:hAnsi="Times New Roman"/>
          <w:sz w:val="17"/>
          <w:szCs w:val="17"/>
          <w:color w:val="auto"/>
        </w:rPr>
        <w:t>. Subject to adjustment as provided in Section 4.3, the total number of Shares that may be issued or transferred to Participants under the Plan is 6,000,000 Shares. Subject to adjustment as provided in Section 4.3, the maximum number of Shares and Share equivalent units that may be granted during any calendar year to any one Participant under Options, SARs, Restricted Stock, Restricted Stock Units, Performance Shares, Performance Units, Performance Awards or any other Award is 1,000,000 Shares, which limit will apply regardless of whether the compensation is paid in Shares or in cash. The number of Shares delivered in satisfaction of Awards shall for purposes of the preceding sentence be determined to include any Shares withheld by the Company in payment of the exercise price of an Award or in satisfaction of any tax withholding obligations with respect to an Award. The foregoing limit set forth in this Section 4.1 shall be construed to comply with Code Section 422.</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left="7" w:right="20" w:firstLine="214"/>
        <w:spacing w:after="0" w:line="288"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b w:val="1"/>
          <w:bCs w:val="1"/>
          <w:color w:val="auto"/>
        </w:rPr>
        <w:t>Lapsed Awards</w:t>
      </w:r>
      <w:r>
        <w:rPr>
          <w:rFonts w:ascii="Times New Roman" w:cs="Times New Roman" w:eastAsia="Times New Roman" w:hAnsi="Times New Roman"/>
          <w:sz w:val="17"/>
          <w:szCs w:val="17"/>
          <w:color w:val="auto"/>
        </w:rPr>
        <w:t>. If any Award granted under this Plan is canceled, terminates, expires, or lapses for any reason, any Shares subject to the Award will again be available for the grant of an Award under the Plan.</w:t>
      </w:r>
    </w:p>
    <w:p>
      <w:pPr>
        <w:spacing w:after="0" w:line="45" w:lineRule="exact"/>
        <w:rPr>
          <w:sz w:val="20"/>
          <w:szCs w:val="20"/>
          <w:color w:val="auto"/>
        </w:rPr>
      </w:pPr>
    </w:p>
    <w:p>
      <w:pPr>
        <w:ind w:left="7" w:right="20" w:firstLine="214"/>
        <w:spacing w:after="0" w:line="250"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Adjustments in Authorized Shares</w:t>
      </w:r>
      <w:r>
        <w:rPr>
          <w:rFonts w:ascii="Times New Roman" w:cs="Times New Roman" w:eastAsia="Times New Roman" w:hAnsi="Times New Roman"/>
          <w:sz w:val="18"/>
          <w:szCs w:val="18"/>
          <w:color w:val="auto"/>
        </w:rPr>
        <w:t>. If the Shares, as currently constituted, are changed into or exchanged for a different number or kind of shares of stock or other securities of the Company or of another corporation (whether because of merger, consolidation, recapitalization, reclassification, split, reverse split, combination of shares, or otherwise, but not including a public offering or other capital infusion from any source) or if the number of Shares is increased through the payment of a stock dividend, provision shall be made so that the Participants shall thereafter be entitled to receive, upon vesting of such Shares, the number of Shares to which a Participant would have been entitled on such merger, consolidation, recapitalization, reclassification, split, reverse split, combination of shares or payment of stock dividend. If there is any other change in the number or kind of the outstanding Shares, of any stock or other securities into which the outstanding Shares have been changed, or for which they have been exchanged, the Committee, in its sole discretion, may adjust any Award already granted, having due regard for the qualification of ISOs under Code Section 422 and the requirements of Code Section 409A, where applicable.</w:t>
      </w:r>
    </w:p>
    <w:p>
      <w:pPr>
        <w:spacing w:after="0" w:line="189" w:lineRule="exact"/>
        <w:rPr>
          <w:sz w:val="20"/>
          <w:szCs w:val="20"/>
          <w:color w:val="auto"/>
        </w:rPr>
      </w:pPr>
    </w:p>
    <w:p>
      <w:pPr>
        <w:ind w:left="7" w:right="40" w:firstLine="214"/>
        <w:spacing w:after="0" w:line="254" w:lineRule="auto"/>
        <w:rPr>
          <w:sz w:val="20"/>
          <w:szCs w:val="20"/>
          <w:color w:val="auto"/>
        </w:rPr>
      </w:pPr>
      <w:r>
        <w:rPr>
          <w:rFonts w:ascii="Times New Roman" w:cs="Times New Roman" w:eastAsia="Times New Roman" w:hAnsi="Times New Roman"/>
          <w:sz w:val="18"/>
          <w:szCs w:val="18"/>
          <w:color w:val="auto"/>
        </w:rPr>
        <w:t>Fractional Shares resulting from any adjustment in Awards pursuant to this section may be settled in cash or otherwise as the Committee determines. The Company will give notice of any adjustment to each Participant who holds an Award that has been adjusted and the adjustment (whether or not such notice is given) will be effective and binding for all Plan purposes.</w:t>
      </w:r>
    </w:p>
    <w:p>
      <w:pPr>
        <w:spacing w:after="0" w:line="327" w:lineRule="exact"/>
        <w:rPr>
          <w:sz w:val="20"/>
          <w:szCs w:val="20"/>
          <w:color w:val="auto"/>
        </w:rPr>
      </w:pPr>
    </w:p>
    <w:p>
      <w:pPr>
        <w:ind w:left="367" w:hanging="367"/>
        <w:spacing w:after="0"/>
        <w:tabs>
          <w:tab w:leader="none" w:pos="367"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 and Participation</w:t>
      </w:r>
    </w:p>
    <w:p>
      <w:pPr>
        <w:spacing w:after="0" w:line="114" w:lineRule="exact"/>
        <w:rPr>
          <w:sz w:val="20"/>
          <w:szCs w:val="20"/>
          <w:color w:val="auto"/>
        </w:rPr>
      </w:pPr>
    </w:p>
    <w:p>
      <w:pPr>
        <w:ind w:left="7" w:right="180" w:firstLine="214"/>
        <w:spacing w:after="0" w:line="26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 The following Persons are eligible to receive Awards under this Plan: (i) any Employee; (ii) any Advisor; and (iii) any non-employee Director.</w:t>
      </w:r>
    </w:p>
    <w:p>
      <w:pPr>
        <w:spacing w:after="0" w:line="63" w:lineRule="exact"/>
        <w:rPr>
          <w:sz w:val="20"/>
          <w:szCs w:val="20"/>
          <w:color w:val="auto"/>
        </w:rPr>
      </w:pPr>
    </w:p>
    <w:p>
      <w:pPr>
        <w:ind w:left="7" w:firstLine="214"/>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Actual Participation</w:t>
      </w:r>
      <w:r>
        <w:rPr>
          <w:rFonts w:ascii="Times New Roman" w:cs="Times New Roman" w:eastAsia="Times New Roman" w:hAnsi="Times New Roman"/>
          <w:sz w:val="18"/>
          <w:szCs w:val="18"/>
          <w:color w:val="auto"/>
        </w:rPr>
        <w:t>. The Committee will determine, within the limits set forth below, those eligible Persons to whom it will grant Awards. Each eligible Person whom the Committee has selected to receive an Award will become a Participant in the Plan upon execution of an Award Agreement.</w:t>
      </w:r>
    </w:p>
    <w:p>
      <w:pPr>
        <w:spacing w:after="0" w:line="327" w:lineRule="exact"/>
        <w:rPr>
          <w:sz w:val="20"/>
          <w:szCs w:val="20"/>
          <w:color w:val="auto"/>
        </w:rPr>
      </w:pPr>
    </w:p>
    <w:p>
      <w:pPr>
        <w:ind w:left="367" w:hanging="367"/>
        <w:spacing w:after="0"/>
        <w:tabs>
          <w:tab w:leader="none" w:pos="367"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Options</w:t>
      </w:r>
    </w:p>
    <w:p>
      <w:pPr>
        <w:spacing w:after="0" w:line="114" w:lineRule="exact"/>
        <w:rPr>
          <w:sz w:val="20"/>
          <w:szCs w:val="20"/>
          <w:color w:val="auto"/>
        </w:rPr>
      </w:pPr>
    </w:p>
    <w:p>
      <w:pPr>
        <w:ind w:left="7" w:right="40" w:firstLine="214"/>
        <w:spacing w:after="0" w:line="26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Grant of Options</w:t>
      </w:r>
      <w:r>
        <w:rPr>
          <w:rFonts w:ascii="Times New Roman" w:cs="Times New Roman" w:eastAsia="Times New Roman" w:hAnsi="Times New Roman"/>
          <w:sz w:val="18"/>
          <w:szCs w:val="18"/>
          <w:color w:val="auto"/>
        </w:rPr>
        <w:t>. Subject to the terms and provisions of the Plan, the Committee may grant (i) Incentive Stock Options to any Employee and (ii)</w:t>
      </w:r>
    </w:p>
    <w:p>
      <w:pPr>
        <w:spacing w:after="0" w:line="200" w:lineRule="exact"/>
        <w:rPr>
          <w:sz w:val="20"/>
          <w:szCs w:val="20"/>
          <w:color w:val="auto"/>
        </w:rPr>
      </w:pPr>
    </w:p>
    <w:p>
      <w:pPr>
        <w:sectPr>
          <w:pgSz w:w="11900" w:h="16838" w:orient="portrait"/>
          <w:cols w:equalWidth="0" w:num="2">
            <w:col w:w="5400" w:space="333"/>
            <w:col w:w="5327"/>
          </w:cols>
          <w:pgMar w:left="320" w:top="478" w:right="519" w:bottom="1440" w:gutter="0" w:footer="0" w:header="0"/>
          <w:type w:val="continuous"/>
        </w:sectPr>
      </w:pPr>
    </w:p>
    <w:p>
      <w:pPr>
        <w:spacing w:after="0" w:line="41" w:lineRule="exact"/>
        <w:rPr>
          <w:sz w:val="20"/>
          <w:szCs w:val="20"/>
          <w:color w:val="auto"/>
        </w:rPr>
      </w:pPr>
    </w:p>
    <w:p>
      <w:pPr>
        <w:ind w:left="160"/>
        <w:spacing w:after="0"/>
        <w:tabs>
          <w:tab w:leader="none" w:pos="600" w:val="left"/>
          <w:tab w:leader="none" w:pos="880" w:val="left"/>
          <w:tab w:leader="none" w:pos="4920" w:val="left"/>
        </w:tabs>
        <w:rPr>
          <w:sz w:val="20"/>
          <w:szCs w:val="20"/>
          <w:color w:val="auto"/>
        </w:rPr>
      </w:pPr>
      <w:r>
        <w:rPr>
          <w:rFonts w:ascii="Times New Roman" w:cs="Times New Roman" w:eastAsia="Times New Roman" w:hAnsi="Times New Roman"/>
          <w:sz w:val="18"/>
          <w:szCs w:val="18"/>
          <w:color w:val="005C5D"/>
        </w:rPr>
        <w:t>A-4 </w:t>
      </w:r>
      <w:r>
        <w:rPr>
          <w:rFonts w:ascii="Times New Roman" w:cs="Times New Roman" w:eastAsia="Times New Roman" w:hAnsi="Times New Roman"/>
          <w:sz w:val="18"/>
          <w:szCs w:val="18"/>
          <w:color w:val="F5CABF"/>
        </w:rPr>
        <w:tab/>
        <w:t>●</w:t>
      </w:r>
      <w:r>
        <w:rPr>
          <w:rFonts w:ascii="Times New Roman" w:cs="Times New Roman" w:eastAsia="Times New Roman" w:hAnsi="Times New Roman"/>
          <w:sz w:val="18"/>
          <w:szCs w:val="18"/>
          <w:color w:val="005C5D"/>
        </w:rPr>
        <w:t xml:space="preserve"> </w:t>
        <w:tab/>
        <w:t>2026 Proxy Statement</w:t>
      </w:r>
      <w:r>
        <w:rPr>
          <w:sz w:val="20"/>
          <w:szCs w:val="20"/>
          <w:color w:val="auto"/>
        </w:rPr>
        <w:tab/>
      </w:r>
      <w:r>
        <w:rPr>
          <w:rFonts w:ascii="Arial" w:cs="Arial" w:eastAsia="Arial" w:hAnsi="Arial"/>
          <w:sz w:val="21"/>
          <w:szCs w:val="21"/>
          <w:b w:val="1"/>
          <w:bCs w:val="1"/>
          <w:color w:val="005C5D"/>
          <w:vertAlign w:val="superscript"/>
        </w:rPr>
        <w:t>VERA BRADLEY, INC.</w:t>
      </w:r>
    </w:p>
    <w:p>
      <w:pPr>
        <w:sectPr>
          <w:pgSz w:w="11900" w:h="16838" w:orient="portrait"/>
          <w:cols w:equalWidth="0" w:num="1">
            <w:col w:w="11060"/>
          </w:cols>
          <w:pgMar w:left="320" w:top="478" w:right="51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92975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80" w:lineRule="exact"/>
        <w:rPr>
          <w:sz w:val="20"/>
          <w:szCs w:val="20"/>
          <w:color w:val="auto"/>
        </w:rPr>
      </w:pPr>
    </w:p>
    <w:p>
      <w:pPr>
        <w:ind w:left="160" w:right="60"/>
        <w:spacing w:after="0" w:line="258" w:lineRule="auto"/>
        <w:rPr>
          <w:sz w:val="20"/>
          <w:szCs w:val="20"/>
          <w:color w:val="auto"/>
        </w:rPr>
      </w:pPr>
      <w:r>
        <w:rPr>
          <w:rFonts w:ascii="Times New Roman" w:cs="Times New Roman" w:eastAsia="Times New Roman" w:hAnsi="Times New Roman"/>
          <w:sz w:val="18"/>
          <w:szCs w:val="18"/>
          <w:color w:val="auto"/>
        </w:rPr>
        <w:t>Nonqualified Stock Options to any Employee, Advisor or non-employee Director, in the number, and upon the terms, and at any time and from time to time, as the Committee determines and sets forth in the Award Agreement.</w:t>
      </w:r>
    </w:p>
    <w:p>
      <w:pPr>
        <w:spacing w:after="0" w:line="69" w:lineRule="exact"/>
        <w:rPr>
          <w:sz w:val="20"/>
          <w:szCs w:val="20"/>
          <w:color w:val="auto"/>
        </w:rPr>
      </w:pPr>
    </w:p>
    <w:p>
      <w:pPr>
        <w:ind w:left="160" w:right="80" w:firstLine="209"/>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Each Option grant will be evidenced by an Award Agreement that specifies the duration of the Option, the number of Shares to which the Option pertains, the manner, time, and rate of exercise and/or vesting of the Option, and such other provisions as the Committee determines and sets forth in the Award Agreement. The Award Agreement will also specify whether the Option is intended to be an ISO or an NQSO.</w:t>
      </w:r>
    </w:p>
    <w:p>
      <w:pPr>
        <w:spacing w:after="0" w:line="77" w:lineRule="exact"/>
        <w:rPr>
          <w:sz w:val="20"/>
          <w:szCs w:val="20"/>
          <w:color w:val="auto"/>
        </w:rPr>
      </w:pPr>
    </w:p>
    <w:p>
      <w:pPr>
        <w:ind w:left="160" w:right="40" w:firstLine="209"/>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Each Option grant and Award Agreement will specify the Exercise Price for each Share subject to an Option, which the Committee will determine and which must be greater than or equal to (and not less than) the Fair Market Value of a Share on the date the Option is granted.</w:t>
      </w:r>
    </w:p>
    <w:p>
      <w:pPr>
        <w:spacing w:after="0" w:line="73" w:lineRule="exact"/>
        <w:rPr>
          <w:sz w:val="20"/>
          <w:szCs w:val="20"/>
          <w:color w:val="auto"/>
        </w:rPr>
      </w:pPr>
    </w:p>
    <w:p>
      <w:pPr>
        <w:ind w:left="160" w:right="320" w:firstLine="209"/>
        <w:spacing w:after="0" w:line="288"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b w:val="1"/>
          <w:bCs w:val="1"/>
          <w:color w:val="auto"/>
        </w:rPr>
        <w:t>Duration of Options</w:t>
      </w:r>
      <w:r>
        <w:rPr>
          <w:rFonts w:ascii="Times New Roman" w:cs="Times New Roman" w:eastAsia="Times New Roman" w:hAnsi="Times New Roman"/>
          <w:sz w:val="17"/>
          <w:szCs w:val="17"/>
          <w:color w:val="auto"/>
        </w:rPr>
        <w:t>. Each Option will expire at the time determined by the Committee at the time of grant and set forth in the Award Agreement, but no later than 10 years after the date of grant.</w:t>
      </w:r>
    </w:p>
    <w:p>
      <w:pPr>
        <w:spacing w:after="0" w:line="45" w:lineRule="exact"/>
        <w:rPr>
          <w:sz w:val="20"/>
          <w:szCs w:val="20"/>
          <w:color w:val="auto"/>
        </w:rPr>
      </w:pPr>
    </w:p>
    <w:p>
      <w:pPr>
        <w:ind w:left="160" w:firstLine="209"/>
        <w:spacing w:after="0" w:line="259"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color w:val="auto"/>
        </w:rPr>
        <w:t>Exercise of Options</w:t>
      </w:r>
      <w:r>
        <w:rPr>
          <w:rFonts w:ascii="Times New Roman" w:cs="Times New Roman" w:eastAsia="Times New Roman" w:hAnsi="Times New Roman"/>
          <w:sz w:val="18"/>
          <w:szCs w:val="18"/>
          <w:color w:val="auto"/>
        </w:rPr>
        <w:t>. Options will become vested and exercisable at such times and be subject to such restrictions and conditions as the Committee in each instance approves and sets forth in each Award Agreement.</w:t>
      </w:r>
    </w:p>
    <w:p>
      <w:pPr>
        <w:spacing w:after="0" w:line="69" w:lineRule="exact"/>
        <w:rPr>
          <w:sz w:val="20"/>
          <w:szCs w:val="20"/>
          <w:color w:val="auto"/>
        </w:rPr>
      </w:pPr>
    </w:p>
    <w:p>
      <w:pPr>
        <w:ind w:left="160" w:right="80" w:firstLine="209"/>
        <w:spacing w:after="0" w:line="255"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The holder of an Option may exercise the Option only by delivering a written notice of exercise to the Company setting forth the number of Shares as to which the Option is to be exercised, together with full payment at the Exercise Price for the Shares as to which the Option is exercised and any withholding tax relating to the exercise of the Option.</w:t>
      </w:r>
    </w:p>
    <w:p>
      <w:pPr>
        <w:spacing w:after="0" w:line="182" w:lineRule="exact"/>
        <w:rPr>
          <w:sz w:val="20"/>
          <w:szCs w:val="20"/>
          <w:color w:val="auto"/>
        </w:rPr>
      </w:pPr>
    </w:p>
    <w:p>
      <w:pPr>
        <w:ind w:left="160" w:right="100" w:firstLine="209"/>
        <w:spacing w:after="0" w:line="252" w:lineRule="auto"/>
        <w:rPr>
          <w:sz w:val="20"/>
          <w:szCs w:val="20"/>
          <w:color w:val="auto"/>
        </w:rPr>
      </w:pPr>
      <w:r>
        <w:rPr>
          <w:rFonts w:ascii="Times New Roman" w:cs="Times New Roman" w:eastAsia="Times New Roman" w:hAnsi="Times New Roman"/>
          <w:sz w:val="18"/>
          <w:szCs w:val="18"/>
          <w:color w:val="auto"/>
        </w:rPr>
        <w:t>The Exercise Price and any related withholding taxes will be payable to the Company in full by one of the following methods: (a) in cash, or its equivalent, in United States dollars; (b) if permitted in the governing Award Agreement, by tendering Shares the Participant owns and duly endorses for transfer to the Company; (c) in any combination of cash, certified or cashier’s check and Shares described in clause (b); or (d) by any other means the Committee determines to be consistent with the Plan’s purposes and applicable law.</w:t>
      </w:r>
    </w:p>
    <w:p>
      <w:pPr>
        <w:spacing w:after="0" w:line="76" w:lineRule="exact"/>
        <w:rPr>
          <w:sz w:val="20"/>
          <w:szCs w:val="20"/>
          <w:color w:val="auto"/>
        </w:rPr>
      </w:pPr>
    </w:p>
    <w:p>
      <w:pPr>
        <w:ind w:left="160" w:right="20" w:firstLine="209"/>
        <w:spacing w:after="0" w:line="255"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b w:val="1"/>
          <w:bCs w:val="1"/>
          <w:color w:val="auto"/>
        </w:rPr>
        <w:t>Restrictions on Share Transferability</w:t>
      </w:r>
      <w:r>
        <w:rPr>
          <w:rFonts w:ascii="Times New Roman" w:cs="Times New Roman" w:eastAsia="Times New Roman" w:hAnsi="Times New Roman"/>
          <w:sz w:val="18"/>
          <w:szCs w:val="18"/>
          <w:color w:val="auto"/>
        </w:rPr>
        <w:t>. The Committee may impose such restrictions on any Shares acquired through exercise of an Option as it deems necessary or advisable, including, without limitation, restrictions under applicable federal securities laws, under the requirements of any stock exchange or market upon which the Shares are then listed and/or traded, and under</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blue sky or state securities laws applicable to the Shares.</w:t>
      </w:r>
    </w:p>
    <w:p>
      <w:pPr>
        <w:spacing w:after="0" w:line="110" w:lineRule="exact"/>
        <w:rPr>
          <w:sz w:val="20"/>
          <w:szCs w:val="20"/>
          <w:color w:val="auto"/>
        </w:rPr>
      </w:pPr>
    </w:p>
    <w:p>
      <w:pPr>
        <w:ind w:right="20" w:firstLine="214"/>
        <w:spacing w:after="0" w:line="272" w:lineRule="auto"/>
        <w:rPr>
          <w:sz w:val="20"/>
          <w:szCs w:val="20"/>
          <w:color w:val="auto"/>
        </w:rPr>
      </w:pPr>
      <w:r>
        <w:rPr>
          <w:rFonts w:ascii="Times New Roman" w:cs="Times New Roman" w:eastAsia="Times New Roman" w:hAnsi="Times New Roman"/>
          <w:sz w:val="17"/>
          <w:szCs w:val="17"/>
          <w:color w:val="auto"/>
        </w:rPr>
        <w:t xml:space="preserve">6.8. </w:t>
      </w:r>
      <w:r>
        <w:rPr>
          <w:rFonts w:ascii="Times New Roman" w:cs="Times New Roman" w:eastAsia="Times New Roman" w:hAnsi="Times New Roman"/>
          <w:sz w:val="17"/>
          <w:szCs w:val="17"/>
          <w:b w:val="1"/>
          <w:bCs w:val="1"/>
          <w:color w:val="auto"/>
        </w:rPr>
        <w:t>Termination of Service</w:t>
      </w:r>
      <w:r>
        <w:rPr>
          <w:rFonts w:ascii="Times New Roman" w:cs="Times New Roman" w:eastAsia="Times New Roman" w:hAnsi="Times New Roman"/>
          <w:sz w:val="17"/>
          <w:szCs w:val="17"/>
          <w:color w:val="auto"/>
        </w:rPr>
        <w:t>. Each Option Award Agreement will set forth the extent to which the Participant has the right to exercise an Option after his or her termination of Service. These terms will be determined by the Committee in its sole discretion and set forth in the Award Agreement, need not be uniform among all Options, and may reflect, without limitation, distinctions based on the reasons for termination of Service.</w:t>
      </w:r>
    </w:p>
    <w:p>
      <w:pPr>
        <w:spacing w:after="0" w:line="62" w:lineRule="exact"/>
        <w:rPr>
          <w:sz w:val="20"/>
          <w:szCs w:val="20"/>
          <w:color w:val="auto"/>
        </w:rPr>
      </w:pPr>
    </w:p>
    <w:p>
      <w:pPr>
        <w:ind w:right="20" w:firstLine="214"/>
        <w:spacing w:after="0" w:line="251"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b w:val="1"/>
          <w:bCs w:val="1"/>
          <w:color w:val="auto"/>
        </w:rPr>
        <w:t>Nontransferability of Options</w:t>
      </w:r>
      <w:r>
        <w:rPr>
          <w:rFonts w:ascii="Times New Roman" w:cs="Times New Roman" w:eastAsia="Times New Roman" w:hAnsi="Times New Roman"/>
          <w:sz w:val="18"/>
          <w:szCs w:val="18"/>
          <w:color w:val="auto"/>
        </w:rPr>
        <w:t>. Except as otherwise provided in a Participant’s Award Agreement, no Option granted under the Plan may be sold, transferred, pledged, assigned, or otherwise alienated or hypothecated, other than by will, by the laws of descent and distribution or to a revocable trust. Further, except as otherwise provided in a Participant’s Award Agreement, all Options will be exercisable during the Participant’s lifetime only by the Participant or his or her guardian or legal representative. The Committee may, in its discretion, require a Participant’s guardian or legal representative to supply it with the evidence the Committee deems necessary to establish the authority of the guardian or legal representative to act on behalf of the Participant.</w:t>
      </w:r>
    </w:p>
    <w:p>
      <w:pPr>
        <w:spacing w:after="0" w:line="80" w:lineRule="exact"/>
        <w:rPr>
          <w:sz w:val="20"/>
          <w:szCs w:val="20"/>
          <w:color w:val="auto"/>
        </w:rPr>
      </w:pPr>
    </w:p>
    <w:p>
      <w:pPr>
        <w:jc w:val="both"/>
        <w:ind w:firstLine="214"/>
        <w:spacing w:after="0" w:line="265"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b w:val="1"/>
          <w:bCs w:val="1"/>
          <w:color w:val="auto"/>
        </w:rPr>
        <w:t>Incentive Stock Options</w:t>
      </w:r>
      <w:r>
        <w:rPr>
          <w:rFonts w:ascii="Times New Roman" w:cs="Times New Roman" w:eastAsia="Times New Roman" w:hAnsi="Times New Roman"/>
          <w:sz w:val="18"/>
          <w:szCs w:val="18"/>
          <w:color w:val="auto"/>
        </w:rPr>
        <w:t>. Notwithstanding any other provision of this Article 6, the following special provisions shall apply to any award of Incentive Stock Options:</w:t>
      </w:r>
    </w:p>
    <w:p>
      <w:pPr>
        <w:spacing w:after="0" w:line="67" w:lineRule="exact"/>
        <w:rPr>
          <w:sz w:val="20"/>
          <w:szCs w:val="20"/>
          <w:color w:val="auto"/>
        </w:rPr>
      </w:pPr>
    </w:p>
    <w:p>
      <w:pPr>
        <w:ind w:left="200" w:right="420" w:firstLine="212"/>
        <w:spacing w:after="0" w:line="278" w:lineRule="auto"/>
        <w:tabs>
          <w:tab w:leader="none" w:pos="64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award Incentive Stock Options only to Employees.</w:t>
      </w:r>
    </w:p>
    <w:p>
      <w:pPr>
        <w:spacing w:after="0" w:line="55" w:lineRule="exact"/>
        <w:rPr>
          <w:rFonts w:ascii="Times New Roman" w:cs="Times New Roman" w:eastAsia="Times New Roman" w:hAnsi="Times New Roman"/>
          <w:sz w:val="18"/>
          <w:szCs w:val="18"/>
          <w:color w:val="auto"/>
        </w:rPr>
      </w:pPr>
    </w:p>
    <w:p>
      <w:pPr>
        <w:ind w:left="200" w:right="120" w:firstLine="212"/>
        <w:spacing w:after="0" w:line="255" w:lineRule="auto"/>
        <w:tabs>
          <w:tab w:leader="none" w:pos="65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aggregate Fair Market Value of stock with respect to which Incentive Stock Options are exercisable for the first time by a Participant during any calendar year (under all plans of the Company and its Affiliates) exceeds $100,000, such options shall be treated as Nonqualified Stock Options.</w:t>
      </w:r>
    </w:p>
    <w:p>
      <w:pPr>
        <w:spacing w:after="0" w:line="77" w:lineRule="exact"/>
        <w:rPr>
          <w:rFonts w:ascii="Times New Roman" w:cs="Times New Roman" w:eastAsia="Times New Roman" w:hAnsi="Times New Roman"/>
          <w:sz w:val="18"/>
          <w:szCs w:val="18"/>
          <w:color w:val="auto"/>
        </w:rPr>
      </w:pPr>
    </w:p>
    <w:p>
      <w:pPr>
        <w:ind w:left="200" w:firstLine="212"/>
        <w:spacing w:after="0" w:line="268" w:lineRule="auto"/>
        <w:tabs>
          <w:tab w:leader="none" w:pos="648"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Employee to whom the Incentive Stock Option is granted is a Ten Percent Owner of the Company, then: (A) the exercise Price for each Share subject to an Option will be at least one hundred ten percent (110%) of the Fair Market Value of the Share on the Award Date; and</w:t>
      </w:r>
    </w:p>
    <w:p>
      <w:pPr>
        <w:spacing w:after="0" w:line="1" w:lineRule="exact"/>
        <w:rPr>
          <w:rFonts w:ascii="Times New Roman" w:cs="Times New Roman" w:eastAsia="Times New Roman" w:hAnsi="Times New Roman"/>
          <w:sz w:val="17"/>
          <w:szCs w:val="17"/>
          <w:color w:val="auto"/>
        </w:rPr>
      </w:pPr>
    </w:p>
    <w:p>
      <w:pPr>
        <w:ind w:left="200" w:right="100" w:firstLine="7"/>
        <w:spacing w:after="0" w:line="249" w:lineRule="auto"/>
        <w:tabs>
          <w:tab w:leader="none" w:pos="48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will expire upon the earlier of (i) the time specified by the Committee in the Award Agreement, or (ii) the fifth anniversary of the date of grant. For this purpose, “Ten Percent Owner” means a person who owns (or is deemed within the meaning of Code Section 422(b)(6) to own) stock possessing more than ten percent (10%) of the total combined voting power of all classes of stock of the Company (or any parent or subsidiary</w:t>
      </w:r>
    </w:p>
    <w:p>
      <w:pPr>
        <w:spacing w:after="0" w:line="1277"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49" w:lineRule="exact"/>
        <w:rPr>
          <w:sz w:val="20"/>
          <w:szCs w:val="20"/>
          <w:color w:val="auto"/>
        </w:rPr>
      </w:pPr>
    </w:p>
    <w:p>
      <w:pPr>
        <w:ind w:left="4940"/>
        <w:spacing w:after="0"/>
        <w:tabs>
          <w:tab w:leader="none" w:pos="8700" w:val="left"/>
          <w:tab w:leader="none" w:pos="10460" w:val="left"/>
          <w:tab w:leader="none" w:pos="10780" w:val="left"/>
        </w:tabs>
        <w:rPr>
          <w:sz w:val="20"/>
          <w:szCs w:val="20"/>
          <w:color w:val="auto"/>
        </w:rPr>
      </w:pPr>
      <w:r>
        <w:rPr>
          <w:rFonts w:ascii="Arial" w:cs="Arial" w:eastAsia="Arial" w:hAnsi="Arial"/>
          <w:sz w:val="28"/>
          <w:szCs w:val="28"/>
          <w:b w:val="1"/>
          <w:bCs w:val="1"/>
          <w:color w:val="005C5D"/>
          <w:vertAlign w:val="superscript"/>
        </w:rPr>
        <w:t>VERA BRADLEY, INC.</w:t>
      </w:r>
      <w:r>
        <w:rPr>
          <w:sz w:val="20"/>
          <w:szCs w:val="20"/>
          <w:color w:val="auto"/>
        </w:rPr>
        <w:tab/>
      </w:r>
      <w:r>
        <w:rPr>
          <w:rFonts w:ascii="Times New Roman" w:cs="Times New Roman" w:eastAsia="Times New Roman" w:hAnsi="Times New Roman"/>
          <w:sz w:val="18"/>
          <w:szCs w:val="18"/>
          <w:color w:val="005C5D"/>
        </w:rPr>
        <w:t>2026 Proxy Statement </w:t>
      </w:r>
      <w:r>
        <w:rPr>
          <w:rFonts w:ascii="Times New Roman" w:cs="Times New Roman" w:eastAsia="Times New Roman" w:hAnsi="Times New Roman"/>
          <w:sz w:val="18"/>
          <w:szCs w:val="18"/>
          <w:color w:val="F5CABF"/>
        </w:rPr>
        <w:tab/>
        <w:t>●</w:t>
      </w:r>
      <w:r>
        <w:rPr>
          <w:rFonts w:ascii="Times New Roman" w:cs="Times New Roman" w:eastAsia="Times New Roman" w:hAnsi="Times New Roman"/>
          <w:sz w:val="18"/>
          <w:szCs w:val="18"/>
          <w:color w:val="005C5D"/>
        </w:rPr>
        <w:t xml:space="preserve"> </w:t>
      </w:r>
      <w:r>
        <w:rPr>
          <w:sz w:val="20"/>
          <w:szCs w:val="20"/>
          <w:color w:val="auto"/>
        </w:rPr>
        <w:tab/>
      </w:r>
      <w:r>
        <w:rPr>
          <w:rFonts w:ascii="Times New Roman" w:cs="Times New Roman" w:eastAsia="Times New Roman" w:hAnsi="Times New Roman"/>
          <w:sz w:val="17"/>
          <w:szCs w:val="17"/>
          <w:color w:val="005C5D"/>
        </w:rPr>
        <w:t>A-5</w:t>
      </w:r>
    </w:p>
    <w:p>
      <w:pPr>
        <w:sectPr>
          <w:pgSz w:w="11900" w:h="16838" w:orient="portrait"/>
          <w:cols w:equalWidth="0" w:num="1">
            <w:col w:w="11080"/>
          </w:cols>
          <w:pgMar w:left="320" w:top="478" w:right="4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92975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60"/>
          </w:cols>
          <w:pgMar w:left="320" w:top="478" w:right="519" w:bottom="1440" w:gutter="0" w:footer="0" w:header="0"/>
        </w:sectPr>
      </w:pPr>
    </w:p>
    <w:p>
      <w:pPr>
        <w:spacing w:after="0" w:line="380" w:lineRule="exact"/>
        <w:rPr>
          <w:sz w:val="20"/>
          <w:szCs w:val="20"/>
          <w:color w:val="auto"/>
        </w:rPr>
      </w:pPr>
    </w:p>
    <w:p>
      <w:pPr>
        <w:ind w:left="380" w:right="140"/>
        <w:spacing w:after="0" w:line="263" w:lineRule="auto"/>
        <w:rPr>
          <w:sz w:val="20"/>
          <w:szCs w:val="20"/>
          <w:color w:val="auto"/>
        </w:rPr>
      </w:pPr>
      <w:r>
        <w:rPr>
          <w:rFonts w:ascii="Times New Roman" w:cs="Times New Roman" w:eastAsia="Times New Roman" w:hAnsi="Times New Roman"/>
          <w:sz w:val="18"/>
          <w:szCs w:val="18"/>
          <w:color w:val="auto"/>
        </w:rPr>
        <w:t>corporations of the Company, as defined in Code Section 424(e) and (f)), as determined with respect to each Option based on the facts existing immediately prior to the Option grant date.</w:t>
      </w:r>
    </w:p>
    <w:p>
      <w:pPr>
        <w:spacing w:after="0" w:line="68" w:lineRule="exact"/>
        <w:rPr>
          <w:sz w:val="20"/>
          <w:szCs w:val="20"/>
          <w:color w:val="auto"/>
        </w:rPr>
      </w:pPr>
    </w:p>
    <w:p>
      <w:pPr>
        <w:ind w:left="380" w:right="80" w:firstLine="198"/>
        <w:spacing w:after="0" w:line="254" w:lineRule="auto"/>
        <w:tabs>
          <w:tab w:leader="none" w:pos="83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6.8, an Incentive Stock Option, to the extent exercisable, must be exercised, if at all, within three months after the Participant’s Termination of Service for a reason other than death or Disability and within twelve months after the Participant’s termination of Service for death or Disability, but in no event later than the expiration of the original term of such Option.</w:t>
      </w:r>
    </w:p>
    <w:p>
      <w:pPr>
        <w:spacing w:after="0" w:line="326" w:lineRule="exact"/>
        <w:rPr>
          <w:rFonts w:ascii="Times New Roman" w:cs="Times New Roman" w:eastAsia="Times New Roman" w:hAnsi="Times New Roman"/>
          <w:sz w:val="18"/>
          <w:szCs w:val="18"/>
          <w:color w:val="auto"/>
        </w:rPr>
      </w:pPr>
    </w:p>
    <w:p>
      <w:pPr>
        <w:ind w:left="520" w:hanging="353"/>
        <w:spacing w:after="0"/>
        <w:tabs>
          <w:tab w:leader="none" w:pos="5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Appreciation Rights</w:t>
      </w:r>
    </w:p>
    <w:p>
      <w:pPr>
        <w:spacing w:after="0" w:line="114" w:lineRule="exact"/>
        <w:rPr>
          <w:sz w:val="20"/>
          <w:szCs w:val="20"/>
          <w:color w:val="auto"/>
        </w:rPr>
      </w:pPr>
    </w:p>
    <w:p>
      <w:pPr>
        <w:ind w:left="160" w:right="60" w:firstLine="209"/>
        <w:spacing w:after="0" w:line="25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Grant of SARs</w:t>
      </w:r>
      <w:r>
        <w:rPr>
          <w:rFonts w:ascii="Times New Roman" w:cs="Times New Roman" w:eastAsia="Times New Roman" w:hAnsi="Times New Roman"/>
          <w:sz w:val="18"/>
          <w:szCs w:val="18"/>
          <w:color w:val="auto"/>
        </w:rPr>
        <w:t>. Subject to the terms and conditions of the Plan, the Committee may grant SARs to any Employee, non-employee Director, or Advisor in the number, and upon the terms, and at any time and from time to time, as the Committee determines and sets forth in the Award Agreement.</w:t>
      </w:r>
    </w:p>
    <w:p>
      <w:pPr>
        <w:spacing w:after="0" w:line="73" w:lineRule="exact"/>
        <w:rPr>
          <w:sz w:val="20"/>
          <w:szCs w:val="20"/>
          <w:color w:val="auto"/>
        </w:rPr>
      </w:pPr>
    </w:p>
    <w:p>
      <w:pPr>
        <w:ind w:left="160" w:right="120" w:firstLine="209"/>
        <w:spacing w:after="0" w:line="25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Each SAR grant will be evidenced by an Award Agreement that specifies the duration of the SAR, the number of SARs granted, the manner, time, and rate of exercise and/or vesting of the SAR, and such other provisions as the Committee determines and sets forth in the Award Agreement.</w:t>
      </w:r>
    </w:p>
    <w:p>
      <w:pPr>
        <w:spacing w:after="0" w:line="73" w:lineRule="exact"/>
        <w:rPr>
          <w:sz w:val="20"/>
          <w:szCs w:val="20"/>
          <w:color w:val="auto"/>
        </w:rPr>
      </w:pPr>
    </w:p>
    <w:p>
      <w:pPr>
        <w:ind w:left="160" w:right="20" w:firstLine="209"/>
        <w:spacing w:after="0" w:line="259"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Grant Price</w:t>
      </w:r>
      <w:r>
        <w:rPr>
          <w:rFonts w:ascii="Times New Roman" w:cs="Times New Roman" w:eastAsia="Times New Roman" w:hAnsi="Times New Roman"/>
          <w:sz w:val="18"/>
          <w:szCs w:val="18"/>
          <w:color w:val="auto"/>
        </w:rPr>
        <w:t>. Each SAR grant and Award Agreement will specify the grant price for each SAR, which the Committee will determine and which must be greater than or equal to (and not less than) the Fair Market Value of the SAR on the date it is granted.</w:t>
      </w:r>
    </w:p>
    <w:p>
      <w:pPr>
        <w:spacing w:after="0" w:line="69" w:lineRule="exact"/>
        <w:rPr>
          <w:sz w:val="20"/>
          <w:szCs w:val="20"/>
          <w:color w:val="auto"/>
        </w:rPr>
      </w:pPr>
    </w:p>
    <w:p>
      <w:pPr>
        <w:ind w:left="160" w:right="60" w:firstLine="209"/>
        <w:spacing w:after="0" w:line="265"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color w:val="auto"/>
        </w:rPr>
        <w:t>Duration of SARs</w:t>
      </w:r>
      <w:r>
        <w:rPr>
          <w:rFonts w:ascii="Times New Roman" w:cs="Times New Roman" w:eastAsia="Times New Roman" w:hAnsi="Times New Roman"/>
          <w:sz w:val="18"/>
          <w:szCs w:val="18"/>
          <w:color w:val="auto"/>
        </w:rPr>
        <w:t>. Each SAR will expire at the time determined by the Committee at the time of grant and set forth in the Award Agreement, but no later than 10 years after the date of its grant.</w:t>
      </w:r>
    </w:p>
    <w:p>
      <w:pPr>
        <w:spacing w:after="0" w:line="63" w:lineRule="exact"/>
        <w:rPr>
          <w:sz w:val="20"/>
          <w:szCs w:val="20"/>
          <w:color w:val="auto"/>
        </w:rPr>
      </w:pPr>
    </w:p>
    <w:p>
      <w:pPr>
        <w:ind w:left="160" w:right="160" w:firstLine="209"/>
        <w:spacing w:after="0" w:line="259"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b w:val="1"/>
          <w:bCs w:val="1"/>
          <w:color w:val="auto"/>
        </w:rPr>
        <w:t>Exercise of SARs</w:t>
      </w:r>
      <w:r>
        <w:rPr>
          <w:rFonts w:ascii="Times New Roman" w:cs="Times New Roman" w:eastAsia="Times New Roman" w:hAnsi="Times New Roman"/>
          <w:sz w:val="18"/>
          <w:szCs w:val="18"/>
          <w:color w:val="auto"/>
        </w:rPr>
        <w:t>. SARs will become vested and exercisable at such times and be subject to such restrictions and conditions as the Committee in each instance approves and sets forth in each Award Agreement.</w:t>
      </w:r>
    </w:p>
    <w:p>
      <w:pPr>
        <w:spacing w:after="0" w:line="69" w:lineRule="exact"/>
        <w:rPr>
          <w:sz w:val="20"/>
          <w:szCs w:val="20"/>
          <w:color w:val="auto"/>
        </w:rPr>
      </w:pPr>
    </w:p>
    <w:p>
      <w:pPr>
        <w:ind w:left="160" w:right="160" w:firstLine="209"/>
        <w:spacing w:after="0" w:line="265"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b w:val="1"/>
          <w:bCs w:val="1"/>
          <w:color w:val="auto"/>
        </w:rPr>
        <w:t>Payment of SAR Amount</w:t>
      </w:r>
      <w:r>
        <w:rPr>
          <w:rFonts w:ascii="Times New Roman" w:cs="Times New Roman" w:eastAsia="Times New Roman" w:hAnsi="Times New Roman"/>
          <w:sz w:val="18"/>
          <w:szCs w:val="18"/>
          <w:color w:val="auto"/>
        </w:rPr>
        <w:t>. Upon exercise of an SAR, a Participant will be entitled to receive payment from the Company in an amount determined by multiplying:</w:t>
      </w:r>
    </w:p>
    <w:p>
      <w:pPr>
        <w:spacing w:after="0" w:line="67" w:lineRule="exact"/>
        <w:rPr>
          <w:sz w:val="20"/>
          <w:szCs w:val="20"/>
          <w:color w:val="auto"/>
        </w:rPr>
      </w:pPr>
    </w:p>
    <w:p>
      <w:pPr>
        <w:jc w:val="both"/>
        <w:ind w:left="380" w:firstLine="198"/>
        <w:spacing w:after="0" w:line="258" w:lineRule="auto"/>
        <w:tabs>
          <w:tab w:leader="none" w:pos="82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(or some portion of the excess as determined at the time of the grant by the Committee) if any, of the Fair Market Value on the date of exercise of the SAR over the grant price specified in the Award Agreement; by</w:t>
      </w:r>
    </w:p>
    <w:p>
      <w:pPr>
        <w:spacing w:after="0" w:line="72" w:lineRule="exact"/>
        <w:rPr>
          <w:rFonts w:ascii="Times New Roman" w:cs="Times New Roman" w:eastAsia="Times New Roman" w:hAnsi="Times New Roman"/>
          <w:sz w:val="18"/>
          <w:szCs w:val="18"/>
          <w:color w:val="auto"/>
        </w:rPr>
      </w:pPr>
    </w:p>
    <w:p>
      <w:pPr>
        <w:ind w:left="840" w:hanging="262"/>
        <w:spacing w:after="0"/>
        <w:tabs>
          <w:tab w:leader="none" w:pos="8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as to which the SAR is exercised.</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7" w:right="20" w:firstLine="207"/>
        <w:spacing w:after="0" w:line="263" w:lineRule="auto"/>
        <w:tabs>
          <w:tab w:leader="none" w:pos="39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payment upon SAR exercise may be made in cash, in Shares of equivalent Fair Market Value or in some combination of the two, as specified in the Award Agreement.</w:t>
      </w:r>
    </w:p>
    <w:p>
      <w:pPr>
        <w:spacing w:after="0" w:line="64" w:lineRule="exact"/>
        <w:rPr>
          <w:sz w:val="20"/>
          <w:szCs w:val="20"/>
          <w:color w:val="auto"/>
        </w:rPr>
      </w:pPr>
    </w:p>
    <w:p>
      <w:pPr>
        <w:ind w:left="7" w:right="60" w:firstLine="214"/>
        <w:spacing w:after="0" w:line="255"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b w:val="1"/>
          <w:bCs w:val="1"/>
          <w:color w:val="auto"/>
        </w:rPr>
        <w:t>Termination of Service</w:t>
      </w:r>
      <w:r>
        <w:rPr>
          <w:rFonts w:ascii="Times New Roman" w:cs="Times New Roman" w:eastAsia="Times New Roman" w:hAnsi="Times New Roman"/>
          <w:sz w:val="18"/>
          <w:szCs w:val="18"/>
          <w:color w:val="auto"/>
        </w:rPr>
        <w:t>. Each Award Agreement will set forth the extent to which the Participant has the right to exercise the SAR after his or her termination of Service. These terms will be determined by the Committee in its sole discretion and set forth in the Award Agreement, need not be uniform among all SAR awards, and may reflect, without limitation, distinctions based on the reasons for termination of Service.</w:t>
      </w:r>
    </w:p>
    <w:p>
      <w:pPr>
        <w:spacing w:after="0" w:line="71" w:lineRule="exact"/>
        <w:rPr>
          <w:sz w:val="20"/>
          <w:szCs w:val="20"/>
          <w:color w:val="auto"/>
        </w:rPr>
      </w:pPr>
    </w:p>
    <w:p>
      <w:pPr>
        <w:ind w:left="7" w:firstLine="214"/>
        <w:spacing w:after="0" w:line="251"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b w:val="1"/>
          <w:bCs w:val="1"/>
          <w:color w:val="auto"/>
        </w:rPr>
        <w:t>Nontransferability of SARs</w:t>
      </w:r>
      <w:r>
        <w:rPr>
          <w:rFonts w:ascii="Times New Roman" w:cs="Times New Roman" w:eastAsia="Times New Roman" w:hAnsi="Times New Roman"/>
          <w:sz w:val="18"/>
          <w:szCs w:val="18"/>
          <w:color w:val="auto"/>
        </w:rPr>
        <w:t>. Except as otherwise provided in a Participant’s Award Agreement, no SAR granted under the Plan may be sold, transferred, pledged, assigned, or otherwise alienated or hypothecated, other than by will, by the laws of descent and distribution or to a revocable trust. Further, except as otherwise provided in a Participant’s Award Agreement, all SARs will be exercisable during the Participant’s lifetime only by the Participant or his or her guardian or legal representative. The Committee may, in its discretion, require a Participant’s guardian or legal representative to supply it with the evidence the Committee deems necessary to establish the authority of the guardian or legal representative to act on behalf of the Participant.</w:t>
      </w:r>
    </w:p>
    <w:p>
      <w:pPr>
        <w:spacing w:after="0" w:line="334" w:lineRule="exact"/>
        <w:rPr>
          <w:sz w:val="20"/>
          <w:szCs w:val="20"/>
          <w:color w:val="auto"/>
        </w:rPr>
      </w:pPr>
    </w:p>
    <w:p>
      <w:pPr>
        <w:ind w:left="367" w:hanging="367"/>
        <w:spacing w:after="0"/>
        <w:tabs>
          <w:tab w:leader="none" w:pos="367"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114" w:lineRule="exact"/>
        <w:rPr>
          <w:sz w:val="20"/>
          <w:szCs w:val="20"/>
          <w:color w:val="auto"/>
        </w:rPr>
      </w:pPr>
    </w:p>
    <w:p>
      <w:pPr>
        <w:ind w:left="7" w:right="80" w:firstLine="214"/>
        <w:spacing w:after="0" w:line="25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Grant of Restricted Stock or Restricted Stock Units</w:t>
      </w:r>
      <w:r>
        <w:rPr>
          <w:rFonts w:ascii="Times New Roman" w:cs="Times New Roman" w:eastAsia="Times New Roman" w:hAnsi="Times New Roman"/>
          <w:sz w:val="18"/>
          <w:szCs w:val="18"/>
          <w:color w:val="auto"/>
        </w:rPr>
        <w:t>. Subject to the terms and provisions of the Plan, the Committee may, at any time and from time to time, grant Restricted Stock or Restricted Stock Units to Employees, Advisors, and/or non-employee Directors in such amounts as it determines and sets forth in the Award Agreement.</w:t>
      </w:r>
    </w:p>
    <w:p>
      <w:pPr>
        <w:spacing w:after="0" w:line="73" w:lineRule="exact"/>
        <w:rPr>
          <w:sz w:val="20"/>
          <w:szCs w:val="20"/>
          <w:color w:val="auto"/>
        </w:rPr>
      </w:pPr>
    </w:p>
    <w:p>
      <w:pPr>
        <w:ind w:left="7" w:right="140" w:firstLine="214"/>
        <w:spacing w:after="0" w:line="25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Each Restricted Stock or Restricted Stock Unit grant will be evidenced by an Award Agreement that specifies the Restricted Periods, the number of Shares or units granted, the purchase price, if any, and such other provisions as the Committee determines and sets forth in the Award Agreement.</w:t>
      </w:r>
    </w:p>
    <w:p>
      <w:pPr>
        <w:spacing w:after="0" w:line="73" w:lineRule="exact"/>
        <w:rPr>
          <w:sz w:val="20"/>
          <w:szCs w:val="20"/>
          <w:color w:val="auto"/>
        </w:rPr>
      </w:pPr>
    </w:p>
    <w:p>
      <w:pPr>
        <w:ind w:left="7" w:right="100" w:firstLine="214"/>
        <w:spacing w:after="0" w:line="25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Nontransferability</w:t>
      </w:r>
      <w:r>
        <w:rPr>
          <w:rFonts w:ascii="Times New Roman" w:cs="Times New Roman" w:eastAsia="Times New Roman" w:hAnsi="Times New Roman"/>
          <w:sz w:val="18"/>
          <w:szCs w:val="18"/>
          <w:color w:val="auto"/>
        </w:rPr>
        <w:t>. The Restricted Stock and Restricted Stock Units granted herein may not be sold, transferred, pledged, assigned, or otherwise alienated or hypothecated, other than by will or by the laws of descent and distribution, until the end of the applicable Restricted Period as specified in the Award Agreement, or upon earlier satisfaction of any other conditions specified by the Committee in its sole discretion and set forth in the Award Agreement. All rights with respect to Restricted Stock and Restricted Stock Units will be available during the Participant’s lifetime only to the Participant or the</w:t>
      </w:r>
    </w:p>
    <w:p>
      <w:pPr>
        <w:spacing w:after="0" w:line="380" w:lineRule="exact"/>
        <w:rPr>
          <w:sz w:val="20"/>
          <w:szCs w:val="20"/>
          <w:color w:val="auto"/>
        </w:rPr>
      </w:pPr>
    </w:p>
    <w:p>
      <w:pPr>
        <w:sectPr>
          <w:pgSz w:w="11900" w:h="16838" w:orient="portrait"/>
          <w:cols w:equalWidth="0" w:num="2">
            <w:col w:w="5400" w:space="333"/>
            <w:col w:w="5327"/>
          </w:cols>
          <w:pgMar w:left="320" w:top="478" w:right="519" w:bottom="1440" w:gutter="0" w:footer="0" w:header="0"/>
          <w:type w:val="continuous"/>
        </w:sectPr>
      </w:pPr>
    </w:p>
    <w:p>
      <w:pPr>
        <w:spacing w:after="0" w:line="88" w:lineRule="exact"/>
        <w:rPr>
          <w:sz w:val="20"/>
          <w:szCs w:val="20"/>
          <w:color w:val="auto"/>
        </w:rPr>
      </w:pPr>
    </w:p>
    <w:p>
      <w:pPr>
        <w:ind w:left="160"/>
        <w:spacing w:after="0"/>
        <w:tabs>
          <w:tab w:leader="none" w:pos="600" w:val="left"/>
          <w:tab w:leader="none" w:pos="880" w:val="left"/>
          <w:tab w:leader="none" w:pos="4920" w:val="left"/>
        </w:tabs>
        <w:rPr>
          <w:sz w:val="20"/>
          <w:szCs w:val="20"/>
          <w:color w:val="auto"/>
        </w:rPr>
      </w:pPr>
      <w:r>
        <w:rPr>
          <w:rFonts w:ascii="Times New Roman" w:cs="Times New Roman" w:eastAsia="Times New Roman" w:hAnsi="Times New Roman"/>
          <w:sz w:val="18"/>
          <w:szCs w:val="18"/>
          <w:color w:val="005C5D"/>
        </w:rPr>
        <w:t>A-6 </w:t>
      </w:r>
      <w:r>
        <w:rPr>
          <w:rFonts w:ascii="Times New Roman" w:cs="Times New Roman" w:eastAsia="Times New Roman" w:hAnsi="Times New Roman"/>
          <w:sz w:val="18"/>
          <w:szCs w:val="18"/>
          <w:color w:val="F5CABF"/>
        </w:rPr>
        <w:tab/>
        <w:t>●</w:t>
      </w:r>
      <w:r>
        <w:rPr>
          <w:rFonts w:ascii="Times New Roman" w:cs="Times New Roman" w:eastAsia="Times New Roman" w:hAnsi="Times New Roman"/>
          <w:sz w:val="18"/>
          <w:szCs w:val="18"/>
          <w:color w:val="005C5D"/>
        </w:rPr>
        <w:t xml:space="preserve"> </w:t>
        <w:tab/>
        <w:t>2026 Proxy Statement</w:t>
      </w:r>
      <w:r>
        <w:rPr>
          <w:sz w:val="20"/>
          <w:szCs w:val="20"/>
          <w:color w:val="auto"/>
        </w:rPr>
        <w:tab/>
      </w:r>
      <w:r>
        <w:rPr>
          <w:rFonts w:ascii="Arial" w:cs="Arial" w:eastAsia="Arial" w:hAnsi="Arial"/>
          <w:sz w:val="21"/>
          <w:szCs w:val="21"/>
          <w:b w:val="1"/>
          <w:bCs w:val="1"/>
          <w:color w:val="005C5D"/>
          <w:vertAlign w:val="superscript"/>
        </w:rPr>
        <w:t>VERA BRADLEY, INC.</w:t>
      </w:r>
    </w:p>
    <w:p>
      <w:pPr>
        <w:sectPr>
          <w:pgSz w:w="11900" w:h="16838" w:orient="portrait"/>
          <w:cols w:equalWidth="0" w:num="1">
            <w:col w:w="11060"/>
          </w:cols>
          <w:pgMar w:left="320" w:top="478" w:right="51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92975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80" w:lineRule="exact"/>
        <w:rPr>
          <w:sz w:val="20"/>
          <w:szCs w:val="20"/>
          <w:color w:val="auto"/>
        </w:rPr>
      </w:pPr>
    </w:p>
    <w:p>
      <w:pPr>
        <w:ind w:left="160" w:right="60"/>
        <w:spacing w:after="0" w:line="255" w:lineRule="auto"/>
        <w:rPr>
          <w:sz w:val="20"/>
          <w:szCs w:val="20"/>
          <w:color w:val="auto"/>
        </w:rPr>
      </w:pPr>
      <w:r>
        <w:rPr>
          <w:rFonts w:ascii="Times New Roman" w:cs="Times New Roman" w:eastAsia="Times New Roman" w:hAnsi="Times New Roman"/>
          <w:sz w:val="18"/>
          <w:szCs w:val="18"/>
          <w:color w:val="auto"/>
        </w:rPr>
        <w:t>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spacing w:after="0" w:line="73" w:lineRule="exact"/>
        <w:rPr>
          <w:sz w:val="20"/>
          <w:szCs w:val="20"/>
          <w:color w:val="auto"/>
        </w:rPr>
      </w:pPr>
    </w:p>
    <w:p>
      <w:pPr>
        <w:ind w:left="160" w:firstLine="209"/>
        <w:spacing w:after="0" w:line="25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color w:val="auto"/>
        </w:rPr>
        <w:t>Other Restrictions</w:t>
      </w:r>
      <w:r>
        <w:rPr>
          <w:rFonts w:ascii="Times New Roman" w:cs="Times New Roman" w:eastAsia="Times New Roman" w:hAnsi="Times New Roman"/>
          <w:sz w:val="18"/>
          <w:szCs w:val="18"/>
          <w:color w:val="auto"/>
        </w:rPr>
        <w:t>. The Committee may impose such other conditions and/or restrictions on any Restricted Stock or Restricted Stock Units as it deems advisable and sets forth in the applicable Award Agreement including, without limitation, restrictions based upon the achievement of specific performance objectives (Company-wide, business unit, and/or individual), time-based restrictions on vesting following the attainment of the performance objectives, and/or restrictions under applicable federal or state securities laws. The Committee may provide that restrictions established under this Section as to any given Award will lapse all at once or in installments.</w:t>
      </w:r>
    </w:p>
    <w:p>
      <w:pPr>
        <w:spacing w:after="0" w:line="193" w:lineRule="exact"/>
        <w:rPr>
          <w:sz w:val="20"/>
          <w:szCs w:val="20"/>
          <w:color w:val="auto"/>
        </w:rPr>
      </w:pPr>
    </w:p>
    <w:p>
      <w:pPr>
        <w:ind w:left="160" w:right="140" w:firstLine="209"/>
        <w:spacing w:after="0" w:line="263" w:lineRule="auto"/>
        <w:rPr>
          <w:sz w:val="20"/>
          <w:szCs w:val="20"/>
          <w:color w:val="auto"/>
        </w:rPr>
      </w:pPr>
      <w:r>
        <w:rPr>
          <w:rFonts w:ascii="Times New Roman" w:cs="Times New Roman" w:eastAsia="Times New Roman" w:hAnsi="Times New Roman"/>
          <w:sz w:val="18"/>
          <w:szCs w:val="18"/>
          <w:color w:val="auto"/>
        </w:rPr>
        <w:t>The Company shall retain the certificates representing Shares of Restricted Stock in its possession until all conditions and/or restrictions applicable to the Shares have been satisfied.</w:t>
      </w:r>
    </w:p>
    <w:p>
      <w:pPr>
        <w:spacing w:after="0" w:line="64" w:lineRule="exact"/>
        <w:rPr>
          <w:sz w:val="20"/>
          <w:szCs w:val="20"/>
          <w:color w:val="auto"/>
        </w:rPr>
      </w:pPr>
    </w:p>
    <w:p>
      <w:pPr>
        <w:ind w:left="160" w:right="540" w:firstLine="209"/>
        <w:spacing w:after="0" w:line="259"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color w:val="auto"/>
        </w:rPr>
        <w:t>Payment of Awards</w:t>
      </w:r>
      <w:r>
        <w:rPr>
          <w:rFonts w:ascii="Times New Roman" w:cs="Times New Roman" w:eastAsia="Times New Roman" w:hAnsi="Times New Roman"/>
          <w:sz w:val="18"/>
          <w:szCs w:val="18"/>
          <w:color w:val="auto"/>
        </w:rPr>
        <w:t>. Except as otherwise provided in this Agreement, Restricted Stock that becomes Owned Shares will be transferable by the Participant after the last day of the applicable Restricted Period.</w:t>
      </w:r>
    </w:p>
    <w:p>
      <w:pPr>
        <w:spacing w:after="0" w:line="69" w:lineRule="exact"/>
        <w:rPr>
          <w:sz w:val="20"/>
          <w:szCs w:val="20"/>
          <w:color w:val="auto"/>
        </w:rPr>
      </w:pPr>
    </w:p>
    <w:p>
      <w:pPr>
        <w:ind w:left="160" w:right="60" w:firstLine="209"/>
        <w:spacing w:after="0" w:line="259"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 The applicable Award Agreement may (but is not required to) specify that Participants holding Shares of Restricted Stock may exercise any voting rights that apply to those Shares during the Restricted Period.</w:t>
      </w:r>
    </w:p>
    <w:p>
      <w:pPr>
        <w:spacing w:after="0" w:line="69" w:lineRule="exact"/>
        <w:rPr>
          <w:sz w:val="20"/>
          <w:szCs w:val="20"/>
          <w:color w:val="auto"/>
        </w:rPr>
      </w:pPr>
    </w:p>
    <w:p>
      <w:pPr>
        <w:ind w:left="160" w:right="20" w:firstLine="209"/>
        <w:spacing w:after="0" w:line="25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Dividends and Other Distributions</w:t>
      </w:r>
      <w:r>
        <w:rPr>
          <w:rFonts w:ascii="Times New Roman" w:cs="Times New Roman" w:eastAsia="Times New Roman" w:hAnsi="Times New Roman"/>
          <w:sz w:val="18"/>
          <w:szCs w:val="18"/>
          <w:color w:val="auto"/>
        </w:rPr>
        <w:t>. The applicable Award Agreement may specify that Participants awarded Shares of Restricted Stock hereunder will be credited with regular cash dividends, if any, paid on those Shares during the Restricted Period. Dividends may be paid currently, accrued as contingent cash obligations, or converted into additional Shares of Restricted Stock, upon such terms as the Committee establishes. The Committee may apply any restrictions it deems advisable to the crediting and payment of dividends and other distributions.</w:t>
      </w:r>
    </w:p>
    <w:p>
      <w:pPr>
        <w:spacing w:after="0" w:line="77" w:lineRule="exact"/>
        <w:rPr>
          <w:sz w:val="20"/>
          <w:szCs w:val="20"/>
          <w:color w:val="auto"/>
        </w:rPr>
      </w:pPr>
    </w:p>
    <w:p>
      <w:pPr>
        <w:ind w:left="160" w:firstLine="209"/>
        <w:spacing w:after="0" w:line="253"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b w:val="1"/>
          <w:bCs w:val="1"/>
          <w:color w:val="auto"/>
        </w:rPr>
        <w:t>Termination of Service</w:t>
      </w:r>
      <w:r>
        <w:rPr>
          <w:rFonts w:ascii="Times New Roman" w:cs="Times New Roman" w:eastAsia="Times New Roman" w:hAnsi="Times New Roman"/>
          <w:sz w:val="18"/>
          <w:szCs w:val="18"/>
          <w:color w:val="auto"/>
        </w:rPr>
        <w:t>. Each Award Agreement will set forth the extent to which the Participant has the right to retain Restricted Stock or Share equivalents attributable to Restricted Stock Units after his or her termination of Service with the Company or an Affiliate. These terms will be determined by the Committee in its sole discretion and set forth in the Award Agreement, need not be uniform among all Awards of Restricted Stock or Restricted Stock Units, and may reflect, without limitation,</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distinctions based on the reasons for termination of Service.</w:t>
      </w:r>
    </w:p>
    <w:p>
      <w:pPr>
        <w:spacing w:after="0" w:line="110" w:lineRule="exact"/>
        <w:rPr>
          <w:sz w:val="20"/>
          <w:szCs w:val="20"/>
          <w:color w:val="auto"/>
        </w:rPr>
      </w:pPr>
    </w:p>
    <w:p>
      <w:pPr>
        <w:ind w:left="7" w:right="40" w:firstLine="214"/>
        <w:spacing w:after="0" w:line="259"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b w:val="1"/>
          <w:bCs w:val="1"/>
          <w:color w:val="auto"/>
        </w:rPr>
        <w:t>Section 83(b) Election</w:t>
      </w:r>
      <w:r>
        <w:rPr>
          <w:rFonts w:ascii="Times New Roman" w:cs="Times New Roman" w:eastAsia="Times New Roman" w:hAnsi="Times New Roman"/>
          <w:sz w:val="18"/>
          <w:szCs w:val="18"/>
          <w:color w:val="auto"/>
        </w:rPr>
        <w:t>. The Participant will indicate to the Company whether the Participant intends to make a Section 83(b) election with respect to Restricted Stock. No such election is permitted with respect to an Award of Restricted Stock Units.</w:t>
      </w:r>
    </w:p>
    <w:p>
      <w:pPr>
        <w:spacing w:after="0" w:line="324" w:lineRule="exact"/>
        <w:rPr>
          <w:sz w:val="20"/>
          <w:szCs w:val="20"/>
          <w:color w:val="auto"/>
        </w:rPr>
      </w:pPr>
    </w:p>
    <w:p>
      <w:pPr>
        <w:ind w:left="367" w:right="500" w:hanging="367"/>
        <w:spacing w:after="0" w:line="282" w:lineRule="auto"/>
        <w:tabs>
          <w:tab w:leader="none" w:pos="367"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Shares, Performance Units, and Performance Awards</w:t>
      </w:r>
    </w:p>
    <w:p>
      <w:pPr>
        <w:spacing w:after="0" w:line="49" w:lineRule="exact"/>
        <w:rPr>
          <w:sz w:val="20"/>
          <w:szCs w:val="20"/>
          <w:color w:val="auto"/>
        </w:rPr>
      </w:pPr>
    </w:p>
    <w:p>
      <w:pPr>
        <w:ind w:left="7" w:right="60" w:firstLine="214"/>
        <w:spacing w:after="0" w:line="249"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Generally</w:t>
      </w:r>
      <w:r>
        <w:rPr>
          <w:rFonts w:ascii="Times New Roman" w:cs="Times New Roman" w:eastAsia="Times New Roman" w:hAnsi="Times New Roman"/>
          <w:sz w:val="18"/>
          <w:szCs w:val="18"/>
          <w:color w:val="auto"/>
        </w:rPr>
        <w:t>. The Committee shall have the authority to grant to any Employee, Advisor, or non-employee Director Performance Shares, Performance Units, and Performance Awards. The Committee shall have the authority to determine the number of Performance Shares and the number and value of Performance Units each Participant receives for each or any Performance Period, and the Performance Criteria applicable in respect of such Performance Shares, Performance Units, and Performance Awards for each Performance Period. The Committee shall determine the duration of each Performance Period (which may differ from each other), and there may be more than one Performance Period in existence at any one time as to any Participant or all or any class of Participants. Each grant of Performance Shares, Performance Units, and Performance Awards (other than annual Awards) shall be evidenced by an Award Agreement that shall specify the number of Performance Shares and the number and value of Performance Units awarded to the Participant, the Performance Criteria applicable thereto, and such other terms and conditions not inconsistent with the Plan as the Committee shall determine. No Shares will be issued at the time an Award of Performance Shares is made, and the Company shall not be required to set aside a fund for the payment of Performance Shares or Performance Units. Subject to the terms of the Plan, Performance Awards may be granted to Participants in such amounts, subject to such Performance Criteria, and upon such terms, and at any time from time to time, as shall be determined by the Committee.</w:t>
      </w:r>
    </w:p>
    <w:p>
      <w:pPr>
        <w:spacing w:after="0" w:line="89" w:lineRule="exact"/>
        <w:rPr>
          <w:sz w:val="20"/>
          <w:szCs w:val="20"/>
          <w:color w:val="auto"/>
        </w:rPr>
      </w:pPr>
    </w:p>
    <w:p>
      <w:pPr>
        <w:ind w:left="7" w:right="60" w:firstLine="214"/>
        <w:spacing w:after="0" w:line="25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Earned Performance Shares, Performance Units,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Performance Shares, Performance Units,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Awards shall become earned, in whole or in part, based upon the attainment of specified Performance Criteria or the occurrence of any event or events, including a Change in Control, as the Committee shall determine, either at or after the grant date. In addition to the achievement of the specified Performance Criteria, the Committee may, at the grant date, condition payment of Performance Shares, Performance Units, and Performance Awards on the Participant completing a minimum period of Service following the grant date or on</w:t>
      </w:r>
    </w:p>
    <w:p>
      <w:pPr>
        <w:spacing w:after="0" w:line="703" w:lineRule="exact"/>
        <w:rPr>
          <w:sz w:val="20"/>
          <w:szCs w:val="20"/>
          <w:color w:val="auto"/>
        </w:rPr>
      </w:pPr>
    </w:p>
    <w:p>
      <w:pPr>
        <w:sectPr>
          <w:pgSz w:w="11900" w:h="16838" w:orient="portrait"/>
          <w:cols w:equalWidth="0" w:num="2">
            <w:col w:w="5400" w:space="333"/>
            <w:col w:w="5347"/>
          </w:cols>
          <w:pgMar w:left="320" w:top="478" w:right="499" w:bottom="1440" w:gutter="0" w:footer="0" w:header="0"/>
          <w:type w:val="continuous"/>
        </w:sectPr>
      </w:pPr>
    </w:p>
    <w:p>
      <w:pPr>
        <w:spacing w:after="0" w:line="51" w:lineRule="exact"/>
        <w:rPr>
          <w:sz w:val="20"/>
          <w:szCs w:val="20"/>
          <w:color w:val="auto"/>
        </w:rPr>
      </w:pPr>
    </w:p>
    <w:p>
      <w:pPr>
        <w:ind w:left="4940"/>
        <w:spacing w:after="0"/>
        <w:tabs>
          <w:tab w:leader="none" w:pos="8700" w:val="left"/>
          <w:tab w:leader="none" w:pos="10460" w:val="left"/>
          <w:tab w:leader="none" w:pos="10780" w:val="left"/>
        </w:tabs>
        <w:rPr>
          <w:sz w:val="20"/>
          <w:szCs w:val="20"/>
          <w:color w:val="auto"/>
        </w:rPr>
      </w:pPr>
      <w:r>
        <w:rPr>
          <w:rFonts w:ascii="Arial" w:cs="Arial" w:eastAsia="Arial" w:hAnsi="Arial"/>
          <w:sz w:val="28"/>
          <w:szCs w:val="28"/>
          <w:b w:val="1"/>
          <w:bCs w:val="1"/>
          <w:color w:val="005C5D"/>
          <w:vertAlign w:val="superscript"/>
        </w:rPr>
        <w:t>VERA BRADLEY, INC.</w:t>
      </w:r>
      <w:r>
        <w:rPr>
          <w:sz w:val="20"/>
          <w:szCs w:val="20"/>
          <w:color w:val="auto"/>
        </w:rPr>
        <w:tab/>
      </w:r>
      <w:r>
        <w:rPr>
          <w:rFonts w:ascii="Times New Roman" w:cs="Times New Roman" w:eastAsia="Times New Roman" w:hAnsi="Times New Roman"/>
          <w:sz w:val="18"/>
          <w:szCs w:val="18"/>
          <w:color w:val="005C5D"/>
        </w:rPr>
        <w:t>2026 Proxy Statement </w:t>
      </w:r>
      <w:r>
        <w:rPr>
          <w:rFonts w:ascii="Times New Roman" w:cs="Times New Roman" w:eastAsia="Times New Roman" w:hAnsi="Times New Roman"/>
          <w:sz w:val="18"/>
          <w:szCs w:val="18"/>
          <w:color w:val="F5CABF"/>
        </w:rPr>
        <w:tab/>
        <w:t>●</w:t>
      </w:r>
      <w:r>
        <w:rPr>
          <w:rFonts w:ascii="Times New Roman" w:cs="Times New Roman" w:eastAsia="Times New Roman" w:hAnsi="Times New Roman"/>
          <w:sz w:val="18"/>
          <w:szCs w:val="18"/>
          <w:color w:val="005C5D"/>
        </w:rPr>
        <w:t xml:space="preserve"> </w:t>
      </w:r>
      <w:r>
        <w:rPr>
          <w:sz w:val="20"/>
          <w:szCs w:val="20"/>
          <w:color w:val="auto"/>
        </w:rPr>
        <w:tab/>
      </w:r>
      <w:r>
        <w:rPr>
          <w:rFonts w:ascii="Times New Roman" w:cs="Times New Roman" w:eastAsia="Times New Roman" w:hAnsi="Times New Roman"/>
          <w:sz w:val="17"/>
          <w:szCs w:val="17"/>
          <w:color w:val="005C5D"/>
        </w:rPr>
        <w:t>A-7</w:t>
      </w:r>
    </w:p>
    <w:p>
      <w:pPr>
        <w:sectPr>
          <w:pgSz w:w="11900" w:h="16838" w:orient="portrait"/>
          <w:cols w:equalWidth="0" w:num="1">
            <w:col w:w="11080"/>
          </w:cols>
          <w:pgMar w:left="320" w:top="478" w:right="4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92975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80" w:lineRule="exact"/>
        <w:rPr>
          <w:sz w:val="20"/>
          <w:szCs w:val="20"/>
          <w:color w:val="auto"/>
        </w:rPr>
      </w:pPr>
    </w:p>
    <w:p>
      <w:pPr>
        <w:ind w:left="160" w:right="60"/>
        <w:spacing w:after="0" w:line="255" w:lineRule="auto"/>
        <w:rPr>
          <w:sz w:val="20"/>
          <w:szCs w:val="20"/>
          <w:color w:val="auto"/>
        </w:rPr>
      </w:pPr>
      <w:r>
        <w:rPr>
          <w:rFonts w:ascii="Times New Roman" w:cs="Times New Roman" w:eastAsia="Times New Roman" w:hAnsi="Times New Roman"/>
          <w:sz w:val="18"/>
          <w:szCs w:val="18"/>
          <w:color w:val="auto"/>
        </w:rPr>
        <w:t>such other conditions as the Committee shall specify. The Committee may provide, at the time of any grant of Performance Shares or Performance Units, that if performance relative to the Performance Criteria exceeds targeted levels, the number of shares issuable in respect of each</w:t>
      </w:r>
    </w:p>
    <w:p>
      <w:pPr>
        <w:spacing w:after="0" w:line="77" w:lineRule="exact"/>
        <w:rPr>
          <w:sz w:val="20"/>
          <w:szCs w:val="20"/>
          <w:color w:val="auto"/>
        </w:rPr>
      </w:pPr>
    </w:p>
    <w:p>
      <w:pPr>
        <w:ind w:left="160" w:right="120"/>
        <w:spacing w:after="0" w:line="263" w:lineRule="auto"/>
        <w:rPr>
          <w:sz w:val="20"/>
          <w:szCs w:val="20"/>
          <w:color w:val="auto"/>
        </w:rPr>
      </w:pPr>
      <w:r>
        <w:rPr>
          <w:rFonts w:ascii="Times New Roman" w:cs="Times New Roman" w:eastAsia="Times New Roman" w:hAnsi="Times New Roman"/>
          <w:sz w:val="18"/>
          <w:szCs w:val="18"/>
          <w:color w:val="auto"/>
        </w:rPr>
        <w:t>Performance Share or the value payable in respect of each Performance Unit shall be adjusted by such multiple (not to exceed 200%) as the Committee shall specify.</w:t>
      </w:r>
    </w:p>
    <w:p>
      <w:pPr>
        <w:spacing w:after="0" w:line="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Performance Criteria</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380" w:firstLine="198"/>
        <w:spacing w:after="0" w:line="250" w:lineRule="auto"/>
        <w:tabs>
          <w:tab w:leader="none" w:pos="82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9, the term “Performance Criteria” shall mean any one or more of the following performance criteria, as determined by the Committee: earnings before interest and taxes; earnings before interest, taxes, depreciation and amortization; net operating profit after tax; cash flow; revenue; net revenue; sales; same store sales; income; net income; operating income; net operating income, operating margin; earnings; earnings per share; return on equity; return on investment; return on capital; return on assets; return on net assets; total shareholder return; economic profit; market share; appreciation in the fair market value, book value or other measure of value of the Company’s common stock; expense/ cost control; working capital; volume/production; new products; customer satisfaction; brand development; employee retention or employee turnover; employee satisfaction or engagement; environmental, health, or other safety goals; individual performance; or strategic objectives milestones.</w:t>
      </w:r>
    </w:p>
    <w:p>
      <w:pPr>
        <w:spacing w:after="0" w:line="80" w:lineRule="exact"/>
        <w:rPr>
          <w:rFonts w:ascii="Times New Roman" w:cs="Times New Roman" w:eastAsia="Times New Roman" w:hAnsi="Times New Roman"/>
          <w:sz w:val="18"/>
          <w:szCs w:val="18"/>
          <w:color w:val="auto"/>
        </w:rPr>
      </w:pPr>
    </w:p>
    <w:p>
      <w:pPr>
        <w:ind w:left="380" w:right="20" w:firstLine="198"/>
        <w:spacing w:after="0" w:line="265" w:lineRule="auto"/>
        <w:tabs>
          <w:tab w:leader="none" w:pos="83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establishing Performance Criteria for a Performance Period, the Committee may specify any reasonable definition of the Performance Criteria it uses. Such definitions may provide for reasonable adjustments and may include or exclude items, including but not limited to: investment gains and losses; extraordinary, unusual or non-recurring items; gains or losses on the sale of assets; effects of changes in accounting principles or the application thereof; asset impairment charges; effects of currency fluctuations; acquisitions, divestitures, or financing activities; recapitalizations, including stock splits and dividends; expenses for restructuring or productivity initiatives; discontinued operations; and other non-operating items. The Committee will have the discretion to adjust targets set for pre-established performance objectives. If applicable law allows the Committee to change the types of Performance Criteria without obtaining shareholder approval, the Committee will have sole discretion to make such changes without obtaining shareholder approval. If the Committee determines it is advisable to grant Awards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200" w:right="260"/>
        <w:spacing w:after="0" w:line="278" w:lineRule="auto"/>
        <w:rPr>
          <w:sz w:val="20"/>
          <w:szCs w:val="20"/>
          <w:color w:val="auto"/>
        </w:rPr>
      </w:pPr>
      <w:r>
        <w:rPr>
          <w:rFonts w:ascii="Times New Roman" w:cs="Times New Roman" w:eastAsia="Times New Roman" w:hAnsi="Times New Roman"/>
          <w:sz w:val="18"/>
          <w:szCs w:val="18"/>
          <w:color w:val="auto"/>
        </w:rPr>
        <w:t>that are not deductible under applicable tax law, the Committee may grant Awards that do not so qualify.</w:t>
      </w:r>
    </w:p>
    <w:p>
      <w:pPr>
        <w:spacing w:after="0" w:line="51" w:lineRule="exact"/>
        <w:rPr>
          <w:sz w:val="20"/>
          <w:szCs w:val="20"/>
          <w:color w:val="auto"/>
        </w:rPr>
      </w:pPr>
    </w:p>
    <w:p>
      <w:pPr>
        <w:ind w:right="20" w:firstLine="214"/>
        <w:spacing w:after="0" w:line="253"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color w:val="auto"/>
        </w:rPr>
        <w:t>Special Rule for Performance Criteria</w:t>
      </w:r>
      <w:r>
        <w:rPr>
          <w:rFonts w:ascii="Times New Roman" w:cs="Times New Roman" w:eastAsia="Times New Roman" w:hAnsi="Times New Roman"/>
          <w:sz w:val="18"/>
          <w:szCs w:val="18"/>
          <w:color w:val="auto"/>
        </w:rPr>
        <w:t>. If, at the time of grant, the Committee intends an Award of Performance Shares, Performance Units, or Performance Awards to qualify as “performance-based compensation” as defined by applicable law, the Committee must establish the Performance Criteria for the applicable Performance Period no later than the 90th day after the Performance Period begins (or by such other date as may be required under applicable law).</w:t>
      </w:r>
    </w:p>
    <w:p>
      <w:pPr>
        <w:spacing w:after="0" w:line="77" w:lineRule="exact"/>
        <w:rPr>
          <w:sz w:val="20"/>
          <w:szCs w:val="20"/>
          <w:color w:val="auto"/>
        </w:rPr>
      </w:pPr>
    </w:p>
    <w:p>
      <w:pPr>
        <w:ind w:right="20" w:firstLine="214"/>
        <w:spacing w:after="0" w:line="253"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color w:val="auto"/>
        </w:rPr>
        <w:t>Certification of Attainment of Performance Criteria.</w:t>
      </w:r>
      <w:r>
        <w:rPr>
          <w:rFonts w:ascii="Times New Roman" w:cs="Times New Roman" w:eastAsia="Times New Roman" w:hAnsi="Times New Roman"/>
          <w:sz w:val="18"/>
          <w:szCs w:val="18"/>
          <w:color w:val="auto"/>
        </w:rPr>
        <w:t xml:space="preserve"> As soon as practicable after the end of a Performance Period and prior to any payment in respect of such Performance Period, the Committee shall certify in writing the number of Performance Shares, the number and value of Performance Units, or the amount of the Performance Award, that have been earned based on performance in relation to the established Performance Criteria.</w:t>
      </w:r>
    </w:p>
    <w:p>
      <w:pPr>
        <w:spacing w:after="0" w:line="77" w:lineRule="exact"/>
        <w:rPr>
          <w:sz w:val="20"/>
          <w:szCs w:val="20"/>
          <w:color w:val="auto"/>
        </w:rPr>
      </w:pPr>
    </w:p>
    <w:p>
      <w:pPr>
        <w:ind w:right="60" w:firstLine="214"/>
        <w:spacing w:after="0" w:line="250"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b w:val="1"/>
          <w:bCs w:val="1"/>
          <w:color w:val="auto"/>
        </w:rPr>
        <w:t>Payment of Awards</w:t>
      </w:r>
      <w:r>
        <w:rPr>
          <w:rFonts w:ascii="Times New Roman" w:cs="Times New Roman" w:eastAsia="Times New Roman" w:hAnsi="Times New Roman"/>
          <w:sz w:val="18"/>
          <w:szCs w:val="18"/>
          <w:color w:val="auto"/>
        </w:rPr>
        <w:t>. Earned Performance Shares, Performance Awards, and the value of earned Performance Units shall be distributed to the Participant or, if the Participant has died, to the Participant’s Designated Beneficiary, as soon as practicable after the expiration of the Performance Period and the Committee’s certification under Section 9.5 above, provided that earned Performance Shares, Performance Awards, and the value of earned Performance Units shall not be distributed to a Participant until any other conditions on payment of such Awards established by the Committee have been satisfied. The Committee shall determine whether Performance Shares, Performance Awards, and the value of earned Performance Units are to be distributed in the form of cash, Shares, or a combination thereof, with the value or number of shares of Stock payable to be determined based on the Fair Market Value of the Shares on the date of the Committee’s certification under Section 9.5 above.</w:t>
      </w:r>
    </w:p>
    <w:p>
      <w:pPr>
        <w:spacing w:after="0" w:line="83" w:lineRule="exact"/>
        <w:rPr>
          <w:sz w:val="20"/>
          <w:szCs w:val="20"/>
          <w:color w:val="auto"/>
        </w:rPr>
      </w:pPr>
    </w:p>
    <w:p>
      <w:pPr>
        <w:ind w:firstLine="214"/>
        <w:spacing w:after="0" w:line="255"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b w:val="1"/>
          <w:bCs w:val="1"/>
          <w:color w:val="auto"/>
        </w:rPr>
        <w:t>Newly Eligible Participants</w:t>
      </w:r>
      <w:r>
        <w:rPr>
          <w:rFonts w:ascii="Times New Roman" w:cs="Times New Roman" w:eastAsia="Times New Roman" w:hAnsi="Times New Roman"/>
          <w:sz w:val="18"/>
          <w:szCs w:val="18"/>
          <w:color w:val="auto"/>
        </w:rPr>
        <w:t>. Notwithstanding anything in this Article 9 to the contrary, the Committee shall be entitled to make such rules, determinations, and adjustments as it deems appropriate with respect to any Participant who becomes eligible to receive Performance Shares, Performance Units, or Performance Awards after the commencement of a Performance Period.</w:t>
      </w:r>
    </w:p>
    <w:p>
      <w:pPr>
        <w:spacing w:after="0" w:line="71" w:lineRule="exact"/>
        <w:rPr>
          <w:sz w:val="20"/>
          <w:szCs w:val="20"/>
          <w:color w:val="auto"/>
        </w:rPr>
      </w:pPr>
    </w:p>
    <w:p>
      <w:pPr>
        <w:ind w:right="60" w:firstLine="214"/>
        <w:spacing w:after="0" w:line="25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b w:val="1"/>
          <w:bCs w:val="1"/>
          <w:color w:val="auto"/>
        </w:rPr>
        <w:t>Termination of Service</w:t>
      </w:r>
      <w:r>
        <w:rPr>
          <w:rFonts w:ascii="Times New Roman" w:cs="Times New Roman" w:eastAsia="Times New Roman" w:hAnsi="Times New Roman"/>
          <w:sz w:val="18"/>
          <w:szCs w:val="18"/>
          <w:color w:val="auto"/>
        </w:rPr>
        <w:t>. Each Award Agreement will set forth the extent to which the Participant has the right to his or her Performance Shares, Performance Units, or Performance Awards after his or her termination of Service. The terms will be determined by the Committee in its sole discretion, need</w:t>
      </w:r>
    </w:p>
    <w:p>
      <w:pPr>
        <w:spacing w:after="0" w:line="200" w:lineRule="exact"/>
        <w:rPr>
          <w:sz w:val="20"/>
          <w:szCs w:val="20"/>
          <w:color w:val="auto"/>
        </w:rPr>
      </w:pPr>
    </w:p>
    <w:p>
      <w:pPr>
        <w:sectPr>
          <w:pgSz w:w="11900" w:h="16838" w:orient="portrait"/>
          <w:cols w:equalWidth="0" w:num="2">
            <w:col w:w="5380" w:space="360"/>
            <w:col w:w="5340"/>
          </w:cols>
          <w:pgMar w:left="320" w:top="478" w:right="499" w:bottom="1440" w:gutter="0" w:footer="0" w:header="0"/>
          <w:type w:val="continuous"/>
        </w:sectPr>
      </w:pPr>
    </w:p>
    <w:p>
      <w:pPr>
        <w:spacing w:after="0" w:line="51" w:lineRule="exact"/>
        <w:rPr>
          <w:sz w:val="20"/>
          <w:szCs w:val="20"/>
          <w:color w:val="auto"/>
        </w:rPr>
      </w:pPr>
    </w:p>
    <w:p>
      <w:pPr>
        <w:ind w:left="160"/>
        <w:spacing w:after="0"/>
        <w:tabs>
          <w:tab w:leader="none" w:pos="600" w:val="left"/>
          <w:tab w:leader="none" w:pos="880" w:val="left"/>
          <w:tab w:leader="none" w:pos="4920" w:val="left"/>
        </w:tabs>
        <w:rPr>
          <w:sz w:val="20"/>
          <w:szCs w:val="20"/>
          <w:color w:val="auto"/>
        </w:rPr>
      </w:pPr>
      <w:r>
        <w:rPr>
          <w:rFonts w:ascii="Times New Roman" w:cs="Times New Roman" w:eastAsia="Times New Roman" w:hAnsi="Times New Roman"/>
          <w:sz w:val="18"/>
          <w:szCs w:val="18"/>
          <w:color w:val="005C5D"/>
        </w:rPr>
        <w:t>A-8 </w:t>
      </w:r>
      <w:r>
        <w:rPr>
          <w:rFonts w:ascii="Times New Roman" w:cs="Times New Roman" w:eastAsia="Times New Roman" w:hAnsi="Times New Roman"/>
          <w:sz w:val="18"/>
          <w:szCs w:val="18"/>
          <w:color w:val="F5CABF"/>
        </w:rPr>
        <w:tab/>
        <w:t>●</w:t>
      </w:r>
      <w:r>
        <w:rPr>
          <w:rFonts w:ascii="Times New Roman" w:cs="Times New Roman" w:eastAsia="Times New Roman" w:hAnsi="Times New Roman"/>
          <w:sz w:val="18"/>
          <w:szCs w:val="18"/>
          <w:color w:val="005C5D"/>
        </w:rPr>
        <w:t xml:space="preserve"> </w:t>
        <w:tab/>
        <w:t>2026 Proxy Statement</w:t>
      </w:r>
      <w:r>
        <w:rPr>
          <w:sz w:val="20"/>
          <w:szCs w:val="20"/>
          <w:color w:val="auto"/>
        </w:rPr>
        <w:tab/>
      </w:r>
      <w:r>
        <w:rPr>
          <w:rFonts w:ascii="Arial" w:cs="Arial" w:eastAsia="Arial" w:hAnsi="Arial"/>
          <w:sz w:val="21"/>
          <w:szCs w:val="21"/>
          <w:b w:val="1"/>
          <w:bCs w:val="1"/>
          <w:color w:val="005C5D"/>
          <w:vertAlign w:val="superscript"/>
        </w:rPr>
        <w:t>VERA BRADLEY, INC.</w:t>
      </w:r>
    </w:p>
    <w:p>
      <w:pPr>
        <w:sectPr>
          <w:pgSz w:w="11900" w:h="16838" w:orient="portrait"/>
          <w:cols w:equalWidth="0" w:num="1">
            <w:col w:w="11080"/>
          </w:cols>
          <w:pgMar w:left="320" w:top="478" w:right="49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92975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80" w:lineRule="exact"/>
        <w:rPr>
          <w:sz w:val="20"/>
          <w:szCs w:val="20"/>
          <w:color w:val="auto"/>
        </w:rPr>
      </w:pPr>
    </w:p>
    <w:p>
      <w:pPr>
        <w:ind w:left="160" w:right="200"/>
        <w:spacing w:after="0" w:line="308" w:lineRule="auto"/>
        <w:rPr>
          <w:sz w:val="20"/>
          <w:szCs w:val="20"/>
          <w:color w:val="auto"/>
        </w:rPr>
      </w:pPr>
      <w:r>
        <w:rPr>
          <w:rFonts w:ascii="Times New Roman" w:cs="Times New Roman" w:eastAsia="Times New Roman" w:hAnsi="Times New Roman"/>
          <w:sz w:val="17"/>
          <w:szCs w:val="17"/>
          <w:color w:val="auto"/>
        </w:rPr>
        <w:t>not be uniform among all Awards, and may reflect, without limitation, distinctions based on the reason for termination of Service.</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10.  Other Stock or Cash-Based Awards</w:t>
      </w:r>
    </w:p>
    <w:p>
      <w:pPr>
        <w:spacing w:after="0" w:line="118" w:lineRule="exact"/>
        <w:rPr>
          <w:sz w:val="20"/>
          <w:szCs w:val="20"/>
          <w:color w:val="auto"/>
        </w:rPr>
      </w:pPr>
    </w:p>
    <w:p>
      <w:pPr>
        <w:ind w:left="160" w:right="80" w:firstLine="209"/>
        <w:spacing w:after="0" w:line="254" w:lineRule="auto"/>
        <w:rPr>
          <w:sz w:val="20"/>
          <w:szCs w:val="20"/>
          <w:color w:val="auto"/>
        </w:rPr>
      </w:pPr>
      <w:r>
        <w:rPr>
          <w:rFonts w:ascii="Times New Roman" w:cs="Times New Roman" w:eastAsia="Times New Roman" w:hAnsi="Times New Roman"/>
          <w:sz w:val="18"/>
          <w:szCs w:val="18"/>
          <w:color w:val="auto"/>
        </w:rPr>
        <w:t>In addition to the Awards described in Articles 6 through 9, and subject to the terms of the Plan (including the limits contained in Section 4.1), the Committee may grant other incentives payable in cash or in Shares under the Plan as it determines to be in the best interests of the Company and subject to such other terms and conditions as it deems appropriate</w:t>
      </w:r>
    </w:p>
    <w:p>
      <w:pPr>
        <w:spacing w:after="0" w:line="327" w:lineRule="exact"/>
        <w:rPr>
          <w:sz w:val="20"/>
          <w:szCs w:val="20"/>
          <w:color w:val="auto"/>
        </w:rPr>
      </w:pPr>
    </w:p>
    <w:p>
      <w:pPr>
        <w:ind w:left="160"/>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11.</w:t>
        <w:tab/>
        <w:t>Miscellaneous</w:t>
      </w:r>
    </w:p>
    <w:p>
      <w:pPr>
        <w:spacing w:after="0" w:line="1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color w:val="auto"/>
        </w:rPr>
        <w:t>Transferability of Award</w:t>
      </w:r>
      <w:r>
        <w:rPr>
          <w:rFonts w:ascii="Times New Roman" w:cs="Times New Roman" w:eastAsia="Times New Roman" w:hAnsi="Times New Roman"/>
          <w:sz w:val="18"/>
          <w:szCs w:val="18"/>
          <w:color w:val="auto"/>
        </w:rPr>
        <w:t>. Except as permitted by this Article</w:t>
      </w:r>
    </w:p>
    <w:p>
      <w:pPr>
        <w:spacing w:after="0" w:line="30" w:lineRule="exact"/>
        <w:rPr>
          <w:sz w:val="20"/>
          <w:szCs w:val="20"/>
          <w:color w:val="auto"/>
        </w:rPr>
      </w:pPr>
    </w:p>
    <w:p>
      <w:pPr>
        <w:ind w:left="160" w:right="40"/>
        <w:spacing w:after="0" w:line="249" w:lineRule="auto"/>
        <w:rPr>
          <w:sz w:val="20"/>
          <w:szCs w:val="20"/>
          <w:color w:val="auto"/>
        </w:rPr>
      </w:pPr>
      <w:r>
        <w:rPr>
          <w:rFonts w:ascii="Times New Roman" w:cs="Times New Roman" w:eastAsia="Times New Roman" w:hAnsi="Times New Roman"/>
          <w:sz w:val="18"/>
          <w:szCs w:val="18"/>
          <w:color w:val="auto"/>
        </w:rPr>
        <w:t>11 or with the prior written consent of the Company, a Participant may not sell, transfer, pledge, assign or otherwise alienate or hypothecate any Award. If a Participant sells, transfers, pledges, assigns or otherwise alienates or hypothecates the Award in breach of this Section 11.1, the Company will not be required to transfer the Award on its books or to treat any such transferee as owner of the Award.</w:t>
      </w:r>
    </w:p>
    <w:p>
      <w:pPr>
        <w:spacing w:after="0" w:line="80" w:lineRule="exact"/>
        <w:rPr>
          <w:sz w:val="20"/>
          <w:szCs w:val="20"/>
          <w:color w:val="auto"/>
        </w:rPr>
      </w:pPr>
    </w:p>
    <w:p>
      <w:pPr>
        <w:ind w:left="160" w:firstLine="209"/>
        <w:spacing w:after="0" w:line="265" w:lineRule="auto"/>
        <w:rPr>
          <w:sz w:val="20"/>
          <w:szCs w:val="20"/>
          <w:color w:val="auto"/>
        </w:rPr>
      </w:pPr>
      <w:r>
        <w:rPr>
          <w:rFonts w:ascii="Times New Roman" w:cs="Times New Roman" w:eastAsia="Times New Roman" w:hAnsi="Times New Roman"/>
          <w:sz w:val="17"/>
          <w:szCs w:val="17"/>
          <w:color w:val="auto"/>
        </w:rPr>
        <w:t xml:space="preserve">11.2. </w:t>
      </w:r>
      <w:r>
        <w:rPr>
          <w:rFonts w:ascii="Times New Roman" w:cs="Times New Roman" w:eastAsia="Times New Roman" w:hAnsi="Times New Roman"/>
          <w:sz w:val="17"/>
          <w:szCs w:val="17"/>
          <w:b w:val="1"/>
          <w:bCs w:val="1"/>
          <w:color w:val="auto"/>
        </w:rPr>
        <w:t>Participant’s Rights Upon Change in Control</w:t>
      </w:r>
      <w:r>
        <w:rPr>
          <w:rFonts w:ascii="Times New Roman" w:cs="Times New Roman" w:eastAsia="Times New Roman" w:hAnsi="Times New Roman"/>
          <w:sz w:val="17"/>
          <w:szCs w:val="17"/>
          <w:color w:val="auto"/>
        </w:rPr>
        <w:t>. The Committee may provide in the applicable Award Agreement that an Award will vest on an accelerated basis upon the Participant’s termination of Service in connection with a Change in Control or upon the occurrence of any other event that the Committee may set forth in the Award Agreement. If the Company is a party to an agreement that is reasonably likely to result in a Change in Control, such agreement may provide for: (i) the continuation of any vested Options and SARs by the Company, if the Company is the surviving corporation; (ii) the assumption of any vested Options and SARs by the surviving corporation or its parent or subsidiary; (iii) the substitution by the surviving corporation or its parent or subsidiary of equivalent awards for any vested Options and SARs; or (iv) settlement of any vested Options and SARs for the Change in Control Price (less, to the extent applicable, the per share exercise or grant price), or, if the per share exercise or grant price equals or exceeds the Change in Control Price, such vested Options and SARs shall terminate and be canceled. To the extent that Restricted Stock, Restricted Stock Units or other Awards settle in Shares in accordance with their terms upon a Change in Control, such Shares shall be entitled to receive as a result of the Change in Control transaction the same consideration as the Shares held by shareholders of the Company as a result of the Change in Control transaction. For purposes of this Section 11.2, Change in Control Price shall mean the Fair</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Market Value of a Share upon a Change in Control. To the extent that the consideration paid in any such Change in Control transaction consists all or in part of securities or other non-cash consideration, the value of such securities or other non-cash consideration shall be determined in good faith by the Committee.</w:t>
      </w:r>
    </w:p>
    <w:p>
      <w:pPr>
        <w:spacing w:after="0" w:line="184" w:lineRule="exact"/>
        <w:rPr>
          <w:sz w:val="20"/>
          <w:szCs w:val="20"/>
          <w:color w:val="auto"/>
        </w:rPr>
      </w:pPr>
    </w:p>
    <w:p>
      <w:pPr>
        <w:ind w:right="100" w:firstLine="214"/>
        <w:spacing w:after="0" w:line="254" w:lineRule="auto"/>
        <w:rPr>
          <w:sz w:val="20"/>
          <w:szCs w:val="20"/>
          <w:color w:val="auto"/>
        </w:rPr>
      </w:pPr>
      <w:r>
        <w:rPr>
          <w:rFonts w:ascii="Times New Roman" w:cs="Times New Roman" w:eastAsia="Times New Roman" w:hAnsi="Times New Roman"/>
          <w:sz w:val="18"/>
          <w:szCs w:val="18"/>
          <w:color w:val="auto"/>
        </w:rPr>
        <w:t>Notwithstanding any of the foregoing, the Company shall not take any action with respect to an Award or portion thereof providing for “nonqualified deferred compensation” subject to Code Section 409A that would constitute an extension, acceleration, or other modification of payment terms if such change would be inconsistent with the applicable requirements of Code Section 409A.</w:t>
      </w:r>
    </w:p>
    <w:p>
      <w:pPr>
        <w:spacing w:after="0" w:line="73" w:lineRule="exact"/>
        <w:rPr>
          <w:sz w:val="20"/>
          <w:szCs w:val="20"/>
          <w:color w:val="auto"/>
        </w:rPr>
      </w:pPr>
    </w:p>
    <w:p>
      <w:pPr>
        <w:ind w:right="100" w:firstLine="214"/>
        <w:spacing w:after="0" w:line="255"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color w:val="auto"/>
        </w:rPr>
        <w:t>Disqualifying Disposition</w:t>
      </w:r>
      <w:r>
        <w:rPr>
          <w:rFonts w:ascii="Times New Roman" w:cs="Times New Roman" w:eastAsia="Times New Roman" w:hAnsi="Times New Roman"/>
          <w:sz w:val="18"/>
          <w:szCs w:val="18"/>
          <w:color w:val="auto"/>
        </w:rPr>
        <w:t>. The Participant must notify the Company of any disposition of any Shares issued pursuant to the exercise of an ISO under the circumstances described in Code Section 421(b) (relating to certain disqualifying dispositions) (any such circumstance, a “Disqualifying Disposition”), within 10 days of such Disqualifying Disposition.</w:t>
      </w:r>
    </w:p>
    <w:p>
      <w:pPr>
        <w:spacing w:after="0" w:line="71" w:lineRule="exact"/>
        <w:rPr>
          <w:sz w:val="20"/>
          <w:szCs w:val="20"/>
          <w:color w:val="auto"/>
        </w:rPr>
      </w:pPr>
    </w:p>
    <w:p>
      <w:pPr>
        <w:ind w:firstLine="214"/>
        <w:spacing w:after="0" w:line="249"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b w:val="1"/>
          <w:bCs w:val="1"/>
          <w:color w:val="auto"/>
        </w:rPr>
        <w:t>Minimum Vesting Requirement</w:t>
      </w:r>
      <w:r>
        <w:rPr>
          <w:rFonts w:ascii="Times New Roman" w:cs="Times New Roman" w:eastAsia="Times New Roman" w:hAnsi="Times New Roman"/>
          <w:sz w:val="18"/>
          <w:szCs w:val="18"/>
          <w:color w:val="auto"/>
        </w:rPr>
        <w:t>. Notwithstanding anything in the Plan to the contrary, equity-based Awards granted under the Plan may not become exercisable, vest or be settled, in whole or in part, prior to the one-year anniversary of the date of grant, except that: (A) the Committee may provide that Awards become exercisable, vest or settle prior to such date in the event of the Participant’s death or disability or in the event of a Change of Control (as defined herein); and (B) annual equity grants to non-employee directors that occur in connection with the Company’s annual meeting of shareholders may vest on the date of the Company’s next annual meeting. Notwithstanding the foregoing, up to 5% of the aggregate number of shares authorized for issuance under this Plan (as described in Section 3(a)) may be issued pursuant to Awards subject to any, or no, vesting conditions, as the Board determines appropriate. The Committee may, in its sole and absolute discretion, without amendment to the Plan but subject to the limitations otherwise set forth in the Plan, waive or amend the operation of Plan provisions respecting exercise after termination of Service to the Company and, except as otherwise provided herein, adjust any of the terms of any Award. The Committee may correct any defect or supply any omission or reconcile any inconsistency in the Plan or in any Award in the manner and to the extent it shall deem expedient to carry the Plan or any Award into effect, and it shall be the sole and final judge of such expediency. All decisions by the Board shall be final and binding on all interested persons. Neither the Company nor any member of the Board shall be liable for any action or determination relating to the Plan.</w:t>
      </w:r>
    </w:p>
    <w:p>
      <w:pPr>
        <w:spacing w:after="0" w:line="200" w:lineRule="exact"/>
        <w:rPr>
          <w:sz w:val="20"/>
          <w:szCs w:val="20"/>
          <w:color w:val="auto"/>
        </w:rPr>
      </w:pPr>
    </w:p>
    <w:p>
      <w:pPr>
        <w:sectPr>
          <w:pgSz w:w="11900" w:h="16838" w:orient="portrait"/>
          <w:cols w:equalWidth="0" w:num="2">
            <w:col w:w="5380" w:space="360"/>
            <w:col w:w="5340"/>
          </w:cols>
          <w:pgMar w:left="320" w:top="478" w:right="499" w:bottom="1440" w:gutter="0" w:footer="0" w:header="0"/>
          <w:type w:val="continuous"/>
        </w:sectPr>
      </w:pPr>
    </w:p>
    <w:p>
      <w:pPr>
        <w:spacing w:after="0" w:line="253" w:lineRule="exact"/>
        <w:rPr>
          <w:sz w:val="20"/>
          <w:szCs w:val="20"/>
          <w:color w:val="auto"/>
        </w:rPr>
      </w:pPr>
    </w:p>
    <w:p>
      <w:pPr>
        <w:ind w:left="4940"/>
        <w:spacing w:after="0"/>
        <w:tabs>
          <w:tab w:leader="none" w:pos="8700" w:val="left"/>
          <w:tab w:leader="none" w:pos="10460" w:val="left"/>
          <w:tab w:leader="none" w:pos="10780" w:val="left"/>
        </w:tabs>
        <w:rPr>
          <w:sz w:val="20"/>
          <w:szCs w:val="20"/>
          <w:color w:val="auto"/>
        </w:rPr>
      </w:pPr>
      <w:r>
        <w:rPr>
          <w:rFonts w:ascii="Arial" w:cs="Arial" w:eastAsia="Arial" w:hAnsi="Arial"/>
          <w:sz w:val="28"/>
          <w:szCs w:val="28"/>
          <w:b w:val="1"/>
          <w:bCs w:val="1"/>
          <w:color w:val="005C5D"/>
          <w:vertAlign w:val="superscript"/>
        </w:rPr>
        <w:t>VERA BRADLEY, INC.</w:t>
      </w:r>
      <w:r>
        <w:rPr>
          <w:sz w:val="20"/>
          <w:szCs w:val="20"/>
          <w:color w:val="auto"/>
        </w:rPr>
        <w:tab/>
      </w:r>
      <w:r>
        <w:rPr>
          <w:rFonts w:ascii="Times New Roman" w:cs="Times New Roman" w:eastAsia="Times New Roman" w:hAnsi="Times New Roman"/>
          <w:sz w:val="18"/>
          <w:szCs w:val="18"/>
          <w:color w:val="005C5D"/>
        </w:rPr>
        <w:t>2026 Proxy Statement </w:t>
      </w:r>
      <w:r>
        <w:rPr>
          <w:rFonts w:ascii="Times New Roman" w:cs="Times New Roman" w:eastAsia="Times New Roman" w:hAnsi="Times New Roman"/>
          <w:sz w:val="18"/>
          <w:szCs w:val="18"/>
          <w:color w:val="F5CABF"/>
        </w:rPr>
        <w:tab/>
        <w:t>●</w:t>
      </w:r>
      <w:r>
        <w:rPr>
          <w:rFonts w:ascii="Times New Roman" w:cs="Times New Roman" w:eastAsia="Times New Roman" w:hAnsi="Times New Roman"/>
          <w:sz w:val="18"/>
          <w:szCs w:val="18"/>
          <w:color w:val="005C5D"/>
        </w:rPr>
        <w:t xml:space="preserve"> </w:t>
      </w:r>
      <w:r>
        <w:rPr>
          <w:sz w:val="20"/>
          <w:szCs w:val="20"/>
          <w:color w:val="auto"/>
        </w:rPr>
        <w:tab/>
      </w:r>
      <w:r>
        <w:rPr>
          <w:rFonts w:ascii="Times New Roman" w:cs="Times New Roman" w:eastAsia="Times New Roman" w:hAnsi="Times New Roman"/>
          <w:sz w:val="17"/>
          <w:szCs w:val="17"/>
          <w:color w:val="005C5D"/>
        </w:rPr>
        <w:t>A-9</w:t>
      </w:r>
    </w:p>
    <w:p>
      <w:pPr>
        <w:sectPr>
          <w:pgSz w:w="11900" w:h="16838" w:orient="portrait"/>
          <w:cols w:equalWidth="0" w:num="1">
            <w:col w:w="11080"/>
          </w:cols>
          <w:pgMar w:left="320" w:top="478" w:right="4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92975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76" w:lineRule="exact"/>
        <w:rPr>
          <w:sz w:val="20"/>
          <w:szCs w:val="20"/>
          <w:color w:val="auto"/>
        </w:rPr>
      </w:pPr>
    </w:p>
    <w:p>
      <w:pPr>
        <w:ind w:left="160" w:firstLine="209"/>
        <w:spacing w:after="0" w:line="253"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b w:val="1"/>
          <w:bCs w:val="1"/>
          <w:color w:val="auto"/>
        </w:rPr>
        <w:t>Recoupment</w:t>
      </w:r>
      <w:r>
        <w:rPr>
          <w:rFonts w:ascii="Times New Roman" w:cs="Times New Roman" w:eastAsia="Times New Roman" w:hAnsi="Times New Roman"/>
          <w:sz w:val="18"/>
          <w:szCs w:val="18"/>
          <w:color w:val="auto"/>
        </w:rPr>
        <w:t>. The Plan will be administered in compliance with Section 10D of the Securities Exchange Act of 1934, as amended, any applicable rules or regulations promulgated by the Securities and Exchange Commission or any national securities exchange or national securities association on which the Shares may be traded, and any Company policy adopted with respect to compensation recoupment. This Section 11.4 will not be the Company’s exclusive remedy with respect to such matters.</w:t>
      </w:r>
    </w:p>
    <w:p>
      <w:pPr>
        <w:spacing w:after="0" w:line="3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12.  Beneficiary Designation</w:t>
      </w:r>
    </w:p>
    <w:p>
      <w:pPr>
        <w:spacing w:after="0" w:line="118" w:lineRule="exact"/>
        <w:rPr>
          <w:sz w:val="20"/>
          <w:szCs w:val="20"/>
          <w:color w:val="auto"/>
        </w:rPr>
      </w:pPr>
    </w:p>
    <w:p>
      <w:pPr>
        <w:ind w:left="160" w:right="20" w:firstLine="209"/>
        <w:spacing w:after="0" w:line="267" w:lineRule="auto"/>
        <w:rPr>
          <w:sz w:val="20"/>
          <w:szCs w:val="20"/>
          <w:color w:val="auto"/>
        </w:rPr>
      </w:pPr>
      <w:r>
        <w:rPr>
          <w:rFonts w:ascii="Times New Roman" w:cs="Times New Roman" w:eastAsia="Times New Roman" w:hAnsi="Times New Roman"/>
          <w:sz w:val="17"/>
          <w:szCs w:val="17"/>
          <w:color w:val="auto"/>
        </w:rPr>
        <w:t>Each Participant may, from time to time, name any Designated Beneficiary (who may be named contingently or successively) to whom any benefit under the Plan is to be paid in case the Participant should die before receiving any or all of his or her Plan benefits. Each beneficiary designation will revoke all prior designations by the same Participant, must be in a form prescribed by the Company, and must be made during the Participant’s lifetime. If a Designated Beneficiary predeceases the Participant or no beneficiary has been designated, benefits remaining unpaid at the Participant’s death will be paid to the Participant’s estate or other entity described in the Participant’s Award Agreement.</w:t>
      </w:r>
    </w:p>
    <w:p>
      <w:pPr>
        <w:spacing w:after="0" w:line="3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13.  Rights of Participants</w:t>
      </w:r>
    </w:p>
    <w:p>
      <w:pPr>
        <w:spacing w:after="0" w:line="114" w:lineRule="exact"/>
        <w:rPr>
          <w:sz w:val="20"/>
          <w:szCs w:val="20"/>
          <w:color w:val="auto"/>
        </w:rPr>
      </w:pPr>
    </w:p>
    <w:p>
      <w:pPr>
        <w:ind w:left="160" w:right="180" w:firstLine="209"/>
        <w:spacing w:after="0" w:line="256"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Nothing in the Plan will interfere with or limit in any way the right of the Company or any Affiliate to terminate any Participant’s Service at any time, or confer upon any Participant any right to continue in the Service of the Company or any Affiliate or any rights as a stockholder except as to Owned Awards.</w:t>
      </w:r>
    </w:p>
    <w:p>
      <w:pPr>
        <w:spacing w:after="0" w:line="73" w:lineRule="exact"/>
        <w:rPr>
          <w:sz w:val="20"/>
          <w:szCs w:val="20"/>
          <w:color w:val="auto"/>
        </w:rPr>
      </w:pPr>
    </w:p>
    <w:p>
      <w:pPr>
        <w:ind w:left="160" w:right="180" w:firstLine="209"/>
        <w:spacing w:after="0" w:line="265"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b w:val="1"/>
          <w:bCs w:val="1"/>
          <w:color w:val="auto"/>
        </w:rPr>
        <w:t>Participation</w:t>
      </w:r>
      <w:r>
        <w:rPr>
          <w:rFonts w:ascii="Times New Roman" w:cs="Times New Roman" w:eastAsia="Times New Roman" w:hAnsi="Times New Roman"/>
          <w:sz w:val="18"/>
          <w:szCs w:val="18"/>
          <w:color w:val="auto"/>
        </w:rPr>
        <w:t>. No Employee, Advisor, Director or Participant will have the right to receive an Award under this Plan, or, having received any Award, to receive a future Award.</w:t>
      </w:r>
    </w:p>
    <w:p>
      <w:pPr>
        <w:spacing w:after="0" w:line="3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14.  Amendment, Modification and Termination</w:t>
      </w:r>
    </w:p>
    <w:p>
      <w:pPr>
        <w:spacing w:after="0" w:line="114" w:lineRule="exact"/>
        <w:rPr>
          <w:sz w:val="20"/>
          <w:szCs w:val="20"/>
          <w:color w:val="auto"/>
        </w:rPr>
      </w:pPr>
    </w:p>
    <w:p>
      <w:pPr>
        <w:ind w:left="160" w:right="20" w:firstLine="209"/>
        <w:spacing w:after="0" w:line="251"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b w:val="1"/>
          <w:bCs w:val="1"/>
          <w:color w:val="auto"/>
        </w:rPr>
        <w:t>Amendment, Modification and Termination</w:t>
      </w:r>
      <w:r>
        <w:rPr>
          <w:rFonts w:ascii="Times New Roman" w:cs="Times New Roman" w:eastAsia="Times New Roman" w:hAnsi="Times New Roman"/>
          <w:sz w:val="18"/>
          <w:szCs w:val="18"/>
          <w:color w:val="auto"/>
        </w:rPr>
        <w:t>. The Board or the Committee may at any time and from time to time, alter, amend, modify or terminate the Plan in whole or in part; provided, however, that neither the Board nor the Committee will, without approval of the Company’s shareholders, increase the number of shares that may be issued or transferred to Participants under the Plan as described in Section 4.1 (and subject to adjustment as provided in Section 4.3 and</w:t>
      </w:r>
    </w:p>
    <w:p>
      <w:pPr>
        <w:spacing w:after="0" w:line="5" w:lineRule="exact"/>
        <w:rPr>
          <w:sz w:val="20"/>
          <w:szCs w:val="20"/>
          <w:color w:val="auto"/>
        </w:rPr>
      </w:pPr>
    </w:p>
    <w:p>
      <w:pPr>
        <w:ind w:left="160" w:right="280"/>
        <w:spacing w:after="0" w:line="285" w:lineRule="auto"/>
        <w:rPr>
          <w:sz w:val="20"/>
          <w:szCs w:val="20"/>
          <w:color w:val="auto"/>
        </w:rPr>
      </w:pPr>
      <w:r>
        <w:rPr>
          <w:rFonts w:ascii="Times New Roman" w:cs="Times New Roman" w:eastAsia="Times New Roman" w:hAnsi="Times New Roman"/>
          <w:sz w:val="17"/>
          <w:szCs w:val="17"/>
          <w:color w:val="auto"/>
        </w:rPr>
        <w:t>14.2). Subject to the terms and conditions of the Plan, the Committee may modify, extend or renew outstanding Awards under the Plan, or</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accept the surrender of outstanding Awards (to the extent not already exercised) and grant new Awards in substitution of them (to the extent not already exercised). Notwithstanding the foregoing, no modification of an Award will, without the prior written consent of the Participant, materially impair any rights or obligations under any Award already granted under the Plan unless the Committee expressly reserved the right to do so at the time of the Award. Notwithstanding the foregoing, except as provided in Sections 4.3 and 14.2, the Committee will not modify any outstanding Option or SAR so as to specify a lower Exercise Price or grant price (and will not cancel an Option or SAR and substitute for it an Option or SAR with a lower Exercise or grant price), without the approval of the Company’s shareholders. In addition, except as provided in Sections 4.3 and 14.2, the Committee may not cancel an outstanding Option or SAR whose Exercise Price or grant price is equal to or greater than the current Fair Market Value of a Share and substitute for it another Award without the prior approval of the Company’s shareholders.</w:t>
      </w:r>
    </w:p>
    <w:p>
      <w:pPr>
        <w:spacing w:after="0" w:line="73" w:lineRule="exact"/>
        <w:rPr>
          <w:sz w:val="20"/>
          <w:szCs w:val="20"/>
          <w:color w:val="auto"/>
        </w:rPr>
      </w:pPr>
    </w:p>
    <w:p>
      <w:pPr>
        <w:ind w:firstLine="214"/>
        <w:spacing w:after="0" w:line="250"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b w:val="1"/>
          <w:bCs w:val="1"/>
          <w:color w:val="auto"/>
        </w:rPr>
        <w:t>Adjustment of Awards Upon the Occurrence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Unusual or Nonrecurring Events</w:t>
      </w:r>
      <w:r>
        <w:rPr>
          <w:rFonts w:ascii="Times New Roman" w:cs="Times New Roman" w:eastAsia="Times New Roman" w:hAnsi="Times New Roman"/>
          <w:sz w:val="18"/>
          <w:szCs w:val="18"/>
          <w:color w:val="auto"/>
        </w:rPr>
        <w:t>. In recognition of unusual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nonrecurring events (including, without limitation, the events described in Section 4.3) affecting the Company or its financial statements, or in recognition of changes in applicable laws, regulations, or accounting principles, and, whenever the Committee determines that adjustments are appropriate to prevent dilution or enlargement of the benefits or potential benefits intended to be made available under the Plan, the Committee may, using reasonable care, adjust the terms and conditions of, and the criteria included in, Awards. Notwithstanding the foregoing, no modification of an Award will, without the prior written consent of the Participant, materially impair any rights or obligations under any Award already granted under the Plan.</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Withholding</w:t>
      </w:r>
    </w:p>
    <w:p>
      <w:pPr>
        <w:spacing w:after="0" w:line="114" w:lineRule="exact"/>
        <w:rPr>
          <w:sz w:val="20"/>
          <w:szCs w:val="20"/>
          <w:color w:val="auto"/>
        </w:rPr>
      </w:pPr>
    </w:p>
    <w:p>
      <w:pPr>
        <w:ind w:right="120" w:firstLine="214"/>
        <w:spacing w:after="0" w:line="255"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b w:val="1"/>
          <w:bCs w:val="1"/>
          <w:color w:val="auto"/>
        </w:rPr>
        <w:t>Tax Withholding</w:t>
      </w:r>
      <w:r>
        <w:rPr>
          <w:rFonts w:ascii="Times New Roman" w:cs="Times New Roman" w:eastAsia="Times New Roman" w:hAnsi="Times New Roman"/>
          <w:sz w:val="18"/>
          <w:szCs w:val="18"/>
          <w:color w:val="auto"/>
        </w:rPr>
        <w:t>. The Company will have the power and the right to deduct or withhold, or require a Participant to remit to the Company, an amount (either in cash or Shares, at the Company’s discretion) sufficient to satisfy any federal, state, local and/or other taxes, domestic or foreign, required by law or regulation to be withheld with respect to any taxable event arising under this Plan.</w:t>
      </w:r>
    </w:p>
    <w:p>
      <w:pPr>
        <w:spacing w:after="0" w:line="71" w:lineRule="exact"/>
        <w:rPr>
          <w:sz w:val="20"/>
          <w:szCs w:val="20"/>
          <w:color w:val="auto"/>
        </w:rPr>
      </w:pPr>
    </w:p>
    <w:p>
      <w:pPr>
        <w:ind w:right="20" w:firstLine="214"/>
        <w:spacing w:after="0" w:line="256"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color w:val="auto"/>
        </w:rPr>
        <w:t>Share Withholding</w:t>
      </w:r>
      <w:r>
        <w:rPr>
          <w:rFonts w:ascii="Times New Roman" w:cs="Times New Roman" w:eastAsia="Times New Roman" w:hAnsi="Times New Roman"/>
          <w:sz w:val="18"/>
          <w:szCs w:val="18"/>
          <w:color w:val="auto"/>
        </w:rPr>
        <w:t>. With respect to withholding required upon the exercise of Options, upon the lapse of restrictions on Restricted Stock, or upon any other taxable event arising as a result of Awards granted hereunder, the Company may, but need not, satisfy any applicable taxes, in whole or in part, by withholding Shares</w:t>
      </w:r>
    </w:p>
    <w:p>
      <w:pPr>
        <w:spacing w:after="0" w:line="412" w:lineRule="exact"/>
        <w:rPr>
          <w:sz w:val="20"/>
          <w:szCs w:val="20"/>
          <w:color w:val="auto"/>
        </w:rPr>
      </w:pPr>
    </w:p>
    <w:p>
      <w:pPr>
        <w:sectPr>
          <w:pgSz w:w="11900" w:h="16838" w:orient="portrait"/>
          <w:cols w:equalWidth="0" w:num="2">
            <w:col w:w="5380" w:space="360"/>
            <w:col w:w="5340"/>
          </w:cols>
          <w:pgMar w:left="320" w:top="478" w:right="499" w:bottom="1440" w:gutter="0" w:footer="0" w:header="0"/>
          <w:type w:val="continuous"/>
        </w:sectPr>
      </w:pPr>
    </w:p>
    <w:p>
      <w:pPr>
        <w:spacing w:after="0" w:line="26" w:lineRule="exact"/>
        <w:rPr>
          <w:sz w:val="20"/>
          <w:szCs w:val="20"/>
          <w:color w:val="auto"/>
        </w:rPr>
      </w:pPr>
    </w:p>
    <w:p>
      <w:pPr>
        <w:ind w:left="160"/>
        <w:spacing w:after="0"/>
        <w:tabs>
          <w:tab w:leader="none" w:pos="700" w:val="left"/>
          <w:tab w:leader="none" w:pos="980" w:val="left"/>
          <w:tab w:leader="none" w:pos="4920" w:val="left"/>
        </w:tabs>
        <w:rPr>
          <w:sz w:val="20"/>
          <w:szCs w:val="20"/>
          <w:color w:val="auto"/>
        </w:rPr>
      </w:pPr>
      <w:r>
        <w:rPr>
          <w:rFonts w:ascii="Times New Roman" w:cs="Times New Roman" w:eastAsia="Times New Roman" w:hAnsi="Times New Roman"/>
          <w:sz w:val="18"/>
          <w:szCs w:val="18"/>
          <w:color w:val="005C5D"/>
        </w:rPr>
        <w:t>A-10 </w:t>
      </w:r>
      <w:r>
        <w:rPr>
          <w:rFonts w:ascii="Times New Roman" w:cs="Times New Roman" w:eastAsia="Times New Roman" w:hAnsi="Times New Roman"/>
          <w:sz w:val="18"/>
          <w:szCs w:val="18"/>
          <w:color w:val="F5CABF"/>
        </w:rPr>
        <w:tab/>
        <w:t>●</w:t>
      </w:r>
      <w:r>
        <w:rPr>
          <w:rFonts w:ascii="Times New Roman" w:cs="Times New Roman" w:eastAsia="Times New Roman" w:hAnsi="Times New Roman"/>
          <w:sz w:val="18"/>
          <w:szCs w:val="18"/>
          <w:color w:val="005C5D"/>
        </w:rPr>
        <w:t xml:space="preserve"> </w:t>
        <w:tab/>
        <w:t>2026 Proxy Statement</w:t>
      </w:r>
      <w:r>
        <w:rPr>
          <w:sz w:val="20"/>
          <w:szCs w:val="20"/>
          <w:color w:val="auto"/>
        </w:rPr>
        <w:tab/>
      </w:r>
      <w:r>
        <w:rPr>
          <w:rFonts w:ascii="Arial" w:cs="Arial" w:eastAsia="Arial" w:hAnsi="Arial"/>
          <w:sz w:val="21"/>
          <w:szCs w:val="21"/>
          <w:b w:val="1"/>
          <w:bCs w:val="1"/>
          <w:color w:val="005C5D"/>
          <w:vertAlign w:val="superscript"/>
        </w:rPr>
        <w:t>VERA BRADLEY, INC.</w:t>
      </w:r>
    </w:p>
    <w:p>
      <w:pPr>
        <w:sectPr>
          <w:pgSz w:w="11900" w:h="16838" w:orient="portrait"/>
          <w:cols w:equalWidth="0" w:num="1">
            <w:col w:w="11080"/>
          </w:cols>
          <w:pgMar w:left="320" w:top="478" w:right="4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92975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80" w:lineRule="exact"/>
        <w:rPr>
          <w:sz w:val="20"/>
          <w:szCs w:val="20"/>
          <w:color w:val="auto"/>
        </w:rPr>
      </w:pPr>
    </w:p>
    <w:p>
      <w:pPr>
        <w:ind w:left="160" w:right="160"/>
        <w:spacing w:after="0" w:line="270" w:lineRule="auto"/>
        <w:rPr>
          <w:sz w:val="20"/>
          <w:szCs w:val="20"/>
          <w:color w:val="auto"/>
        </w:rPr>
      </w:pPr>
      <w:r>
        <w:rPr>
          <w:rFonts w:ascii="Times New Roman" w:cs="Times New Roman" w:eastAsia="Times New Roman" w:hAnsi="Times New Roman"/>
          <w:sz w:val="17"/>
          <w:szCs w:val="17"/>
          <w:color w:val="auto"/>
        </w:rPr>
        <w:t>having a Fair Market Value (determined on the date the Participant recognizes taxable income on the Award) equal to the amount of withholding tax determined by the Company to be necessary to be collected on the transaction. The Participant may elect, subject to the approval of the Committee, to deliver the necessary funds to satisfy the withholding obligation to the Company, in which case there will be no reduction in the Shares otherwise distributable to the Participant.</w:t>
      </w:r>
    </w:p>
    <w:p>
      <w:pPr>
        <w:spacing w:after="0" w:line="172" w:lineRule="exact"/>
        <w:rPr>
          <w:sz w:val="20"/>
          <w:szCs w:val="20"/>
          <w:color w:val="auto"/>
        </w:rPr>
      </w:pPr>
    </w:p>
    <w:p>
      <w:pPr>
        <w:ind w:left="160" w:firstLine="209"/>
        <w:spacing w:after="0" w:line="270" w:lineRule="auto"/>
        <w:rPr>
          <w:sz w:val="20"/>
          <w:szCs w:val="20"/>
          <w:color w:val="auto"/>
        </w:rPr>
      </w:pPr>
      <w:r>
        <w:rPr>
          <w:rFonts w:ascii="Times New Roman" w:cs="Times New Roman" w:eastAsia="Times New Roman" w:hAnsi="Times New Roman"/>
          <w:sz w:val="17"/>
          <w:szCs w:val="17"/>
          <w:color w:val="auto"/>
        </w:rPr>
        <w:t>If a Participant is subject to Section 16(b) of the Exchange Act, the Company will withhold Shares only to the extent that such withholding method is not problematic under applicable law and does not have materially adverse accounting consequences. If necessary to comply with applicable law and/or to prevent materially adverse accounting consequences, the Committee shall determine which other withholding method(s) shall be used to satisfy the applicable withholding obligations.</w:t>
      </w:r>
    </w:p>
    <w:p>
      <w:pPr>
        <w:spacing w:after="0" w:line="3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16.  Successors</w:t>
      </w:r>
    </w:p>
    <w:p>
      <w:pPr>
        <w:spacing w:after="0" w:line="118" w:lineRule="exact"/>
        <w:rPr>
          <w:sz w:val="20"/>
          <w:szCs w:val="20"/>
          <w:color w:val="auto"/>
        </w:rPr>
      </w:pPr>
    </w:p>
    <w:p>
      <w:pPr>
        <w:ind w:left="160" w:right="220" w:firstLine="209"/>
        <w:spacing w:after="0" w:line="263" w:lineRule="auto"/>
        <w:rPr>
          <w:sz w:val="20"/>
          <w:szCs w:val="20"/>
          <w:color w:val="auto"/>
        </w:rPr>
      </w:pPr>
      <w:r>
        <w:rPr>
          <w:rFonts w:ascii="Times New Roman" w:cs="Times New Roman" w:eastAsia="Times New Roman" w:hAnsi="Times New Roman"/>
          <w:sz w:val="18"/>
          <w:szCs w:val="18"/>
          <w:color w:val="auto"/>
        </w:rPr>
        <w:t>All obligations of the Company under the Plan or any Award Agreement will be binding on any successor to the Company resulting from a Change in Control.</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17.  Legal Construction</w:t>
      </w:r>
    </w:p>
    <w:p>
      <w:pPr>
        <w:spacing w:after="0" w:line="114" w:lineRule="exact"/>
        <w:rPr>
          <w:sz w:val="20"/>
          <w:szCs w:val="20"/>
          <w:color w:val="auto"/>
        </w:rPr>
      </w:pPr>
    </w:p>
    <w:p>
      <w:pPr>
        <w:ind w:left="160" w:right="80" w:firstLine="209"/>
        <w:spacing w:after="0" w:line="265"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b w:val="1"/>
          <w:bCs w:val="1"/>
          <w:color w:val="auto"/>
        </w:rPr>
        <w:t>Number</w:t>
      </w:r>
      <w:r>
        <w:rPr>
          <w:rFonts w:ascii="Times New Roman" w:cs="Times New Roman" w:eastAsia="Times New Roman" w:hAnsi="Times New Roman"/>
          <w:sz w:val="18"/>
          <w:szCs w:val="18"/>
          <w:color w:val="auto"/>
        </w:rPr>
        <w:t>. Except where otherwise indicated by the context, any plural term used in this Plan includes the singular and a singular term includes the plural.</w:t>
      </w:r>
    </w:p>
    <w:p>
      <w:pPr>
        <w:spacing w:after="0" w:line="63" w:lineRule="exact"/>
        <w:rPr>
          <w:sz w:val="20"/>
          <w:szCs w:val="20"/>
          <w:color w:val="auto"/>
        </w:rPr>
      </w:pPr>
    </w:p>
    <w:p>
      <w:pPr>
        <w:ind w:left="160" w:right="80" w:firstLine="209"/>
        <w:spacing w:after="0" w:line="259"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of the Plan is held illegal or invalid for any reason, the illegality or invalidity will not affect the remaining parts of the Plan, and the Plan will be construed and enforced as if the illegal or invalid provision had not been included.</w:t>
      </w:r>
    </w:p>
    <w:p>
      <w:pPr>
        <w:spacing w:after="0" w:line="69" w:lineRule="exact"/>
        <w:rPr>
          <w:sz w:val="20"/>
          <w:szCs w:val="20"/>
          <w:color w:val="auto"/>
        </w:rPr>
      </w:pPr>
    </w:p>
    <w:p>
      <w:pPr>
        <w:ind w:left="160" w:right="180" w:firstLine="209"/>
        <w:spacing w:after="0" w:line="256"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b w:val="1"/>
          <w:bCs w:val="1"/>
          <w:color w:val="auto"/>
        </w:rPr>
        <w:t>Requirements of Law</w:t>
      </w:r>
      <w:r>
        <w:rPr>
          <w:rFonts w:ascii="Times New Roman" w:cs="Times New Roman" w:eastAsia="Times New Roman" w:hAnsi="Times New Roman"/>
          <w:sz w:val="18"/>
          <w:szCs w:val="18"/>
          <w:color w:val="auto"/>
        </w:rPr>
        <w:t>. The granting of Awards and the issuance of Share and/or cash payouts under the Plan will be subject to all applicable laws, rules, and regulations and to any approvals by governmental agencies or national securities exchanges as may be required.</w:t>
      </w:r>
    </w:p>
    <w:p>
      <w:pPr>
        <w:spacing w:after="0" w:line="73" w:lineRule="exact"/>
        <w:rPr>
          <w:sz w:val="20"/>
          <w:szCs w:val="20"/>
          <w:color w:val="auto"/>
        </w:rPr>
      </w:pPr>
    </w:p>
    <w:p>
      <w:pPr>
        <w:ind w:left="160" w:firstLine="209"/>
        <w:spacing w:after="0" w:line="252"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b w:val="1"/>
          <w:bCs w:val="1"/>
          <w:color w:val="auto"/>
        </w:rPr>
        <w:t>Securities Law Compliance</w:t>
      </w:r>
      <w:r>
        <w:rPr>
          <w:rFonts w:ascii="Times New Roman" w:cs="Times New Roman" w:eastAsia="Times New Roman" w:hAnsi="Times New Roman"/>
          <w:sz w:val="18"/>
          <w:szCs w:val="18"/>
          <w:color w:val="auto"/>
        </w:rPr>
        <w:t>. As to any individual who is, on the relevant date, an officer, director or ten percent beneficial owner of any class of the Company’s equity securities that is registered pursuant to Section 12 of the Exchange Act, all as defined under Section 16 of the Exchange Act, transactions under this Plan are intended to comply with all applicable conditions of Rule 16b-3 under the Exchange Act, or any successor rule. To the extent any provision of the Plan or action by the Committee fails to so comply, it will be deemed null and void, to the extent permitted by law and deemed advisable by the Committee.</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right="20" w:firstLine="214"/>
        <w:spacing w:after="0" w:line="253" w:lineRule="auto"/>
        <w:rPr>
          <w:sz w:val="20"/>
          <w:szCs w:val="20"/>
          <w:color w:val="auto"/>
        </w:rPr>
      </w:pPr>
      <w:r>
        <w:rPr>
          <w:rFonts w:ascii="Times New Roman" w:cs="Times New Roman" w:eastAsia="Times New Roman" w:hAnsi="Times New Roman"/>
          <w:sz w:val="18"/>
          <w:szCs w:val="18"/>
          <w:color w:val="auto"/>
        </w:rPr>
        <w:t xml:space="preserve">17.5. </w:t>
      </w:r>
      <w:r>
        <w:rPr>
          <w:rFonts w:ascii="Times New Roman" w:cs="Times New Roman" w:eastAsia="Times New Roman" w:hAnsi="Times New Roman"/>
          <w:sz w:val="18"/>
          <w:szCs w:val="18"/>
          <w:b w:val="1"/>
          <w:bCs w:val="1"/>
          <w:color w:val="auto"/>
        </w:rPr>
        <w:t>Unfunded Status of the Plan</w:t>
      </w:r>
      <w:r>
        <w:rPr>
          <w:rFonts w:ascii="Times New Roman" w:cs="Times New Roman" w:eastAsia="Times New Roman" w:hAnsi="Times New Roman"/>
          <w:sz w:val="18"/>
          <w:szCs w:val="18"/>
          <w:color w:val="auto"/>
        </w:rPr>
        <w:t>. The Plan is intended to constitute an “unfunded” plan for incentive and deferred compensation. With respect to any payments or deliveries of Shares not yet made to a Participant by the Company, the Participant’s rights are no greater than those of a general creditor of the Company. The Committee may authorize the establishment of trusts or other arrangements to meet the obligations created under the Plan, so long as the arrangement does not cause the Plan to lose its legal status as an unfunded plan.</w:t>
      </w:r>
    </w:p>
    <w:p>
      <w:pPr>
        <w:spacing w:after="0" w:line="73" w:lineRule="exact"/>
        <w:rPr>
          <w:sz w:val="20"/>
          <w:szCs w:val="20"/>
          <w:color w:val="auto"/>
        </w:rPr>
      </w:pPr>
    </w:p>
    <w:p>
      <w:pPr>
        <w:ind w:right="60" w:firstLine="214"/>
        <w:spacing w:after="0" w:line="251" w:lineRule="auto"/>
        <w:rPr>
          <w:sz w:val="20"/>
          <w:szCs w:val="20"/>
          <w:color w:val="auto"/>
        </w:rPr>
      </w:pPr>
      <w:r>
        <w:rPr>
          <w:rFonts w:ascii="Times New Roman" w:cs="Times New Roman" w:eastAsia="Times New Roman" w:hAnsi="Times New Roman"/>
          <w:sz w:val="18"/>
          <w:szCs w:val="18"/>
          <w:color w:val="auto"/>
        </w:rPr>
        <w:t xml:space="preserve">17.6. </w:t>
      </w:r>
      <w:r>
        <w:rPr>
          <w:rFonts w:ascii="Times New Roman" w:cs="Times New Roman" w:eastAsia="Times New Roman" w:hAnsi="Times New Roman"/>
          <w:sz w:val="18"/>
          <w:szCs w:val="18"/>
          <w:b w:val="1"/>
          <w:bCs w:val="1"/>
          <w:color w:val="auto"/>
        </w:rPr>
        <w:t>Non-U.S. Based Person</w:t>
      </w:r>
      <w:r>
        <w:rPr>
          <w:rFonts w:ascii="Times New Roman" w:cs="Times New Roman" w:eastAsia="Times New Roman" w:hAnsi="Times New Roman"/>
          <w:sz w:val="18"/>
          <w:szCs w:val="18"/>
          <w:color w:val="auto"/>
        </w:rPr>
        <w:t>. Notwithstanding any other provision of the Plan to the contrary, the Committee may make Awards to Persons who are not citizens or residents of the United States on such terms and conditions different from those specified in the Plan as may, in the Committee’s judgment, be necessary or desirable to foster and promote achievement of the Plan’s purposes. In furtherance of such purposes, the Committee may make such modifications, amendments, procedures and subplans as may be necessary or advisable to comply with provisions of laws in other countries or jurisdictions in which the Company operates or has employees.</w:t>
      </w:r>
    </w:p>
    <w:p>
      <w:pPr>
        <w:spacing w:after="0" w:line="82" w:lineRule="exact"/>
        <w:rPr>
          <w:sz w:val="20"/>
          <w:szCs w:val="20"/>
          <w:color w:val="auto"/>
        </w:rPr>
      </w:pPr>
    </w:p>
    <w:p>
      <w:pPr>
        <w:ind w:right="80" w:firstLine="214"/>
        <w:spacing w:after="0" w:line="256" w:lineRule="auto"/>
        <w:rPr>
          <w:sz w:val="20"/>
          <w:szCs w:val="20"/>
          <w:color w:val="auto"/>
        </w:rPr>
      </w:pPr>
      <w:r>
        <w:rPr>
          <w:rFonts w:ascii="Times New Roman" w:cs="Times New Roman" w:eastAsia="Times New Roman" w:hAnsi="Times New Roman"/>
          <w:sz w:val="18"/>
          <w:szCs w:val="18"/>
          <w:color w:val="auto"/>
        </w:rPr>
        <w:t xml:space="preserve">17.7. </w:t>
      </w:r>
      <w:r>
        <w:rPr>
          <w:rFonts w:ascii="Times New Roman" w:cs="Times New Roman" w:eastAsia="Times New Roman" w:hAnsi="Times New Roman"/>
          <w:sz w:val="18"/>
          <w:szCs w:val="18"/>
          <w:b w:val="1"/>
          <w:bCs w:val="1"/>
          <w:color w:val="auto"/>
        </w:rPr>
        <w:t>Other Benefits</w:t>
      </w:r>
      <w:r>
        <w:rPr>
          <w:rFonts w:ascii="Times New Roman" w:cs="Times New Roman" w:eastAsia="Times New Roman" w:hAnsi="Times New Roman"/>
          <w:sz w:val="18"/>
          <w:szCs w:val="18"/>
          <w:color w:val="auto"/>
        </w:rPr>
        <w:t>. No Award granted under the Plan shall be considered compensation for purposes of computing benefits under any Retirement plan of the Company or an Affiliate, nor affect any benefits or compensation under any other benefit or compensation plan of the Company or an Affiliate, now or subsequently in effect.</w:t>
      </w:r>
    </w:p>
    <w:p>
      <w:pPr>
        <w:spacing w:after="0" w:line="73" w:lineRule="exact"/>
        <w:rPr>
          <w:sz w:val="20"/>
          <w:szCs w:val="20"/>
          <w:color w:val="auto"/>
        </w:rPr>
      </w:pPr>
    </w:p>
    <w:p>
      <w:pPr>
        <w:ind w:firstLine="214"/>
        <w:spacing w:after="0" w:line="250" w:lineRule="auto"/>
        <w:rPr>
          <w:sz w:val="20"/>
          <w:szCs w:val="20"/>
          <w:color w:val="auto"/>
        </w:rPr>
      </w:pPr>
      <w:r>
        <w:rPr>
          <w:rFonts w:ascii="Times New Roman" w:cs="Times New Roman" w:eastAsia="Times New Roman" w:hAnsi="Times New Roman"/>
          <w:sz w:val="18"/>
          <w:szCs w:val="18"/>
          <w:color w:val="auto"/>
        </w:rPr>
        <w:t xml:space="preserve">17.8. </w:t>
      </w:r>
      <w:r>
        <w:rPr>
          <w:rFonts w:ascii="Times New Roman" w:cs="Times New Roman" w:eastAsia="Times New Roman" w:hAnsi="Times New Roman"/>
          <w:sz w:val="18"/>
          <w:szCs w:val="18"/>
          <w:b w:val="1"/>
          <w:bCs w:val="1"/>
          <w:color w:val="auto"/>
        </w:rPr>
        <w:t>Compliance with Code Section 409A</w:t>
      </w:r>
      <w:r>
        <w:rPr>
          <w:rFonts w:ascii="Times New Roman" w:cs="Times New Roman" w:eastAsia="Times New Roman" w:hAnsi="Times New Roman"/>
          <w:sz w:val="18"/>
          <w:szCs w:val="18"/>
          <w:color w:val="auto"/>
        </w:rPr>
        <w:t>. The Plan and Awards, and all amounts payable with respect to Awards, are intended to comply with, or be exempt from, Code Section 409A and the interpretative guidance thereunder and shall be construed, interpreted and administered accordingly. If an unintentional operational failure occurs with respect to Code Section 409A, any affected Participant or beneficiary shall fully cooperate with the Company to correct the failure to the extent possible in accordance with any correction procedure established by the U.S. Department of the Treasury. If a Participant is a “specified employee” (as such term is defined for purposes of Code Section 409A) at the time of his or her termination of employment, no amount that is subject to Code Section 409A and that becomes payable by reason of such termination of employment shall be paid to the Participant before the earlier of (i) the expiration of the six-month period measured from the date of the Participant’s termination of employment, and (ii) the date of the Participant’s death. A termination of employment or Service shall be deemed to occur only if it is a “separation from service” within the meaning of Code Section 409A, and references in the Plan and any Award Agreement to</w:t>
      </w:r>
    </w:p>
    <w:p>
      <w:pPr>
        <w:spacing w:after="0" w:line="921"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55" w:lineRule="exact"/>
        <w:rPr>
          <w:sz w:val="20"/>
          <w:szCs w:val="20"/>
          <w:color w:val="auto"/>
        </w:rPr>
      </w:pPr>
    </w:p>
    <w:p>
      <w:pPr>
        <w:ind w:left="4940"/>
        <w:spacing w:after="0"/>
        <w:tabs>
          <w:tab w:leader="none" w:pos="8600" w:val="left"/>
          <w:tab w:leader="none" w:pos="10380" w:val="left"/>
          <w:tab w:leader="none" w:pos="10700" w:val="left"/>
        </w:tabs>
        <w:rPr>
          <w:sz w:val="20"/>
          <w:szCs w:val="20"/>
          <w:color w:val="auto"/>
        </w:rPr>
      </w:pPr>
      <w:r>
        <w:rPr>
          <w:rFonts w:ascii="Arial" w:cs="Arial" w:eastAsia="Arial" w:hAnsi="Arial"/>
          <w:sz w:val="28"/>
          <w:szCs w:val="28"/>
          <w:b w:val="1"/>
          <w:bCs w:val="1"/>
          <w:color w:val="005C5D"/>
          <w:vertAlign w:val="superscript"/>
        </w:rPr>
        <w:t>VERA BRADLEY, INC.</w:t>
      </w:r>
      <w:r>
        <w:rPr>
          <w:sz w:val="20"/>
          <w:szCs w:val="20"/>
          <w:color w:val="auto"/>
        </w:rPr>
        <w:tab/>
      </w:r>
      <w:r>
        <w:rPr>
          <w:rFonts w:ascii="Times New Roman" w:cs="Times New Roman" w:eastAsia="Times New Roman" w:hAnsi="Times New Roman"/>
          <w:sz w:val="18"/>
          <w:szCs w:val="18"/>
          <w:color w:val="005C5D"/>
        </w:rPr>
        <w:t>2026 Proxy Statement </w:t>
      </w:r>
      <w:r>
        <w:rPr>
          <w:rFonts w:ascii="Times New Roman" w:cs="Times New Roman" w:eastAsia="Times New Roman" w:hAnsi="Times New Roman"/>
          <w:sz w:val="18"/>
          <w:szCs w:val="18"/>
          <w:color w:val="F5CABF"/>
        </w:rPr>
        <w:tab/>
        <w:t>●</w:t>
      </w:r>
      <w:r>
        <w:rPr>
          <w:rFonts w:ascii="Times New Roman" w:cs="Times New Roman" w:eastAsia="Times New Roman" w:hAnsi="Times New Roman"/>
          <w:sz w:val="18"/>
          <w:szCs w:val="18"/>
          <w:color w:val="005C5D"/>
        </w:rPr>
        <w:t xml:space="preserve"> </w:t>
      </w:r>
      <w:r>
        <w:rPr>
          <w:sz w:val="20"/>
          <w:szCs w:val="20"/>
          <w:color w:val="auto"/>
        </w:rPr>
        <w:tab/>
      </w:r>
      <w:r>
        <w:rPr>
          <w:rFonts w:ascii="Times New Roman" w:cs="Times New Roman" w:eastAsia="Times New Roman" w:hAnsi="Times New Roman"/>
          <w:sz w:val="17"/>
          <w:szCs w:val="17"/>
          <w:color w:val="005C5D"/>
        </w:rPr>
        <w:t>A-11</w:t>
      </w:r>
    </w:p>
    <w:p>
      <w:pPr>
        <w:sectPr>
          <w:pgSz w:w="11900" w:h="16838" w:orient="portrait"/>
          <w:cols w:equalWidth="0" w:num="1">
            <w:col w:w="11080"/>
          </w:cols>
          <w:pgMar w:left="320" w:top="478" w:right="49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92975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ectPr>
          <w:pgSz w:w="11900" w:h="16838" w:orient="portrait"/>
          <w:cols w:equalWidth="0" w:num="1">
            <w:col w:w="11020"/>
          </w:cols>
          <w:pgMar w:left="320" w:top="478" w:right="559" w:bottom="1440" w:gutter="0" w:footer="0" w:header="0"/>
        </w:sectPr>
      </w:pPr>
    </w:p>
    <w:p>
      <w:pPr>
        <w:spacing w:after="0" w:line="380" w:lineRule="exact"/>
        <w:rPr>
          <w:sz w:val="20"/>
          <w:szCs w:val="20"/>
          <w:color w:val="auto"/>
        </w:rPr>
      </w:pPr>
    </w:p>
    <w:p>
      <w:pPr>
        <w:ind w:left="160" w:right="40"/>
        <w:spacing w:after="0" w:line="252" w:lineRule="auto"/>
        <w:rPr>
          <w:sz w:val="20"/>
          <w:szCs w:val="20"/>
          <w:color w:val="auto"/>
        </w:rPr>
      </w:pPr>
      <w:r>
        <w:rPr>
          <w:rFonts w:ascii="Times New Roman" w:cs="Times New Roman" w:eastAsia="Times New Roman" w:hAnsi="Times New Roman"/>
          <w:sz w:val="18"/>
          <w:szCs w:val="18"/>
          <w:color w:val="auto"/>
        </w:rPr>
        <w:t>“termination,” “termination of employment,” “termination of Service,” or like terms shall mean a “separation from service.” A separation from service shall be deemed to occur if it is anticipated that the level of services the Participant will perform after a certain date (whether as an employee or as an independent contractor) will permanently decrease to no more than twenty percent (20%) of the average level of services provided by the Participant in the immediately preceding thirty-six (36) months.</w:t>
      </w:r>
    </w:p>
    <w:p>
      <w:pPr>
        <w:spacing w:after="0" w:line="76" w:lineRule="exact"/>
        <w:rPr>
          <w:sz w:val="20"/>
          <w:szCs w:val="20"/>
          <w:color w:val="auto"/>
        </w:rPr>
      </w:pPr>
    </w:p>
    <w:p>
      <w:pPr>
        <w:ind w:left="160" w:firstLine="209"/>
        <w:spacing w:after="0" w:line="253" w:lineRule="auto"/>
        <w:rPr>
          <w:sz w:val="20"/>
          <w:szCs w:val="20"/>
          <w:color w:val="auto"/>
        </w:rPr>
      </w:pPr>
      <w:r>
        <w:rPr>
          <w:rFonts w:ascii="Times New Roman" w:cs="Times New Roman" w:eastAsia="Times New Roman" w:hAnsi="Times New Roman"/>
          <w:sz w:val="18"/>
          <w:szCs w:val="18"/>
          <w:color w:val="auto"/>
        </w:rPr>
        <w:t xml:space="preserve">17.9.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To the extent not preempted by federal law, the Plan and all agreements hereunder will be construed and enforced in accordance with, and governed by, the laws of the State of Indiana, without giving effect to its conflict of laws principles. Participants, the Company, and Affiliates each submit and consent to the jurisdiction of the courts in the State of Indiana, County of Allen, including the Federal courts located therein, should Federal</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8"/>
          <w:szCs w:val="18"/>
          <w:color w:val="auto"/>
        </w:rPr>
        <w:t>jurisdiction requirements exist in any action brought to enforce (or otherwise relating to) this Plan or an Award Agreement.</w:t>
      </w:r>
    </w:p>
    <w:p>
      <w:pPr>
        <w:spacing w:after="0" w:line="51" w:lineRule="exact"/>
        <w:rPr>
          <w:sz w:val="20"/>
          <w:szCs w:val="20"/>
          <w:color w:val="auto"/>
        </w:rPr>
      </w:pPr>
    </w:p>
    <w:p>
      <w:pPr>
        <w:ind w:firstLine="214"/>
        <w:spacing w:after="0" w:line="267" w:lineRule="auto"/>
        <w:rPr>
          <w:sz w:val="20"/>
          <w:szCs w:val="20"/>
          <w:color w:val="auto"/>
        </w:rPr>
      </w:pPr>
      <w:r>
        <w:rPr>
          <w:rFonts w:ascii="Times New Roman" w:cs="Times New Roman" w:eastAsia="Times New Roman" w:hAnsi="Times New Roman"/>
          <w:sz w:val="17"/>
          <w:szCs w:val="17"/>
          <w:color w:val="auto"/>
        </w:rPr>
        <w:t xml:space="preserve">17.10. </w:t>
      </w:r>
      <w:r>
        <w:rPr>
          <w:rFonts w:ascii="Times New Roman" w:cs="Times New Roman" w:eastAsia="Times New Roman" w:hAnsi="Times New Roman"/>
          <w:sz w:val="17"/>
          <w:szCs w:val="17"/>
          <w:b w:val="1"/>
          <w:bCs w:val="1"/>
          <w:color w:val="auto"/>
        </w:rPr>
        <w:t>Limitation of Liability</w:t>
      </w:r>
      <w:r>
        <w:rPr>
          <w:rFonts w:ascii="Times New Roman" w:cs="Times New Roman" w:eastAsia="Times New Roman" w:hAnsi="Times New Roman"/>
          <w:sz w:val="17"/>
          <w:szCs w:val="17"/>
          <w:color w:val="auto"/>
        </w:rPr>
        <w:t>. Notwithstanding anything to the contrary in the Plan, none of the Company, any Affiliate, the Board or the Committee, or any person acting on behalf of the Company, any Affiliate, or the Board or the Committee, shall be liable to any Participant or to the estate or beneficiary of any Participant or to any other holder of an Award by reason of any acceleration of income, or any additional tax, asserted by reason of the failure of an Award to satisfy the requirements of Code Section 422 or Code Section 409A or by reason of Code Section 4999; provided that nothing in this Section 17.10 shall limit the ability of the Board, the Committee or the Company to provide by separate express written agreement with a Participant for a gross-up payment or other payment in connection with any such tax or additional tax.</w:t>
      </w:r>
    </w:p>
    <w:p>
      <w:pPr>
        <w:spacing w:after="0" w:line="401" w:lineRule="exact"/>
        <w:rPr>
          <w:sz w:val="20"/>
          <w:szCs w:val="20"/>
          <w:color w:val="auto"/>
        </w:rPr>
      </w:pPr>
    </w:p>
    <w:p>
      <w:pPr>
        <w:sectPr>
          <w:pgSz w:w="11900" w:h="16838" w:orient="portrait"/>
          <w:cols w:equalWidth="0" w:num="2">
            <w:col w:w="5340" w:space="400"/>
            <w:col w:w="5280"/>
          </w:cols>
          <w:pgMar w:left="320" w:top="478" w:right="559" w:bottom="1440" w:gutter="0" w:footer="0" w:header="0"/>
          <w:type w:val="continuous"/>
        </w:sectPr>
      </w:pPr>
    </w:p>
    <w:p>
      <w:pPr>
        <w:spacing w:after="0" w:line="55" w:lineRule="exact"/>
        <w:rPr>
          <w:sz w:val="20"/>
          <w:szCs w:val="20"/>
          <w:color w:val="auto"/>
        </w:rPr>
      </w:pPr>
    </w:p>
    <w:p>
      <w:pPr>
        <w:ind w:left="160"/>
        <w:spacing w:after="0"/>
        <w:tabs>
          <w:tab w:leader="none" w:pos="700" w:val="left"/>
          <w:tab w:leader="none" w:pos="980" w:val="left"/>
          <w:tab w:leader="none" w:pos="4920" w:val="left"/>
        </w:tabs>
        <w:rPr>
          <w:sz w:val="20"/>
          <w:szCs w:val="20"/>
          <w:color w:val="auto"/>
        </w:rPr>
      </w:pPr>
      <w:r>
        <w:rPr>
          <w:rFonts w:ascii="Times New Roman" w:cs="Times New Roman" w:eastAsia="Times New Roman" w:hAnsi="Times New Roman"/>
          <w:sz w:val="18"/>
          <w:szCs w:val="18"/>
          <w:color w:val="005C5D"/>
        </w:rPr>
        <w:t>A-12 </w:t>
      </w:r>
      <w:r>
        <w:rPr>
          <w:rFonts w:ascii="Times New Roman" w:cs="Times New Roman" w:eastAsia="Times New Roman" w:hAnsi="Times New Roman"/>
          <w:sz w:val="18"/>
          <w:szCs w:val="18"/>
          <w:color w:val="F5CABF"/>
        </w:rPr>
        <w:tab/>
        <w:t>●</w:t>
      </w:r>
      <w:r>
        <w:rPr>
          <w:rFonts w:ascii="Times New Roman" w:cs="Times New Roman" w:eastAsia="Times New Roman" w:hAnsi="Times New Roman"/>
          <w:sz w:val="18"/>
          <w:szCs w:val="18"/>
          <w:color w:val="005C5D"/>
        </w:rPr>
        <w:t xml:space="preserve"> </w:t>
        <w:tab/>
        <w:t>2026 Proxy Statement</w:t>
      </w:r>
      <w:r>
        <w:rPr>
          <w:sz w:val="20"/>
          <w:szCs w:val="20"/>
          <w:color w:val="auto"/>
        </w:rPr>
        <w:tab/>
      </w:r>
      <w:r>
        <w:rPr>
          <w:rFonts w:ascii="Arial" w:cs="Arial" w:eastAsia="Arial" w:hAnsi="Arial"/>
          <w:sz w:val="21"/>
          <w:szCs w:val="21"/>
          <w:b w:val="1"/>
          <w:bCs w:val="1"/>
          <w:color w:val="005C5D"/>
          <w:vertAlign w:val="superscript"/>
        </w:rPr>
        <w:t>VERA BRADLEY, INC.</w:t>
      </w:r>
    </w:p>
    <w:p>
      <w:pPr>
        <w:sectPr>
          <w:pgSz w:w="11900" w:h="16838" w:orient="portrait"/>
          <w:cols w:equalWidth="0" w:num="1">
            <w:col w:w="11020"/>
          </w:cols>
          <w:pgMar w:left="320" w:top="478" w:right="55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6394450" cy="8296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94450" cy="829691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221615</wp:posOffset>
            </wp:positionV>
            <wp:extent cx="6394450" cy="8296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94450" cy="8296910"/>
                    </a:xfrm>
                    <a:prstGeom prst="rect">
                      <a:avLst/>
                    </a:prstGeom>
                    <a:noFill/>
                  </pic:spPr>
                </pic:pic>
              </a:graphicData>
            </a:graphic>
          </wp:anchor>
        </w:drawing>
      </w:r>
    </w:p>
    <w:sectPr>
      <w:pgSz w:w="11900" w:h="16838" w:orient="portrait"/>
      <w:cols w:equalWidth="0" w:num="1">
        <w:col w:w="10139"/>
      </w:cols>
      <w:pgMar w:left="320" w:top="4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1"/>
      <w:numFmt w:val="bullet"/>
      <w:start w:val="1"/>
    </w:lvl>
  </w:abstractNum>
  <w:abstractNum w:abstractNumId="5">
    <w:nsid w:val="153EA438"/>
    <w:multiLevelType w:val="hybridMultilevel"/>
    <w:lvl w:ilvl="0">
      <w:lvlJc w:val="left"/>
      <w:lvlText w:val="%1"/>
      <w:numFmt w:val="decimal"/>
      <w:start w:val="11"/>
    </w:lvl>
  </w:abstractNum>
  <w:abstractNum w:abstractNumId="6">
    <w:nsid w:val="3855585C"/>
    <w:multiLevelType w:val="hybridMultilevel"/>
    <w:lvl w:ilvl="0">
      <w:lvlJc w:val="left"/>
      <w:lvlText w:val="%1"/>
      <w:numFmt w:val="decimal"/>
      <w:start w:val="13"/>
    </w:lvl>
  </w:abstractNum>
  <w:abstractNum w:abstractNumId="7">
    <w:nsid w:val="70A64E2A"/>
    <w:multiLevelType w:val="hybridMultilevel"/>
    <w:lvl w:ilvl="0">
      <w:lvlJc w:val="left"/>
      <w:lvlText w:val="%1"/>
      <w:numFmt w:val="decimal"/>
      <w:start w:val="13"/>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1)"/>
      <w:numFmt w:val="lowerLetter"/>
      <w:start w:val="5"/>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1)"/>
      <w:numFmt w:val="decimal"/>
      <w:start w:val="1"/>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1."/>
      <w:numFmt w:val="decimal"/>
      <w:start w:val="1"/>
    </w:lvl>
  </w:abstractNum>
  <w:abstractNum w:abstractNumId="30">
    <w:nsid w:val="520EEDD1"/>
    <w:multiLevelType w:val="hybridMultilevel"/>
    <w:lvl w:ilvl="0">
      <w:lvlJc w:val="left"/>
      <w:lvlText w:val="%1."/>
      <w:numFmt w:val="decimal"/>
      <w:start w:val="3"/>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1)"/>
      <w:numFmt w:val="lowerRoman"/>
      <w:start w:val="1"/>
    </w:lvl>
  </w:abstractNum>
  <w:abstractNum w:abstractNumId="33">
    <w:nsid w:val="23F9C13C"/>
    <w:multiLevelType w:val="hybridMultilevel"/>
    <w:lvl w:ilvl="0">
      <w:lvlJc w:val="left"/>
      <w:lvlText w:val="•"/>
      <w:numFmt w:val="bullet"/>
      <w:start w:val="1"/>
    </w:lvl>
    <w:lvl w:ilvl="1">
      <w:lvlJc w:val="left"/>
      <w:lvlText w:val="•"/>
      <w:numFmt w:val="bullet"/>
      <w:start w:val="1"/>
    </w:lvl>
  </w:abstractNum>
  <w:abstractNum w:abstractNumId="34">
    <w:nsid w:val="649BB77C"/>
    <w:multiLevelType w:val="hybridMultilevel"/>
    <w:lvl w:ilvl="0">
      <w:lvlJc w:val="left"/>
      <w:lvlText w:val="(%1)"/>
      <w:numFmt w:val="decimal"/>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1)"/>
      <w:numFmt w:val="lowerRoman"/>
      <w:start w:val="2"/>
    </w:lvl>
  </w:abstractNum>
  <w:abstractNum w:abstractNumId="40">
    <w:nsid w:val="47398C89"/>
    <w:multiLevelType w:val="hybridMultilevel"/>
    <w:lvl w:ilvl="0">
      <w:lvlJc w:val="left"/>
      <w:lvlText w:val="(%1)"/>
      <w:numFmt w:val="decimal"/>
      <w:start w:val="1"/>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1)"/>
      <w:numFmt w:val="decimal"/>
      <w:start w:val="1"/>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1)"/>
      <w:numFmt w:val="lowerRoman"/>
      <w:start w:val="3"/>
    </w:lvl>
  </w:abstractNum>
  <w:abstractNum w:abstractNumId="46">
    <w:nsid w:val="3F6AB60F"/>
    <w:multiLevelType w:val="hybridMultilevel"/>
    <w:lvl w:ilvl="0">
      <w:lvlJc w:val="left"/>
      <w:lvlText w:val="(%1)"/>
      <w:numFmt w:val="lowerRoman"/>
      <w:start w:val="1"/>
    </w:lvl>
  </w:abstractNum>
  <w:abstractNum w:abstractNumId="47">
    <w:nsid w:val="61574095"/>
    <w:multiLevelType w:val="hybridMultilevel"/>
    <w:lvl w:ilvl="0">
      <w:lvlJc w:val="left"/>
      <w:lvlText w:val="(%1)"/>
      <w:numFmt w:val="lowerRoman"/>
      <w:start w:val="3"/>
    </w:lvl>
  </w:abstractNum>
  <w:abstractNum w:abstractNumId="48">
    <w:nsid w:val="7E0C57B1"/>
    <w:multiLevelType w:val="hybridMultilevel"/>
    <w:lvl w:ilvl="0">
      <w:lvlJc w:val="left"/>
      <w:lvlText w:val="(%1)"/>
      <w:numFmt w:val="lowerLetter"/>
      <w:start w:val="2"/>
    </w:lvl>
  </w:abstractNum>
  <w:abstractNum w:abstractNumId="49">
    <w:nsid w:val="77AE35EB"/>
    <w:multiLevelType w:val="hybridMultilevel"/>
    <w:lvl w:ilvl="0">
      <w:lvlJc w:val="left"/>
      <w:lvlText w:val="(%1)"/>
      <w:numFmt w:val="lowerRoman"/>
      <w:start w:val="2"/>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1)"/>
      <w:numFmt w:val="decimal"/>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1)"/>
      <w:numFmt w:val="decimal"/>
      <w:start w:val="1"/>
    </w:lvl>
  </w:abstractNum>
  <w:abstractNum w:abstractNumId="59">
    <w:nsid w:val="5DB70AE5"/>
    <w:multiLevelType w:val="hybridMultilevel"/>
    <w:lvl w:ilvl="0">
      <w:lvlJc w:val="left"/>
      <w:lvlText w:val="%1."/>
      <w:numFmt w:val="decimal"/>
      <w:start w:val="1"/>
    </w:lvl>
  </w:abstractNum>
  <w:abstractNum w:abstractNumId="60">
    <w:nsid w:val="100F8FCA"/>
    <w:multiLevelType w:val="hybridMultilevel"/>
    <w:lvl w:ilvl="0">
      <w:lvlJc w:val="left"/>
      <w:lvlText w:val="(%1)"/>
      <w:numFmt w:val="decimal"/>
      <w:start w:val="12"/>
    </w:lvl>
  </w:abstractNum>
  <w:abstractNum w:abstractNumId="61">
    <w:nsid w:val="6590700B"/>
    <w:multiLevelType w:val="hybridMultilevel"/>
    <w:lvl w:ilvl="0">
      <w:lvlJc w:val="left"/>
      <w:lvlText w:val="%1."/>
      <w:numFmt w:val="decimal"/>
      <w:start w:val="2"/>
    </w:lvl>
  </w:abstractNum>
  <w:abstractNum w:abstractNumId="62">
    <w:nsid w:val="15014ACB"/>
    <w:multiLevelType w:val="hybridMultilevel"/>
    <w:lvl w:ilvl="0">
      <w:lvlJc w:val="left"/>
      <w:lvlText w:val="(%1)"/>
      <w:numFmt w:val="lowerRoman"/>
      <w:start w:val="2"/>
    </w:lvl>
  </w:abstractNum>
  <w:abstractNum w:abstractNumId="63">
    <w:nsid w:val="5F5E7FD0"/>
    <w:multiLevelType w:val="hybridMultilevel"/>
    <w:lvl w:ilvl="0">
      <w:lvlJc w:val="left"/>
      <w:lvlText w:val="%1."/>
      <w:numFmt w:val="decimal"/>
      <w:start w:val="3"/>
    </w:lvl>
  </w:abstractNum>
  <w:abstractNum w:abstractNumId="64">
    <w:nsid w:val="98A3148"/>
    <w:multiLevelType w:val="hybridMultilevel"/>
    <w:lvl w:ilvl="0">
      <w:lvlJc w:val="left"/>
      <w:lvlText w:val="%1."/>
      <w:numFmt w:val="decimal"/>
      <w:start w:val="4"/>
    </w:lvl>
  </w:abstractNum>
  <w:abstractNum w:abstractNumId="65">
    <w:nsid w:val="799D0247"/>
    <w:multiLevelType w:val="hybridMultilevel"/>
    <w:lvl w:ilvl="0">
      <w:lvlJc w:val="left"/>
      <w:lvlText w:val="%1."/>
      <w:numFmt w:val="decimal"/>
      <w:start w:val="5"/>
    </w:lvl>
  </w:abstractNum>
  <w:abstractNum w:abstractNumId="66">
    <w:nsid w:val="6B94764"/>
    <w:multiLevelType w:val="hybridMultilevel"/>
    <w:lvl w:ilvl="0">
      <w:lvlJc w:val="left"/>
      <w:lvlText w:val="%1."/>
      <w:numFmt w:val="decimal"/>
      <w:start w:val="6"/>
    </w:lvl>
  </w:abstractNum>
  <w:abstractNum w:abstractNumId="67">
    <w:nsid w:val="42C296BD"/>
    <w:multiLevelType w:val="hybridMultilevel"/>
    <w:lvl w:ilvl="0">
      <w:lvlJc w:val="left"/>
      <w:lvlText w:val="%1"/>
      <w:numFmt w:val="upperLetter"/>
      <w:start w:val="1"/>
    </w:lvl>
    <w:lvl w:ilvl="1">
      <w:lvlJc w:val="left"/>
      <w:lvlText w:val="(%2)"/>
      <w:numFmt w:val="lowerLetter"/>
      <w:start w:val="1"/>
    </w:lvl>
  </w:abstractNum>
  <w:abstractNum w:abstractNumId="68">
    <w:nsid w:val="168E121F"/>
    <w:multiLevelType w:val="hybridMultilevel"/>
    <w:lvl w:ilvl="0">
      <w:lvlJc w:val="left"/>
      <w:lvlText w:val="(%1)"/>
      <w:numFmt w:val="upperLetter"/>
      <w:start w:val="2"/>
    </w:lvl>
    <w:lvl w:ilvl="1">
      <w:lvlJc w:val="left"/>
      <w:lvlText w:val="%2"/>
      <w:numFmt w:val="lowerLetter"/>
      <w:start w:val="1"/>
    </w:lvl>
  </w:abstractNum>
  <w:abstractNum w:abstractNumId="69">
    <w:nsid w:val="1EBA5D23"/>
    <w:multiLevelType w:val="hybridMultilevel"/>
    <w:lvl w:ilvl="0">
      <w:lvlJc w:val="left"/>
      <w:lvlText w:val="%1"/>
      <w:numFmt w:val="decimal"/>
      <w:start w:val="1"/>
    </w:lvl>
    <w:lvl w:ilvl="1">
      <w:lvlJc w:val="left"/>
      <w:lvlText w:val="(%2)"/>
      <w:numFmt w:val="lowerLetter"/>
      <w:start w:val="4"/>
    </w:lvl>
  </w:abstractNum>
  <w:abstractNum w:abstractNumId="70">
    <w:nsid w:val="661E3F1E"/>
    <w:multiLevelType w:val="hybridMultilevel"/>
    <w:lvl w:ilvl="0">
      <w:lvlJc w:val="left"/>
      <w:lvlText w:val="%1."/>
      <w:numFmt w:val="decimal"/>
      <w:start w:val="7"/>
    </w:lvl>
    <w:lvl w:ilvl="1">
      <w:lvlJc w:val="left"/>
      <w:lvlText w:val="%2"/>
      <w:numFmt w:val="lowerLetter"/>
      <w:start w:val="1"/>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 "/>
      <w:numFmt w:val="bullet"/>
      <w:start w:val="1"/>
    </w:lvl>
  </w:abstractNum>
  <w:abstractNum w:abstractNumId="73">
    <w:nsid w:val="7BD3EE7B"/>
    <w:multiLevelType w:val="hybridMultilevel"/>
    <w:lvl w:ilvl="0">
      <w:lvlJc w:val="left"/>
      <w:lvlText w:val="%1."/>
      <w:numFmt w:val="decimal"/>
      <w:start w:val="8"/>
    </w:lvl>
  </w:abstractNum>
  <w:abstractNum w:abstractNumId="74">
    <w:nsid w:val="51D9C564"/>
    <w:multiLevelType w:val="hybridMultilevel"/>
    <w:lvl w:ilvl="0">
      <w:lvlJc w:val="left"/>
      <w:lvlText w:val="%1."/>
      <w:numFmt w:val="decimal"/>
      <w:start w:val="9"/>
    </w:lvl>
  </w:abstractNum>
  <w:abstractNum w:abstractNumId="75">
    <w:nsid w:val="613EFDC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2026-04-24T12:29:14Z</dcterms:created>
  <dcterms:modified xsi:type="dcterms:W3CDTF">2026-04-24T12:29:14Z</dcterms:modified>
</cp:coreProperties>
</file>