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4, 2024</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37" w:lineRule="exact"/>
        <w:rPr>
          <w:sz w:val="20"/>
          <w:szCs w:val="20"/>
          <w:color w:val="auto"/>
        </w:rPr>
      </w:pPr>
    </w:p>
    <w:p>
      <w:pPr>
        <w:jc w:val="both"/>
        <w:ind w:left="20"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15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29,487,786 shares of its common stock outstanding as of 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31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10"/>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May 4, 2024, and February 3,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Thirteen Weeks Ended May 4, 2024, and April 29, 2023</w:t>
            </w:r>
          </w:p>
        </w:tc>
        <w:tc>
          <w:tcPr>
            <w:tcW w:w="1820" w:type="dxa"/>
            <w:vAlign w:val="bottom"/>
            <w:gridSpan w:val="4"/>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Thirteen Weeks Ended May 4, 2024, and April 29,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9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Thirteen Weeks Ended May 4, 2024, and April 29, 2023</w:t>
            </w: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Thirteen Weeks Ended May 4, 2024, and April 29, 2023</w:t>
            </w:r>
          </w:p>
        </w:tc>
        <w:tc>
          <w:tcPr>
            <w:tcW w:w="640" w:type="dxa"/>
            <w:vAlign w:val="bottom"/>
            <w:tcBorders>
              <w:top w:val="single" w:sz="8" w:color="0000FF"/>
            </w:tcBorders>
          </w:tcPr>
          <w:p>
            <w:pPr>
              <w:spacing w:after="0"/>
              <w:rPr>
                <w:sz w:val="22"/>
                <w:szCs w:val="22"/>
                <w:color w:val="auto"/>
              </w:rPr>
            </w:pPr>
          </w:p>
        </w:tc>
        <w:tc>
          <w:tcPr>
            <w:tcW w:w="11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2"/>
                <w:szCs w:val="22"/>
                <w:color w:val="auto"/>
              </w:rPr>
            </w:pPr>
          </w:p>
        </w:tc>
        <w:tc>
          <w:tcPr>
            <w:tcW w:w="3640" w:type="dxa"/>
            <w:vAlign w:val="bottom"/>
            <w:gridSpan w:val="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83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63"/>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8"/>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2"/>
                <w:szCs w:val="22"/>
                <w:color w:val="auto"/>
              </w:rPr>
            </w:pPr>
          </w:p>
        </w:tc>
        <w:tc>
          <w:tcPr>
            <w:tcW w:w="8780" w:type="dxa"/>
            <w:vAlign w:val="bottom"/>
            <w:gridSpan w:val="1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including Project Restoration;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February 3, 2024,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118,278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66,488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368,689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380,786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18,452</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120,857</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43,447 and 43,253 shares issued and 30,048 and 30,814</w:t>
            </w:r>
          </w:p>
        </w:tc>
        <w:tc>
          <w:tcPr>
            <w:tcW w:w="3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282,467</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(135,056)</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259,929</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80" w:type="dxa"/>
            <w:vAlign w:val="bottom"/>
          </w:tcPr>
          <w:p>
            <w:pPr>
              <w:spacing w:after="0"/>
              <w:rPr>
                <w:sz w:val="11"/>
                <w:szCs w:val="11"/>
                <w:color w:val="auto"/>
              </w:rPr>
            </w:pPr>
          </w:p>
        </w:tc>
        <w:tc>
          <w:tcPr>
            <w:tcW w:w="1160" w:type="dxa"/>
            <w:vAlign w:val="bottom"/>
          </w:tcPr>
          <w:p>
            <w:pPr>
              <w:jc w:val="right"/>
              <w:ind w:right="372"/>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42,613</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196"/>
        </w:trPr>
        <w:tc>
          <w:tcPr>
            <w:tcW w:w="824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(8,121)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(4,679)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w:t>
            </w:r>
          </w:p>
        </w:tc>
      </w:tr>
      <w:tr>
        <w:trPr>
          <w:trHeight w:val="270"/>
        </w:trPr>
        <w:tc>
          <w:tcPr>
            <w:tcW w:w="8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80" w:type="dxa"/>
            <w:vAlign w:val="bottom"/>
          </w:tcPr>
          <w:p>
            <w:pPr>
              <w:spacing w:after="0"/>
              <w:rPr>
                <w:sz w:val="11"/>
                <w:szCs w:val="11"/>
                <w:color w:val="auto"/>
              </w:rPr>
            </w:pPr>
          </w:p>
        </w:tc>
        <w:tc>
          <w:tcPr>
            <w:tcW w:w="1160" w:type="dxa"/>
            <w:vAlign w:val="bottom"/>
          </w:tcPr>
          <w:p>
            <w:pPr>
              <w:jc w:val="right"/>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30,813,616</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12,439,244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(135,056)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259,929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194,033</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30,048,463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13,398,430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(141,404)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240" w:type="dxa"/>
            <w:vAlign w:val="bottom"/>
          </w:tcPr>
          <w:p>
            <w:pPr>
              <w:spacing w:after="0"/>
              <w:rPr>
                <w:sz w:val="24"/>
                <w:szCs w:val="24"/>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30,766,024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12,079,690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274,629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(132,864)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251,378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330,500</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noncontrolling interest equity adjustment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April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30,968,424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12,207,790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(133,596)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246,992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8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60" w:type="dxa"/>
            <w:vAlign w:val="bottom"/>
          </w:tcPr>
          <w:p>
            <w:pPr>
              <w:spacing w:after="0"/>
              <w:rPr>
                <w:sz w:val="11"/>
                <w:szCs w:val="11"/>
                <w:color w:val="auto"/>
              </w:rPr>
            </w:pPr>
          </w:p>
        </w:tc>
        <w:tc>
          <w:tcPr>
            <w:tcW w:w="1160" w:type="dxa"/>
            <w:vAlign w:val="bottom"/>
          </w:tcPr>
          <w:p>
            <w:pPr>
              <w:jc w:val="right"/>
              <w:ind w:right="368"/>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non-cash loss, net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w:t>
            </w:r>
          </w:p>
        </w:tc>
      </w:tr>
      <w:tr>
        <w:trPr>
          <w:trHeight w:val="210"/>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195"/>
        </w:trPr>
        <w:tc>
          <w:tcPr>
            <w:tcW w:w="8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10"/>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r>
      <w:tr>
        <w:trPr>
          <w:trHeight w:val="195"/>
        </w:trPr>
        <w:tc>
          <w:tcPr>
            <w:tcW w:w="8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r>
      <w:tr>
        <w:trPr>
          <w:trHeight w:val="210"/>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(4,763)</w:t>
            </w:r>
          </w:p>
        </w:tc>
      </w:tr>
      <w:tr>
        <w:trPr>
          <w:trHeight w:val="196"/>
        </w:trPr>
        <w:tc>
          <w:tcPr>
            <w:tcW w:w="8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(3,694)</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(8,755)</w:t>
            </w: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196"/>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business acquisition</w:t>
            </w:r>
          </w:p>
        </w:tc>
        <w:tc>
          <w:tcPr>
            <w:tcW w:w="2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03"/>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w:t>
            </w: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r>
      <w:tr>
        <w:trPr>
          <w:trHeight w:val="196"/>
        </w:trPr>
        <w:tc>
          <w:tcPr>
            <w:tcW w:w="83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r>
      <w:tr>
        <w:trPr>
          <w:trHeight w:val="18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(21,257)</w:t>
            </w:r>
          </w:p>
        </w:tc>
      </w:tr>
      <w:tr>
        <w:trPr>
          <w:trHeight w:val="196"/>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46,595</w:t>
            </w:r>
          </w:p>
        </w:tc>
      </w:tr>
      <w:tr>
        <w:trPr>
          <w:trHeight w:val="22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8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60" w:type="dxa"/>
            <w:vAlign w:val="bottom"/>
          </w:tcPr>
          <w:p>
            <w:pPr>
              <w:spacing w:after="0"/>
              <w:rPr>
                <w:sz w:val="11"/>
                <w:szCs w:val="11"/>
                <w:color w:val="auto"/>
              </w:rPr>
            </w:pPr>
          </w:p>
        </w:tc>
        <w:tc>
          <w:tcPr>
            <w:tcW w:w="1180" w:type="dxa"/>
            <w:vAlign w:val="bottom"/>
          </w:tcPr>
          <w:p>
            <w:pPr>
              <w:jc w:val="right"/>
              <w:ind w:right="388"/>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8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8"/>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 incurred but not yet paid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On January 30, 2023, the Company purchased the remaining 25% interest in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segment consists of sales of Vera Bradley products through Vera Bradley full-line and outlet stores in the United States; e-commerce sites (verabradley.com, outlet.verabradley.com, and international.verabradley.com); and the Vera Bradley annual outlet sale in Fort Wayne, Indiana. As of May 4, 2024, the Company operated 42 full-line stores and 81 outlet stores.</w:t>
      </w:r>
    </w:p>
    <w:p>
      <w:pPr>
        <w:spacing w:after="0" w:line="54"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segment consists of revenues generated through the distribution of Vera Bradley-branded products to specialty retailers representing approximately 1,450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4"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and www.puravidabracelets.eu); through the distribution of Pura Vida-branded products to wholesale retailers, substantially all of which are located in the United States; and through its five retail stores.</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3, 2024, filed with the SEC.</w:t>
      </w:r>
    </w:p>
    <w:p>
      <w:pPr>
        <w:spacing w:after="0" w:line="6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4, 2024,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including Pura Vida.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eliminated intercompany balances and transactions in consolidation.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May 4, 2024 and April 29, 2023 refer to the thirteen week periods ended on those dates.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which became effective during the thirteen weeks ended May 4, 2024, which had, or are expected to have, a significant impact on the Company's Consolidated Financial Statements.</w:t>
      </w:r>
    </w:p>
    <w:p>
      <w:pPr>
        <w:spacing w:after="0" w:line="185" w:lineRule="exact"/>
        <w:rPr>
          <w:sz w:val="20"/>
          <w:szCs w:val="20"/>
          <w:color w:val="auto"/>
        </w:rPr>
      </w:pPr>
    </w:p>
    <w:p>
      <w:pPr>
        <w:ind w:left="660" w:right="7380" w:hanging="652"/>
        <w:spacing w:after="0" w:line="52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weeks ended May 4, 2024 and April 29,</w:t>
      </w:r>
    </w:p>
    <w:p>
      <w:pPr>
        <w:spacing w:after="0" w:line="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2023 (in thousands):</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23,292</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780" w:hanging="6"/>
        <w:spacing w:after="0" w:line="234"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million of net revenues related to product sales recognized at a point in time and $0.5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34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94,362</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million of net revenues related to product sales recognized at a point in time and $0.7 million of net revenues related to sales-based royalties recognized over time.</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18"/>
          <w:szCs w:val="18"/>
          <w:color w:val="auto"/>
        </w:rPr>
        <w:t>Contract liabilities as of May 4, 2024 and February 3, 2024, were $2.2 million and $2.6 million, respectively. The balance as of May 4, 2024 and February 3, 2024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Condensed Consolidated Balance Sheets. Substantially all contract liabilities are recognized within one year. The Company did not have contract assets as of May 4, 2024 and February 3, 2024.</w:t>
      </w:r>
    </w:p>
    <w:p>
      <w:pPr>
        <w:spacing w:after="0" w:line="48"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May 4, 2024 and February 3, 2024, was $17.2 million and $16.4 million, respectively, which is recognized within accounts receivable, net, on the Company’s Condensed Consolidated Balance Sheets. The provision for doubtful accounts was $1.1 million as of May 4, 2024 and February 3, 2024,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May 4, 2024.</w:t>
      </w:r>
    </w:p>
    <w:p>
      <w:pPr>
        <w:spacing w:after="0" w:line="185" w:lineRule="exact"/>
        <w:rPr>
          <w:sz w:val="20"/>
          <w:szCs w:val="20"/>
          <w:color w:val="auto"/>
        </w:rPr>
      </w:pPr>
    </w:p>
    <w:p>
      <w:pPr>
        <w:ind w:left="660" w:right="9560" w:hanging="652"/>
        <w:spacing w:after="0" w:line="383" w:lineRule="auto"/>
        <w:tabs>
          <w:tab w:leader="none" w:pos="6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color w:val="auto"/>
        </w:rPr>
        <w:t>Discount Rate</w:t>
      </w:r>
    </w:p>
    <w:p>
      <w:pPr>
        <w:spacing w:after="0" w:line="1" w:lineRule="exact"/>
        <w:rPr>
          <w:rFonts w:ascii="Times New Roman" w:cs="Times New Roman" w:eastAsia="Times New Roman" w:hAnsi="Times New Roman"/>
          <w:sz w:val="17"/>
          <w:szCs w:val="17"/>
          <w:b w:val="1"/>
          <w:bCs w:val="1"/>
          <w:color w:val="auto"/>
        </w:rPr>
      </w:pPr>
    </w:p>
    <w:p>
      <w:pPr>
        <w:ind w:left="660" w:right="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weighted-average discount rate as of May 4, 2024, and April 29, 2023 was 4.9% and 4.7%,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10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of May 4, 2024, the Company had one lease which was executed but for which it did not have control of the underlying asset; therefore, the lease liability and right-of-use asset are not recorded on the Condensed Consolidated Balance Sheet. This lease contains undiscounted lease payments, which will be included in the determination of the lease liability, totaling approximately $0.8 million and has a term of approximately 5 years commencing in fiscal year 2025.</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right="6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weeks ended May 4, 2024 and April 29, 2023 (in thousands):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26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6,397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6,565</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1,229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1,356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7,761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7,938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May 4, 2024 and April 29, 2023 was 5.1 years and 5.4 years,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20" w:type="dxa"/>
            <w:vAlign w:val="bottom"/>
            <w:gridSpan w:val="4"/>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300" w:type="dxa"/>
            <w:vAlign w:val="bottom"/>
          </w:tcPr>
          <w:p>
            <w:pPr>
              <w:spacing w:after="0"/>
              <w:rPr>
                <w:sz w:val="16"/>
                <w:szCs w:val="16"/>
                <w:color w:val="auto"/>
              </w:rPr>
            </w:pPr>
          </w:p>
        </w:tc>
        <w:tc>
          <w:tcPr>
            <w:tcW w:w="15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April 29, 2023</w:t>
            </w:r>
          </w:p>
        </w:tc>
      </w:tr>
      <w:tr>
        <w:trPr>
          <w:trHeight w:val="229"/>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r>
      <w:tr>
        <w:trPr>
          <w:trHeight w:val="184"/>
        </w:trPr>
        <w:tc>
          <w:tcPr>
            <w:tcW w:w="6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rFonts w:ascii="Times New Roman" w:cs="Times New Roman" w:eastAsia="Times New Roman" w:hAnsi="Times New Roman"/>
          <w:sz w:val="18"/>
          <w:szCs w:val="18"/>
          <w:b w:val="1"/>
          <w:bCs w:val="1"/>
          <w:color w:val="auto"/>
        </w:rPr>
      </w:pPr>
    </w:p>
    <w:p>
      <w:pPr>
        <w:ind w:left="66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1"/>
        </w:trPr>
        <w:tc>
          <w:tcPr>
            <w:tcW w:w="6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60" w:type="dxa"/>
            <w:vAlign w:val="bottom"/>
          </w:tcPr>
          <w:p>
            <w:pPr>
              <w:spacing w:after="0"/>
              <w:rPr>
                <w:sz w:val="11"/>
                <w:szCs w:val="11"/>
                <w:color w:val="auto"/>
              </w:rPr>
            </w:pPr>
          </w:p>
        </w:tc>
        <w:tc>
          <w:tcPr>
            <w:tcW w:w="110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6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196"/>
        </w:trPr>
        <w:tc>
          <w:tcPr>
            <w:tcW w:w="6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(8,121)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(4,679)</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loss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63" w:lineRule="exact"/>
        <w:rPr>
          <w:sz w:val="20"/>
          <w:szCs w:val="20"/>
          <w:color w:val="auto"/>
        </w:rPr>
      </w:pPr>
    </w:p>
    <w:p>
      <w:pPr>
        <w:ind w:left="660" w:right="440"/>
        <w:spacing w:after="0" w:line="250" w:lineRule="auto"/>
        <w:rPr>
          <w:sz w:val="20"/>
          <w:szCs w:val="20"/>
          <w:color w:val="auto"/>
        </w:rPr>
      </w:pPr>
      <w:r>
        <w:rPr>
          <w:rFonts w:ascii="Times New Roman" w:cs="Times New Roman" w:eastAsia="Times New Roman" w:hAnsi="Times New Roman"/>
          <w:sz w:val="18"/>
          <w:szCs w:val="18"/>
          <w:color w:val="auto"/>
        </w:rPr>
        <w:t>For the thirteen weeks ended May 4, 2024 and April 29, 2023,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May 4, 2024 and February 3, 2024, approximated their fair values.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May 4, 2024 and February 3, 2024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0" w:type="dxa"/>
            <w:vAlign w:val="bottom"/>
            <w:gridSpan w:val="6"/>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8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8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33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80" w:right="940" w:hanging="6"/>
        <w:spacing w:after="0" w:line="237" w:lineRule="auto"/>
        <w:tabs>
          <w:tab w:leader="none" w:pos="9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120"/>
        <w:spacing w:after="0" w:line="255"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There were no long-lived asset impairment charges for the thirteen weeks ended May 4, 2024 or April 29, 2023.</w:t>
      </w:r>
    </w:p>
    <w:p>
      <w:pPr>
        <w:spacing w:after="0" w:line="69"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66"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 as well as intangible assets related to the Pura Vida acquisition. These assets are measured at fair value if determined to be impaired. There were no intangible asset impairment charges recorded during the thirteen weeks ended May 4, 2024 or April 29, 2023. Refer to Note 13 herein for additional information.</w:t>
      </w:r>
    </w:p>
    <w:p>
      <w:pPr>
        <w:spacing w:after="0" w:line="284"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dated September 7, 2018.</w:t>
      </w:r>
    </w:p>
    <w:p>
      <w:pPr>
        <w:spacing w:after="0" w:line="58"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48"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1"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w:t>
      </w:r>
    </w:p>
    <w:p>
      <w:pPr>
        <w:spacing w:after="0" w:line="27"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1.00 to 1.00 during periods when borrowing availability is less than the greater of (A) $9.4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64" w:lineRule="exact"/>
        <w:rPr>
          <w:sz w:val="20"/>
          <w:szCs w:val="20"/>
          <w:color w:val="auto"/>
        </w:rPr>
      </w:pPr>
    </w:p>
    <w:p>
      <w:pPr>
        <w:ind w:left="660" w:right="120"/>
        <w:spacing w:after="0" w:line="272"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60" w:hanging="4"/>
        <w:spacing w:after="0" w:line="255" w:lineRule="auto"/>
        <w:tabs>
          <w:tab w:leader="none" w:pos="9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104" w:lineRule="exact"/>
        <w:rPr>
          <w:sz w:val="20"/>
          <w:szCs w:val="20"/>
          <w:color w:val="auto"/>
        </w:rPr>
      </w:pPr>
    </w:p>
    <w:p>
      <w:pPr>
        <w:ind w:left="660" w:right="720"/>
        <w:spacing w:after="0" w:line="282" w:lineRule="auto"/>
        <w:rPr>
          <w:sz w:val="20"/>
          <w:szCs w:val="20"/>
          <w:color w:val="auto"/>
        </w:rPr>
      </w:pPr>
      <w:r>
        <w:rPr>
          <w:rFonts w:ascii="Times New Roman" w:cs="Times New Roman" w:eastAsia="Times New Roman" w:hAnsi="Times New Roman"/>
          <w:sz w:val="18"/>
          <w:szCs w:val="18"/>
          <w:color w:val="auto"/>
        </w:rPr>
        <w:t>As of May 4, 2024 and February 3, 2024, the Company had no borrowings outstanding and availability of $75.0 million under the Credit Agreement.</w:t>
      </w:r>
    </w:p>
    <w:p>
      <w:pPr>
        <w:spacing w:after="0" w:line="18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May 4, 2024, was 25.0%, compared to 27.1% for the thirteen weeks ended April 29, 2023. The year-over-year effective tax rate decrease was primarily due to the relative impact of permanent and discrete items in the current-year period compared to the prior-year period, primarily as a result of non-deductible executive compensation and stock-based compensation.</w:t>
      </w:r>
    </w:p>
    <w:p>
      <w:pPr>
        <w:spacing w:after="0" w:line="54"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12 herein for information regarding the deferred income tax adjustment associated with the purchase of the remaining 25% interest in Pura Vida on January 30, 2023.</w:t>
      </w:r>
    </w:p>
    <w:p>
      <w:pPr>
        <w:spacing w:after="0" w:line="2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21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173" w:lineRule="exact"/>
        <w:rPr>
          <w:rFonts w:ascii="Times New Roman" w:cs="Times New Roman" w:eastAsia="Times New Roman" w:hAnsi="Times New Roman"/>
          <w:sz w:val="18"/>
          <w:szCs w:val="18"/>
          <w:b w:val="1"/>
          <w:bCs w:val="1"/>
          <w:color w:val="auto"/>
        </w:rPr>
      </w:pPr>
    </w:p>
    <w:p>
      <w:pPr>
        <w:ind w:left="6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May 4, 2024, the Company granted 741,035 time-based and performance-based restricted stock units with an aggregate fair value of $5.0 million to certain employees and non-employee directors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under the 2020 Equity and Incentive Plan compared to 542,570 time-based and performance-based restricted stock units with an aggregate fair value of $3.2 million in the same period of the prior year.</w:t>
      </w:r>
    </w:p>
    <w:p>
      <w:pPr>
        <w:spacing w:after="0" w:line="108"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6"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thirteen weeks ended May 4, 2024 (units in thousands):</w:t>
      </w:r>
    </w:p>
    <w:p>
      <w:pPr>
        <w:spacing w:after="0" w:line="2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2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3,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May 4,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300"/>
        <w:spacing w:after="0" w:line="312" w:lineRule="auto"/>
        <w:rPr>
          <w:sz w:val="20"/>
          <w:szCs w:val="20"/>
          <w:color w:val="auto"/>
        </w:rPr>
      </w:pPr>
      <w:r>
        <w:rPr>
          <w:rFonts w:ascii="Times New Roman" w:cs="Times New Roman" w:eastAsia="Times New Roman" w:hAnsi="Times New Roman"/>
          <w:sz w:val="17"/>
          <w:szCs w:val="17"/>
          <w:color w:val="auto"/>
        </w:rPr>
        <w:t>As of May 4, 2024, there was $7.4 million of total unrecognized compensation cost, net of estimated forfeitures, related to nonvested restricted stock units. That cost is expected to be recognized over a weighted-average period of 2.1 years, subject to meeting performance conditions.</w:t>
      </w:r>
    </w:p>
    <w:p>
      <w:pPr>
        <w:spacing w:after="0" w:line="24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40" w:lineRule="exact"/>
        <w:rPr>
          <w:rFonts w:ascii="Times New Roman" w:cs="Times New Roman" w:eastAsia="Times New Roman" w:hAnsi="Times New Roman"/>
          <w:sz w:val="18"/>
          <w:szCs w:val="18"/>
          <w:b w:val="1"/>
          <w:bCs w:val="1"/>
          <w:color w:val="auto"/>
        </w:rPr>
      </w:pPr>
    </w:p>
    <w:p>
      <w:pPr>
        <w:ind w:left="6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959,186 shares at an average price of $6.62 per share, excluding commissions, for an aggregate amount of $6.3 million during the thirteen weeks ended May 4, 2024 under the 2021 Share Repurchase Program. There was $19.2 million remaining available to repurchase shares of the Company's common stock under the 2021 Share Repurchase Program as of May 4,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0"/>
        <w:spacing w:after="0" w:line="289" w:lineRule="auto"/>
        <w:rPr>
          <w:sz w:val="20"/>
          <w:szCs w:val="20"/>
          <w:color w:val="auto"/>
        </w:rPr>
      </w:pPr>
      <w:r>
        <w:rPr>
          <w:rFonts w:ascii="Times New Roman" w:cs="Times New Roman" w:eastAsia="Times New Roman" w:hAnsi="Times New Roman"/>
          <w:sz w:val="17"/>
          <w:szCs w:val="17"/>
          <w:color w:val="auto"/>
        </w:rPr>
        <w:t>As of May 4, 2024, the Company held as treasury shares 13,398,430 shares of its common stock at an average price of $10.55 per share, excluding commissions, for an aggregate carrying amount of $141.4 million. The Company’s treasury shares may be issued under the 2010 Equity and Incentive Plan (with respect to outstanding awards under that plan), under the 2020 Equity and Incentive Plan, or for other corporate purposes.</w:t>
      </w:r>
    </w:p>
    <w:p>
      <w:pPr>
        <w:spacing w:after="0" w:line="262"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107"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$3.3 million and $3.8 million as of May 4, 2024 and February 3, 2024, respectively. Of this total, $2.4 million and $2.8 million was recorded within prepaid expenses and other current assets and $0.9 million and $1.0 million was recorded within other assets on the Company's Condensed Consolidated Balance Sheets as of May 4, 2024 and February 3, 2024, respectively. The CCA implementation costs are recorded within operating activities in the Company's Condensed Consolidated Statements of Cash Flows.</w:t>
      </w:r>
    </w:p>
    <w:p>
      <w:pPr>
        <w:spacing w:after="0" w:line="200" w:lineRule="exact"/>
        <w:rPr>
          <w:rFonts w:ascii="Times New Roman" w:cs="Times New Roman" w:eastAsia="Times New Roman" w:hAnsi="Times New Roman"/>
          <w:sz w:val="18"/>
          <w:szCs w:val="18"/>
          <w:b w:val="1"/>
          <w:bCs w:val="1"/>
          <w:color w:val="auto"/>
        </w:rPr>
      </w:pPr>
    </w:p>
    <w:p>
      <w:pPr>
        <w:spacing w:after="0" w:line="348"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94"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represented the remaining twenty-five percent (25%) interest in Pura Vida not acquired by the Company until January 30, 2023.</w:t>
      </w:r>
    </w:p>
    <w:p>
      <w:pPr>
        <w:spacing w:after="0" w:line="40"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the Company purchased 75% of Pura Vida's outstanding equity interest and entered into a Put/Call Agreement with the Sellers (the “Put/Call Agreement”) providing for certain rights with respect to the purchase by the Company and sale by the Sellers of the Remaining Pura Vida Interests. On January 23, 2023, the Company and certain of its subsidiaries entered into an Interest Purchase Agreement (the “Interest Purchase Agreement”) with Creative Genius Holdings, Inc. a California corporation, Creative Genius Investments, Inc., a California corporation, Griffin Thall, and Paul Goodman (collectively “Sellers”) to purchase the remaining 25% of the outstanding membership interests (the “Remaining Pura Vida Interests”) of Creative Genius, LLC, a California limited liability company (“Pura Vida”).</w:t>
      </w:r>
    </w:p>
    <w:p>
      <w:pPr>
        <w:spacing w:after="0" w:line="65" w:lineRule="exact"/>
        <w:rPr>
          <w:rFonts w:ascii="Times New Roman" w:cs="Times New Roman" w:eastAsia="Times New Roman" w:hAnsi="Times New Roman"/>
          <w:sz w:val="18"/>
          <w:szCs w:val="18"/>
          <w:b w:val="1"/>
          <w:bCs w:val="1"/>
          <w:color w:val="auto"/>
        </w:rPr>
      </w:pPr>
    </w:p>
    <w:p>
      <w:pPr>
        <w:ind w:left="6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Pursuant to the Interest Purchase Agreement, and subject to the terms and conditions thereof, on the closing date (January 30, 2023), the Company acquired the Remaining Pura Vida Interests (the “Transaction”) in exchange for cash consideration consisting of $10.0 million paid at closing, subject to certain adjustments. The Transaction was not subject to financing conditions. The Company’s existing available cash and cash equivalents funded the purchase price. Following completion of the Transaction, the Company owns 100% of the ownership interests in Pura Vida.</w:t>
      </w:r>
    </w:p>
    <w:p>
      <w:pPr>
        <w:spacing w:after="0" w:line="29" w:lineRule="exact"/>
        <w:rPr>
          <w:rFonts w:ascii="Times New Roman" w:cs="Times New Roman" w:eastAsia="Times New Roman" w:hAnsi="Times New Roman"/>
          <w:sz w:val="18"/>
          <w:szCs w:val="18"/>
          <w:b w:val="1"/>
          <w:bCs w:val="1"/>
          <w:color w:val="auto"/>
        </w:rPr>
      </w:pPr>
    </w:p>
    <w:p>
      <w:pPr>
        <w:ind w:left="6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40" w:lineRule="exact"/>
        <w:rPr>
          <w:rFonts w:ascii="Times New Roman" w:cs="Times New Roman" w:eastAsia="Times New Roman" w:hAnsi="Times New Roman"/>
          <w:sz w:val="18"/>
          <w:szCs w:val="18"/>
          <w:b w:val="1"/>
          <w:bCs w:val="1"/>
          <w:color w:val="auto"/>
        </w:rPr>
      </w:pPr>
    </w:p>
    <w:p>
      <w:pPr>
        <w:ind w:left="6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Transaction, the Company recorded a decrease to redeemable noncontrolling interest of $10.7 million. The difference between the fair value of the consideration paid and the balance of the redeemable noncontrolling interest resulted in $0.7 million recognized in additional paid-in capital (“APIC”) during the thirteen weeks ended April 29, 2023. In addition, there was an APIC adjustment of $0.6 million related to deferred income taxes for the purchase of the redeemable noncontrolling interest. The total APIC adjustment for this matter during the thirteen weeks ended April 29, 2023, was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detail the carrying value of the Company's intangible assets related to the acquisition of a majority interest in Pura Vida. On January 30, 2023, the Company purchased the remaining 25% interest in Pura Vida.</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Amortization</w:t>
            </w:r>
            <w:r>
              <w:rPr>
                <w:rFonts w:ascii="Times New Roman" w:cs="Times New Roman" w:eastAsia="Times New Roman" w:hAnsi="Times New Roman"/>
                <w:sz w:val="18"/>
                <w:szCs w:val="18"/>
                <w:b w:val="1"/>
                <w:bCs w:val="1"/>
                <w:color w:val="auto"/>
                <w:w w:val="99"/>
                <w:vertAlign w:val="superscript"/>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charge of $5.4 million was recorded within the Pura Vida segment during fourth quarter of fiscal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is recorded within selling, general, and administrative expenses in the Company's Condensed Consolidated Statement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Operations. The future amortization expense for intangible assets is as follows (in thousands):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7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(remaining nine months)</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right="7000" w:hanging="652"/>
        <w:spacing w:after="0" w:line="375" w:lineRule="auto"/>
        <w:tabs>
          <w:tab w:leader="none" w:pos="655"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ind w:left="660" w:right="2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fiscal 2023, the Company began implementation of its targeted cost reductions, which are expected to be fully realized in fiscal 2025. Expense savings are being derived across various areas of the Company, including retail store efficiencies, marketing expenses, information technology contracts, professional services, logistics and operational costs, and corporate payroll.</w:t>
      </w:r>
    </w:p>
    <w:p>
      <w:pPr>
        <w:spacing w:after="0" w:line="54"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incurred the following charges during the thirteen weeks ended May 4, 2024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cost of goods sold and selling, general, and administrative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pacing w:after="0" w:line="27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2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3,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center"/>
              <w:ind w:left="1456"/>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 charges</w:t>
            </w:r>
          </w:p>
        </w:tc>
        <w:tc>
          <w:tcPr>
            <w:tcW w:w="120" w:type="dxa"/>
            <w:vAlign w:val="bottom"/>
          </w:tcPr>
          <w:p>
            <w:pPr>
              <w:spacing w:after="0"/>
              <w:rPr>
                <w:sz w:val="19"/>
                <w:szCs w:val="19"/>
                <w:color w:val="auto"/>
              </w:rPr>
            </w:pPr>
          </w:p>
        </w:tc>
        <w:tc>
          <w:tcPr>
            <w:tcW w:w="1940" w:type="dxa"/>
            <w:vAlign w:val="bottom"/>
          </w:tcPr>
          <w:p>
            <w:pPr>
              <w:jc w:val="center"/>
              <w:ind w:left="1456"/>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center"/>
              <w:ind w:left="1436"/>
              <w:spacing w:after="0"/>
              <w:rPr>
                <w:sz w:val="20"/>
                <w:szCs w:val="20"/>
                <w:color w:val="auto"/>
              </w:rPr>
            </w:pPr>
            <w:r>
              <w:rPr>
                <w:rFonts w:ascii="Times New Roman" w:cs="Times New Roman" w:eastAsia="Times New Roman" w:hAnsi="Times New Roman"/>
                <w:sz w:val="18"/>
                <w:szCs w:val="18"/>
                <w:color w:val="auto"/>
                <w:w w:val="97"/>
              </w:rPr>
              <w:t>(668)</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May 4,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center"/>
              <w:ind w:left="1456"/>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April 29, 2023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Severance charges </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CFO severance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professional fees</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within SG&amp;A expenses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ectPr>
          <w:pgSz w:w="11900" w:h="16838" w:orient="portrait"/>
          <w:cols w:equalWidth="0" w:num="1">
            <w:col w:w="10740"/>
          </w:cols>
          <w:pgMar w:left="320"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62407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Fiscal 2024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078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April 29, 2023</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(1) Remaining liability is recorded within accrued employment costs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140" w:type="dxa"/>
            <w:vAlign w:val="bottom"/>
          </w:tcPr>
          <w:p>
            <w:pPr>
              <w:spacing w:after="0"/>
              <w:rPr>
                <w:sz w:val="13"/>
                <w:szCs w:val="13"/>
                <w:color w:val="auto"/>
              </w:rPr>
            </w:pPr>
          </w:p>
        </w:tc>
        <w:tc>
          <w:tcPr>
            <w:tcW w:w="18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148"/>
        </w:trPr>
        <w:tc>
          <w:tcPr>
            <w:tcW w:w="21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1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0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Charges </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840" w:type="dxa"/>
            <w:vAlign w:val="bottom"/>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18"/>
        </w:trPr>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center"/>
              <w:ind w:left="1316"/>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940" w:type="dxa"/>
            <w:vAlign w:val="bottom"/>
          </w:tcPr>
          <w:p>
            <w:pPr>
              <w:jc w:val="center"/>
              <w:ind w:left="1316"/>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left="1296"/>
              <w:spacing w:after="0"/>
              <w:rPr>
                <w:sz w:val="20"/>
                <w:szCs w:val="20"/>
                <w:color w:val="auto"/>
              </w:rPr>
            </w:pPr>
            <w:r>
              <w:rPr>
                <w:rFonts w:ascii="Times New Roman" w:cs="Times New Roman" w:eastAsia="Times New Roman" w:hAnsi="Times New Roman"/>
                <w:sz w:val="18"/>
                <w:szCs w:val="18"/>
                <w:color w:val="auto"/>
                <w:w w:val="98"/>
              </w:rPr>
              <w:t>(2,913)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center"/>
              <w:ind w:left="1316"/>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7" w:lineRule="exact"/>
        <w:rPr>
          <w:sz w:val="20"/>
          <w:szCs w:val="20"/>
          <w:color w:val="auto"/>
        </w:rPr>
      </w:pPr>
    </w:p>
    <w:p>
      <w:pPr>
        <w:sectPr>
          <w:pgSz w:w="11900" w:h="16838" w:orient="portrait"/>
          <w:cols w:equalWidth="0" w:num="2">
            <w:col w:w="5620" w:space="720"/>
            <w:col w:w="4400"/>
          </w:cols>
          <w:pgMar w:left="320" w:top="117"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7"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0"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outlet stores; e-commerce sites (verabradley.com, outlet.verabradley.com, and international.verabradley.com); and the Vera Bradley annual outlet sale. Revenues generated from this segment are driven through the sale of Vera Bradley-branded products from Vera Bradley to end consumers.</w:t>
      </w:r>
    </w:p>
    <w:p>
      <w:pPr>
        <w:spacing w:after="0" w:line="54" w:lineRule="exact"/>
        <w:rPr>
          <w:rFonts w:ascii="Times New Roman" w:cs="Times New Roman" w:eastAsia="Times New Roman" w:hAnsi="Times New Roman"/>
          <w:sz w:val="18"/>
          <w:szCs w:val="18"/>
          <w:b w:val="1"/>
          <w:bCs w:val="1"/>
          <w:color w:val="auto"/>
        </w:rPr>
      </w:pPr>
    </w:p>
    <w:p>
      <w:pPr>
        <w:ind w:left="6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1,450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and www.puravidabracelets.eu); through the distribution of Pura Vida-branded products to wholesale retailers, substantially all of which are located in the United States; and through the Pura Vida retail stores.</w:t>
      </w:r>
    </w:p>
    <w:p>
      <w:pPr>
        <w:spacing w:after="0" w:line="40"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58" w:lineRule="exact"/>
        <w:rPr>
          <w:rFonts w:ascii="Times New Roman" w:cs="Times New Roman" w:eastAsia="Times New Roman" w:hAnsi="Times New Roman"/>
          <w:sz w:val="18"/>
          <w:szCs w:val="18"/>
          <w:b w:val="1"/>
          <w:bCs w:val="1"/>
          <w:color w:val="auto"/>
        </w:rPr>
      </w:pPr>
    </w:p>
    <w:p>
      <w:pPr>
        <w:ind w:left="660" w:right="2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income (loss) information for the Company’s reportable segments during the thirteen weeks ended May 4, 2024 and April 29, 2023,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Pr>
          <w:p>
            <w:pPr>
              <w:spacing w:after="0"/>
              <w:rPr>
                <w:sz w:val="11"/>
                <w:szCs w:val="11"/>
                <w:color w:val="auto"/>
              </w:rPr>
            </w:pPr>
          </w:p>
        </w:tc>
        <w:tc>
          <w:tcPr>
            <w:tcW w:w="1260" w:type="dxa"/>
            <w:vAlign w:val="bottom"/>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23"/>
        </w:trPr>
        <w:tc>
          <w:tcPr>
            <w:tcW w:w="6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weeks ended May 4, 2024 and April 29, 2023. The following discussion should be read in conjunction with our Annual Report on Form 10-K for the fiscal year ended February 3, 2024, and our unaudited condensed consolidated financial statements and the related notes included in Item 1 of this Quarterly Report. The results of operations for the thirteen weeks ended May 4, 2024,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Progress, Macroeconomic Factors, and Other Factors Impacting our Financial Condition and Results of Operations</w:t>
      </w:r>
    </w:p>
    <w:p>
      <w:pPr>
        <w:spacing w:after="0" w:line="2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Progress. </w:t>
      </w:r>
      <w:r>
        <w:rPr>
          <w:rFonts w:ascii="Times New Roman" w:cs="Times New Roman" w:eastAsia="Times New Roman" w:hAnsi="Times New Roman"/>
          <w:sz w:val="18"/>
          <w:szCs w:val="18"/>
          <w:color w:val="auto"/>
        </w:rPr>
        <w:t>We continued work on Project Restoration in the first quarter of fiscal 2025, which is focused on four key pillars of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Brand, Product, and Channel) for each brand to help drive long-term profitable growth. While this work has to date been focused on internal processes, customer-facing changes (including new products, store remodels, website redesigns, and customer marketing) will commence in the second quarter of fiscal 2025.</w:t>
      </w:r>
    </w:p>
    <w:p>
      <w:pPr>
        <w:spacing w:after="0" w:line="2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we continued to identify cost reductions as part of our overall plan to right-size the expense structure of our Company and lay the groundwork for success to help drive long-term profitable growth. These expense savings are expected to be fully realized in fiscal 2025. Savings are being derived across various areas of the Company, including retail store efficiencies, marketing expenses, information technology contracts, professional services, logistics and operational costs, and corporate payroll. We will continue to review our expense structure for additional cost reduction opportunities.</w:t>
      </w:r>
    </w:p>
    <w:p>
      <w:pPr>
        <w:spacing w:after="0" w:line="2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Macroeconomic and Other Factors</w:t>
      </w:r>
      <w:r>
        <w:rPr>
          <w:rFonts w:ascii="Times New Roman" w:cs="Times New Roman" w:eastAsia="Times New Roman" w:hAnsi="Times New Roman"/>
          <w:sz w:val="18"/>
          <w:szCs w:val="18"/>
          <w:color w:val="auto"/>
        </w:rPr>
        <w:t>. We have been impacted by higher tariffs from previously duty-free countries, where we source products,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expiration of the Generalized System of Preferences (“GSP”) duty-free status at the end of calendar year 2020. In addition, the macroeconomic environment has been further challenged by inflationary pressures and other related factors that have impacted consumer discretionary spending. We continued to see weakness in the Vera Bradley outlet store business in the first quarter of fiscal 2025, which was partially offset by a timing shift of the Vera Bradley annual outlet sale into the first quarter of fiscal 2025 from the second quarter of fiscal 2024. We also experienced lower VB Indirect sales in the first quarter of fiscal 2025 from economic challenges experienced by our wholesale partners as well as delayed sales related to the upcoming launches of new product assortments associated with the Project Restoration rollout.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outlet stores; e-commerce sites (verabradley.com, outlet.verabradley.com, and international.verabradley.com); and the Vera Bradley annual outlet sale. Revenues for the VB Indirect segment reflect sales of Vera Bradley-branded products to specialty retail partners; key accounts consisting of department stores, national accounts, third-party e-commerce sites, and third-party inventory liquidators; and royalties recognized through licensing agreements related to the Vera Bradley brand. Revenues for the Pura Vida segment reflect revenues generated through the Pura Vida websites (www.puravidabracelets.com and www.puravidabracelets.eu); through the distribution of Pura Vida-branded products to wholesale retailers; and through Pura Vida retail stores.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as well as timing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inbound freight and other logistical costs;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 and store expenses.</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14 to the Notes to the Condensed Consolidated Financial Statements herein.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loss is equal to gross profit less SG&amp;A expenses plus other income, net. Operating loss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is equal to operating loss plus interest income less interest expense and income taxes.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 our annual impairment test of the indefinite-lived Pura Vida brand during the second quarter of each fiscal year.</w:t>
      </w:r>
    </w:p>
    <w:p>
      <w:pPr>
        <w:spacing w:after="0" w:line="22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Refer to Note 15 to the Notes to the Consolidated Financial Statements filed with the SEC on Form 10-K for the fiscal year ended February 3, 2024, for additional information regarding the indefinite-lived intangible assets impairment test and impairment charges recorded during fiscal 2024. There were no impairment charges recorded during the thirteen weeks ended May 4, 2024 or April 29, 2023.</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79"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There were no impairment charges recorded during the thirteen weeks ended May 4, 2024 or April 29, 2023. We are unable to predict the extent of the impact that the inflationary environment could have on our operations, the economy, or other factors; therefore, it is possible additional impairments could be identified in future periods, and such amounts could be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Pr>
          <w:p>
            <w:pPr>
              <w:spacing w:after="0"/>
              <w:rPr>
                <w:sz w:val="11"/>
                <w:szCs w:val="11"/>
                <w:color w:val="auto"/>
              </w:rPr>
            </w:pPr>
          </w:p>
        </w:tc>
        <w:tc>
          <w:tcPr>
            <w:tcW w:w="1260" w:type="dxa"/>
            <w:vAlign w:val="bottom"/>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4"/>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94,362</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38,694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42,613</w:t>
            </w:r>
          </w:p>
        </w:tc>
      </w:tr>
      <w:tr>
        <w:trPr>
          <w:trHeight w:val="223"/>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41,909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51,749</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53,781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58,506</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(6,386)</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(6,418)</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(1,739)</w:t>
            </w:r>
          </w:p>
        </w:tc>
      </w:tr>
      <w:tr>
        <w:trPr>
          <w:trHeight w:val="196"/>
        </w:trPr>
        <w:tc>
          <w:tcPr>
            <w:tcW w:w="80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(8,121)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(4,679)</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(loss) by operating segment, both in dollars and as a percentage of associated net revenues, and store data for the periods indicated ($ in thousands, except as otherwise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Pr>
          <w:p>
            <w:pPr>
              <w:spacing w:after="0"/>
              <w:rPr>
                <w:sz w:val="11"/>
                <w:szCs w:val="11"/>
                <w:color w:val="auto"/>
              </w:rPr>
            </w:pPr>
          </w:p>
        </w:tc>
        <w:tc>
          <w:tcPr>
            <w:tcW w:w="1260" w:type="dxa"/>
            <w:vAlign w:val="bottom"/>
          </w:tcPr>
          <w:p>
            <w:pPr>
              <w:jc w:val="center"/>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58,905</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15,373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20,084</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80,603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94,362</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8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Pr>
          <w:p>
            <w:pPr>
              <w:spacing w:after="0"/>
              <w:rPr>
                <w:sz w:val="11"/>
                <w:szCs w:val="11"/>
                <w:color w:val="auto"/>
              </w:rPr>
            </w:pPr>
          </w:p>
        </w:tc>
        <w:tc>
          <w:tcPr>
            <w:tcW w:w="1260" w:type="dxa"/>
            <w:vAlign w:val="bottom"/>
          </w:tcPr>
          <w:p>
            <w:pPr>
              <w:jc w:val="center"/>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7,340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(18,047)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(19,994)</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 by Segment: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34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34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374,319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381,987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0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hanging="552"/>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 These figures do not include Pura Vida retail locations or Pura Vida e-commerce operations.</w:t>
      </w:r>
    </w:p>
    <w:p>
      <w:pPr>
        <w:spacing w:after="0" w:line="27" w:lineRule="exact"/>
        <w:rPr>
          <w:rFonts w:ascii="Times New Roman" w:cs="Times New Roman" w:eastAsia="Times New Roman" w:hAnsi="Times New Roman"/>
          <w:sz w:val="18"/>
          <w:szCs w:val="18"/>
          <w:color w:val="auto"/>
        </w:rPr>
      </w:pPr>
    </w:p>
    <w:p>
      <w:pPr>
        <w:ind w:left="580" w:hanging="572"/>
        <w:spacing w:after="0" w:line="250"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Times New Roman" w:cs="Times New Roman" w:eastAsia="Times New Roman" w:hAnsi="Times New Roman"/>
          <w:sz w:val="18"/>
          <w:szCs w:val="18"/>
          <w:color w:val="auto"/>
        </w:rPr>
      </w:pPr>
    </w:p>
    <w:p>
      <w:pPr>
        <w:ind w:left="580" w:right="200" w:hanging="572"/>
        <w:spacing w:after="0" w:line="253"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Comparable sales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May 4, 2024, Compared to Thirteen Weeks Ended April 29,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4, 2024, net revenues decreased $13.8 million, or 14.6%, to $80.6 million, from $94.4 million in the comparable prior-year period.</w:t>
      </w:r>
    </w:p>
    <w:p>
      <w:pPr>
        <w:spacing w:after="0" w:line="10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May 4, 2024, net revenues in the VB Direct segment decreased $2.5 million, or 4.2%, to $56.4 million, from $58.9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Vera Bradley comparable sales decreased 9.6%, which includes a 13.5% decrease in comparable store sales as well as a decrease in e-commerce sales of 3.3%. The decrease in comparable sales and comparable store sales was primarily due to reduced traffic and lower average transaction size in the outlet channel. These decreases were partially offset by sales from the Vera Bradley annual outlet sale held during the current-year period but not in the comparable prior-year period.</w:t>
      </w:r>
    </w:p>
    <w:p>
      <w:pPr>
        <w:spacing w:after="0" w:line="136"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i w:val="1"/>
          <w:iCs w:val="1"/>
          <w:color w:val="auto"/>
        </w:rPr>
        <w:t>VB Indirect</w:t>
      </w:r>
      <w:r>
        <w:rPr>
          <w:rFonts w:ascii="Times New Roman" w:cs="Times New Roman" w:eastAsia="Times New Roman" w:hAnsi="Times New Roman"/>
          <w:sz w:val="17"/>
          <w:szCs w:val="17"/>
          <w:color w:val="auto"/>
        </w:rPr>
        <w:t>. For the thirteen weeks ended May 4, 2024, net revenues in the VB Indirect segment decreased $3.9 million, or 25.0%, to $11.5 million,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$15.4 million in the comparable prior-year period. The decrease was primarily due to a decrease in certain key account orders in the current year period.</w:t>
      </w:r>
    </w:p>
    <w:p>
      <w:pPr>
        <w:spacing w:after="0" w:line="8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May 4, 2024, net revenues in the Pura Vida segment decreased $7.4 million, or 37.0%, to $12.7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 million in the comparable prior-year period. The decrease was primarily due to a decline in e-commerce and wholesale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the thirteen weeks ended May 4, 2024, gross profit decreased $9.8 million, or 19.0%, to $41.9 million, from $51.7 million in the comparable prior-year period. As a percentage of net revenues, gross profit decreased to 52.0% for the thirteen weeks ended May 4, 2024, from 54.8% in the comparable prior-year period. Current year gross margin was negatively impacted by one-time vendor charges as well as the timing shift of the Annual Outlet Sale into first quarter of fiscal 2025 from the second quarter of fiscal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For the thirteen weeks ended May 4, 2024, SG&amp;A expenses decreased $4.7 million, or 8.0%, to $53.8 million, from $58.5 million in the comparable prior-year period. As a percentage of net revenues, SG&amp;A expenses increased to 66.7% for the thirteen weeks ended May 4, 2024, from 62.0% in the comparable prior-year period. SG&amp;A expenses related to Vera Bradley and corporate unallocated were $44.7 million compared to $47.8 million in the comparable prior-year period. SG&amp;A expenses related to Pura Vida were $9.1 million compared to $10.7 million in the comparable prior-year period. The decrease in consolidated SG&amp;A expenses for the thirteen weeks ended May 4, 2024 was primarily due to a decrease in employee-related expenses of $3.2 million due to prior year severance charges (including our CFO transition) that did not recur and a reduction in headcount, as well as a decrease in selling, professional, and other expenses of $1.5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May 4, 2024, net other income was $0.4 million, consistent with comparable prior-year period.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thirteen weeks ended May 4, 2024, operating loss increased $5.0 million, or 78.9%, to $(11.4) million in the current-year period, from $(6.4) million in the comparable prior-year period. As a percentage of net revenues, operating loss was (14.2)% and (6.8)% for the thirteen weeks ended May 4, 2024 and April 29, 2023, respectively. Operating loss increased due to the factors described in the captions above.</w:t>
      </w:r>
    </w:p>
    <w:p>
      <w:pPr>
        <w:spacing w:after="0" w:line="12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i w:val="1"/>
          <w:iCs w:val="1"/>
          <w:color w:val="auto"/>
        </w:rPr>
        <w:t>VB Direct</w:t>
      </w:r>
      <w:r>
        <w:rPr>
          <w:rFonts w:ascii="Times New Roman" w:cs="Times New Roman" w:eastAsia="Times New Roman" w:hAnsi="Times New Roman"/>
          <w:sz w:val="17"/>
          <w:szCs w:val="17"/>
          <w:color w:val="auto"/>
        </w:rPr>
        <w:t>. For the thirteen weeks ended May 4, 2024, operating income in the VB Direct segment decreased $3.3 million, or 45.6%, to $4.0 million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$7.3 million in the comparable prior-year period. As a percentage of VB Direct segment net revenues, operating income in the VB Direct segment was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7.1% and 12.5% for the thirteen weeks ended May 4, 2024 and April 29, 2023, respectively. The decrease in operating income as a percentage of VB Direct segment net revenues was primarily due to a decrease in gross margin as a percentage of net revenues as described above, as well as SG&amp;A expense deleverage associated with decreased sales.</w:t>
      </w:r>
    </w:p>
    <w:p>
      <w:pPr>
        <w:spacing w:after="0" w:line="13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May 4, 2024, operating income in the VB Indirect segment decreased $0.9 million, or 18.7%, to $3.8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$4.7 million in the comparable prior-year period. As a percentage of VB Indirect segment net revenues, operating income in the VB Indirect segment was 33.2% and 30.6% for the thirteen weeks ended May 4, 2024 and April 29, 2023, respectively. The increase in operating income as a percentage of VB Indirect segment net revenues was due to a due to an increase in gross margin as a percentage of net revenues.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May 4, 2024, there was an operating loss in the Pura Vida segment of $(1.2) million, a $2.8 million decrease,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177.0%, from operating income of $1.6 million in the comparable prior-year period. As a percentage of Pura Vida segment net revenues, operating (loss) income in the Pura Vida segment was (9.5)% and 7.8% for the thirteen weeks ended May 4, 2024 and April 29, 2023, respectively. The increase in operating loss as a percentage of Pura Vida net revenues was primarily due to SG&amp;A expense deleverage associated with decreased e-commerce and wholesale revenues.</w:t>
      </w:r>
    </w:p>
    <w:p>
      <w:pPr>
        <w:spacing w:after="0" w:line="129"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May 4, 2024, unallocated expenses decreased $2.0 million, or 9.7%, to $18.0 million from $20.0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decrease in unallocated expenses was primarily due to reduction in employee-related expenses of</w:t>
      </w:r>
    </w:p>
    <w:p>
      <w:pPr>
        <w:ind w:right="20"/>
        <w:spacing w:after="0" w:line="255" w:lineRule="auto"/>
        <w:rPr>
          <w:sz w:val="20"/>
          <w:szCs w:val="20"/>
          <w:color w:val="auto"/>
        </w:rPr>
      </w:pPr>
      <w:r>
        <w:rPr>
          <w:rFonts w:ascii="Times New Roman" w:cs="Times New Roman" w:eastAsia="Times New Roman" w:hAnsi="Times New Roman"/>
          <w:sz w:val="18"/>
          <w:szCs w:val="18"/>
          <w:color w:val="auto"/>
        </w:rPr>
        <w:t>$2.2 million due to prior year severance charges (including our CFO transition) that did not recur in the current year and a reduction in headcount, as well as a reduction in professional fees of $0.7 million, partially offset by an increase in advertising spend of $0.7 million and $0.2 million in other net corporate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May 4, 2024, was 25.0%, compared to 27.1% for the thirteen weeks ended April 29, 2023. The year-over year effective tax rate decrease was primarily due to the relative impact of permanent and discrete items in the current-year period compared to the prior-year period, primarily as a result of non-deductible executive compensation and stock-based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4, 2024, net loss increased $3.4 million to $(8.1) million from $(4.7) million in the comparable prior-year period due to the factors described in the captions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May 4, 2024.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80" w:type="dxa"/>
            <w:vAlign w:val="bottom"/>
          </w:tcPr>
          <w:p>
            <w:pPr>
              <w:spacing w:after="0"/>
              <w:rPr>
                <w:sz w:val="11"/>
                <w:szCs w:val="11"/>
                <w:color w:val="auto"/>
              </w:rPr>
            </w:pPr>
          </w:p>
        </w:tc>
        <w:tc>
          <w:tcPr>
            <w:tcW w:w="1160" w:type="dxa"/>
            <w:vAlign w:val="bottom"/>
          </w:tcPr>
          <w:p>
            <w:pPr>
              <w:jc w:val="right"/>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0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net loss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thirteen weeks ended May 4, 2024 was $14.5 million compared to $8.8 million for the thirteen weeks ended April 29, 2023. The increase in cash used in operating activities was primarily related to an increase in net loss of $3.4 million, a change in non-cash items of $1.3 million, as well as a change in assets and liabilities of 1.1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$0.9 million for the thirteen weeks ended May 4, 2024 compared to $10.8 million for the thirteen weeks ended April 29, 2023. The decrease in cash used in investing activities was a result of the purchase of the remaining 25% interest in Pura Vida for $10.0 million in the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2025 are expected to be approximately $12.0 to $14.0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$6.7 million for the thirteen weeks ended May 4, 2024 compared to $1.7 million for the thirteen weeks ended April 29, 2023. The increase in cash used in financing activities was primarily due to $6.3 million of common stock repurchases in the current-year period compared to $0.7 million in the comparable prior-year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Condensed Consolidated Financial Statements herein.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May 4, 2024, there were no material changes outside the ordinary course of business to material cash requirements, as disclosed in our Annual Report on Form 10-K for the fiscal year ended February 3,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3, 2024.</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3, 2024. There were no significant changes to any of the critical accounting policies and estimates described in the Annual Report as of May 4,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May 4, 2024, there was no material change in the market risks described in “Quantitative and Qualitative Disclosures About Market Risks” in the Company’s Annual Report on Form 10-K for the fiscal year ended February 3, 2024.</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May 4, 2024.</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2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set forth in the Company’s Annual Report on Form 10-K for the fiscal year ended February 3, 2024.</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May 4, 2024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308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gridSpan w:val="2"/>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7"/>
                <w:szCs w:val="17"/>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Plans or Program</w:t>
            </w:r>
          </w:p>
        </w:tc>
        <w:tc>
          <w:tcPr>
            <w:tcW w:w="0" w:type="dxa"/>
            <w:vAlign w:val="bottom"/>
          </w:tcPr>
          <w:p>
            <w:pPr>
              <w:spacing w:after="0"/>
              <w:rPr>
                <w:sz w:val="1"/>
                <w:szCs w:val="1"/>
                <w:color w:val="auto"/>
              </w:rPr>
            </w:pPr>
          </w:p>
        </w:tc>
      </w:tr>
      <w:tr>
        <w:trPr>
          <w:trHeight w:val="228"/>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4, 2024 - March 2, 2024</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25,484,966</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 2024 - April 6,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23,466,917</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7, 2024 - May 4,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646,536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19,190,476</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4,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Fiscal 2025 Annual Incentive Compensation Plan (Executives)</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CFO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hanging="694"/>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2024</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17" w:right="359" w:bottom="1440" w:gutter="0" w:footer="0" w:header="0"/>
        </w:sectPr>
      </w:pPr>
    </w:p>
    <w:bookmarkStart w:id="34" w:name="page35"/>
    <w:bookmarkEnd w:id="34"/>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Annual Incentive Compensation Plan</w:t>
      </w:r>
    </w:p>
    <w:p>
      <w:pPr>
        <w:jc w:val="cente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Fiscal 2025</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Overview</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Awards under this Annual Incentive Compensation Plan ("Annual Plan") are granted under and governed by the terms and conditions of the Vera Bradley, Inc. 2020 Equity and Incentive Plan (the “2020 Plan”), as amended. Any term capitalized herein but not defined will have the meaning set forth in the 2020 Plan.</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Annual Plan is designed to give each eligible Participant (as defined in the attached Administrative Guidelines) an opportunity to share in the Company's success for the fiscal year ending February 1, 2025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two independent performance measures: (1) Enterprise Performance (made up of net revenue and operating income) and (2) Enterprise Strategic Objectives. Collectively, these are referred to as the “FY25 Performance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Incentive Opportunity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incentive opportunity for each Participant is determined based on a percentage of each Participant's Base Salary (as defined below) based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level:</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5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7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Opportunity as a Percentage of Base Salary</w:t>
            </w:r>
          </w:p>
        </w:tc>
      </w:tr>
      <w:tr>
        <w:trPr>
          <w:trHeight w:val="223"/>
        </w:trPr>
        <w:tc>
          <w:tcPr>
            <w:tcW w:w="6500" w:type="dxa"/>
            <w:vAlign w:val="bottom"/>
            <w:tcBorders>
              <w:left w:val="single" w:sz="8" w:color="auto"/>
              <w:bottom w:val="single" w:sz="8" w:color="auto"/>
              <w:right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17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Excellence</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Officer II</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Officer I</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3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 Salary" is defined as the Participant's gross base salary (before taxes and deductions) paid by the Company to the Participant during the Performance Period.</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Participant will have the opportunity to earn the incentive set forth above based on the level of achievement against the FY25 Performance Measures. The applicability and weighting of the FY25 Performance Measures relative to the total incentive opportunity is also based upon the Participant’s level as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- 100% Enterprise Performance; 0% Brand Performance</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560" w:type="dxa"/>
            <w:vAlign w:val="bottom"/>
            <w:tcBorders>
              <w:top w:val="single" w:sz="8" w:color="auto"/>
              <w:left w:val="single" w:sz="8" w:color="auto"/>
              <w:right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0" w:type="dxa"/>
            <w:vAlign w:val="bottom"/>
            <w:tcBorders>
              <w:top w:val="single" w:sz="8" w:color="auto"/>
              <w:bottom w:val="single" w:sz="8" w:color="auto"/>
              <w:right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As a Percentage of Total Target Incentive Opportunity Shown Above</w:t>
            </w:r>
          </w:p>
        </w:tc>
        <w:tc>
          <w:tcPr>
            <w:tcW w:w="0" w:type="dxa"/>
            <w:vAlign w:val="bottom"/>
          </w:tcPr>
          <w:p>
            <w:pPr>
              <w:spacing w:after="0"/>
              <w:rPr>
                <w:sz w:val="1"/>
                <w:szCs w:val="1"/>
                <w:color w:val="auto"/>
              </w:rPr>
            </w:pPr>
          </w:p>
        </w:tc>
      </w:tr>
      <w:tr>
        <w:trPr>
          <w:trHeight w:val="169"/>
        </w:trPr>
        <w:tc>
          <w:tcPr>
            <w:tcW w:w="2560" w:type="dxa"/>
            <w:vAlign w:val="bottom"/>
            <w:tcBorders>
              <w:left w:val="single" w:sz="8" w:color="auto"/>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920" w:type="dxa"/>
            <w:vAlign w:val="bottom"/>
            <w:tcBorders>
              <w:right w:val="single" w:sz="8" w:color="auto"/>
            </w:tcBorders>
            <w:gridSpan w:val="2"/>
          </w:tcPr>
          <w:p>
            <w:pPr>
              <w:jc w:val="center"/>
              <w:ind w:right="12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Brand</w:t>
            </w:r>
          </w:p>
        </w:tc>
        <w:tc>
          <w:tcPr>
            <w:tcW w:w="3100" w:type="dxa"/>
            <w:vAlign w:val="bottom"/>
            <w:tcBorders>
              <w:right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Enterprise Performance</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right w:val="single" w:sz="8" w:color="auto"/>
            </w:tcBorders>
          </w:tcPr>
          <w:p>
            <w:pPr>
              <w:spacing w:after="0"/>
              <w:rPr>
                <w:sz w:val="12"/>
                <w:szCs w:val="12"/>
                <w:color w:val="auto"/>
              </w:rPr>
            </w:pPr>
          </w:p>
        </w:tc>
        <w:tc>
          <w:tcPr>
            <w:tcW w:w="32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100" w:type="dxa"/>
            <w:vAlign w:val="bottom"/>
            <w:tcBorders>
              <w:right w:val="single" w:sz="8" w:color="auto"/>
            </w:tcBorders>
            <w:gridSpan w:val="2"/>
            <w:vMerge w:val="continue"/>
          </w:tcPr>
          <w:p>
            <w:pPr>
              <w:spacing w:after="0"/>
              <w:rPr>
                <w:sz w:val="12"/>
                <w:szCs w:val="12"/>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Enterprise Strategic</w:t>
            </w:r>
          </w:p>
        </w:tc>
        <w:tc>
          <w:tcPr>
            <w:tcW w:w="0" w:type="dxa"/>
            <w:vAlign w:val="bottom"/>
          </w:tcPr>
          <w:p>
            <w:pPr>
              <w:spacing w:after="0"/>
              <w:rPr>
                <w:sz w:val="1"/>
                <w:szCs w:val="1"/>
                <w:color w:val="auto"/>
              </w:rPr>
            </w:pPr>
          </w:p>
        </w:tc>
      </w:tr>
      <w:tr>
        <w:trPr>
          <w:trHeight w:val="90"/>
        </w:trPr>
        <w:tc>
          <w:tcPr>
            <w:tcW w:w="2560" w:type="dxa"/>
            <w:vAlign w:val="bottom"/>
            <w:tcBorders>
              <w:left w:val="single" w:sz="8" w:color="auto"/>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gridSpan w:val="3"/>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560" w:type="dxa"/>
            <w:vAlign w:val="bottom"/>
            <w:tcBorders>
              <w:left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2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560" w:type="dxa"/>
            <w:vAlign w:val="bottom"/>
            <w:tcBorders>
              <w:left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130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Net Revenue</w:t>
            </w:r>
          </w:p>
        </w:tc>
        <w:tc>
          <w:tcPr>
            <w:tcW w:w="2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Income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Objectives</w:t>
            </w:r>
          </w:p>
        </w:tc>
        <w:tc>
          <w:tcPr>
            <w:tcW w:w="0" w:type="dxa"/>
            <w:vAlign w:val="bottom"/>
          </w:tcPr>
          <w:p>
            <w:pPr>
              <w:spacing w:after="0"/>
              <w:rPr>
                <w:sz w:val="1"/>
                <w:szCs w:val="1"/>
                <w:color w:val="auto"/>
              </w:rPr>
            </w:pPr>
          </w:p>
        </w:tc>
      </w:tr>
      <w:tr>
        <w:trPr>
          <w:trHeight w:val="126"/>
        </w:trPr>
        <w:tc>
          <w:tcPr>
            <w:tcW w:w="2560" w:type="dxa"/>
            <w:vAlign w:val="bottom"/>
            <w:tcBorders>
              <w:left w:val="single" w:sz="8" w:color="auto"/>
              <w:right w:val="single" w:sz="8" w:color="auto"/>
            </w:tcBorders>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3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Officer II</w:t>
            </w:r>
          </w:p>
        </w:tc>
        <w:tc>
          <w:tcPr>
            <w:tcW w:w="13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Officer I</w:t>
            </w:r>
          </w:p>
        </w:tc>
        <w:tc>
          <w:tcPr>
            <w:tcW w:w="13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0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Enterprise Financial Performance</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Payouts for Financial Performance are based on meeting two independent financial metrics, which are net revenue and operating income. Assuming at least threshold levels of performance against the Performance goals are met during the Performance Period, the actual payout levels will range from 25%-200% of target. The actual amount of Financial Performance goals is considered to be confidential information and is not included in this document, but can be obtained from Human Resources.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Revenue Performance Level</w:t>
            </w:r>
          </w:p>
        </w:tc>
        <w:tc>
          <w:tcPr>
            <w:tcW w:w="58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 Corporate</w:t>
            </w:r>
          </w:p>
        </w:tc>
        <w:tc>
          <w:tcPr>
            <w:tcW w:w="0" w:type="dxa"/>
            <w:vAlign w:val="bottom"/>
          </w:tcPr>
          <w:p>
            <w:pPr>
              <w:spacing w:after="0"/>
              <w:rPr>
                <w:sz w:val="1"/>
                <w:szCs w:val="1"/>
                <w:color w:val="auto"/>
              </w:rPr>
            </w:pPr>
          </w:p>
        </w:tc>
      </w:tr>
      <w:tr>
        <w:trPr>
          <w:trHeight w:val="148"/>
        </w:trPr>
        <w:tc>
          <w:tcPr>
            <w:tcW w:w="5460" w:type="dxa"/>
            <w:vAlign w:val="bottom"/>
            <w:tcBorders>
              <w:left w:val="single" w:sz="8" w:color="auto"/>
              <w:right w:val="single" w:sz="8" w:color="auto"/>
            </w:tcBorders>
            <w:vMerge w:val="continue"/>
          </w:tcPr>
          <w:p>
            <w:pPr>
              <w:spacing w:after="0"/>
              <w:rPr>
                <w:sz w:val="12"/>
                <w:szCs w:val="12"/>
                <w:color w:val="auto"/>
              </w:rPr>
            </w:pPr>
          </w:p>
        </w:tc>
        <w:tc>
          <w:tcPr>
            <w:tcW w:w="5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92"/>
        </w:trPr>
        <w:tc>
          <w:tcPr>
            <w:tcW w:w="5460" w:type="dxa"/>
            <w:vAlign w:val="bottom"/>
            <w:tcBorders>
              <w:left w:val="single" w:sz="8" w:color="auto"/>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Excellence</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69"/>
        </w:trPr>
        <w:tc>
          <w:tcPr>
            <w:tcW w:w="54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Income Performance Level</w:t>
            </w:r>
          </w:p>
        </w:tc>
        <w:tc>
          <w:tcPr>
            <w:tcW w:w="58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 Corporate</w:t>
            </w:r>
          </w:p>
        </w:tc>
        <w:tc>
          <w:tcPr>
            <w:tcW w:w="0" w:type="dxa"/>
            <w:vAlign w:val="bottom"/>
          </w:tcPr>
          <w:p>
            <w:pPr>
              <w:spacing w:after="0"/>
              <w:rPr>
                <w:sz w:val="1"/>
                <w:szCs w:val="1"/>
                <w:color w:val="auto"/>
              </w:rPr>
            </w:pPr>
          </w:p>
        </w:tc>
      </w:tr>
      <w:tr>
        <w:trPr>
          <w:trHeight w:val="148"/>
        </w:trPr>
        <w:tc>
          <w:tcPr>
            <w:tcW w:w="5460" w:type="dxa"/>
            <w:vAlign w:val="bottom"/>
            <w:tcBorders>
              <w:left w:val="single" w:sz="8" w:color="auto"/>
              <w:right w:val="single" w:sz="8" w:color="auto"/>
            </w:tcBorders>
            <w:vMerge w:val="continue"/>
          </w:tcPr>
          <w:p>
            <w:pPr>
              <w:spacing w:after="0"/>
              <w:rPr>
                <w:sz w:val="12"/>
                <w:szCs w:val="12"/>
                <w:color w:val="auto"/>
              </w:rPr>
            </w:pPr>
          </w:p>
        </w:tc>
        <w:tc>
          <w:tcPr>
            <w:tcW w:w="5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92"/>
        </w:trPr>
        <w:tc>
          <w:tcPr>
            <w:tcW w:w="5460" w:type="dxa"/>
            <w:vAlign w:val="bottom"/>
            <w:tcBorders>
              <w:left w:val="single" w:sz="8" w:color="auto"/>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Excellence</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 levels are determined using linear interpolation for results falling between the three performance levels.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Enterprise Strategic Objectives: </w:t>
      </w:r>
      <w:r>
        <w:rPr>
          <w:rFonts w:ascii="Times New Roman" w:cs="Times New Roman" w:eastAsia="Times New Roman" w:hAnsi="Times New Roman"/>
          <w:sz w:val="18"/>
          <w:szCs w:val="18"/>
          <w:color w:val="auto"/>
        </w:rPr>
        <w:t>Payouts for performance will be based on a 75% weighting on Vera Bradley Strategic Objectives performance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 weighting on Pura Vida Strategic Objectives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 Bradley Brand Strategic Objectives:</w:t>
      </w:r>
    </w:p>
    <w:p>
      <w:pPr>
        <w:spacing w:after="0" w:line="2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Core Brand – Increase brand awareness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Core Customer – Acquire new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Optimization – Discounted channel optimization</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Channel Optimization – Non-Highly discounted channel optimization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Pura Vida Brand Strategic Objectives:</w:t>
      </w:r>
    </w:p>
    <w:p>
      <w:pPr>
        <w:spacing w:after="0" w:line="2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Core Customer – Achieve customer counts in accordance with planned spend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Management – Diversity marketing mix and impression base outside of Meta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 Continue to reduce inventory to $17.1M to create more newness and reduce burden of aged inventory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Strategic Goals are considered confidential and should not be shared outside of the Company.</w:t>
      </w:r>
    </w:p>
    <w:p>
      <w:pPr>
        <w:spacing w:after="0" w:line="25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Assuming threshold levels of performance against the Brand Strategic Objectives are met during the Performance Period, the actual payout levels will range from 25%-200% of target. The Compensation Committee of the Board of Directors of the Company (the “Compensation Committee”) shall determine the level of performance achieved against the Brand Strategic Objectives in its sole discretion.</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Guidelines</w:t>
      </w:r>
    </w:p>
    <w:p>
      <w:pPr>
        <w:spacing w:after="0" w:line="243" w:lineRule="exact"/>
        <w:rPr>
          <w:sz w:val="20"/>
          <w:szCs w:val="20"/>
          <w:color w:val="auto"/>
        </w:rPr>
      </w:pPr>
    </w:p>
    <w:p>
      <w:pPr>
        <w:ind w:left="340" w:right="4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direct reports at an Executive Officer level and certain designated Executive Officers are eligible to participate in this Annual Plan. Any question regarding eligibility for participation in this Annual Plan shall be resolved by the Compensation Committee, in the Committee’s sole discretion.</w:t>
      </w:r>
    </w:p>
    <w:p>
      <w:pPr>
        <w:spacing w:after="0" w:line="202"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this Annual Plan neither gives any employee the right to be retained as an employee nor limits the Company's right to discharge or discipline any employee.</w:t>
      </w:r>
    </w:p>
    <w:p>
      <w:pPr>
        <w:spacing w:after="0" w:line="188"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payout of any bonus under this Plan is subject to the final approval of the Chief Financial Officer and Vice President, Human Resources and as necessary the Compensation Committee.</w:t>
      </w:r>
    </w:p>
    <w:p>
      <w:pPr>
        <w:sectPr>
          <w:pgSz w:w="11900" w:h="16838" w:orient="portrait"/>
          <w:cols w:equalWidth="0" w:num="1">
            <w:col w:w="11260"/>
          </w:cols>
          <w:pgMar w:left="320" w:top="1413" w:right="319" w:bottom="1440" w:gutter="0" w:footer="0" w:header="0"/>
        </w:sectPr>
      </w:pPr>
    </w:p>
    <w:bookmarkStart w:id="36" w:name="page37"/>
    <w:bookmarkEnd w:id="36"/>
    <w:p>
      <w:pPr>
        <w:spacing w:after="0" w:line="221" w:lineRule="exact"/>
        <w:rPr>
          <w:sz w:val="20"/>
          <w:szCs w:val="20"/>
          <w:color w:val="auto"/>
        </w:rPr>
      </w:pPr>
    </w:p>
    <w:p>
      <w:pPr>
        <w:ind w:left="332" w:right="200" w:hanging="332"/>
        <w:spacing w:after="0" w:line="282"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placed on a Performance Improvement Plan or who are on Step 3 Probation within six months of when payment is made under this Plan will not be eligible for such payment.</w:t>
      </w:r>
    </w:p>
    <w:p>
      <w:pPr>
        <w:spacing w:after="0" w:line="188" w:lineRule="exact"/>
        <w:rPr>
          <w:rFonts w:ascii="Times New Roman" w:cs="Times New Roman" w:eastAsia="Times New Roman" w:hAnsi="Times New Roman"/>
          <w:sz w:val="18"/>
          <w:szCs w:val="18"/>
          <w:color w:val="auto"/>
        </w:rPr>
      </w:pPr>
    </w:p>
    <w:p>
      <w:pPr>
        <w:ind w:left="332" w:right="140" w:hanging="332"/>
        <w:spacing w:after="0" w:line="257"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Results. Before any Awards under the Annual Plan are deemed earned with respect to a Performance Period, the Compensation Committee shall certify, in accordance with Section 9.5 of the 2020 Plan, in writing (i) that the performance goals have been met for the Performance Period, and (ii) the calculation of "Operating Income" and "Net Revenue" for the Performance Period.</w:t>
      </w:r>
    </w:p>
    <w:p>
      <w:pPr>
        <w:spacing w:after="0" w:line="1" w:lineRule="exact"/>
        <w:rPr>
          <w:rFonts w:ascii="Times New Roman" w:cs="Times New Roman" w:eastAsia="Times New Roman" w:hAnsi="Times New Roman"/>
          <w:sz w:val="18"/>
          <w:szCs w:val="18"/>
          <w:color w:val="auto"/>
        </w:rPr>
      </w:pPr>
    </w:p>
    <w:p>
      <w:pPr>
        <w:ind w:left="972" w:right="140" w:hanging="324"/>
        <w:spacing w:after="0" w:line="250" w:lineRule="auto"/>
        <w:tabs>
          <w:tab w:leader="none" w:pos="96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2" w:lineRule="exact"/>
        <w:rPr>
          <w:rFonts w:ascii="Times New Roman" w:cs="Times New Roman" w:eastAsia="Times New Roman" w:hAnsi="Times New Roman"/>
          <w:sz w:val="18"/>
          <w:szCs w:val="18"/>
          <w:color w:val="auto"/>
        </w:rPr>
      </w:pPr>
    </w:p>
    <w:p>
      <w:pPr>
        <w:ind w:left="972" w:right="500" w:hanging="324"/>
        <w:spacing w:after="0" w:line="260"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208" w:lineRule="exact"/>
        <w:rPr>
          <w:rFonts w:ascii="Times New Roman" w:cs="Times New Roman" w:eastAsia="Times New Roman" w:hAnsi="Times New Roman"/>
          <w:sz w:val="18"/>
          <w:szCs w:val="18"/>
          <w:color w:val="auto"/>
        </w:rPr>
      </w:pPr>
    </w:p>
    <w:p>
      <w:pPr>
        <w:ind w:left="332" w:hanging="332"/>
        <w:spacing w:after="0" w:line="253"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2" w:lineRule="exact"/>
        <w:rPr>
          <w:rFonts w:ascii="Times New Roman" w:cs="Times New Roman" w:eastAsia="Times New Roman" w:hAnsi="Times New Roman"/>
          <w:sz w:val="18"/>
          <w:szCs w:val="18"/>
          <w:color w:val="auto"/>
        </w:rPr>
      </w:pPr>
    </w:p>
    <w:p>
      <w:pPr>
        <w:ind w:left="1292" w:right="60" w:hanging="415"/>
        <w:spacing w:after="0" w:line="250" w:lineRule="auto"/>
        <w:tabs>
          <w:tab w:leader="none" w:pos="129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1" w:lineRule="exact"/>
        <w:rPr>
          <w:rFonts w:ascii="Times New Roman" w:cs="Times New Roman" w:eastAsia="Times New Roman" w:hAnsi="Times New Roman"/>
          <w:sz w:val="18"/>
          <w:szCs w:val="18"/>
          <w:color w:val="auto"/>
        </w:rPr>
      </w:pPr>
    </w:p>
    <w:p>
      <w:pPr>
        <w:ind w:left="1292" w:hanging="465"/>
        <w:spacing w:after="0" w:line="253" w:lineRule="auto"/>
        <w:tabs>
          <w:tab w:leader="none" w:pos="129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 Retirement age is defined as the individual’s early or normal retirement date as defined by the United States Social Security Administration.</w:t>
      </w:r>
    </w:p>
    <w:p>
      <w:pPr>
        <w:spacing w:after="0" w:line="213" w:lineRule="exact"/>
        <w:rPr>
          <w:rFonts w:ascii="Times New Roman" w:cs="Times New Roman" w:eastAsia="Times New Roman" w:hAnsi="Times New Roman"/>
          <w:sz w:val="18"/>
          <w:szCs w:val="18"/>
          <w:color w:val="auto"/>
        </w:rPr>
      </w:pPr>
    </w:p>
    <w:p>
      <w:pPr>
        <w:ind w:left="332" w:hanging="332"/>
        <w:spacing w:after="0" w:line="271" w:lineRule="auto"/>
        <w:tabs>
          <w:tab w:leader="none" w:pos="33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 Awards becoming fully vested and paid out on a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w:t>
      </w:r>
    </w:p>
    <w:p>
      <w:pPr>
        <w:sectPr>
          <w:pgSz w:w="11900" w:h="16838" w:orient="portrait"/>
          <w:cols w:equalWidth="0" w:num="1">
            <w:col w:w="11212"/>
          </w:cols>
          <w:pgMar w:left="328" w:top="1440" w:right="359" w:bottom="1440" w:gutter="0" w:footer="0" w:header="0"/>
        </w:sectPr>
      </w:pPr>
    </w:p>
    <w:bookmarkStart w:id="37" w:name="page38"/>
    <w:bookmarkEnd w:id="37"/>
    <w:p>
      <w:pPr>
        <w:ind w:left="332"/>
        <w:spacing w:after="0" w:line="254" w:lineRule="auto"/>
        <w:rPr>
          <w:sz w:val="20"/>
          <w:szCs w:val="20"/>
          <w:color w:val="auto"/>
        </w:rPr>
      </w:pPr>
      <w:r>
        <w:rPr>
          <w:rFonts w:ascii="Times New Roman" w:cs="Times New Roman" w:eastAsia="Times New Roman" w:hAnsi="Times New Roman"/>
          <w:sz w:val="18"/>
          <w:szCs w:val="18"/>
          <w:color w:val="auto"/>
        </w:rPr>
        <w:t>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19" w:lineRule="exact"/>
        <w:rPr>
          <w:sz w:val="20"/>
          <w:szCs w:val="20"/>
          <w:color w:val="auto"/>
        </w:rPr>
      </w:pPr>
    </w:p>
    <w:p>
      <w:pPr>
        <w:ind w:left="332" w:hanging="332"/>
        <w:spacing w:after="0"/>
        <w:tabs>
          <w:tab w:leader="none" w:pos="3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Participants will receive an award that is prorated based on Base Salary earned during the Performance Period.</w:t>
      </w:r>
    </w:p>
    <w:p>
      <w:pPr>
        <w:spacing w:after="0" w:line="252" w:lineRule="exact"/>
        <w:rPr>
          <w:rFonts w:ascii="Times New Roman" w:cs="Times New Roman" w:eastAsia="Times New Roman" w:hAnsi="Times New Roman"/>
          <w:sz w:val="18"/>
          <w:szCs w:val="18"/>
          <w:color w:val="auto"/>
        </w:rPr>
      </w:pPr>
    </w:p>
    <w:p>
      <w:pPr>
        <w:ind w:left="332" w:right="200" w:hanging="332"/>
        <w:spacing w:after="0" w:line="282" w:lineRule="auto"/>
        <w:tabs>
          <w:tab w:leader="none" w:pos="3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Participant joins the Company at any time during the final three fiscal months of the Performance Period, such participant will not be eligible to participate in this Plan.</w:t>
      </w:r>
    </w:p>
    <w:p>
      <w:pPr>
        <w:spacing w:after="0" w:line="18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goal attainment calculations will follow normal rounding guidelines (i.e., 93.1% to 93.49% = 93%; 93.5% to 93.9% = 94%).</w:t>
      </w:r>
    </w:p>
    <w:p>
      <w:pPr>
        <w:spacing w:after="0" w:line="252" w:lineRule="exact"/>
        <w:rPr>
          <w:rFonts w:ascii="Times New Roman" w:cs="Times New Roman" w:eastAsia="Times New Roman" w:hAnsi="Times New Roman"/>
          <w:sz w:val="18"/>
          <w:szCs w:val="18"/>
          <w:color w:val="auto"/>
        </w:rPr>
      </w:pPr>
    </w:p>
    <w:p>
      <w:pPr>
        <w:ind w:left="332" w:right="300" w:hanging="332"/>
        <w:spacing w:after="0" w:line="261" w:lineRule="auto"/>
        <w:tabs>
          <w:tab w:leader="none" w:pos="3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ind w:left="332" w:right="180" w:hanging="332"/>
        <w:spacing w:after="0" w:line="260" w:lineRule="auto"/>
        <w:tabs>
          <w:tab w:leader="none" w:pos="3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20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computation required by this Annual Plan will be subject to review by third-party auditors, and by the Compensation Committee.</w:t>
      </w:r>
    </w:p>
    <w:p>
      <w:pPr>
        <w:spacing w:after="0" w:line="252" w:lineRule="exact"/>
        <w:rPr>
          <w:rFonts w:ascii="Times New Roman" w:cs="Times New Roman" w:eastAsia="Times New Roman" w:hAnsi="Times New Roman"/>
          <w:sz w:val="18"/>
          <w:szCs w:val="18"/>
          <w:color w:val="auto"/>
        </w:rPr>
      </w:pPr>
    </w:p>
    <w:p>
      <w:pPr>
        <w:ind w:left="332" w:right="40" w:hanging="332"/>
        <w:spacing w:after="0" w:line="254" w:lineRule="auto"/>
        <w:tabs>
          <w:tab w:leader="none" w:pos="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3" w:lineRule="exact"/>
        <w:rPr>
          <w:rFonts w:ascii="Times New Roman" w:cs="Times New Roman" w:eastAsia="Times New Roman" w:hAnsi="Times New Roman"/>
          <w:sz w:val="18"/>
          <w:szCs w:val="18"/>
          <w:color w:val="auto"/>
        </w:rPr>
      </w:pPr>
    </w:p>
    <w:p>
      <w:pPr>
        <w:ind w:left="332" w:right="80" w:hanging="332"/>
        <w:spacing w:after="0" w:line="260" w:lineRule="auto"/>
        <w:tabs>
          <w:tab w:leader="none" w:pos="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the intent of the Company to continue this Annual Plan as stated herein, the Company reserves the right to amend or discontinue the plan at any time in its sole discretion.</w:t>
      </w:r>
    </w:p>
    <w:p>
      <w:pPr>
        <w:spacing w:after="0" w:line="208" w:lineRule="exact"/>
        <w:rPr>
          <w:rFonts w:ascii="Times New Roman" w:cs="Times New Roman" w:eastAsia="Times New Roman" w:hAnsi="Times New Roman"/>
          <w:sz w:val="18"/>
          <w:szCs w:val="18"/>
          <w:color w:val="auto"/>
        </w:rPr>
      </w:pPr>
    </w:p>
    <w:p>
      <w:pPr>
        <w:ind w:left="332" w:right="160" w:hanging="332"/>
        <w:spacing w:after="0" w:line="282" w:lineRule="auto"/>
        <w:tabs>
          <w:tab w:leader="none" w:pos="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88" w:lineRule="exact"/>
        <w:rPr>
          <w:rFonts w:ascii="Times New Roman" w:cs="Times New Roman" w:eastAsia="Times New Roman" w:hAnsi="Times New Roman"/>
          <w:sz w:val="18"/>
          <w:szCs w:val="18"/>
          <w:color w:val="auto"/>
        </w:rPr>
      </w:pPr>
    </w:p>
    <w:p>
      <w:pPr>
        <w:ind w:left="332" w:right="260" w:hanging="332"/>
        <w:spacing w:after="0" w:line="282" w:lineRule="auto"/>
        <w:tabs>
          <w:tab w:leader="none" w:pos="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under this document are in all respects subject to the provisions of the 2020 Plan to the same extent and with the same effect as if they were set forth fully therein. If the terms of this document or the Award conflict with the terms of the 2020 Plan, the 2020 Plan will control.</w:t>
      </w:r>
    </w:p>
    <w:p>
      <w:pPr>
        <w:spacing w:after="0" w:line="188" w:lineRule="exact"/>
        <w:rPr>
          <w:rFonts w:ascii="Times New Roman" w:cs="Times New Roman" w:eastAsia="Times New Roman" w:hAnsi="Times New Roman"/>
          <w:sz w:val="18"/>
          <w:szCs w:val="18"/>
          <w:color w:val="auto"/>
        </w:rPr>
      </w:pPr>
    </w:p>
    <w:p>
      <w:pPr>
        <w:ind w:left="332" w:right="580" w:hanging="332"/>
        <w:spacing w:after="0" w:line="282" w:lineRule="auto"/>
        <w:tabs>
          <w:tab w:leader="none" w:pos="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this Plan shall be subject to all other Company policies, as amended, including but not limited to the Vera Bradley Compensation Recoupment Policy.</w:t>
      </w:r>
    </w:p>
    <w:p>
      <w:pPr>
        <w:sectPr>
          <w:pgSz w:w="11900" w:h="16838" w:orient="portrait"/>
          <w:cols w:equalWidth="0" w:num="1">
            <w:col w:w="11232"/>
          </w:cols>
          <w:pgMar w:left="328" w:top="14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Jacqueline Ardrey, certify that:</w:t>
      </w:r>
    </w:p>
    <w:p>
      <w:pPr>
        <w:spacing w:after="0" w:line="104"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2024</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Jacqueline Ardrey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Ardrey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Schwindle, certify that:</w:t>
      </w:r>
    </w:p>
    <w:p>
      <w:pPr>
        <w:spacing w:after="0" w:line="104"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2024</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I, Jacqueline Ardrey, the Chief Executive Officer of Vera Bradley, Inc., certify that (i) the quarterly report on Form 10-Q for the fiscal quarter ended May 4, 2024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I, Michael Schwindle, the Chief Financial Officer of Vera Bradley, Inc., certify that (i) the quarterly report on Form 10-Q for the fiscal quarter ended May 4, 2024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Michael Schwindle</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lvl w:ilvl="1">
      <w:lvlJc w:val="left"/>
      <w:lvlText w:val="•"/>
      <w:numFmt w:val="bullet"/>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1."/>
      <w:numFmt w:val="decimal"/>
      <w:start w:val="5"/>
    </w:lvl>
    <w:lvl w:ilvl="1">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6"/>
    </w:lvl>
  </w:abstractNum>
  <w:abstractNum w:abstractNumId="12">
    <w:nsid w:val="2443A858"/>
    <w:multiLevelType w:val="hybridMultilevel"/>
    <w:lvl w:ilvl="0">
      <w:lvlJc w:val="left"/>
      <w:lvlText w:val="(%1)"/>
      <w:numFmt w:val="lowerRoman"/>
      <w:start w:val="5"/>
    </w:lvl>
  </w:abstractNum>
  <w:abstractNum w:abstractNumId="13">
    <w:nsid w:val="2D1D5AE9"/>
    <w:multiLevelType w:val="hybridMultilevel"/>
    <w:lvl w:ilvl="0">
      <w:lvlJc w:val="left"/>
      <w:lvlText w:val="%1."/>
      <w:numFmt w:val="decimal"/>
      <w:start w:val="7"/>
    </w:lvl>
  </w:abstractNum>
  <w:abstractNum w:abstractNumId="14">
    <w:nsid w:val="6763845E"/>
    <w:multiLevelType w:val="hybridMultilevel"/>
    <w:lvl w:ilvl="0">
      <w:lvlJc w:val="left"/>
      <w:lvlText w:val="%1."/>
      <w:numFmt w:val="decimal"/>
      <w:start w:val="9"/>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1."/>
      <w:numFmt w:val="decimal"/>
      <w:start w:val="13"/>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4"/>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5"/>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
    <w:nsid w:val="7C3DBD3D"/>
    <w:multiLevelType w:val="hybridMultilevel"/>
    <w:lvl w:ilvl="0">
      <w:lvlJc w:val="left"/>
      <w:lvlText w:val="%1."/>
      <w:numFmt w:val="decimal"/>
      <w:start w:val="8"/>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2024-06-12T13:31:28Z</dcterms:created>
  <dcterms:modified xsi:type="dcterms:W3CDTF">2024-06-12T13:31:28Z</dcterms:modified>
</cp:coreProperties>
</file>