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2,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852"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852"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852"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9" w:right="239" w:bottom="852" w:gutter="0" w:footer="0" w:header="0"/>
          <w:type w:val="continuous"/>
        </w:sectPr>
      </w:pPr>
    </w:p>
    <w:p>
      <w:pPr>
        <w:spacing w:after="0"/>
        <w:rPr>
          <w:sz w:val="20"/>
          <w:szCs w:val="20"/>
          <w:color w:val="auto"/>
        </w:rPr>
      </w:pPr>
      <w:r>
        <w:rPr>
          <w:rFonts w:ascii="Arial" w:cs="Arial" w:eastAsia="Arial" w:hAnsi="Arial"/>
          <w:sz w:val="16"/>
          <w:szCs w:val="16"/>
          <w:color w:val="auto"/>
        </w:rPr>
        <w:t>The registrant had 39,446,463 shares of its common stock outstanding as of June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140" w:type="dxa"/>
            <w:vAlign w:val="bottom"/>
            <w:gridSpan w:val="18"/>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8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804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 (unaudited)</w:t>
              </w:r>
            </w:hyperlink>
          </w:p>
        </w:tc>
        <w:tc>
          <w:tcPr>
            <w:tcW w:w="78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2, 2015, and January 31, 2015</w:t>
              </w:r>
            </w:hyperlink>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Thirteen Weeks Ended May 2, 2015, and May 3, 2014</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Thirteen Weeks Ended May 2, 2015, and May 3, 2014</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Thirteen Weeks Ended May 2, 2015, and May 3, 2014</w:t>
              </w:r>
            </w:hyperlink>
          </w:p>
        </w:tc>
        <w:tc>
          <w:tcPr>
            <w:tcW w:w="8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Management’s Discussion and Analysis of Financial Condition and Results of Operations</w:t>
              </w:r>
            </w:hyperlink>
          </w:p>
        </w:tc>
        <w:tc>
          <w:tcPr>
            <w:tcW w:w="37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Quantitative and Qualitative Disclosures About Market Risk</w:t>
              </w:r>
            </w:hyperlink>
          </w:p>
        </w:tc>
        <w:tc>
          <w:tcPr>
            <w:tcW w:w="58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18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OTHER INFORMATION</w:t>
              </w:r>
            </w:hyperlink>
          </w:p>
        </w:tc>
        <w:tc>
          <w:tcPr>
            <w:tcW w:w="834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9280" w:type="dxa"/>
            <w:vAlign w:val="bottom"/>
            <w:gridSpan w:val="1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FF"/>
            </w:tcBorders>
            <w:gridSpan w:val="2"/>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84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26</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gridSpan w:val="11"/>
          </w:tcPr>
          <w:p>
            <w:pPr>
              <w:ind w:left="470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 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possible data security or privacy breach or disruption in our computer systems or website;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31, 2015.</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112,292</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31,374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98,403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3,208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267,697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109,003</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377,284</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32,906</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14,595</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15,548</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63,049</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24,467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92,813</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40,789 and 40,695 shares issued and 39,743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and 40,074 outstanding,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80,992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216,451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274,092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284,471</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377,284</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May 3,</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49,410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52,442</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50,045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11,207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4,330</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income from continuing operations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6,567</w:t>
            </w: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40,639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40,725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 basic</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0.17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0.16</w:t>
            </w: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income per share - diluted</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0.17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0.16</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3"/>
                <w:szCs w:val="13"/>
                <w:color w:val="auto"/>
              </w:rPr>
            </w:pPr>
          </w:p>
        </w:tc>
        <w:tc>
          <w:tcPr>
            <w:tcW w:w="11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3"/>
                <w:szCs w:val="13"/>
                <w:color w:val="auto"/>
              </w:rPr>
            </w:pPr>
          </w:p>
        </w:tc>
        <w:tc>
          <w:tcPr>
            <w:tcW w:w="116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6,567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3,563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9,276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10,373</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741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1,772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26,957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(4,040)</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Non-cash operating, investing, and financing activities</w:t>
      </w:r>
    </w:p>
    <w:p>
      <w:pPr>
        <w:spacing w:after="0" w:line="20" w:lineRule="exact"/>
        <w:rPr>
          <w:sz w:val="20"/>
          <w:szCs w:val="20"/>
          <w:color w:val="auto"/>
        </w:rPr>
      </w:pPr>
      <w:r>
        <w:rPr>
          <w:sz w:val="20"/>
          <w:szCs w:val="20"/>
          <w:color w:val="auto"/>
        </w:rPr>
        <w:br w:type="column"/>
      </w:r>
    </w:p>
    <w:p>
      <w:pPr>
        <w:jc w:val="both"/>
        <w:ind w:left="800"/>
        <w:spacing w:after="0"/>
        <w:tabs>
          <w:tab w:leader="none" w:pos="2420" w:val="left"/>
        </w:tabs>
        <w:rPr>
          <w:sz w:val="20"/>
          <w:szCs w:val="20"/>
          <w:color w:val="auto"/>
        </w:rPr>
      </w:pPr>
      <w:r>
        <w:rPr>
          <w:rFonts w:ascii="Arial" w:cs="Arial" w:eastAsia="Arial" w:hAnsi="Arial"/>
          <w:sz w:val="18"/>
          <w:szCs w:val="18"/>
          <w:color w:val="auto"/>
        </w:rPr>
        <w:t>(15,713)</w:t>
      </w:r>
      <w:r>
        <w:rPr>
          <w:sz w:val="20"/>
          <w:szCs w:val="20"/>
          <w:color w:val="auto"/>
        </w:rPr>
        <w:tab/>
      </w:r>
      <w:r>
        <w:rPr>
          <w:rFonts w:ascii="Arial" w:cs="Arial" w:eastAsia="Arial" w:hAnsi="Arial"/>
          <w:sz w:val="18"/>
          <w:szCs w:val="18"/>
          <w:color w:val="auto"/>
        </w:rPr>
        <w:t>22,309</w:t>
      </w:r>
    </w:p>
    <w:p>
      <w:pPr>
        <w:spacing w:after="0" w:line="63" w:lineRule="exact"/>
        <w:rPr>
          <w:sz w:val="20"/>
          <w:szCs w:val="20"/>
          <w:color w:val="auto"/>
        </w:rPr>
      </w:pPr>
    </w:p>
    <w:p>
      <w:pPr>
        <w:jc w:val="both"/>
        <w:ind w:left="780"/>
        <w:spacing w:after="0"/>
        <w:tabs>
          <w:tab w:leader="none" w:pos="2420" w:val="left"/>
        </w:tabs>
        <w:rPr>
          <w:sz w:val="20"/>
          <w:szCs w:val="20"/>
          <w:color w:val="auto"/>
        </w:rPr>
      </w:pPr>
      <w:r>
        <w:rPr>
          <w:rFonts w:ascii="Arial" w:cs="Arial" w:eastAsia="Arial" w:hAnsi="Arial"/>
          <w:sz w:val="18"/>
          <w:szCs w:val="18"/>
          <w:color w:val="auto"/>
        </w:rPr>
        <w:t>112,292</w:t>
      </w:r>
      <w:r>
        <w:rPr>
          <w:sz w:val="20"/>
          <w:szCs w:val="20"/>
          <w:color w:val="auto"/>
        </w:rPr>
        <w:tab/>
      </w:r>
      <w:r>
        <w:rPr>
          <w:rFonts w:ascii="Arial" w:cs="Arial" w:eastAsia="Arial" w:hAnsi="Arial"/>
          <w:sz w:val="18"/>
          <w:szCs w:val="18"/>
          <w:color w:val="auto"/>
        </w:rPr>
        <w:t>59,215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96,579</w:t>
        <w:tab/>
        <w:t>$</w:t>
      </w:r>
      <w:r>
        <w:rPr>
          <w:sz w:val="20"/>
          <w:szCs w:val="20"/>
          <w:color w:val="auto"/>
        </w:rPr>
        <w:tab/>
      </w:r>
      <w:r>
        <w:rPr>
          <w:rFonts w:ascii="Arial" w:cs="Arial" w:eastAsia="Arial" w:hAnsi="Arial"/>
          <w:sz w:val="16"/>
          <w:szCs w:val="16"/>
          <w:color w:val="auto"/>
        </w:rPr>
        <w:t>81,524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7660" w:space="720"/>
            <w:col w:w="3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83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 incurred but not yet paid</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Property, plant, and equipment expenditures incurred but not yet paid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May 2, 2015, the Company operated 101 full-line stores and 34 factory outlet stores. The Indirect business consists of sales of Vera Bradley products to approximately 2,700 specialty retail locations, substantially all of which are located in the United States, as well as department stores, national accounts, third party e-commerce sites, the Company's wholesale business in Japan, and third party inventory liquidation.</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31, 2015, filed with the SEC.</w:t>
      </w:r>
    </w:p>
    <w:p>
      <w:pPr>
        <w:spacing w:after="0" w:line="37"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2, 2015,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May 2, 2015, and May 3, 2014,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May 2, 2015 and January 31, 2015, deferred rent liability was $9.8 million and $8.9 million, respectively, and is included within other long-term liabilities on the Consolidated Balance Sheets.</w:t>
      </w:r>
    </w:p>
    <w:p>
      <w:pPr>
        <w:spacing w:after="0" w:line="188"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May 2, 2015 and January 31, 2015, the deferred lease credit liability was $15.6 million and $13.8 million, respectively. Of these amounts, $2.1 million and $1.8 million is included within other accrued liabilities as of May 2, 2015 and January 31, 2015, respectively; and $13.5 million and $12.0 million is included within other long-term liabilities as of May 2, 2015 and January 31, 2015,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adoption of this standard did not have a material impact on the Company's consolidated financial statements upon adoption.</w:t>
      </w:r>
    </w:p>
    <w:p>
      <w:pPr>
        <w:spacing w:after="0" w:line="43"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This guidance will be effective beginning in fiscal 2017, and early adoption is not permitted. The standard allows for either a full retrospective or a modified retrospective transition method. The Company is currently evaluating the impact of this standard, including the transition method, on its consolidated results of operations, financial position and cash flows.</w:t>
      </w:r>
    </w:p>
    <w:p>
      <w:pPr>
        <w:spacing w:after="0" w:line="30"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19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which modifies the presentation of debt issuance costs in financial statements. Under this new guidance, the Company will be required to present these costs in our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3"/>
                <w:szCs w:val="13"/>
                <w:color w:val="auto"/>
              </w:rPr>
            </w:pPr>
          </w:p>
        </w:tc>
        <w:tc>
          <w:tcPr>
            <w:tcW w:w="90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7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6,877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6,567</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40,639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39,884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40,725</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basic:</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0.17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0.16</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0.17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0.16</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As of May 2, 2015 and May 3, 2014,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May 2, 2015, and January 31, 2015,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4"/>
                <w:szCs w:val="14"/>
                <w:color w:val="auto"/>
              </w:rPr>
            </w:pPr>
          </w:p>
        </w:tc>
        <w:tc>
          <w:tcPr>
            <w:tcW w:w="118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7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5,542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92,391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101,794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98,403</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right="220"/>
        <w:spacing w:after="0" w:line="276" w:lineRule="auto"/>
        <w:rPr>
          <w:sz w:val="20"/>
          <w:szCs w:val="20"/>
          <w:color w:val="auto"/>
        </w:rPr>
      </w:pPr>
      <w:r>
        <w:rPr>
          <w:rFonts w:ascii="Arial" w:cs="Arial" w:eastAsia="Arial" w:hAnsi="Arial"/>
          <w:sz w:val="17"/>
          <w:szCs w:val="17"/>
          <w:color w:val="auto"/>
        </w:rPr>
        <w:t>As of May 2, 2015 and January 31, 2015, the Company had borrowing availability of $125.0 million under its amended and restated credit agreement. As of May 2, 2015, the Company was in violation of the fixed charge coverage ratio covenant under its amended and restated credit agreement with JPMorgan Chase Bank, as administrative agent, and certain other lenders. By waiver dated June 10, 2015, the lenders agreed to waive any breach of the fixed charge coverage ratio covenant and any default or event of default under the amended and restated credit agreement arising from the breach. The Company was in compliance with all other covenants as of May 2, 2015.</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The effective tax rate for the thirteen weeks ended May 2, 2015, was 18.1%, compared to 38.6% for the thirteen weeks ended May 3, 2014. The year-over year decrease is primarily due to the decrease in income from continuing operations before income taxes and the relative impact of permanent items, including an increase in income tax reserves for uncertain federal and state tax positions related to research and development tax credits.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 recognizes share-based compensation expense, for its awards of restricted stock and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ind w:left="660" w:right="140"/>
        <w:spacing w:after="0" w:line="302" w:lineRule="auto"/>
        <w:rPr>
          <w:sz w:val="20"/>
          <w:szCs w:val="20"/>
          <w:color w:val="auto"/>
        </w:rPr>
      </w:pPr>
      <w:r>
        <w:rPr>
          <w:rFonts w:ascii="Arial" w:cs="Arial" w:eastAsia="Arial" w:hAnsi="Arial"/>
          <w:sz w:val="16"/>
          <w:szCs w:val="16"/>
          <w:color w:val="auto"/>
        </w:rPr>
        <w:t>During the thirteen weeks ended May 2, 2015, the Company granted 562,630 time-based and performance-based restricted stock units with an aggregate fair value of $9.1 million to certain employees and non-employee directors under the 2010 Equity and Incentive Plan compared to a total of 217,980 time-based and performance-based restricted stock units with an aggregate fair value of $5.9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units issued to non-employee directors vest after a one-year period from the grant date. The Company is recognizing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May 2, 2015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31, 2015</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2, 2015</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479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As of May 2, 2015, there was $10.2 million of total unrecognized compensation cost, net of estimated forfeitures, related to nonvested restricted stock units. That cost is expected to be recognized over a weighted-average period of 2.3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100"/>
        <w:spacing w:after="0" w:line="334" w:lineRule="auto"/>
        <w:rPr>
          <w:sz w:val="20"/>
          <w:szCs w:val="20"/>
          <w:color w:val="auto"/>
        </w:rPr>
      </w:pPr>
      <w:r>
        <w:rPr>
          <w:rFonts w:ascii="Arial" w:cs="Arial" w:eastAsia="Arial" w:hAnsi="Arial"/>
          <w:sz w:val="16"/>
          <w:szCs w:val="16"/>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w:t>
      </w:r>
    </w:p>
    <w:p>
      <w:pPr>
        <w:spacing w:after="0" w:line="1"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Company purchased 424,849 shares at an average price of $16.90 per share, excluding commissions, for an aggregate amount of $7.2 million during the thirteen weeks ended May 2, 2015. As of May 2, 2015, there was $19.9 million remaining available to repurchase shares of the Company's common stock under the 2014 Share Repurchase Program.</w:t>
      </w:r>
    </w:p>
    <w:p>
      <w:pPr>
        <w:spacing w:after="0" w:line="127"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As of May 2, 2015, the Company held as treasury shares 1,045,834 shares of its common stock at an average price of $19.25 per share, excluding commissions, for an aggregate carrying amount of $20.1 million. The Company’s treasury shares may be issued under the 2010 Equity and Incentive Plan or for other corporate purposes. Further purchases may occur from time to time as market conditions warrant and as the Company deems appropriate when judged against alternative uses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Discontinued Operations</w:t>
      </w:r>
    </w:p>
    <w:p>
      <w:pPr>
        <w:spacing w:after="0" w:line="94"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240" w:type="dxa"/>
            <w:vAlign w:val="bottom"/>
          </w:tcPr>
          <w:p>
            <w:pPr>
              <w:spacing w:after="0"/>
              <w:rPr>
                <w:sz w:val="13"/>
                <w:szCs w:val="13"/>
                <w:color w:val="auto"/>
              </w:rPr>
            </w:pPr>
          </w:p>
        </w:tc>
        <w:tc>
          <w:tcPr>
            <w:tcW w:w="960" w:type="dxa"/>
            <w:vAlign w:val="bottom"/>
          </w:tcPr>
          <w:p>
            <w:pPr>
              <w:jc w:val="right"/>
              <w:ind w:right="21"/>
              <w:spacing w:after="0" w:line="153" w:lineRule="exact"/>
              <w:rPr>
                <w:sz w:val="20"/>
                <w:szCs w:val="20"/>
                <w:color w:val="auto"/>
              </w:rPr>
            </w:pPr>
            <w:r>
              <w:rPr>
                <w:rFonts w:ascii="Arial" w:cs="Arial" w:eastAsia="Arial" w:hAnsi="Arial"/>
                <w:sz w:val="14"/>
                <w:szCs w:val="14"/>
                <w:b w:val="1"/>
                <w:bCs w:val="1"/>
                <w:color w:val="auto"/>
              </w:rPr>
              <w:t>May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7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494</w:t>
            </w:r>
          </w:p>
        </w:tc>
      </w:tr>
      <w:tr>
        <w:trPr>
          <w:trHeight w:val="27"/>
        </w:trPr>
        <w:tc>
          <w:tcPr>
            <w:tcW w:w="7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1,267</w:t>
            </w:r>
          </w:p>
        </w:tc>
      </w:tr>
      <w:tr>
        <w:trPr>
          <w:trHeight w:val="27"/>
        </w:trPr>
        <w:tc>
          <w:tcPr>
            <w:tcW w:w="7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Loss on disposal from discontinued operations</w:t>
            </w:r>
          </w:p>
        </w:tc>
        <w:tc>
          <w:tcPr>
            <w:tcW w:w="96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7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Restructuring and Other Charges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fiscal 2016, the Company closed its manufacturing facility located in New Haven, Indiana.</w:t>
      </w:r>
    </w:p>
    <w:p>
      <w:pPr>
        <w:spacing w:after="0" w:line="9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charges and related liabilities, associated with the facility closure, are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Inventory-Related</w:t>
            </w: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Termination</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 and</w:t>
            </w:r>
          </w:p>
        </w:tc>
        <w:tc>
          <w:tcPr>
            <w:tcW w:w="320" w:type="dxa"/>
            <w:vAlign w:val="bottom"/>
          </w:tcPr>
          <w:p>
            <w:pPr>
              <w:spacing w:after="0"/>
              <w:rPr>
                <w:sz w:val="14"/>
                <w:szCs w:val="14"/>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Benefits 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2015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Liability as of January 31,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Liability as of May 2,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Other charges affecting comparability, during the first quarter of fiscal 2016, totaled approximately $3.1 million ($2.1 million after the associated tax benefit) and consisted of $1.3 million in employee severance (reflected in selling, general, and administrative expenses in the Company's Consolidated Financial Statements), $1.2 million due to a retail store early lease termination agreement (reflected in selling, general, and administrative expenses in the Company's Consolidated Financial Statements), and $0.6 million related to an increase in income tax reserves for uncertain federal and state tax positions related to research and development tax credits (reflected in income tax expense in the Company's Consolidated Financial Statements).</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160"/>
        <w:spacing w:after="0" w:line="276" w:lineRule="auto"/>
        <w:rPr>
          <w:sz w:val="20"/>
          <w:szCs w:val="20"/>
          <w:color w:val="auto"/>
        </w:rPr>
      </w:pPr>
      <w:r>
        <w:rPr>
          <w:rFonts w:ascii="Arial" w:cs="Arial" w:eastAsia="Arial" w:hAnsi="Arial"/>
          <w:sz w:val="17"/>
          <w:szCs w:val="17"/>
          <w:color w:val="auto"/>
        </w:rPr>
        <w:t xml:space="preserve">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detailed in Note 10 </w:t>
      </w: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of this Quarterly Report on Form 10-Q</w:t>
      </w:r>
      <w:r>
        <w:rPr>
          <w:rFonts w:ascii="Arial" w:cs="Arial" w:eastAsia="Arial" w:hAnsi="Arial"/>
          <w:sz w:val="17"/>
          <w:szCs w:val="17"/>
          <w:i w:val="1"/>
          <w:iCs w:val="1"/>
          <w:color w:val="auto"/>
        </w:rPr>
        <w:t>.</w:t>
      </w:r>
    </w:p>
    <w:p>
      <w:pPr>
        <w:spacing w:after="0" w:line="37"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2,700 locations, substantially all of which are located in the United States, as well as key accounts, which include department stores, national accounts, third party e-commerce sites, the Company's wholesale business in Japan, and third party inventory liquidation.</w:t>
      </w:r>
    </w:p>
    <w:p>
      <w:pPr>
        <w:spacing w:after="0" w:line="1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46"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May 2, 2015 and May 3, 2014,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3"/>
                <w:szCs w:val="13"/>
                <w:color w:val="auto"/>
              </w:rPr>
            </w:pPr>
          </w:p>
        </w:tc>
        <w:tc>
          <w:tcPr>
            <w:tcW w:w="110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70,433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72,184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40,013</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101,104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112,197</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3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29,197</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29,197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the Company as of and for the thirteen weeks ended May 2, 2015 and May 3, 2014. The following discussion should be read in conjunction with our Annual Report on Form 10-K for the fiscal year ended January 31, 2015,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strategic progress and financial results for the first quarter of fiscal 2016 (all comparisons are to the first quarter of fiscal 2015):</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diversified into new fabrications which positions us to compete in a more significant portion of the handbag market.</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continued to increase the mix of higher margin made-for-outlet product in our factory outlet stores.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continued to build a more flexible, efficient, and cost effective supply chain through vendor and country diversification.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opened five new full-line stores and five factory outlet stores during the first quarter.</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introduced the first iteration of our new, more modern full-line store design in our Kierland Commons store in Scottsdale, Arizona.</w:t>
      </w:r>
    </w:p>
    <w:p>
      <w:pPr>
        <w:spacing w:after="0" w:line="101"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recently added distribution to 150 additional Macy’s stores, bringing our total to 250.</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began to make significant investments in marketing to modernize our brand and attract a wider breadth of customer.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9.9% to $101.1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segment sales decreased 2.4% to $70.4 million. Comparable sales (including e-commerce) decreased 16.9%.</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Indirect segment sales decreased 23.3% to $30.7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$51.7 million (51.1%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loss was $5.0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from continuing operations was $4.1 million, or $0.10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$96.6 million at May 2,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$7.5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Repurchases of common stock for the thirteen weeks totaled $7.2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June 2014, we entered into a five-year agreement with Mitsubishi Corporation Fashion Company and Look Inc. to</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import and distribute Vera Bradley products in Japan. As a result of moving to this wholesale business model, we exited our direct business in Japan during the third quarter of fiscal 2015 and are accounting for it as a discontinued operation. Consolidated income statement and Direct segment results for the current and prior periods presented are reported on a continuing operations basis unless otherwise stated.</w:t>
      </w:r>
    </w:p>
    <w:p>
      <w:pPr>
        <w:spacing w:after="0" w:line="213" w:lineRule="exact"/>
        <w:rPr>
          <w:sz w:val="20"/>
          <w:szCs w:val="20"/>
          <w:color w:val="auto"/>
        </w:rPr>
      </w:pPr>
    </w:p>
    <w:p>
      <w:pPr>
        <w:ind w:right="2100"/>
        <w:spacing w:after="0" w:line="367" w:lineRule="auto"/>
        <w:rPr>
          <w:sz w:val="20"/>
          <w:szCs w:val="20"/>
          <w:color w:val="auto"/>
        </w:rPr>
      </w:pPr>
      <w:r>
        <w:rPr>
          <w:rFonts w:ascii="Arial" w:cs="Arial" w:eastAsia="Arial" w:hAnsi="Arial"/>
          <w:sz w:val="17"/>
          <w:szCs w:val="17"/>
          <w:b w:val="1"/>
          <w:bCs w:val="1"/>
          <w:color w:val="auto"/>
        </w:rPr>
        <w:t xml:space="preserve">Restructuring and Other Charges Affecting Comparability of the Quarterly Periods ended May 2, 2015, and May 3, 2014 </w:t>
      </w:r>
      <w:r>
        <w:rPr>
          <w:rFonts w:ascii="Arial" w:cs="Arial" w:eastAsia="Arial" w:hAnsi="Arial"/>
          <w:sz w:val="17"/>
          <w:szCs w:val="17"/>
          <w:color w:val="auto"/>
        </w:rPr>
        <w:t>In the first quarter of fiscal 2016, the Company closed its manufacturing facility located in New Haven, Indiana.</w:t>
      </w:r>
    </w:p>
    <w:p>
      <w:pPr>
        <w:ind w:right="120"/>
        <w:spacing w:after="0" w:line="264" w:lineRule="auto"/>
        <w:rPr>
          <w:sz w:val="20"/>
          <w:szCs w:val="20"/>
          <w:color w:val="auto"/>
        </w:rPr>
      </w:pPr>
      <w:r>
        <w:rPr>
          <w:rFonts w:ascii="Arial" w:cs="Arial" w:eastAsia="Arial" w:hAnsi="Arial"/>
          <w:sz w:val="18"/>
          <w:szCs w:val="18"/>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Other charges affecting comparability, during the first quarter of fiscal 2016, totaled approximately $3.1 million ($2.1 million after the associated tax benefit) and consisted of $1.3 million in employee severance (reflected in selling, general, and administrative expenses in the Company's Consolidated Financial Statements), $1.2 million due to a retail store early lease termination agreement (reflected in selling, general, and administrative expenses in the Company's Consolidated Financial Statements), and $0.6 million related to an increase in income tax reserves for uncertain federal and state tax positions related to research and development tax credits (reflected in income tax expense in the Company's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Notes to the Consolidated Financial Statements, herein,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 party e-commerce sites, our wholesale business in Japan, and third party inventory liquidation.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(loss) income is equal to gross profit less SG&amp;A expenses plus other income. Operating (loss)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(Loss) income from continuing operations is equal to operating (loss) income less net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 is equal to the sum of (loss) income from continuing operations and loss from discontinued operations, net of taxes.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1"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2,</w:t>
            </w:r>
          </w:p>
        </w:tc>
        <w:tc>
          <w:tcPr>
            <w:tcW w:w="340" w:type="dxa"/>
            <w:vAlign w:val="bottom"/>
          </w:tcPr>
          <w:p>
            <w:pPr>
              <w:spacing w:after="0"/>
              <w:rPr>
                <w:sz w:val="13"/>
                <w:szCs w:val="13"/>
                <w:color w:val="auto"/>
              </w:rPr>
            </w:pPr>
          </w:p>
        </w:tc>
        <w:tc>
          <w:tcPr>
            <w:tcW w:w="1260" w:type="dxa"/>
            <w:vAlign w:val="bottom"/>
          </w:tcPr>
          <w:p>
            <w:pPr>
              <w:jc w:val="right"/>
              <w:ind w:right="511"/>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112,197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49,410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52,442</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51,694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59,755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57,612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50,045</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1,577</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Operating (loss) income</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11,287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(Loss) income from continuing operations before income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11,207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4,330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6,877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6,567</w:t>
            </w: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51.1 %</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from continuing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340" w:type="dxa"/>
            <w:vAlign w:val="bottom"/>
          </w:tcPr>
          <w:p>
            <w:pPr>
              <w:spacing w:after="0"/>
              <w:rPr>
                <w:sz w:val="21"/>
                <w:szCs w:val="21"/>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net revenues and operating (loss)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May 2,</w:t>
            </w:r>
          </w:p>
        </w:tc>
        <w:tc>
          <w:tcPr>
            <w:tcW w:w="340" w:type="dxa"/>
            <w:vAlign w:val="bottom"/>
          </w:tcPr>
          <w:p>
            <w:pPr>
              <w:spacing w:after="0"/>
              <w:rPr>
                <w:sz w:val="13"/>
                <w:szCs w:val="13"/>
                <w:color w:val="auto"/>
              </w:rPr>
            </w:pPr>
          </w:p>
        </w:tc>
        <w:tc>
          <w:tcPr>
            <w:tcW w:w="122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r>
      <w:tr>
        <w:trPr>
          <w:trHeight w:val="23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70,433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72,184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30,671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40,013</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101,104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112,197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
        </w:trPr>
        <w:tc>
          <w:tcPr>
            <w:tcW w:w="8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2,</w:t>
            </w:r>
          </w:p>
        </w:tc>
        <w:tc>
          <w:tcPr>
            <w:tcW w:w="340" w:type="dxa"/>
            <w:vAlign w:val="bottom"/>
          </w:tcPr>
          <w:p>
            <w:pPr>
              <w:spacing w:after="0"/>
              <w:rPr>
                <w:sz w:val="13"/>
                <w:szCs w:val="13"/>
                <w:color w:val="auto"/>
              </w:rPr>
            </w:pPr>
          </w:p>
        </w:tc>
        <w:tc>
          <w:tcPr>
            <w:tcW w:w="126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 by Segment: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13,758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15,439</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(17,910)</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11,287</w:t>
            </w: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as a Percentage of Net Revenues by Segment: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38.6 %</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104</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304,744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219,212</w:t>
            </w:r>
          </w:p>
        </w:tc>
      </w:tr>
      <w:tr>
        <w:trPr>
          <w:trHeight w:val="341"/>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162</w:t>
            </w:r>
          </w:p>
        </w:tc>
      </w:tr>
    </w:tbl>
    <w:p>
      <w:pPr>
        <w:spacing w:after="0" w:line="13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4780"/>
        <w:spacing w:after="0" w:line="346" w:lineRule="auto"/>
        <w:rPr>
          <w:sz w:val="20"/>
          <w:szCs w:val="20"/>
          <w:color w:val="auto"/>
        </w:rPr>
      </w:pPr>
      <w:r>
        <w:rPr>
          <w:rFonts w:ascii="Arial" w:cs="Arial" w:eastAsia="Arial" w:hAnsi="Arial"/>
          <w:sz w:val="18"/>
          <w:szCs w:val="18"/>
          <w:b w:val="1"/>
          <w:bCs w:val="1"/>
          <w:color w:val="auto"/>
        </w:rPr>
        <w:t xml:space="preserve">Thirteen Weeks Ended May 2, 2015, Compared to Thirteen Weeks Ended May 3, 2014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thirteen weeks ended May 2, 2015, net revenues decreased $11.1 million, or 9.9%, to $101.1 million, from $112.2 million in the comparable prior-year period.</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May 2, 2015, net revenues in the Direct segment decreased $1.8 million, or 2.4%, to $70.4 million, from $72.2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comparable prior-year period. This change resulted from a $9.4 million increase in revenues at our non-comparable stores, which included 10 additional stores, which was offset by a comparable sales (including e-commerce) decrease of $10.4 million, or 16.9% (which includes a 9.7% decrease in e-commerce sales and a 22.3% decrease in comparable store sales), and a decrease in total sales at our annual outlet sale compared to the prior year. The declines in comparable store sales and comparable sales (including e-commerce) were primarily due to year-over-year declines in store and on-line traffic, as well as lower levels of on-line promotional activity. The aggregate number of full-line and factory outlet stores grew from 104 at May 3, 2014, to 135 at May 2, 2015.</w:t>
      </w:r>
    </w:p>
    <w:p>
      <w:pPr>
        <w:spacing w:after="0" w:line="12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May 2, 2015, net revenues in the Indirect segment decreased $9.3 million, or 23.3%, to $30.7 million, from $40.0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primarily due to lower re-orders from the Company’s specialty retail accounts and the timing of the Company’s summer product launch (which will shift approximately $3.7 million of revenues into the second quarter). In addition, there has been a reduction in the total number of specialty retail accounts.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 xml:space="preserve">For the thirteen weeks ended May 2, 2015, gross profit decreased $8.1 million, or 13.5%, to $51.7 million, from $59.8 million in the comparable prior-year period. As a percentage of net revenues, gross profit decreased to 51.1% for the thirteen weeks ended May 2, 2015, from 53.3% in the comparable prior-year period. The decrease in gross profit as a percentage of net revenues was primarily due to restructuring charges of $3.4 million related to the planned closure of our manufacturing facility in the first quarter of fiscal 2016, as discussed in more detail in Note 11 to the Notes to the Consolidated Financial Statements herein, partially offset by </w:t>
      </w:r>
      <w:r>
        <w:rPr>
          <w:rFonts w:ascii="Arial" w:cs="Arial" w:eastAsia="Arial" w:hAnsi="Arial"/>
          <w:sz w:val="17"/>
          <w:szCs w:val="17"/>
          <w:color w:val="auto"/>
        </w:rPr>
        <w:t>increased sal</w:t>
      </w:r>
      <w:r>
        <w:rPr>
          <w:rFonts w:ascii="Arial" w:cs="Arial" w:eastAsia="Arial" w:hAnsi="Arial"/>
          <w:sz w:val="16"/>
          <w:szCs w:val="16"/>
          <w:color w:val="auto"/>
        </w:rPr>
        <w:t>es of higher-margin made-for-outlet product in our factory outlet stores, leverage of overhead costs due to fall 2014 cost reductions at our domestic manufacturing facility, lower levels of liquidation sales, and reduced promotional activity.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the thirteen weeks ended May 2, 2015, SG&amp;A expenses increased $7.6 million, or 15.1%, to $57.6 million, from $50.0 million in the comparable prior-year period. As a percentage of net revenues, SG&amp;A expenses increased to 57.0% for the thirteen weeks ended May 2, 2015, from 44.6% in the comparable prior-year period. SG&amp;A expenses for the thirteen weeks ended May 2, 2015, include $1.3 million in employee severance expense and $1.2 million in expense related to a retail store early termination agreement that did not occur in the comparable period. SG&amp;A expenses as a percentage of revenue also increased due to fixed expenses being spread over lower revenues; deleveraging of store operating expenses as a result of lower sales; and strategic investments which included incremental marketing, new store expenses, and e-commerce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thirteen weeks ended May 2, 2015, other income decreased $0.7 million, or 39.9%, to $0.9 million, from $1.6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the thirteen weeks ended May 2, 2015, operating (loss) income decreased $16.3 million, or 144.0%, to $(5.0) million in the current year, from $11.3 million in the comparable prior-year period. As a percentage of net revenues, operating (loss) income was (4.9)% and 10.1% for the thirteen weeks ended May 2, 2015 and May 3, 2014, respectively. Operating (loss) income for the thirteen weeks ended May 2, 2015, was negatively impacted by the $5.9 million in restructuring and other charges described above under “Gross Profit” and “Selling, General, and Administrative Expenses.”</w:t>
      </w:r>
    </w:p>
    <w:p>
      <w:pPr>
        <w:spacing w:after="0" w:line="1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May 2, 2015, operating income in the Direct segment decreased $5.8 million, or 41.7%, to $8.0 million from $13.8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Direct segment net revenues, operating income in the Direct segment was 11.4% and 19.1% for the thirteen weeks ended May 2, 2015 and May 3, 2014, respectively. Operating income in the Direct segment was negatively impacted by $3.5 million in aggregate restructuring and other charges related to the closure of our manufacturing facility in the first quarter of fiscal 2016 and a retail store early termination agreement.</w:t>
      </w:r>
    </w:p>
    <w:p>
      <w:pPr>
        <w:spacing w:after="0" w:line="13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May 2, 2015, operating income in the Indirect segment decreased $5.5 million, or 35.9%, to $9.9 million from $15.4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Indirect segment net revenues, operating income in the Indirect segment was 32.3% and</w:t>
      </w:r>
    </w:p>
    <w:p>
      <w:pPr>
        <w:ind w:right="200"/>
        <w:spacing w:after="0" w:line="261" w:lineRule="auto"/>
        <w:rPr>
          <w:sz w:val="20"/>
          <w:szCs w:val="20"/>
          <w:color w:val="auto"/>
        </w:rPr>
      </w:pPr>
      <w:r>
        <w:rPr>
          <w:rFonts w:ascii="Arial" w:cs="Arial" w:eastAsia="Arial" w:hAnsi="Arial"/>
          <w:sz w:val="18"/>
          <w:szCs w:val="18"/>
          <w:color w:val="auto"/>
        </w:rPr>
        <w:t>38.6% for the thirteen weeks ended May 2, 2015 and May 3, 2014, respectively. Operating income in the Indirect segment was negatively impacted by $1.1 million in restructuring charges related to the closure of our manufacturing facility in the first quarter of fiscal 2016.</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May 2, 2015, unallocated expenses increased $5.0 million, or 27.9%, to $22.9 million from $17.9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The increase in unallocated expenses included $1.3 million in employee severance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9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effective tax rate for the thirteen weeks ended May 2, 2015, was 18.1%, compared to 38.6% for the thirteen weeks ended May 3, 2014. The year-over year decrease is primarily due to the decrease in income from continuing operations before income taxes and the relative impact of permanent items, including an increase in income tax reserves for uncertain federal and state tax positions related to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Continuing Operations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thirteen weeks ended May 2, 2015, (loss) income from continuing operations decreased $11.0 million, or 160.1%, to $(4.1) million from $6.9 million in the comparable prior-year period. Included in this decrease were restructuring and other charges of $6.5 million ($4.2 million after the associated tax benefit), as described in Note 11 to the Notes to the Consolidated Financial Statements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For the thirteen weeks ended May 3, 2014, loss from discontinued operations, net of taxes was $0.3 million reflecting the Japan operations which were exited during the third quarter of fiscal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9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thirteen weeks ended May 2, 2015, net (loss) income decreased $10.7 million, or 163.0%, to $(4.1) million from $6.6 million in the comparable prior-year period. Included in this decrease were restructuring and other charges of $6.5 million ($4.2 million after the associated tax benefit), as described in Note 11 to the Consolidated Financial Statements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w:t>
      </w:r>
    </w:p>
    <w:p>
      <w:pPr>
        <w:spacing w:after="0" w:line="13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3"/>
                <w:szCs w:val="13"/>
                <w:color w:val="auto"/>
              </w:rPr>
            </w:pPr>
          </w:p>
        </w:tc>
        <w:tc>
          <w:tcPr>
            <w:tcW w:w="11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26,957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Net cash (used in)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for the thirteen weeks ended May 2, 2015, was $0.8 million, compared to net cash provided by operating activities of</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$27.0 million for the thirteen weeks ended May 3, 2014. This decrease was primarily due to a decrease in net income of $10.7 million along with increase in inventory of $13.8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Net cash used in investing activities was $7.5 million and $4.0 million for the thirteen weeks ended May 2, 2015 and May 3, 2014, respectively; capital expenditures of $1.2 million and $3.0 million were incurred but not paid during the thirteen weeks ended May 2, 2015 and May 3, 2014, respectively. The $1.7 million increase in capital expenditures was due primarily to the opening of ten new stores in the first quarter of the current year as compared to five stores in the prior year, which was partially offset by reduced spending for the campus consolidation project.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2016 are expected to be approximately $31.0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Net cash used in financing activities was $7.4 million for the thirteen weeks ended May 2, 2015 which was primarily related to purchases of shares of the Company's common stock made under the 2014 Share Repurchase Program. This compares to net cash used in financing activities of $0.6 million for the thirteen weeks ended May 3,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4, 2010, Vera Bradley Designs, Inc., our wholly owned subsidiary, entered into an agreement to amend and restate its credit agreement with JPMorgan Chase Bank, as administrative agent, and certain other lenders. The amended and restated credit agreement provides for a revolving credit commitment of $125.0 million. On June 1, 2012, Vera Bradley Designs, Inc., entered into an amendment to the credit agreement that extends the maturity date from October 3, 2015, to June 1, 2017. Certain permitted indebtedness covenants were also amended.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As of May 2, 2015, the Company was in violation of the fixed charge coverage ratio covenant under its amended and restated credit agreement with JPMorgan Chase Bank, as administrative agent, and certain other lenders. By waiver dated June 10, 2015, the lenders agreed to waive any breach of the fixed charge coverage ratio covenant and any default or event of default under the amended and restated credit agreement arising from the breach. The Company was in compliance with all other covenants as of May 2, 2015.</w:t>
      </w:r>
    </w:p>
    <w:p>
      <w:pPr>
        <w:spacing w:after="0" w:line="1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As of May 2, 2015, the Company had borrowing availability of $125.0 million under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31, 2015.</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31, 2015. As of May 2, 2015,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Reporting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and Disclosures of Disposals of Components of an Entity</w:t>
      </w:r>
      <w:r>
        <w:rPr>
          <w:rFonts w:ascii="Arial" w:cs="Arial" w:eastAsia="Arial" w:hAnsi="Arial"/>
          <w:sz w:val="18"/>
          <w:szCs w:val="18"/>
          <w:color w:val="auto"/>
        </w:rPr>
        <w:t>. This guidance states that the disposal of a component of an entity is to be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issuance. The adoption of this standard did not have a material impact on the Company's consolidated financial statements upon adoption.</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This guidance will be effective beginning in fiscal 2017, and early adoption is not permitted. The standard allows for either a full retrospective or a modified retrospective transition method. The Company is currently evaluating the impact of this standard, including the transition method, on its consolidated results of operations, financial position and cash flows.</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which modifies the presentation of debt issuance costs in financial statements. Under this new guidance, the Company will be required to present these costs in our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2, 2015, there was no material change in the market risks described in “Quantitative and Qualitative Disclosures About Market Risks” in the Company’s Annual Report on Form 10-K for the fiscal year ended January 31, 2015.</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2, 2015.</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121"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31, 2015.</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 During the thirteen weeks ended May 2, 2015, the Company repurchased 424,849 shares of the Company's common stock at an average price of $16.90 per share, excluding commissions.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May 2, 2015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2015 - February 28, 2015</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115,175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115,175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24,780,744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March 1, 2015 - April 4, 2015</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199,664</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199,664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21,491,120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5, 2015 - May 2, 2015</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110,010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110,010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19,864,467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424,849</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424,849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2016</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2016</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220" w:hanging="1265"/>
        <w:spacing w:after="0" w:line="288"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2, 2015 formatted in Extensible Business Reporting Language (XBRL): (i) Consolidated Statements of Income for the Thirteen Weeks ended May 2, 2015 and May 3, 2014; (ii) Consolidated Statements of Comprehensive Income for the Thirteen Weeks ended May 2, 2015 and May 3, 2014;</w:t>
      </w:r>
    </w:p>
    <w:p>
      <w:pPr>
        <w:ind w:left="1300" w:right="3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May 2, 2015 and January 31, 2015; (iv) Consolidated Statements of Cash Flows for the Thirteen Weeks ended May 2, 2015 and May 3, 2014,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121"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2016</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2016</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220" w:hanging="1265"/>
        <w:spacing w:after="0" w:line="288"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2, 2015 formatted in Extensible Business Reporting Language (XBRL): (i) Consolidated Statements of Income for the Thirteen Weeks ended May 2, 2015 and May 3, 2014; (ii) Consolidated Statements of Comprehensive Income for the Thirteen Weeks ended May 2, 2015 and May 3, 2014;</w:t>
      </w:r>
    </w:p>
    <w:p>
      <w:pPr>
        <w:ind w:left="1300" w:right="3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May 2, 2015 and January 31, 2015; (iv) Consolidated Statements of Cash Flows for the Thirteen Weeks ended May 2, 2015 and May 3, 2014,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2016 LONG 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UNIT/PERFORMANCE UNIT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6" w:lineRule="exact"/>
        <w:rPr>
          <w:sz w:val="20"/>
          <w:szCs w:val="20"/>
          <w:color w:val="auto"/>
        </w:rPr>
      </w:pPr>
    </w:p>
    <w:p>
      <w:pPr>
        <w:ind w:firstLine="656"/>
        <w:spacing w:after="0" w:line="324" w:lineRule="auto"/>
        <w:tabs>
          <w:tab w:leader="none" w:pos="143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1440" w:hanging="784"/>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06" w:lineRule="auto"/>
        <w:tabs>
          <w:tab w:leader="none" w:pos="14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81"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36" w:lineRule="auto"/>
        <w:tabs>
          <w:tab w:leader="none" w:pos="14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64" w:lineRule="exact"/>
        <w:rPr>
          <w:rFonts w:ascii="Arial" w:cs="Arial" w:eastAsia="Arial" w:hAnsi="Arial"/>
          <w:sz w:val="17"/>
          <w:szCs w:val="17"/>
          <w:color w:val="auto"/>
        </w:rPr>
      </w:pPr>
    </w:p>
    <w:p>
      <w:pPr>
        <w:jc w:val="both"/>
        <w:ind w:firstLine="656"/>
        <w:spacing w:after="0" w:line="302" w:lineRule="auto"/>
        <w:tabs>
          <w:tab w:leader="none" w:pos="15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192" w:lineRule="exact"/>
        <w:rPr>
          <w:rFonts w:ascii="Arial" w:cs="Arial" w:eastAsia="Arial" w:hAnsi="Arial"/>
          <w:sz w:val="18"/>
          <w:szCs w:val="18"/>
          <w:color w:val="auto"/>
        </w:rPr>
      </w:pPr>
    </w:p>
    <w:p>
      <w:pPr>
        <w:jc w:val="both"/>
        <w:ind w:left="660" w:firstLine="645"/>
        <w:spacing w:after="0" w:line="306" w:lineRule="auto"/>
        <w:tabs>
          <w:tab w:leader="none" w:pos="212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86" w:lineRule="exact"/>
        <w:rPr>
          <w:rFonts w:ascii="Arial" w:cs="Arial" w:eastAsia="Arial" w:hAnsi="Arial"/>
          <w:sz w:val="18"/>
          <w:szCs w:val="18"/>
          <w:color w:val="auto"/>
        </w:rPr>
      </w:pPr>
    </w:p>
    <w:p>
      <w:pPr>
        <w:jc w:val="both"/>
        <w:ind w:left="660" w:firstLine="645"/>
        <w:spacing w:after="0" w:line="346" w:lineRule="auto"/>
        <w:tabs>
          <w:tab w:leader="none" w:pos="217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"Earnings Per Share." </w:t>
      </w:r>
      <w:r>
        <w:rPr>
          <w:rFonts w:ascii="Arial" w:cs="Arial" w:eastAsia="Arial" w:hAnsi="Arial"/>
          <w:sz w:val="16"/>
          <w:szCs w:val="16"/>
          <w:color w:val="auto"/>
        </w:rPr>
        <w:t>For purposes of this Subsection 3(b), the term "Earnings Per Share" means,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64" w:lineRule="exact"/>
        <w:rPr>
          <w:rFonts w:ascii="Arial" w:cs="Arial" w:eastAsia="Arial" w:hAnsi="Arial"/>
          <w:sz w:val="16"/>
          <w:szCs w:val="16"/>
          <w:color w:val="auto"/>
        </w:rPr>
      </w:pPr>
    </w:p>
    <w:p>
      <w:pPr>
        <w:ind w:left="660" w:firstLine="645"/>
        <w:spacing w:after="0" w:line="324" w:lineRule="auto"/>
        <w:tabs>
          <w:tab w:leader="none" w:pos="222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each fiscal year of the Company ending within the Performance Period.</w:t>
      </w:r>
    </w:p>
    <w:p>
      <w:pPr>
        <w:spacing w:after="0" w:line="170" w:lineRule="exact"/>
        <w:rPr>
          <w:rFonts w:ascii="Arial" w:cs="Arial" w:eastAsia="Arial" w:hAnsi="Arial"/>
          <w:sz w:val="18"/>
          <w:szCs w:val="18"/>
          <w:color w:val="auto"/>
        </w:rPr>
      </w:pPr>
    </w:p>
    <w:p>
      <w:pPr>
        <w:jc w:val="both"/>
        <w:ind w:left="660" w:firstLine="645"/>
        <w:spacing w:after="0" w:line="311" w:lineRule="auto"/>
        <w:tabs>
          <w:tab w:leader="none" w:pos="221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Net Income and the level and entitlement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Performance RSUs, and any interpretation, rule, or decision adopted by the Committee under the Plan or in carrying out or administering the Plan, is final and binding for all purposes and upon all interested</w:t>
      </w:r>
    </w:p>
    <w:p>
      <w:pPr>
        <w:sectPr>
          <w:pgSz w:w="11900" w:h="16838" w:orient="portrait"/>
          <w:cols w:equalWidth="0" w:num="1">
            <w:col w:w="11420"/>
          </w:cols>
          <w:pgMar w:left="240" w:top="580" w:right="239" w:bottom="1440" w:gutter="0" w:footer="0" w:header="0"/>
        </w:sectPr>
      </w:pPr>
    </w:p>
    <w:bookmarkStart w:id="29" w:name="page30"/>
    <w:bookmarkEnd w:id="29"/>
    <w:p>
      <w:pPr>
        <w:jc w:val="both"/>
        <w:ind w:left="660"/>
        <w:spacing w:after="0" w:line="354" w:lineRule="auto"/>
        <w:rPr>
          <w:sz w:val="20"/>
          <w:szCs w:val="20"/>
          <w:color w:val="auto"/>
        </w:rPr>
      </w:pPr>
      <w:r>
        <w:rPr>
          <w:rFonts w:ascii="Arial" w:cs="Arial" w:eastAsia="Arial" w:hAnsi="Arial"/>
          <w:sz w:val="16"/>
          <w:szCs w:val="16"/>
          <w:color w:val="auto"/>
        </w:rPr>
        <w:t>persons, their heirs, and personal representatives. The Committee may rely conclusively on determinations made by the Company and its auditors to determine Net Income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157" w:lineRule="exact"/>
        <w:rPr>
          <w:sz w:val="20"/>
          <w:szCs w:val="20"/>
          <w:color w:val="auto"/>
        </w:rPr>
      </w:pPr>
    </w:p>
    <w:p>
      <w:pPr>
        <w:ind w:left="1440" w:hanging="784"/>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11" w:lineRule="auto"/>
        <w:tabs>
          <w:tab w:leader="none" w:pos="14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81" w:lineRule="exact"/>
        <w:rPr>
          <w:rFonts w:ascii="Arial" w:cs="Arial" w:eastAsia="Arial" w:hAnsi="Arial"/>
          <w:sz w:val="18"/>
          <w:szCs w:val="18"/>
          <w:color w:val="auto"/>
        </w:rPr>
      </w:pPr>
    </w:p>
    <w:p>
      <w:pPr>
        <w:jc w:val="both"/>
        <w:ind w:firstLine="656"/>
        <w:spacing w:after="0" w:line="341" w:lineRule="auto"/>
        <w:tabs>
          <w:tab w:leader="none" w:pos="15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68" w:lineRule="exact"/>
        <w:rPr>
          <w:sz w:val="20"/>
          <w:szCs w:val="20"/>
          <w:color w:val="auto"/>
        </w:rPr>
      </w:pPr>
    </w:p>
    <w:p>
      <w:pPr>
        <w:jc w:val="both"/>
        <w:ind w:firstLine="656"/>
        <w:spacing w:after="0" w:line="304" w:lineRule="auto"/>
        <w:tabs>
          <w:tab w:leader="none" w:pos="143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Service; Change in Control</w:t>
      </w:r>
      <w:r>
        <w:rPr>
          <w:rFonts w:ascii="Arial" w:cs="Arial" w:eastAsia="Arial" w:hAnsi="Arial"/>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5" w:lineRule="exact"/>
        <w:rPr>
          <w:sz w:val="20"/>
          <w:szCs w:val="20"/>
          <w:color w:val="auto"/>
        </w:rPr>
      </w:pPr>
    </w:p>
    <w:p>
      <w:pPr>
        <w:jc w:val="both"/>
        <w:ind w:firstLine="656"/>
        <w:spacing w:after="0" w:line="334" w:lineRule="auto"/>
        <w:tabs>
          <w:tab w:leader="none" w:pos="143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w:t>
      </w:r>
      <w:r>
        <w:rPr>
          <w:rFonts w:ascii="Arial" w:cs="Arial" w:eastAsia="Arial" w:hAnsi="Arial"/>
          <w:sz w:val="16"/>
          <w:szCs w:val="16"/>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w:t>
      </w:r>
    </w:p>
    <w:p>
      <w:pPr>
        <w:spacing w:after="0" w:line="1"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8"/>
          <w:szCs w:val="18"/>
          <w:color w:val="auto"/>
        </w:rPr>
        <w:t>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6" w:lineRule="exact"/>
        <w:rPr>
          <w:rFonts w:ascii="Arial" w:cs="Arial" w:eastAsia="Arial" w:hAnsi="Arial"/>
          <w:sz w:val="16"/>
          <w:szCs w:val="16"/>
          <w:color w:val="auto"/>
        </w:rPr>
      </w:pPr>
    </w:p>
    <w:p>
      <w:pPr>
        <w:ind w:right="20" w:firstLine="656"/>
        <w:spacing w:after="0" w:line="324" w:lineRule="auto"/>
        <w:tabs>
          <w:tab w:leader="none" w:pos="143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ectPr>
          <w:pgSz w:w="11900" w:h="16838" w:orient="portrait"/>
          <w:cols w:equalWidth="0" w:num="1">
            <w:col w:w="11420"/>
          </w:cols>
          <w:pgMar w:left="240" w:top="611" w:right="239" w:bottom="1440" w:gutter="0" w:footer="0" w:header="0"/>
        </w:sectPr>
      </w:pPr>
    </w:p>
    <w:bookmarkStart w:id="30" w:name="page31"/>
    <w:bookmarkEnd w:id="30"/>
    <w:p>
      <w:pPr>
        <w:jc w:val="both"/>
        <w:ind w:left="-656" w:firstLine="656"/>
        <w:spacing w:after="0" w:line="306"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86" w:lineRule="exact"/>
        <w:rPr>
          <w:rFonts w:ascii="Arial" w:cs="Arial" w:eastAsia="Arial" w:hAnsi="Arial"/>
          <w:sz w:val="18"/>
          <w:szCs w:val="18"/>
          <w:color w:val="auto"/>
        </w:rPr>
      </w:pPr>
    </w:p>
    <w:p>
      <w:pPr>
        <w:ind w:left="784" w:hanging="784"/>
        <w:spacing w:after="0"/>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349" w:lineRule="auto"/>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161" w:lineRule="exact"/>
        <w:rPr>
          <w:rFonts w:ascii="Arial" w:cs="Arial" w:eastAsia="Arial" w:hAnsi="Arial"/>
          <w:sz w:val="16"/>
          <w:szCs w:val="16"/>
          <w:color w:val="auto"/>
        </w:rPr>
      </w:pPr>
    </w:p>
    <w:p>
      <w:pPr>
        <w:jc w:val="both"/>
        <w:ind w:left="-656" w:firstLine="656"/>
        <w:spacing w:after="0" w:line="344" w:lineRule="auto"/>
        <w:tabs>
          <w:tab w:leader="none" w:pos="85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66" w:lineRule="exact"/>
        <w:rPr>
          <w:sz w:val="20"/>
          <w:szCs w:val="20"/>
          <w:color w:val="auto"/>
        </w:rPr>
      </w:pPr>
    </w:p>
    <w:p>
      <w:pPr>
        <w:jc w:val="both"/>
        <w:ind w:left="-656" w:firstLine="656"/>
        <w:spacing w:after="0" w:line="311"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1" w:lineRule="exact"/>
        <w:rPr>
          <w:rFonts w:ascii="Arial" w:cs="Arial" w:eastAsia="Arial" w:hAnsi="Arial"/>
          <w:sz w:val="18"/>
          <w:szCs w:val="18"/>
          <w:color w:val="auto"/>
        </w:rPr>
      </w:pPr>
    </w:p>
    <w:p>
      <w:pPr>
        <w:jc w:val="both"/>
        <w:ind w:left="-656" w:firstLine="656"/>
        <w:spacing w:after="0" w:line="346" w:lineRule="auto"/>
        <w:tabs>
          <w:tab w:leader="none" w:pos="85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64" w:lineRule="exact"/>
        <w:rPr>
          <w:rFonts w:ascii="Arial" w:cs="Arial" w:eastAsia="Arial" w:hAnsi="Arial"/>
          <w:sz w:val="16"/>
          <w:szCs w:val="16"/>
          <w:color w:val="auto"/>
        </w:rPr>
      </w:pPr>
    </w:p>
    <w:p>
      <w:pPr>
        <w:jc w:val="both"/>
        <w:ind w:left="-656" w:firstLine="656"/>
        <w:spacing w:after="0" w:line="311"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left="-656" w:firstLine="656"/>
        <w:spacing w:after="0" w:line="329" w:lineRule="auto"/>
        <w:tabs>
          <w:tab w:leader="none" w:pos="86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70" w:lineRule="exact"/>
        <w:rPr>
          <w:rFonts w:ascii="Arial" w:cs="Arial" w:eastAsia="Arial" w:hAnsi="Arial"/>
          <w:sz w:val="17"/>
          <w:szCs w:val="17"/>
          <w:color w:val="auto"/>
        </w:rPr>
      </w:pPr>
    </w:p>
    <w:p>
      <w:pPr>
        <w:ind w:left="-656" w:firstLine="656"/>
        <w:spacing w:after="0" w:line="324"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70" w:lineRule="exact"/>
        <w:rPr>
          <w:rFonts w:ascii="Arial" w:cs="Arial" w:eastAsia="Arial" w:hAnsi="Arial"/>
          <w:sz w:val="18"/>
          <w:szCs w:val="18"/>
          <w:color w:val="auto"/>
        </w:rPr>
      </w:pPr>
    </w:p>
    <w:p>
      <w:pPr>
        <w:jc w:val="both"/>
        <w:ind w:left="-656" w:firstLine="656"/>
        <w:spacing w:after="0" w:line="306"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ectPr>
          <w:pgSz w:w="11900" w:h="16838" w:orient="portrait"/>
          <w:cols w:equalWidth="0" w:num="1">
            <w:col w:w="10764"/>
          </w:cols>
          <w:pgMar w:left="896" w:top="827" w:right="239" w:bottom="1440" w:gutter="0" w:footer="0" w:header="0"/>
        </w:sectPr>
      </w:pPr>
    </w:p>
    <w:bookmarkStart w:id="31" w:name="page32"/>
    <w:bookmarkEnd w:id="31"/>
    <w:p>
      <w:pPr>
        <w:jc w:val="both"/>
        <w:ind w:left="-656" w:firstLine="656"/>
        <w:spacing w:after="0" w:line="311"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764"/>
          </w:cols>
          <w:pgMar w:left="896" w:top="611" w:right="239" w:bottom="1440" w:gutter="0" w:footer="0" w:header="0"/>
        </w:sectPr>
      </w:pPr>
    </w:p>
    <w:bookmarkStart w:id="32" w:name="page33"/>
    <w:bookmarkEnd w:id="32"/>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Senior Executive Annual Incentive Compensation Plan</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Awards under this Senior Executive Annual Incentive Compensation Plan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Annual Plan is designed to give each eligible Participant (as defined in the attached Administrative Guidelines) an opportunity to share in the Company's success for the fiscal year ending January 30, 2016 (the "Performance Period"). The incentive opportunity for the Performance Period is based on a percentage of each Participant's Base Salary (as defined herein) and will be earned based on three to four independent performance measures as more fully described herein (collectively, the “FY16 Performance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target incentive opportunity for each Participant is determined based on a percentage of each Participant's Base Salary (as defined below) based upon the Participant’s level.</w:t>
      </w:r>
    </w:p>
    <w:p>
      <w:pPr>
        <w:spacing w:after="0" w:line="200" w:lineRule="exact"/>
        <w:rPr>
          <w:sz w:val="20"/>
          <w:szCs w:val="20"/>
          <w:color w:val="auto"/>
        </w:rPr>
      </w:pPr>
    </w:p>
    <w:p>
      <w:pPr>
        <w:spacing w:after="0" w:line="316" w:lineRule="exact"/>
        <w:rPr>
          <w:sz w:val="20"/>
          <w:szCs w:val="20"/>
          <w:color w:val="auto"/>
        </w:rPr>
      </w:pPr>
    </w:p>
    <w:tbl>
      <w:tblPr>
        <w:tblLayout w:type="fixed"/>
        <w:tblInd w:w="63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51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Incentive Opportunity (Percent of Base Salary)</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Participant Level</w:t>
            </w:r>
          </w:p>
        </w:tc>
        <w:tc>
          <w:tcPr>
            <w:tcW w:w="1420" w:type="dxa"/>
            <w:vAlign w:val="bottom"/>
          </w:tcPr>
          <w:p>
            <w:pPr>
              <w:ind w:left="620"/>
              <w:spacing w:after="0"/>
              <w:rPr>
                <w:sz w:val="20"/>
                <w:szCs w:val="20"/>
                <w:color w:val="auto"/>
              </w:rPr>
            </w:pPr>
            <w:r>
              <w:rPr>
                <w:rFonts w:ascii="Arial" w:cs="Arial" w:eastAsia="Arial" w:hAnsi="Arial"/>
                <w:sz w:val="18"/>
                <w:szCs w:val="18"/>
                <w:b w:val="1"/>
                <w:bCs w:val="1"/>
                <w:color w:val="auto"/>
                <w:w w:val="89"/>
              </w:rPr>
              <w:t>Threshold</w:t>
            </w:r>
          </w:p>
        </w:tc>
        <w:tc>
          <w:tcPr>
            <w:tcW w:w="6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4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Excellence</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EVP</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6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4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87.5%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SVP/VP2</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6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4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65%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Each Participant will have the opportunity to earn the incentive set forth above based on the level of achievement against the FY16 Performance Measures.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applicability and weighting of the FY16 Performance Measures relative to the total incentive opportunity is also based upon the Participant’s level:</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34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w w:val="99"/>
              </w:rPr>
              <w:t>FY16 PERFORMANCE MEASURES</w:t>
            </w:r>
          </w:p>
        </w:tc>
        <w:tc>
          <w:tcPr>
            <w:tcW w:w="1700" w:type="dxa"/>
            <w:vAlign w:val="bottom"/>
            <w:tcBorders>
              <w:top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4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Corporate Performance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Strategic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Corporate Objective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Individual Personal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Objective</w:t>
            </w: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83"/>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Participant Level</w:t>
            </w:r>
          </w:p>
        </w:tc>
        <w:tc>
          <w:tcPr>
            <w:tcW w:w="14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Net Revenue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2"/>
              </w:rPr>
              <w:t>Operating Income</w:t>
            </w: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Financial Objectives</w:t>
            </w: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4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72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Evaluation</w:t>
            </w:r>
          </w:p>
        </w:tc>
        <w:tc>
          <w:tcPr>
            <w:tcW w:w="0" w:type="dxa"/>
            <w:vAlign w:val="bottom"/>
          </w:tcPr>
          <w:p>
            <w:pPr>
              <w:spacing w:after="0"/>
              <w:rPr>
                <w:sz w:val="1"/>
                <w:szCs w:val="1"/>
                <w:color w:val="auto"/>
              </w:rPr>
            </w:pPr>
          </w:p>
        </w:tc>
      </w:tr>
      <w:tr>
        <w:trPr>
          <w:trHeight w:val="103"/>
        </w:trPr>
        <w:tc>
          <w:tcPr>
            <w:tcW w:w="164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EVP</w:t>
            </w:r>
          </w:p>
        </w:tc>
        <w:tc>
          <w:tcPr>
            <w:tcW w:w="14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25%</w:t>
            </w:r>
          </w:p>
        </w:tc>
        <w:tc>
          <w:tcPr>
            <w:tcW w:w="14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25%</w:t>
            </w:r>
          </w:p>
        </w:tc>
        <w:tc>
          <w:tcPr>
            <w:tcW w:w="17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25%</w:t>
            </w:r>
          </w:p>
        </w:tc>
        <w:tc>
          <w:tcPr>
            <w:tcW w:w="17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7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SVP/VP2</w:t>
            </w:r>
          </w:p>
        </w:tc>
        <w:tc>
          <w:tcPr>
            <w:tcW w:w="148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12.5%</w:t>
            </w:r>
          </w:p>
        </w:tc>
        <w:tc>
          <w:tcPr>
            <w:tcW w:w="148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12.5%</w:t>
            </w:r>
          </w:p>
        </w:tc>
        <w:tc>
          <w:tcPr>
            <w:tcW w:w="17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70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0"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Corporate Performance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Payouts for Corporate Performance are based on meeting two independent financial metrics, net revenue and operating income. Each financial metric is weighted at 50% of the Corporate Performance goal. Assuming at least threshold levels of performance against the Corporate Performance goals are met during the Performance Period, the actual payout levels will range from 25%-200% of target. The actual amount of the Corporate Performance goals is considered to be confidential information and so is not included in this document, but can be obtained from Human Resources.</w:t>
      </w:r>
    </w:p>
    <w:p>
      <w:pPr>
        <w:spacing w:after="0" w:line="301" w:lineRule="exact"/>
        <w:rPr>
          <w:sz w:val="20"/>
          <w:szCs w:val="20"/>
          <w:color w:val="auto"/>
        </w:rPr>
      </w:pPr>
    </w:p>
    <w:tbl>
      <w:tblPr>
        <w:tblLayout w:type="fixed"/>
        <w:tblInd w:w="2350" w:type="dxa"/>
        <w:tblCellMar>
          <w:top w:w="0" w:type="dxa"/>
          <w:left w:w="0" w:type="dxa"/>
          <w:bottom w:w="0" w:type="dxa"/>
          <w:right w:w="0" w:type="dxa"/>
        </w:tblCellMar>
      </w:tblPr>
      <w:tr>
        <w:trPr>
          <w:trHeight w:val="238"/>
        </w:trPr>
        <w:tc>
          <w:tcPr>
            <w:tcW w:w="2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Net Revenue Performance Level</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as a Percentage of the Portion of Incentive</w:t>
            </w:r>
          </w:p>
        </w:tc>
        <w:tc>
          <w:tcPr>
            <w:tcW w:w="0" w:type="dxa"/>
            <w:vAlign w:val="bottom"/>
          </w:tcPr>
          <w:p>
            <w:pPr>
              <w:spacing w:after="0"/>
              <w:rPr>
                <w:sz w:val="1"/>
                <w:szCs w:val="1"/>
                <w:color w:val="auto"/>
              </w:rPr>
            </w:pPr>
          </w:p>
        </w:tc>
      </w:tr>
      <w:tr>
        <w:trPr>
          <w:trHeight w:val="126"/>
        </w:trPr>
        <w:tc>
          <w:tcPr>
            <w:tcW w:w="2720" w:type="dxa"/>
            <w:vAlign w:val="bottom"/>
            <w:tcBorders>
              <w:left w:val="single" w:sz="8" w:color="auto"/>
              <w:right w:val="single" w:sz="8" w:color="auto"/>
            </w:tcBorders>
            <w:vMerge w:val="continue"/>
          </w:tcPr>
          <w:p>
            <w:pPr>
              <w:spacing w:after="0"/>
              <w:rPr>
                <w:sz w:val="10"/>
                <w:szCs w:val="10"/>
                <w:color w:val="auto"/>
              </w:rPr>
            </w:pPr>
          </w:p>
        </w:tc>
        <w:tc>
          <w:tcPr>
            <w:tcW w:w="4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Tied to Corporate Performance*</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tcPr>
          <w:p>
            <w:pPr>
              <w:spacing w:after="0"/>
              <w:rPr>
                <w:sz w:val="9"/>
                <w:szCs w:val="9"/>
                <w:color w:val="auto"/>
              </w:rPr>
            </w:pPr>
          </w:p>
        </w:tc>
        <w:tc>
          <w:tcPr>
            <w:tcW w:w="4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2350" w:type="dxa"/>
        <w:tblCellMar>
          <w:top w:w="0" w:type="dxa"/>
          <w:left w:w="0" w:type="dxa"/>
          <w:bottom w:w="0" w:type="dxa"/>
          <w:right w:w="0" w:type="dxa"/>
        </w:tblCellMar>
      </w:tblPr>
      <w:tr>
        <w:trPr>
          <w:trHeight w:val="238"/>
        </w:trPr>
        <w:tc>
          <w:tcPr>
            <w:tcW w:w="2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 Performance</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as a Percentage of the Portion of Incentive</w:t>
            </w:r>
          </w:p>
        </w:tc>
      </w:tr>
      <w:tr>
        <w:trPr>
          <w:trHeight w:val="234"/>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Tied to Corporate Performance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Payout levels are determined using linear interpolation for results falling between the three performance levels.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Strategic Objective Performance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Payouts for performance against the Corporate Strategic Objectives will be based on performance against the following objectives:</w:t>
      </w:r>
    </w:p>
    <w:p>
      <w:pPr>
        <w:spacing w:after="0" w:line="33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Marketing Program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Drive Product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 Department Store Distribution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MFO at a specified percentage of factory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web and SAP projects on time and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Meeting restructuring expense savings goals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Corporate Strategic objective performance payout is based on results as determined by the Board of Directors. Assuming threshold levels are met, the actual payout levels range from 0%-150% of target based on the schedule below.</w:t>
      </w:r>
    </w:p>
    <w:p>
      <w:pPr>
        <w:spacing w:after="0" w:line="84" w:lineRule="exact"/>
        <w:rPr>
          <w:sz w:val="20"/>
          <w:szCs w:val="20"/>
          <w:color w:val="auto"/>
        </w:rPr>
      </w:pPr>
    </w:p>
    <w:tbl>
      <w:tblPr>
        <w:tblLayout w:type="fixed"/>
        <w:tblInd w:w="2070" w:type="dxa"/>
        <w:tblCellMar>
          <w:top w:w="0" w:type="dxa"/>
          <w:left w:w="0" w:type="dxa"/>
          <w:bottom w:w="0" w:type="dxa"/>
          <w:right w:w="0" w:type="dxa"/>
        </w:tblCellMar>
      </w:tblPr>
      <w:tr>
        <w:trPr>
          <w:trHeight w:val="257"/>
        </w:trPr>
        <w:tc>
          <w:tcPr>
            <w:tcW w:w="4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Incentive Rating</w:t>
            </w:r>
          </w:p>
        </w:tc>
        <w:tc>
          <w:tcPr>
            <w:tcW w:w="27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Strategic Objectives Payout</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Significantly 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Met All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Met Most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Did Not Meet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Objectives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Payouts for performance against the Corporate Objectives will be based on performance against the following objectives:</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marketing plan implementation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relevance of our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 and assortment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Go-to-market alignment across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Team engagement and retention</w:t>
      </w:r>
    </w:p>
    <w:p>
      <w:pPr>
        <w:sectPr>
          <w:pgSz w:w="11900" w:h="16838" w:orient="portrait"/>
          <w:cols w:equalWidth="0" w:num="1">
            <w:col w:w="11420"/>
          </w:cols>
          <w:pgMar w:left="240" w:top="580" w:right="239" w:bottom="1440" w:gutter="0" w:footer="0" w:header="0"/>
        </w:sectPr>
      </w:pPr>
    </w:p>
    <w:bookmarkStart w:id="34" w:name="page35"/>
    <w:bookmarkEnd w:id="3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 management</w:t>
      </w:r>
    </w:p>
    <w:p>
      <w:pPr>
        <w:spacing w:after="0" w:line="225" w:lineRule="exact"/>
        <w:rPr>
          <w:sz w:val="20"/>
          <w:szCs w:val="20"/>
          <w:color w:val="auto"/>
        </w:rPr>
      </w:pPr>
    </w:p>
    <w:p>
      <w:pPr>
        <w:ind w:left="80" w:right="40"/>
        <w:spacing w:after="0" w:line="264" w:lineRule="auto"/>
        <w:rPr>
          <w:sz w:val="20"/>
          <w:szCs w:val="20"/>
          <w:color w:val="auto"/>
        </w:rPr>
      </w:pPr>
      <w:r>
        <w:rPr>
          <w:rFonts w:ascii="Arial" w:cs="Arial" w:eastAsia="Arial" w:hAnsi="Arial"/>
          <w:sz w:val="18"/>
          <w:szCs w:val="18"/>
          <w:color w:val="auto"/>
        </w:rPr>
        <w:t>Each of these Corporate Objectives are considered confidential and should not be shared outside of the Company. The Compensation Committee of the Board of Directors of the Company (the “Compensation Committee”) shall determine the level of performance achieved against the Corporate Objectives in its sole discretion.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Payout levels for achievement of the Corporate Objectives range from 0%-150% of that portion of incentive tied to Corporate Objectives.</w:t>
      </w:r>
    </w:p>
    <w:p>
      <w:pPr>
        <w:spacing w:after="0" w:line="138" w:lineRule="exact"/>
        <w:rPr>
          <w:sz w:val="20"/>
          <w:szCs w:val="20"/>
          <w:color w:val="auto"/>
        </w:rPr>
      </w:pPr>
    </w:p>
    <w:tbl>
      <w:tblPr>
        <w:tblLayout w:type="fixed"/>
        <w:tblInd w:w="2070" w:type="dxa"/>
        <w:tblCellMar>
          <w:top w:w="0" w:type="dxa"/>
          <w:left w:w="0" w:type="dxa"/>
          <w:bottom w:w="0" w:type="dxa"/>
          <w:right w:w="0" w:type="dxa"/>
        </w:tblCellMar>
      </w:tblPr>
      <w:tr>
        <w:trPr>
          <w:trHeight w:val="257"/>
        </w:trPr>
        <w:tc>
          <w:tcPr>
            <w:tcW w:w="4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Against Corporate Objectives</w:t>
            </w:r>
          </w:p>
        </w:tc>
        <w:tc>
          <w:tcPr>
            <w:tcW w:w="276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Payout</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Significantly 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Met All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Met Most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Did Not Meet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256" w:lineRule="exact"/>
        <w:rPr>
          <w:sz w:val="20"/>
          <w:szCs w:val="20"/>
          <w:color w:val="auto"/>
        </w:rPr>
      </w:pPr>
    </w:p>
    <w:p>
      <w:pPr>
        <w:ind w:left="80"/>
        <w:spacing w:after="0" w:line="311"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financial objectives, as determined by the Participant’s supervisor. Payout levels for achievement of the Individual Financial Goals range from 0%-150% of that portion of incentive tied to the Individual Financial Goals.</w:t>
      </w:r>
    </w:p>
    <w:p>
      <w:pPr>
        <w:spacing w:after="0" w:line="68" w:lineRule="exact"/>
        <w:rPr>
          <w:sz w:val="20"/>
          <w:szCs w:val="20"/>
          <w:color w:val="auto"/>
        </w:rPr>
      </w:pPr>
    </w:p>
    <w:tbl>
      <w:tblPr>
        <w:tblLayout w:type="fixed"/>
        <w:tblInd w:w="2070" w:type="dxa"/>
        <w:tblCellMar>
          <w:top w:w="0" w:type="dxa"/>
          <w:left w:w="0" w:type="dxa"/>
          <w:bottom w:w="0" w:type="dxa"/>
          <w:right w:w="0" w:type="dxa"/>
        </w:tblCellMar>
      </w:tblPr>
      <w:tr>
        <w:trPr>
          <w:trHeight w:val="257"/>
        </w:trPr>
        <w:tc>
          <w:tcPr>
            <w:tcW w:w="4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Against Individual Financial Goals</w:t>
            </w:r>
          </w:p>
        </w:tc>
        <w:tc>
          <w:tcPr>
            <w:tcW w:w="276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Payout</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Significantly 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Exceeded</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Met All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Met Most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Did Not Meet Expectations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Performance</w:t>
      </w:r>
    </w:p>
    <w:p>
      <w:pPr>
        <w:spacing w:after="0" w:line="229" w:lineRule="exact"/>
        <w:rPr>
          <w:sz w:val="20"/>
          <w:szCs w:val="20"/>
          <w:color w:val="auto"/>
        </w:rPr>
      </w:pPr>
    </w:p>
    <w:p>
      <w:pPr>
        <w:ind w:left="80" w:right="180"/>
        <w:spacing w:after="0" w:line="308" w:lineRule="auto"/>
        <w:rPr>
          <w:sz w:val="20"/>
          <w:szCs w:val="20"/>
          <w:color w:val="auto"/>
        </w:rPr>
      </w:pPr>
      <w:r>
        <w:rPr>
          <w:rFonts w:ascii="Arial" w:cs="Arial" w:eastAsia="Arial" w:hAnsi="Arial"/>
          <w:sz w:val="17"/>
          <w:szCs w:val="17"/>
          <w:color w:val="auto"/>
        </w:rPr>
        <w:t>Payouts for Individual Performance will be based on each Participant's overall annual performance score during the Performance Period. Payout levels for achievement of Individual Performance targets range from 0%-150% of that portion of incentive tied to Individual Performance</w:t>
      </w:r>
    </w:p>
    <w:p>
      <w:pPr>
        <w:spacing w:after="0" w:line="60" w:lineRule="exact"/>
        <w:rPr>
          <w:sz w:val="20"/>
          <w:szCs w:val="20"/>
          <w:color w:val="auto"/>
        </w:rPr>
      </w:pPr>
    </w:p>
    <w:tbl>
      <w:tblPr>
        <w:tblLayout w:type="fixed"/>
        <w:tblInd w:w="159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Incentive Rating</w:t>
            </w:r>
          </w:p>
        </w:tc>
        <w:tc>
          <w:tcPr>
            <w:tcW w:w="19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Score</w:t>
            </w:r>
          </w:p>
        </w:tc>
        <w:tc>
          <w:tcPr>
            <w:tcW w:w="19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Payout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4.4-5.0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Exceeding Expectations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Meeting All Expectations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Meeting Some Expectations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2.5-2.9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Meeting Expectations/Too New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0-2.4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80"/>
          </w:cols>
          <w:pgMar w:left="240" w:top="584" w:right="279" w:bottom="1440" w:gutter="0" w:footer="0" w:header="0"/>
        </w:sectPr>
      </w:pPr>
    </w:p>
    <w:bookmarkStart w:id="35" w:name="page36"/>
    <w:bookmarkEnd w:id="35"/>
    <w:p>
      <w:pPr>
        <w:ind w:left="1368"/>
        <w:spacing w:after="0"/>
        <w:rPr>
          <w:sz w:val="20"/>
          <w:szCs w:val="20"/>
          <w:color w:val="auto"/>
        </w:rPr>
      </w:pPr>
      <w:r>
        <w:rPr>
          <w:rFonts w:ascii="Arial" w:cs="Arial" w:eastAsia="Arial" w:hAnsi="Arial"/>
          <w:sz w:val="18"/>
          <w:szCs w:val="18"/>
          <w:b w:val="1"/>
          <w:bCs w:val="1"/>
          <w:u w:val="single" w:color="auto"/>
          <w:color w:val="auto"/>
        </w:rPr>
        <w:t>Administrative Guidelines - Provide additional information regarding how the plan will be administered.</w:t>
      </w:r>
    </w:p>
    <w:p>
      <w:pPr>
        <w:spacing w:after="0" w:line="200" w:lineRule="exact"/>
        <w:rPr>
          <w:sz w:val="20"/>
          <w:szCs w:val="20"/>
          <w:color w:val="auto"/>
        </w:rPr>
      </w:pPr>
    </w:p>
    <w:p>
      <w:pPr>
        <w:spacing w:after="0" w:line="299" w:lineRule="exact"/>
        <w:rPr>
          <w:sz w:val="20"/>
          <w:szCs w:val="20"/>
          <w:color w:val="auto"/>
        </w:rPr>
      </w:pPr>
    </w:p>
    <w:p>
      <w:pPr>
        <w:jc w:val="both"/>
        <w:ind w:left="328" w:right="20"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CEO direct reports at a level of Vice President, Senior Vice President and Executive Vice President are eligible to participate in this annual plan, except participants in any other annual incentive compensation plan, which shall be determined by the Compensation Committee, in the Committee’s sole discretion.</w:t>
      </w:r>
    </w:p>
    <w:p>
      <w:pPr>
        <w:ind w:left="328"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ind w:left="328" w:hanging="328"/>
        <w:spacing w:after="0"/>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Final payout of any bonus under this Plan is subject to the final approval of the Chief Financial Officer and Vice President, Human Resources.</w:t>
      </w:r>
    </w:p>
    <w:p>
      <w:pPr>
        <w:spacing w:after="0" w:line="115" w:lineRule="exact"/>
        <w:rPr>
          <w:rFonts w:ascii="Arial" w:cs="Arial" w:eastAsia="Arial" w:hAnsi="Arial"/>
          <w:sz w:val="17"/>
          <w:szCs w:val="17"/>
          <w:color w:val="auto"/>
        </w:rPr>
      </w:pPr>
    </w:p>
    <w:p>
      <w:pPr>
        <w:jc w:val="both"/>
        <w:ind w:left="328"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968" w:hanging="320"/>
        <w:spacing w:after="0" w:line="360" w:lineRule="auto"/>
        <w:tabs>
          <w:tab w:leader="none" w:pos="9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 w:lineRule="exact"/>
        <w:rPr>
          <w:rFonts w:ascii="Arial" w:cs="Arial" w:eastAsia="Arial" w:hAnsi="Arial"/>
          <w:sz w:val="18"/>
          <w:szCs w:val="18"/>
          <w:color w:val="auto"/>
        </w:rPr>
      </w:pPr>
    </w:p>
    <w:p>
      <w:pPr>
        <w:ind w:left="968" w:hanging="320"/>
        <w:spacing w:after="0" w:line="360" w:lineRule="auto"/>
        <w:tabs>
          <w:tab w:leader="none" w:pos="9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103" w:lineRule="exact"/>
        <w:rPr>
          <w:rFonts w:ascii="Arial" w:cs="Arial" w:eastAsia="Arial" w:hAnsi="Arial"/>
          <w:sz w:val="18"/>
          <w:szCs w:val="18"/>
          <w:color w:val="auto"/>
        </w:rPr>
      </w:pPr>
    </w:p>
    <w:p>
      <w:pPr>
        <w:ind w:left="328"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103" w:lineRule="exact"/>
        <w:rPr>
          <w:rFonts w:ascii="Arial" w:cs="Arial" w:eastAsia="Arial" w:hAnsi="Arial"/>
          <w:sz w:val="18"/>
          <w:szCs w:val="18"/>
          <w:color w:val="auto"/>
        </w:rPr>
      </w:pPr>
    </w:p>
    <w:p>
      <w:pPr>
        <w:ind w:left="328"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ind w:left="328" w:right="20"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ind w:left="328" w:hanging="328"/>
        <w:spacing w:after="0" w:line="360"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jc w:val="both"/>
        <w:ind w:left="328" w:hanging="328"/>
        <w:spacing w:after="0" w:line="373"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w:t>
      </w:r>
    </w:p>
    <w:p>
      <w:pPr>
        <w:sectPr>
          <w:pgSz w:w="11900" w:h="16838" w:orient="portrait"/>
          <w:cols w:equalWidth="0" w:num="1">
            <w:col w:w="11088"/>
          </w:cols>
          <w:pgMar w:left="572" w:top="796" w:right="239" w:bottom="1440" w:gutter="0" w:footer="0" w:header="0"/>
        </w:sectPr>
      </w:pPr>
    </w:p>
    <w:bookmarkStart w:id="36" w:name="page37"/>
    <w:bookmarkEnd w:id="36"/>
    <w:p>
      <w:pPr>
        <w:jc w:val="both"/>
        <w:ind w:left="328"/>
        <w:spacing w:after="0" w:line="412" w:lineRule="auto"/>
        <w:rPr>
          <w:sz w:val="20"/>
          <w:szCs w:val="20"/>
          <w:color w:val="auto"/>
        </w:rPr>
      </w:pPr>
      <w:r>
        <w:rPr>
          <w:rFonts w:ascii="Arial" w:cs="Arial" w:eastAsia="Arial" w:hAnsi="Arial"/>
          <w:sz w:val="18"/>
          <w:szCs w:val="18"/>
          <w:color w:val="auto"/>
        </w:rPr>
        <w:t>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 w:lineRule="exact"/>
        <w:rPr>
          <w:sz w:val="20"/>
          <w:szCs w:val="20"/>
          <w:color w:val="auto"/>
        </w:rPr>
      </w:pPr>
    </w:p>
    <w:p>
      <w:pPr>
        <w:ind w:left="328" w:hanging="328"/>
        <w:spacing w:after="0" w:line="360"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ind w:left="328" w:hanging="328"/>
        <w:spacing w:after="0" w:line="360"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ind w:left="328" w:hanging="328"/>
        <w:spacing w:after="0" w:line="465" w:lineRule="auto"/>
        <w:tabs>
          <w:tab w:leader="none" w:pos="3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088"/>
          </w:cols>
          <w:pgMar w:left="572" w:top="66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i w:val="1"/>
          <w:iCs w:val="1"/>
          <w:color w:val="auto"/>
        </w:rPr>
        <w:t>Re:</w:t>
        <w:tab/>
        <w:t xml:space="preserve">Award Agreement - Grant of </w:t>
      </w:r>
      <w:r>
        <w:rPr>
          <w:rFonts w:ascii="Arial" w:cs="Arial" w:eastAsia="Arial" w:hAnsi="Arial"/>
          <w:sz w:val="18"/>
          <w:szCs w:val="18"/>
          <w:b w:val="1"/>
          <w:bCs w:val="1"/>
          <w:i w:val="1"/>
          <w:iCs w:val="1"/>
          <w:u w:val="single" w:color="auto"/>
          <w:color w:val="auto"/>
        </w:rPr>
        <w:t>Performance</w:t>
      </w:r>
      <w:r>
        <w:rPr>
          <w:rFonts w:ascii="Arial" w:cs="Arial" w:eastAsia="Arial" w:hAnsi="Arial"/>
          <w:sz w:val="18"/>
          <w:szCs w:val="18"/>
          <w:b w:val="1"/>
          <w:bCs w:val="1"/>
          <w:i w:val="1"/>
          <w:iCs w:val="1"/>
          <w:color w:val="auto"/>
        </w:rPr>
        <w:t xml:space="preserv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6"/>
          <w:szCs w:val="16"/>
          <w:b w:val="1"/>
          <w:bCs w:val="1"/>
          <w:color w:val="auto"/>
        </w:rPr>
        <w:t>you must electronically accept your grant no later than two weeks from the grant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p>
      <w:pPr>
        <w:sectPr>
          <w:pgSz w:w="11900" w:h="16838" w:orient="portrait"/>
          <w:cols w:equalWidth="0" w:num="1">
            <w:col w:w="11420"/>
          </w:cols>
          <w:pgMar w:left="240" w:top="580" w:right="2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Discretionary grant of Performance Units (“Performance RSUs”). This is a one-time, discretionary grant to reward you for your continued contribution to the success of Vera Bradley.</w:t>
      </w:r>
    </w:p>
    <w:p>
      <w:pPr>
        <w:spacing w:after="0" w:line="126" w:lineRule="exact"/>
        <w:rPr>
          <w:sz w:val="20"/>
          <w:szCs w:val="20"/>
          <w:color w:val="auto"/>
        </w:rPr>
      </w:pPr>
    </w:p>
    <w:p>
      <w:pPr>
        <w:sectPr>
          <w:pgSz w:w="11900" w:h="16838" w:orient="portrait"/>
          <w:cols w:equalWidth="0" w:num="2">
            <w:col w:w="1600" w:space="720"/>
            <w:col w:w="9100"/>
          </w:cols>
          <w:pgMar w:left="240" w:top="580" w:right="23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Number of Performance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[Insert XX]</w:t>
      </w:r>
    </w:p>
    <w:p>
      <w:pPr>
        <w:spacing w:after="0" w:line="411" w:lineRule="exact"/>
        <w:rPr>
          <w:sz w:val="20"/>
          <w:szCs w:val="20"/>
          <w:color w:val="auto"/>
        </w:rPr>
      </w:pPr>
    </w:p>
    <w:p>
      <w:pPr>
        <w:sectPr>
          <w:pgSz w:w="11900" w:h="16838" w:orient="portrait"/>
          <w:cols w:equalWidth="0" w:num="2">
            <w:col w:w="1920" w:space="400"/>
            <w:col w:w="9100"/>
          </w:cols>
          <w:pgMar w:left="240" w:top="580" w:right="239" w:bottom="1440" w:gutter="0" w:footer="0" w:header="0"/>
          <w:type w:val="continuous"/>
        </w:sectPr>
      </w:pPr>
    </w:p>
    <w:p>
      <w:pPr>
        <w:ind w:left="40"/>
        <w:spacing w:after="0" w:line="510" w:lineRule="auto"/>
        <w:rPr>
          <w:sz w:val="20"/>
          <w:szCs w:val="20"/>
          <w:color w:val="auto"/>
        </w:rPr>
      </w:pPr>
      <w:r>
        <w:rPr>
          <w:rFonts w:ascii="Arial" w:cs="Arial" w:eastAsia="Arial" w:hAnsi="Arial"/>
          <w:sz w:val="16"/>
          <w:szCs w:val="16"/>
          <w:b w:val="1"/>
          <w:bCs w:val="1"/>
          <w:color w:val="auto"/>
        </w:rPr>
        <w:t>Date of Grant of Award 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[Insert XX]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[Insert XX]</w:t>
      </w:r>
    </w:p>
    <w:p>
      <w:pPr>
        <w:spacing w:after="0" w:line="195" w:lineRule="exact"/>
        <w:rPr>
          <w:sz w:val="20"/>
          <w:szCs w:val="20"/>
          <w:color w:val="auto"/>
        </w:rPr>
      </w:pPr>
    </w:p>
    <w:p>
      <w:pPr>
        <w:sectPr>
          <w:pgSz w:w="11900" w:h="16838" w:orient="portrait"/>
          <w:cols w:equalWidth="0" w:num="2">
            <w:col w:w="1860" w:space="460"/>
            <w:col w:w="910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Earning of Performance</w:t>
      </w:r>
    </w:p>
    <w:p>
      <w:pPr>
        <w:spacing w:after="0" w:line="27" w:lineRule="exact"/>
        <w:rPr>
          <w:sz w:val="20"/>
          <w:szCs w:val="20"/>
          <w:color w:val="auto"/>
        </w:rPr>
      </w:pPr>
    </w:p>
    <w:p>
      <w:pPr>
        <w:jc w:val="both"/>
        <w:ind w:left="2320" w:right="20" w:hanging="2279"/>
        <w:spacing w:after="0" w:line="281" w:lineRule="auto"/>
        <w:tabs>
          <w:tab w:leader="none" w:pos="2300" w:val="left"/>
        </w:tabs>
        <w:rPr>
          <w:sz w:val="20"/>
          <w:szCs w:val="20"/>
          <w:color w:val="auto"/>
        </w:rPr>
      </w:pPr>
      <w:r>
        <w:rPr>
          <w:rFonts w:ascii="Arial" w:cs="Arial" w:eastAsia="Arial" w:hAnsi="Arial"/>
          <w:sz w:val="16"/>
          <w:szCs w:val="16"/>
          <w:b w:val="1"/>
          <w:bCs w:val="1"/>
          <w:color w:val="auto"/>
        </w:rPr>
        <w:t>RSUs</w:t>
      </w:r>
      <w:r>
        <w:rPr>
          <w:sz w:val="20"/>
          <w:szCs w:val="20"/>
          <w:color w:val="auto"/>
        </w:rPr>
        <w:tab/>
      </w:r>
      <w:r>
        <w:rPr>
          <w:rFonts w:ascii="Arial" w:cs="Arial" w:eastAsia="Arial" w:hAnsi="Arial"/>
          <w:sz w:val="16"/>
          <w:szCs w:val="16"/>
          <w:color w:val="auto"/>
        </w:rPr>
        <w:t>The Performance RSUs will be divided into three equal tranches of 1/3 each (each a separate "Tranche") of the total Award and allocated to each of the three fiscal years of the Company ending during the Performance Period, with each such fiscal year being considered a performance year ("Performance Year"). Importantly, each Tranche of Performance RSUs must be "</w:t>
      </w:r>
      <w:r>
        <w:rPr>
          <w:rFonts w:ascii="Arial" w:cs="Arial" w:eastAsia="Arial" w:hAnsi="Arial"/>
          <w:sz w:val="16"/>
          <w:szCs w:val="16"/>
          <w:b w:val="1"/>
          <w:bCs w:val="1"/>
          <w:u w:val="single" w:color="auto"/>
          <w:color w:val="auto"/>
        </w:rPr>
        <w:t>earned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vested</w:t>
      </w:r>
      <w:r>
        <w:rPr>
          <w:rFonts w:ascii="Arial" w:cs="Arial" w:eastAsia="Arial" w:hAnsi="Arial"/>
          <w:sz w:val="16"/>
          <w:szCs w:val="16"/>
          <w:color w:val="auto"/>
        </w:rPr>
        <w:t>" before it will be settled in the form of Shares of the Company. Except as otherwise provided herein,</w:t>
      </w:r>
    </w:p>
    <w:p>
      <w:pPr>
        <w:spacing w:after="0" w:line="3" w:lineRule="exact"/>
        <w:rPr>
          <w:sz w:val="20"/>
          <w:szCs w:val="20"/>
          <w:color w:val="auto"/>
        </w:rPr>
      </w:pPr>
    </w:p>
    <w:p>
      <w:pPr>
        <w:jc w:val="both"/>
        <w:ind w:left="2320" w:right="20" w:hanging="3"/>
        <w:spacing w:after="0" w:line="253" w:lineRule="auto"/>
        <w:tabs>
          <w:tab w:leader="none" w:pos="25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Tranche of Performance RSUs will be deemed </w:t>
      </w:r>
      <w:r>
        <w:rPr>
          <w:rFonts w:ascii="Arial" w:cs="Arial" w:eastAsia="Arial" w:hAnsi="Arial"/>
          <w:sz w:val="18"/>
          <w:szCs w:val="18"/>
          <w:b w:val="1"/>
          <w:bCs w:val="1"/>
          <w:u w:val="single" w:color="auto"/>
          <w:color w:val="auto"/>
        </w:rPr>
        <w:t>earned</w:t>
      </w:r>
      <w:r>
        <w:rPr>
          <w:rFonts w:ascii="Arial" w:cs="Arial" w:eastAsia="Arial" w:hAnsi="Arial"/>
          <w:sz w:val="18"/>
          <w:szCs w:val="18"/>
          <w:color w:val="auto"/>
        </w:rPr>
        <w:t xml:space="preserve"> only if the Net Income (as defined in the FY13 Restricted Stock Unit/Performance Unit Terms and Conditions) of the Company for the applicable </w:t>
      </w:r>
      <w:r>
        <w:rPr>
          <w:rFonts w:ascii="Arial" w:cs="Arial" w:eastAsia="Arial" w:hAnsi="Arial"/>
          <w:sz w:val="18"/>
          <w:szCs w:val="18"/>
          <w:u w:val="single" w:color="auto"/>
          <w:color w:val="auto"/>
        </w:rPr>
        <w:t>Performance Year</w:t>
      </w:r>
      <w:r>
        <w:rPr>
          <w:rFonts w:ascii="Arial" w:cs="Arial" w:eastAsia="Arial" w:hAnsi="Arial"/>
          <w:sz w:val="18"/>
          <w:szCs w:val="18"/>
          <w:color w:val="auto"/>
        </w:rPr>
        <w:t xml:space="preserve"> meets or exceeds the threshold level established by the Compensation Committee for such Performance Year, and (ii) each Tranche of Performance RSUs will be deemed </w:t>
      </w:r>
      <w:r>
        <w:rPr>
          <w:rFonts w:ascii="Arial" w:cs="Arial" w:eastAsia="Arial" w:hAnsi="Arial"/>
          <w:sz w:val="18"/>
          <w:szCs w:val="18"/>
          <w:b w:val="1"/>
          <w:bCs w:val="1"/>
          <w:u w:val="single" w:color="auto"/>
          <w:color w:val="auto"/>
        </w:rPr>
        <w:t>vested</w:t>
      </w:r>
      <w:r>
        <w:rPr>
          <w:rFonts w:ascii="Arial" w:cs="Arial" w:eastAsia="Arial" w:hAnsi="Arial"/>
          <w:sz w:val="18"/>
          <w:szCs w:val="18"/>
          <w:color w:val="auto"/>
        </w:rPr>
        <w:t xml:space="preserve"> only if you are continuously employed with the Company throughout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w:t>
      </w:r>
    </w:p>
    <w:p>
      <w:pPr>
        <w:spacing w:after="0" w:line="200" w:lineRule="exact"/>
        <w:rPr>
          <w:sz w:val="20"/>
          <w:szCs w:val="20"/>
          <w:color w:val="auto"/>
        </w:rPr>
      </w:pPr>
    </w:p>
    <w:p>
      <w:pPr>
        <w:spacing w:after="0" w:line="379"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1"/>
              </w:rPr>
              <w:t>Performance Level* for each Tranche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3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jc w:val="center"/>
              <w:ind w:right="1200"/>
              <w:spacing w:after="0"/>
              <w:rPr>
                <w:sz w:val="20"/>
                <w:szCs w:val="20"/>
                <w:color w:val="auto"/>
              </w:rPr>
            </w:pPr>
            <w:r>
              <w:rPr>
                <w:rFonts w:ascii="Arial" w:cs="Arial" w:eastAsia="Arial" w:hAnsi="Arial"/>
                <w:sz w:val="18"/>
                <w:szCs w:val="18"/>
                <w:b w:val="1"/>
                <w:bCs w:val="1"/>
                <w:color w:val="auto"/>
                <w:w w:val="90"/>
              </w:rPr>
              <w:t>Target</w:t>
            </w:r>
          </w:p>
        </w:tc>
        <w:tc>
          <w:tcPr>
            <w:tcW w:w="160" w:type="dxa"/>
            <w:vAlign w:val="bottom"/>
          </w:tcPr>
          <w:p>
            <w:pPr>
              <w:spacing w:after="0"/>
              <w:rPr>
                <w:sz w:val="21"/>
                <w:szCs w:val="21"/>
                <w:color w:val="auto"/>
              </w:rPr>
            </w:pPr>
          </w:p>
        </w:tc>
        <w:tc>
          <w:tcPr>
            <w:tcW w:w="10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Excellence</w:t>
            </w:r>
          </w:p>
        </w:tc>
        <w:tc>
          <w:tcPr>
            <w:tcW w:w="0" w:type="dxa"/>
            <w:vAlign w:val="bottom"/>
          </w:tcPr>
          <w:p>
            <w:pPr>
              <w:spacing w:after="0"/>
              <w:rPr>
                <w:sz w:val="1"/>
                <w:szCs w:val="1"/>
                <w:color w:val="auto"/>
              </w:rPr>
            </w:pPr>
          </w:p>
        </w:tc>
      </w:tr>
      <w:tr>
        <w:trPr>
          <w:trHeight w:val="27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88%</w:t>
            </w:r>
          </w:p>
        </w:tc>
        <w:tc>
          <w:tcPr>
            <w:tcW w:w="1560" w:type="dxa"/>
            <w:vAlign w:val="bottom"/>
            <w:gridSpan w:val="2"/>
            <w:vMerge w:val="restart"/>
          </w:tcPr>
          <w:p>
            <w:pPr>
              <w:spacing w:after="0"/>
              <w:rPr>
                <w:sz w:val="23"/>
                <w:szCs w:val="23"/>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vMerge w:val="restart"/>
          </w:tcPr>
          <w:p>
            <w:pPr>
              <w:spacing w:after="0"/>
              <w:rPr>
                <w:sz w:val="23"/>
                <w:szCs w:val="23"/>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(FY16)</w:t>
            </w:r>
          </w:p>
        </w:tc>
        <w:tc>
          <w:tcPr>
            <w:tcW w:w="78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(FY17)</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(FY18)</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Payout level** for Tranche of</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25%</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Performance RSUs</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300" w:right="40" w:hanging="10"/>
        <w:spacing w:after="0" w:line="279" w:lineRule="auto"/>
        <w:tabs>
          <w:tab w:leader="none" w:pos="24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200% of the "Target" (for performance levels at or above the "Excellence" level).</w:t>
      </w:r>
    </w:p>
    <w:p>
      <w:pPr>
        <w:spacing w:after="0" w:line="131" w:lineRule="exact"/>
        <w:rPr>
          <w:sz w:val="20"/>
          <w:szCs w:val="20"/>
          <w:color w:val="auto"/>
        </w:rPr>
      </w:pPr>
    </w:p>
    <w:p>
      <w:pPr>
        <w:ind w:left="2300" w:right="360" w:hanging="10"/>
        <w:spacing w:after="0" w:line="342" w:lineRule="auto"/>
        <w:tabs>
          <w:tab w:leader="none" w:pos="252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Payout levels for each Tranche of Performance RSUs are based on the attained percentage of the target Net Income for each respective Performance Year (using linear interpolation for results falling between the three performance levels).</w:t>
      </w:r>
    </w:p>
    <w:p>
      <w:pPr>
        <w:sectPr>
          <w:pgSz w:w="11900" w:h="16838" w:orient="portrait"/>
          <w:cols w:equalWidth="0" w:num="1">
            <w:col w:w="11420"/>
          </w:cols>
          <w:pgMar w:left="240" w:top="580" w:right="239" w:bottom="1440" w:gutter="0" w:footer="0" w:header="0"/>
          <w:type w:val="continuous"/>
        </w:sectPr>
      </w:pPr>
    </w:p>
    <w:bookmarkStart w:id="38" w:name="page39"/>
    <w:bookmarkEnd w:id="38"/>
    <w:p>
      <w:pPr>
        <w:jc w:val="both"/>
        <w:ind w:left="2160" w:hanging="2173"/>
        <w:spacing w:after="0" w:line="261" w:lineRule="auto"/>
        <w:tabs>
          <w:tab w:leader="none" w:pos="2140" w:val="left"/>
        </w:tabs>
        <w:rPr>
          <w:sz w:val="20"/>
          <w:szCs w:val="20"/>
          <w:color w:val="auto"/>
        </w:rPr>
      </w:pPr>
      <w:r>
        <w:rPr>
          <w:rFonts w:ascii="Arial" w:cs="Arial" w:eastAsia="Arial" w:hAnsi="Arial"/>
          <w:sz w:val="18"/>
          <w:szCs w:val="18"/>
          <w:b w:val="1"/>
          <w:bCs w:val="1"/>
          <w:color w:val="auto"/>
        </w:rPr>
        <w:t>Termination of Service</w:t>
      </w:r>
      <w:r>
        <w:rPr>
          <w:sz w:val="20"/>
          <w:szCs w:val="20"/>
          <w:color w:val="auto"/>
        </w:rPr>
        <w:tab/>
      </w:r>
      <w:r>
        <w:rPr>
          <w:rFonts w:ascii="Arial" w:cs="Arial" w:eastAsia="Arial" w:hAnsi="Arial"/>
          <w:sz w:val="18"/>
          <w:szCs w:val="18"/>
          <w:color w:val="auto"/>
        </w:rPr>
        <w:t>In general, should your Service with Vera Bradley be terminated prior to the last day of the Performance Period, all then outstanding Performance RSUs (whether or not one or more Tranches have been earned as a result of the Net Income for such Performance Year) will be forfeited to the Company. However, the following provisions will apply if, during the Performance Period, you cease providing Services due to death, Disability or Retirement (and provided that you have not otherwise engaged in an act that would constitute Cause):</w:t>
      </w:r>
    </w:p>
    <w:p>
      <w:pPr>
        <w:spacing w:after="0" w:line="22" w:lineRule="exact"/>
        <w:rPr>
          <w:sz w:val="20"/>
          <w:szCs w:val="20"/>
          <w:color w:val="auto"/>
        </w:rPr>
      </w:pPr>
    </w:p>
    <w:p>
      <w:pPr>
        <w:ind w:left="2620" w:right="20" w:firstLine="9"/>
        <w:spacing w:after="0" w:line="271" w:lineRule="auto"/>
        <w:tabs>
          <w:tab w:leader="none" w:pos="2795"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your Service with the Company terminates as a result of your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Disability during the Performance Period, (i) with respect to Performance Years that have been completed at the time of such death or Disability, each such Tranche shall be earned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death or Disability, each such Tranche shall be deemed to be earned based on the "Target" level of performance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"Disability" shall have the meaning assigned to such term in the 2010 Plan.</w:t>
      </w:r>
    </w:p>
    <w:p>
      <w:pPr>
        <w:spacing w:after="0" w:line="12" w:lineRule="exact"/>
        <w:rPr>
          <w:rFonts w:ascii="Arial" w:cs="Arial" w:eastAsia="Arial" w:hAnsi="Arial"/>
          <w:sz w:val="17"/>
          <w:szCs w:val="17"/>
          <w:color w:val="auto"/>
        </w:rPr>
      </w:pPr>
    </w:p>
    <w:p>
      <w:pPr>
        <w:ind w:left="2620" w:right="20" w:firstLine="9"/>
        <w:spacing w:after="0" w:line="271" w:lineRule="auto"/>
        <w:tabs>
          <w:tab w:leader="none" w:pos="2795"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your Service terminates as a result of your Retirement during the Performance Period,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Tranche of outstanding Awards shall be treated as earned (i) with respect to Performance Years that have been completed at the time of such Retirement, each such Tranche shall be earned and vested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Retirement, each such Tranche shall be deemed to be earned based on the actual performance level attained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"Retirement" shall have the meaning assigned to such term in the 2010 Plan.</w:t>
      </w:r>
    </w:p>
    <w:p>
      <w:pPr>
        <w:spacing w:after="0" w:line="16" w:lineRule="exact"/>
        <w:rPr>
          <w:sz w:val="20"/>
          <w:szCs w:val="20"/>
          <w:color w:val="auto"/>
        </w:rPr>
      </w:pPr>
    </w:p>
    <w:p>
      <w:pPr>
        <w:ind w:left="2160" w:right="60"/>
        <w:spacing w:after="0" w:line="264" w:lineRule="auto"/>
        <w:rPr>
          <w:sz w:val="20"/>
          <w:szCs w:val="20"/>
          <w:color w:val="auto"/>
        </w:rPr>
      </w:pPr>
      <w:r>
        <w:rPr>
          <w:rFonts w:ascii="Arial" w:cs="Arial" w:eastAsia="Arial" w:hAnsi="Arial"/>
          <w:sz w:val="18"/>
          <w:szCs w:val="18"/>
          <w:color w:val="auto"/>
        </w:rPr>
        <w:t>If your Service with the Company shall terminate during the Performance Period for any reason other than death, Disability, or Retirement, all Performance RSUs granted hereunder (whether or not a Tranche was previously earned) shall be forfeited to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Notwithstanding anything to the contrary in this Award Agreement, in the event of the consummation of a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of the Company (and provided that you remain continuously employed with the Company until such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during the Performance Period, then each Tranche of outstanding Awards shall be treated as earned (i) with respect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Performance Years that have been completed at the time of such Change in Control, such Tranche shall be earned and vested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only to the extent of actual performance for such Performance Year, and (ii) with respect to Performance Years that have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200" w:type="dxa"/>
            <w:vAlign w:val="bottom"/>
            <w:gridSpan w:val="2"/>
          </w:tcPr>
          <w:p>
            <w:pPr>
              <w:spacing w:after="0" w:line="190" w:lineRule="exact"/>
              <w:rPr>
                <w:sz w:val="20"/>
                <w:szCs w:val="20"/>
                <w:color w:val="auto"/>
              </w:rPr>
            </w:pPr>
            <w:r>
              <w:rPr>
                <w:rFonts w:ascii="Arial" w:cs="Arial" w:eastAsia="Arial" w:hAnsi="Arial"/>
                <w:sz w:val="18"/>
                <w:szCs w:val="18"/>
                <w:color w:val="auto"/>
                <w:w w:val="89"/>
              </w:rPr>
              <w:t>not been completed at the time of such Change in Control, each such Tranche shall be deemed to be earned at the Target level,</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with any such earned Performance RSUs becoming fully vested. Performance RSUs payable upon a Change in Control shall be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paid immediately prior to the Change in Control in the form of one Share of Company stock for each vested Performance RSU.</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8"/>
              </w:rPr>
              <w:t>Partial Shares (along with any accumulated dividends) will be paid in cash at the same time the Shares are delivered.</w:t>
            </w:r>
          </w:p>
        </w:tc>
        <w:tc>
          <w:tcPr>
            <w:tcW w:w="0" w:type="dxa"/>
            <w:vAlign w:val="bottom"/>
          </w:tcPr>
          <w:p>
            <w:pPr>
              <w:spacing w:after="0"/>
              <w:rPr>
                <w:sz w:val="1"/>
                <w:szCs w:val="1"/>
                <w:color w:val="auto"/>
              </w:rPr>
            </w:pPr>
          </w:p>
        </w:tc>
      </w:tr>
      <w:tr>
        <w:trPr>
          <w:trHeight w:val="392"/>
        </w:trPr>
        <w:tc>
          <w:tcPr>
            <w:tcW w:w="216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9200" w:type="dxa"/>
            <w:vAlign w:val="bottom"/>
            <w:gridSpan w:val="2"/>
            <w:vMerge w:val="restart"/>
          </w:tcPr>
          <w:p>
            <w:pPr>
              <w:spacing w:after="0"/>
              <w:rPr>
                <w:sz w:val="20"/>
                <w:szCs w:val="20"/>
                <w:color w:val="auto"/>
              </w:rPr>
            </w:pPr>
            <w:r>
              <w:rPr>
                <w:rFonts w:ascii="Arial" w:cs="Arial" w:eastAsia="Arial" w:hAnsi="Arial"/>
                <w:sz w:val="18"/>
                <w:szCs w:val="18"/>
                <w:color w:val="auto"/>
                <w:w w:val="91"/>
              </w:rPr>
              <w:t>Except as it applies to Tranches that are deemed to be earned at "Target" and become payable due to a Change in Control or</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9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due to termination of Service as a result of death or Disability, no Awards will become payable unless the Committee certifies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that the performance goals in the Award Agreement have been attained with respect to the applicable Performance Year during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the Performance Period in a manner that complies with Code Section 162(m) and the 2010 Plan. Any earned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RSUs will be paid in the form of one Share of Company stock for each earned whole Performance RSU. Delivery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Share(s) will be made, including delivery with respect to a Disabled Participant, or to the estate of a deceased Participant, after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line="216" w:lineRule="exact"/>
              <w:rPr>
                <w:sz w:val="20"/>
                <w:szCs w:val="20"/>
                <w:color w:val="auto"/>
              </w:rPr>
            </w:pPr>
            <w:r>
              <w:rPr>
                <w:rFonts w:ascii="Arial" w:cs="Arial" w:eastAsia="Arial" w:hAnsi="Arial"/>
                <w:sz w:val="18"/>
                <w:szCs w:val="18"/>
                <w:color w:val="auto"/>
                <w:w w:val="94"/>
              </w:rPr>
              <w:t>the end of the Performance Period and not later than the 15</w:t>
            </w:r>
            <w:r>
              <w:rPr>
                <w:rFonts w:ascii="Arial" w:cs="Arial" w:eastAsia="Arial" w:hAnsi="Arial"/>
                <w:sz w:val="25"/>
                <w:szCs w:val="25"/>
                <w:color w:val="auto"/>
                <w:w w:val="94"/>
                <w:vertAlign w:val="superscript"/>
              </w:rPr>
              <w:t>th</w:t>
            </w:r>
            <w:r>
              <w:rPr>
                <w:rFonts w:ascii="Arial" w:cs="Arial" w:eastAsia="Arial" w:hAnsi="Arial"/>
                <w:sz w:val="18"/>
                <w:szCs w:val="18"/>
                <w:color w:val="auto"/>
                <w:w w:val="94"/>
              </w:rPr>
              <w:t xml:space="preserve"> day of the third month following the end of the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Period. Shares will be credited to an account established for the benefit of the Participant with the Company's administrative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agent. The Participant will have full legal and beneficial ownership with respect to the Shares at that time. Partial Shares (along</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any accumulated dividends) will be paid in cash at the same time the Shares are delivered.</w:t>
            </w:r>
          </w:p>
        </w:tc>
        <w:tc>
          <w:tcPr>
            <w:tcW w:w="0" w:type="dxa"/>
            <w:vAlign w:val="bottom"/>
          </w:tcPr>
          <w:p>
            <w:pPr>
              <w:spacing w:after="0"/>
              <w:rPr>
                <w:sz w:val="1"/>
                <w:szCs w:val="1"/>
                <w:color w:val="auto"/>
              </w:rPr>
            </w:pPr>
          </w:p>
        </w:tc>
      </w:tr>
      <w:tr>
        <w:trPr>
          <w:trHeight w:val="377"/>
        </w:trPr>
        <w:tc>
          <w:tcPr>
            <w:tcW w:w="216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You acknowledge and agree that the Company shall have the power and the right to deduct or withhold, an amount sufficient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satisfy federal, state, and local taxes (including your FICA obligation), domestic or foreign, required by law to be withheld</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respect to this Award.</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39" w:name="page40"/>
    <w:bookmarkEnd w:id="39"/>
    <w:p>
      <w:pPr>
        <w:jc w:val="both"/>
        <w:ind w:right="20"/>
        <w:spacing w:after="0" w:line="279" w:lineRule="auto"/>
        <w:rPr>
          <w:sz w:val="20"/>
          <w:szCs w:val="20"/>
          <w:color w:val="auto"/>
        </w:rPr>
      </w:pPr>
      <w:r>
        <w:rPr>
          <w:rFonts w:ascii="Arial" w:cs="Arial" w:eastAsia="Arial" w:hAnsi="Arial"/>
          <w:sz w:val="17"/>
          <w:szCs w:val="17"/>
          <w:color w:val="auto"/>
        </w:rPr>
        <w:t>These Performance RSUs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 Securities Act of 1933, as amended. This document is also enclosed to provide further information and background. Any term capitalized herein but not defined will have the meaning set forth in the 2010 Plan.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see the enclosed Fiscal 2016 Long Term Incentive Restricted Stock Unit/Performance Unit Terms and Conditions for further information regarding your Award. It is very important that you keep these documents in a safe place because they describe your rights and responsibilities under the Performance Units and 2010 Plan and explain where and how to obtain other documents and information to which you are entitled.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Again, thank you for your continued contribution to the success of our organization! Your efforts are applauded and truly appreciated. If you have any questions regarding this discretionary grant, please contact Julie North, Vice President - Human Resources, or Kevin Sierks -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Kevin Sierks</w:t>
      </w:r>
    </w:p>
    <w:p>
      <w:pPr>
        <w:sectPr>
          <w:pgSz w:w="11900" w:h="16838" w:orient="portrait"/>
          <w:cols w:equalWidth="0" w:num="1">
            <w:col w:w="11420"/>
          </w:cols>
          <w:pgMar w:left="240" w:top="80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t>Acknowledgement &amp; Acceptance of Award Agreement and Related Terms</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your electronic acceptance of this grant and the signature of the Company’s representative (above) on this Award Agreement, you and the Company agree that this Award of Performance Units is granted under and governed by the terms and conditions of the 2010 Plan, the Fiscal 2016 Long Term Incentive Restricted Stock Unit/Performance Unit Terms and Conditions and this Award Agreement. You acknowledge that you have reviewed the 2010 Plan, Fiscal 2016 Long Term Incentive Restricted Stock Unit/Performance Unit Terms and Conditions, and this Award Agreement in their entirety, have had an opportunity to obtain the advice of counsel prior to executing this Award Agreement, and fully understand all provisions of the 2010 Plan, Fiscal 2016 Long Term Incentive Restricted Stock Unit/Performance Unit Terms and Conditions and this Award Agreement. Further, by your electronic acceptance of this grant, you hereby agree to (i) accept as binding, conclusive and final all decisions or interpretations of the Committee upon any questions relating to the 2010 Plan, Fiscal 2016 Long Term Incentive Restricted Stock Unit/Performance Unit Terms and Conditions and this Award Agreement, and (ii) notify the Company upon any change in your residence address.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I/2785778.2</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2,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May 2,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0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0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lowerLetter"/>
      <w:start w:val="1"/>
    </w:lvl>
    <w:lvl w:ilvl="1">
      <w:lvlJc w:val="left"/>
      <w:lvlText w:val="(%2)"/>
      <w:numFmt w:val="lowerRoman"/>
      <w:start w:val="1"/>
    </w:lvl>
  </w:abstractNum>
  <w:abstractNum w:abstractNumId="18">
    <w:nsid w:val="2CA88611"/>
    <w:multiLevelType w:val="hybridMultilevel"/>
    <w:lvl w:ilvl="0">
      <w:lvlJc w:val="left"/>
      <w:lvlText w:val="%1."/>
      <w:numFmt w:val="decimal"/>
      <w:start w:val="4"/>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decimal"/>
      <w:start w:val="5"/>
    </w:lvl>
  </w:abstractNum>
  <w:abstractNum w:abstractNumId="21">
    <w:nsid w:val="3A95F874"/>
    <w:multiLevelType w:val="hybridMultilevel"/>
    <w:lvl w:ilvl="0">
      <w:lvlJc w:val="left"/>
      <w:lvlText w:val="%1."/>
      <w:numFmt w:val="decimal"/>
      <w:start w:val="6"/>
    </w:lvl>
  </w:abstractNum>
  <w:abstractNum w:abstractNumId="22">
    <w:nsid w:val="8138641"/>
    <w:multiLevelType w:val="hybridMultilevel"/>
    <w:lvl w:ilvl="0">
      <w:lvlJc w:val="left"/>
      <w:lvlText w:val="%1."/>
      <w:numFmt w:val="decimal"/>
      <w:start w:val="8"/>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decimal"/>
      <w:start w:val="10"/>
    </w:lvl>
  </w:abstractNum>
  <w:abstractNum w:abstractNumId="25">
    <w:nsid w:val="737B8DDC"/>
    <w:multiLevelType w:val="hybridMultilevel"/>
    <w:lvl w:ilvl="0">
      <w:lvlJc w:val="left"/>
      <w:lvlText w:val="%1."/>
      <w:numFmt w:val="decimal"/>
      <w:start w:val="16"/>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2"/>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Ÿ"/>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2019-12-29T15:40:31Z</dcterms:created>
  <dcterms:modified xsi:type="dcterms:W3CDTF">2019-12-29T15:40:31Z</dcterms:modified>
</cp:coreProperties>
</file>