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1, 2014</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VERA BRADLEY,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1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6760" w:type="dxa"/>
            <w:vAlign w:val="bottom"/>
          </w:tcPr>
          <w:p>
            <w:pPr>
              <w:jc w:val="center"/>
              <w:ind w:right="3239"/>
              <w:spacing w:after="0"/>
              <w:rPr>
                <w:sz w:val="20"/>
                <w:szCs w:val="20"/>
                <w:color w:val="auto"/>
              </w:rPr>
            </w:pPr>
            <w:r>
              <w:rPr>
                <w:rFonts w:ascii="Arial" w:cs="Arial" w:eastAsia="Arial" w:hAnsi="Arial"/>
                <w:sz w:val="18"/>
                <w:szCs w:val="18"/>
                <w:b w:val="1"/>
                <w:bCs w:val="1"/>
                <w:color w:val="auto"/>
                <w:w w:val="95"/>
              </w:rPr>
              <w:t>Indiana</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6760" w:type="dxa"/>
            <w:vAlign w:val="bottom"/>
          </w:tcPr>
          <w:p>
            <w:pPr>
              <w:jc w:val="center"/>
              <w:ind w:right="325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760" w:type="dxa"/>
            <w:vAlign w:val="bottom"/>
          </w:tcPr>
          <w:p>
            <w:pPr>
              <w:jc w:val="center"/>
              <w:ind w:right="325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6760" w:type="dxa"/>
            <w:vAlign w:val="bottom"/>
          </w:tcPr>
          <w:p>
            <w:pPr>
              <w:jc w:val="center"/>
              <w:ind w:right="3259"/>
              <w:spacing w:after="0"/>
              <w:rPr>
                <w:sz w:val="20"/>
                <w:szCs w:val="20"/>
                <w:color w:val="auto"/>
              </w:rPr>
            </w:pPr>
            <w:r>
              <w:rPr>
                <w:rFonts w:ascii="Arial" w:cs="Arial" w:eastAsia="Arial" w:hAnsi="Arial"/>
                <w:sz w:val="18"/>
                <w:szCs w:val="18"/>
                <w:b w:val="1"/>
                <w:bCs w:val="1"/>
                <w:color w:val="auto"/>
                <w:w w:val="92"/>
              </w:rPr>
              <w:t>2208 Production Road, Fort Wayne, Indiana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46808</w:t>
            </w:r>
          </w:p>
        </w:tc>
      </w:tr>
      <w:tr>
        <w:trPr>
          <w:trHeight w:val="218"/>
        </w:trPr>
        <w:tc>
          <w:tcPr>
            <w:tcW w:w="6760" w:type="dxa"/>
            <w:vAlign w:val="bottom"/>
          </w:tcPr>
          <w:p>
            <w:pPr>
              <w:jc w:val="center"/>
              <w:ind w:right="3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760" w:type="dxa"/>
            <w:vAlign w:val="bottom"/>
          </w:tcPr>
          <w:p>
            <w:pPr>
              <w:jc w:val="right"/>
              <w:ind w:right="1499"/>
              <w:spacing w:after="0"/>
              <w:rPr>
                <w:sz w:val="20"/>
                <w:szCs w:val="20"/>
                <w:color w:val="auto"/>
              </w:rPr>
            </w:pPr>
            <w:r>
              <w:rPr>
                <w:rFonts w:ascii="Arial" w:cs="Arial" w:eastAsia="Arial" w:hAnsi="Arial"/>
                <w:sz w:val="18"/>
                <w:szCs w:val="18"/>
                <w:b w:val="1"/>
                <w:bCs w:val="1"/>
                <w:color w:val="auto"/>
              </w:rPr>
              <w:t>(877) 708-8372</w:t>
            </w:r>
          </w:p>
        </w:tc>
        <w:tc>
          <w:tcPr>
            <w:tcW w:w="1280" w:type="dxa"/>
            <w:vAlign w:val="bottom"/>
          </w:tcPr>
          <w:p>
            <w:pPr>
              <w:spacing w:after="0"/>
              <w:rPr>
                <w:sz w:val="24"/>
                <w:szCs w:val="24"/>
                <w:color w:val="auto"/>
              </w:rPr>
            </w:pPr>
          </w:p>
        </w:tc>
      </w:tr>
      <w:tr>
        <w:trPr>
          <w:trHeight w:val="186"/>
        </w:trPr>
        <w:tc>
          <w:tcPr>
            <w:tcW w:w="6760" w:type="dxa"/>
            <w:vAlign w:val="bottom"/>
          </w:tcPr>
          <w:p>
            <w:pPr>
              <w:jc w:val="center"/>
              <w:ind w:left="23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6"/>
                <w:szCs w:val="16"/>
                <w:color w:val="auto"/>
              </w:rPr>
            </w:pPr>
          </w:p>
        </w:tc>
      </w:tr>
      <w:tr>
        <w:trPr>
          <w:trHeight w:val="282"/>
        </w:trPr>
        <w:tc>
          <w:tcPr>
            <w:tcW w:w="6760" w:type="dxa"/>
            <w:vAlign w:val="bottom"/>
          </w:tcPr>
          <w:p>
            <w:pPr>
              <w:jc w:val="right"/>
              <w:ind w:right="79"/>
              <w:spacing w:after="0"/>
              <w:rPr>
                <w:sz w:val="20"/>
                <w:szCs w:val="20"/>
                <w:color w:val="auto"/>
              </w:rPr>
            </w:pPr>
            <w:r>
              <w:rPr>
                <w:rFonts w:ascii="Arial" w:cs="Arial" w:eastAsia="Arial" w:hAnsi="Arial"/>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89"/>
              </w:rPr>
              <w:t>Common Stock</w:t>
            </w:r>
          </w:p>
        </w:tc>
        <w:tc>
          <w:tcPr>
            <w:tcW w:w="6760" w:type="dxa"/>
            <w:vAlign w:val="bottom"/>
            <w:gridSpan w:val="5"/>
          </w:tcPr>
          <w:p>
            <w:pPr>
              <w:jc w:val="center"/>
              <w:ind w:left="3370"/>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306"/>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Arial" w:cs="Arial" w:eastAsia="Arial" w:hAnsi="Arial"/>
                <w:sz w:val="18"/>
                <w:szCs w:val="18"/>
                <w:color w:val="auto"/>
                <w:w w:val="90"/>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Arial" w:cs="Arial" w:eastAsia="Arial" w:hAnsi="Arial"/>
                <w:sz w:val="18"/>
                <w:szCs w:val="18"/>
                <w:color w:val="auto"/>
              </w:rPr>
              <w:t>No x</w:t>
            </w:r>
          </w:p>
        </w:tc>
      </w:tr>
      <w:tr>
        <w:trPr>
          <w:trHeight w:val="297"/>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7560" w:space="720"/>
            <w:col w:w="210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5">
            <w:col w:w="2180" w:space="720"/>
            <w:col w:w="160" w:space="100"/>
            <w:col w:w="4400" w:space="720"/>
            <w:col w:w="2100" w:space="720"/>
            <w:col w:w="320"/>
          </w:cols>
          <w:pgMar w:left="240" w:top="229" w:right="239" w:bottom="0" w:gutter="0" w:footer="0" w:header="0"/>
          <w:type w:val="continuous"/>
        </w:sectPr>
      </w:pP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500" w:space="180"/>
            <w:col w:w="260" w:space="100"/>
            <w:col w:w="160" w:space="180"/>
            <w:col w:w="2040"/>
          </w:cols>
          <w:pgMar w:left="240" w:top="229" w:right="23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The aggregate market value of the registrant’s voting common stock held by non-affiliates of the registrant as of August 2, 2013 was $489,409,014.</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registrant had 40,685,249 shares of its common stock outstanding as of April 2, 2014.</w:t>
      </w:r>
    </w:p>
    <w:p>
      <w:pPr>
        <w:spacing w:after="0" w:line="7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 INCORPORATED BY REFERENCE:</w:t>
      </w:r>
    </w:p>
    <w:p>
      <w:pPr>
        <w:sectPr>
          <w:pgSz w:w="11900" w:h="16838" w:orient="portrait"/>
          <w:cols w:equalWidth="0" w:num="1">
            <w:col w:w="11420"/>
          </w:cols>
          <w:pgMar w:left="240" w:top="229" w:right="239" w:bottom="0" w:gutter="0" w:footer="0" w:header="0"/>
          <w:type w:val="continuous"/>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for the 2014 Annual Meeting of Shareholders are incorporated by reference into Part III of this Annual Report on Form 10-K.</w:t>
      </w:r>
    </w:p>
    <w:p>
      <w:pPr>
        <w:sectPr>
          <w:pgSz w:w="11900" w:h="16838" w:orient="portrait"/>
          <w:cols w:equalWidth="0" w:num="1">
            <w:col w:w="11040"/>
          </w:cols>
          <w:pgMar w:left="240" w:top="206"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220" w:type="dxa"/>
            <w:vAlign w:val="bottom"/>
            <w:gridSpan w:val="2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80"/>
        </w:trPr>
        <w:tc>
          <w:tcPr>
            <w:tcW w:w="4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962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Risk Factors</w:t>
              </w:r>
            </w:hyperlink>
          </w:p>
        </w:tc>
        <w:tc>
          <w:tcPr>
            <w:tcW w:w="936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Unresolved Staff Comments</w:t>
              </w:r>
            </w:hyperlink>
          </w:p>
        </w:tc>
        <w:tc>
          <w:tcPr>
            <w:tcW w:w="82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20"/>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2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26</w:t>
              </w:r>
            </w:hyperlink>
          </w:p>
        </w:tc>
      </w:tr>
      <w:tr>
        <w:trPr>
          <w:trHeight w:val="460"/>
        </w:trPr>
        <w:tc>
          <w:tcPr>
            <w:tcW w:w="4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7">
              <w:r>
                <w:rPr>
                  <w:rFonts w:ascii="Arial" w:cs="Arial" w:eastAsia="Arial" w:hAnsi="Arial"/>
                  <w:sz w:val="18"/>
                  <w:szCs w:val="18"/>
                  <w:b w:val="1"/>
                  <w:bCs w:val="1"/>
                  <w:color w:val="0000FF"/>
                  <w:w w:val="98"/>
                </w:rPr>
                <w:t>PART II.</w:t>
              </w:r>
            </w:hyperlink>
          </w:p>
        </w:tc>
        <w:tc>
          <w:tcPr>
            <w:tcW w:w="220" w:type="dxa"/>
            <w:vAlign w:val="bottom"/>
            <w:gridSpan w:val="3"/>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Market for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FF"/>
            </w:tcBorders>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Selected Financial Data</w:t>
              </w:r>
            </w:hyperlink>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1026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Financial Statements and Supplementary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Changes in and Disagreements with Accountants on Accounting and Financial Disclosure</w:t>
              </w:r>
            </w:hyperlink>
          </w:p>
        </w:tc>
        <w:tc>
          <w:tcPr>
            <w:tcW w:w="37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0260" w:type="dxa"/>
            <w:vAlign w:val="bottom"/>
            <w:gridSpan w:val="2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Other Information</w:t>
              </w:r>
            </w:hyperlink>
          </w:p>
        </w:tc>
        <w:tc>
          <w:tcPr>
            <w:tcW w:w="850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PART III.</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Item 10.</w:t>
            </w:r>
          </w:p>
        </w:tc>
        <w:tc>
          <w:tcPr>
            <w:tcW w:w="16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Directors, Executive Officers and Corporate Governance</w:t>
              </w:r>
            </w:hyperlink>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618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260" w:type="dxa"/>
            <w:vAlign w:val="bottom"/>
            <w:gridSpan w:val="20"/>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Certain Relationships and Related Transactions, and Director Independence</w:t>
              </w:r>
            </w:hyperlink>
          </w:p>
        </w:tc>
        <w:tc>
          <w:tcPr>
            <w:tcW w:w="29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Principal Accounting Fees and Services</w:t>
              </w:r>
            </w:hyperlink>
          </w:p>
        </w:tc>
        <w:tc>
          <w:tcPr>
            <w:tcW w:w="4820" w:type="dxa"/>
            <w:vAlign w:val="bottom"/>
            <w:gridSpan w:val="5"/>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63</w:t>
              </w:r>
            </w:hyperlink>
          </w:p>
        </w:tc>
      </w:tr>
      <w:tr>
        <w:trPr>
          <w:trHeight w:val="480"/>
        </w:trPr>
        <w:tc>
          <w:tcPr>
            <w:tcW w:w="4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b w:val="1"/>
                <w:bCs w:val="1"/>
                <w:color w:val="0000FF"/>
              </w:rPr>
            </w:pPr>
            <w:hyperlink w:anchor="page64">
              <w:r>
                <w:rPr>
                  <w:rFonts w:ascii="Arial" w:cs="Arial" w:eastAsia="Arial" w:hAnsi="Arial"/>
                  <w:sz w:val="18"/>
                  <w:szCs w:val="18"/>
                  <w:b w:val="1"/>
                  <w:bCs w:val="1"/>
                  <w:color w:val="0000FF"/>
                </w:rPr>
                <w:t>PART IV.</w:t>
              </w:r>
            </w:hyperlink>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480"/>
        </w:trPr>
        <w:tc>
          <w:tcPr>
            <w:tcW w:w="4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Exhibits, Financial Statement Schedules</w:t>
              </w:r>
            </w:hyperlink>
          </w:p>
        </w:tc>
        <w:tc>
          <w:tcPr>
            <w:tcW w:w="736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64</w:t>
              </w:r>
            </w:hyperlink>
          </w:p>
        </w:tc>
      </w:tr>
      <w:tr>
        <w:trPr>
          <w:trHeight w:val="50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5"/>
          </w:tcPr>
          <w:p>
            <w:pPr>
              <w:ind w:left="47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In this Form 10-K, references to “Vera Bradley,” “we,” “our,” “us” and the “Company” refer to Vera Bradley, Inc. and its subsidiaries, including Vera Bradley Designs, Inc. The fiscal years ended February 1, 2014 (“fiscal 2014”) and January 28, 2012 (“fiscal 2012”) were each 52-week periods. The fiscal year ending February 2, 2013 ("fiscal 2013") was a 53-week period. The fiscal year ending January 31, 2015 (“fiscal 2015”) will be also be a 52-week period.</w:t>
      </w:r>
    </w:p>
    <w:p>
      <w:pPr>
        <w:spacing w:after="0" w:line="1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30-year history, Vera Bradley has become a true lifestyle brand that appeals to a broad range of consumers. Our brand positioning emphasizes the high quality, distinctive and vibrant styling, and functional design of our products. New designs help keep the brand fresh and our customers continually engaged.</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generate revenues by selling products through two reportable segments: Direct and Indirect. As of February 1, 2014, our Direct segment consisted of sales of Vera Bradley products through our 84 full-price and 15 outlet stores in the United States; 13 department store locations in Japan; our websites, verabradley.com and verabradley.co.jp; and our annual outlet sale in Fort Wayne, Indiana. As of February 1, 2014, our Indirect segment consisted of sales of Vera Bradley products to approximately 3,100 specialty retailers, substantially all of which are located in the United States, as well as select department stores and third party e-commerce sites. For financial information about our reportable segments, refer to Note 14 of the Notes to Consolidated Financial Statements set forth in Part II, “Item 8. Financial Statements and Supplementary Data,” of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significant milestones in Vera Bradley’s history:</w:t>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w w:val="90"/>
              </w:rPr>
              <w:t>Barbara Bradley Baekgaard and Patricia Miller launched Vera Bradley by introducing three products: the handbag, the sports bag,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rPr>
              <w:t>Ernst &amp; Young honored our Co-Founders with an “Entrepreneur of the Year” award.</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w w:val="91"/>
              </w:rPr>
              <w:t>To accommodate the increasing number of attendees, we relocated our annual outlet sale from a tent in our parking lot to its present</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rPr>
              <w:t>Our products were being sold in all 50 states through Indirect retailers.</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w w:val="91"/>
              </w:rPr>
              <w:t>We launched the Vera Bradley Visual Merchandising Program, providing our retail partners a framework for presenting the brand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820" w:type="dxa"/>
            <w:vAlign w:val="bottom"/>
          </w:tcPr>
          <w:p>
            <w:pPr>
              <w:ind w:left="160"/>
              <w:spacing w:after="0"/>
              <w:rPr>
                <w:sz w:val="20"/>
                <w:szCs w:val="20"/>
                <w:color w:val="auto"/>
              </w:rPr>
            </w:pPr>
            <w:r>
              <w:rPr>
                <w:rFonts w:ascii="Arial" w:cs="Arial" w:eastAsia="Arial" w:hAnsi="Arial"/>
                <w:sz w:val="18"/>
                <w:szCs w:val="18"/>
                <w:color w:val="auto"/>
                <w:w w:val="93"/>
              </w:rPr>
              <w:t>We opened a state-of-the-art distribution facility in Roanoke, Indiana. In September, we also opened our first full-price store at the</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Natick Collection, in 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20" w:type="dxa"/>
            <w:vAlign w:val="bottom"/>
          </w:tcPr>
          <w:p>
            <w:pPr>
              <w:ind w:left="4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00"/>
          </w:cols>
          <w:pgMar w:left="240" w:top="121" w:right="2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Table of Contents</w:t>
              </w:r>
            </w:hyperlink>
          </w:p>
        </w:tc>
        <w:tc>
          <w:tcPr>
            <w:tcW w:w="992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Arial" w:cs="Arial" w:eastAsia="Arial" w:hAnsi="Arial"/>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20" w:type="dxa"/>
            <w:vAlign w:val="bottom"/>
          </w:tcPr>
          <w:p>
            <w:pPr>
              <w:ind w:left="80"/>
              <w:spacing w:after="0"/>
              <w:rPr>
                <w:sz w:val="20"/>
                <w:szCs w:val="20"/>
                <w:color w:val="auto"/>
              </w:rPr>
            </w:pPr>
            <w:r>
              <w:rPr>
                <w:rFonts w:ascii="Arial" w:cs="Arial" w:eastAsia="Arial" w:hAnsi="Arial"/>
                <w:sz w:val="18"/>
                <w:szCs w:val="18"/>
                <w:color w:val="auto"/>
              </w:rPr>
              <w:t>We completed our initial public offering.</w:t>
            </w:r>
          </w:p>
        </w:tc>
      </w:tr>
      <w:tr>
        <w:trPr>
          <w:trHeight w:val="58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20" w:type="dxa"/>
            <w:vAlign w:val="bottom"/>
          </w:tcPr>
          <w:p>
            <w:pPr>
              <w:ind w:left="80"/>
              <w:spacing w:after="0"/>
              <w:rPr>
                <w:sz w:val="20"/>
                <w:szCs w:val="20"/>
                <w:color w:val="auto"/>
              </w:rPr>
            </w:pPr>
            <w:r>
              <w:rPr>
                <w:rFonts w:ascii="Arial" w:cs="Arial" w:eastAsia="Arial" w:hAnsi="Arial"/>
                <w:sz w:val="18"/>
                <w:szCs w:val="18"/>
                <w:color w:val="auto"/>
                <w:w w:val="89"/>
              </w:rPr>
              <w:t>We entered the Japanese market, opened the Vera Bradley Design Center in Roanoke, Indiana, and launched our products in 65 Dillard’s</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locations.</w:t>
            </w:r>
          </w:p>
        </w:tc>
      </w:tr>
      <w:tr>
        <w:trPr>
          <w:trHeight w:val="58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20" w:type="dxa"/>
            <w:vAlign w:val="bottom"/>
          </w:tcPr>
          <w:p>
            <w:pPr>
              <w:ind w:left="80"/>
              <w:spacing w:after="0"/>
              <w:rPr>
                <w:sz w:val="20"/>
                <w:szCs w:val="20"/>
                <w:color w:val="auto"/>
              </w:rPr>
            </w:pPr>
            <w:r>
              <w:rPr>
                <w:rFonts w:ascii="Arial" w:cs="Arial" w:eastAsia="Arial" w:hAnsi="Arial"/>
                <w:sz w:val="18"/>
                <w:szCs w:val="18"/>
                <w:color w:val="auto"/>
                <w:w w:val="91"/>
              </w:rPr>
              <w:t>We completed the 200,000 square-foot expansion of the distribution facility in Roanoke, Indiana; increased our presence to all Dillard’s</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rPr>
              <w:t>locations; and launched a relationship with Von Maur, and are carried in all of their locations.</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20" w:type="dxa"/>
            <w:vAlign w:val="bottom"/>
          </w:tcPr>
          <w:p>
            <w:pPr>
              <w:ind w:left="80"/>
              <w:spacing w:after="0"/>
              <w:rPr>
                <w:sz w:val="20"/>
                <w:szCs w:val="20"/>
                <w:color w:val="auto"/>
              </w:rPr>
            </w:pPr>
            <w:r>
              <w:rPr>
                <w:rFonts w:ascii="Arial" w:cs="Arial" w:eastAsia="Arial" w:hAnsi="Arial"/>
                <w:sz w:val="18"/>
                <w:szCs w:val="18"/>
                <w:color w:val="auto"/>
                <w:w w:val="95"/>
              </w:rPr>
              <w:t>We launched the Vera Bradley for Disney Collection at the Florida World of Disney Store and migrated verabradley.com to a more</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tcPr>
          <w:p>
            <w:pPr>
              <w:ind w:left="80"/>
              <w:spacing w:after="0"/>
              <w:rPr>
                <w:sz w:val="20"/>
                <w:szCs w:val="20"/>
                <w:color w:val="auto"/>
              </w:rPr>
            </w:pPr>
            <w:r>
              <w:rPr>
                <w:rFonts w:ascii="Arial" w:cs="Arial" w:eastAsia="Arial" w:hAnsi="Arial"/>
                <w:sz w:val="18"/>
                <w:szCs w:val="18"/>
                <w:color w:val="auto"/>
                <w:w w:val="89"/>
              </w:rPr>
              <w:t>responsive design, providing an enhanced shopping experience and optimal product viewing regardless of the device being used to shop.</w:t>
            </w:r>
          </w:p>
        </w:tc>
      </w:tr>
    </w:tbl>
    <w:p>
      <w:pPr>
        <w:spacing w:after="0" w:line="39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passion for design and customer service established by our founders has driven our growth over the past 30 years and remains the cornerstone of Vera Bradley today. Chief Creative Officer, Ms. Bradley Baekgaard continues to be responsible for our day-to-day creative functions, including product development and store design. Ms. Miller retired in October 2012 as our National Spokesperson, but continues to serve on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Our Business</w:t>
      </w:r>
    </w:p>
    <w:p>
      <w:pPr>
        <w:spacing w:after="0" w:line="9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included the following:</w:t>
      </w:r>
    </w:p>
    <w:p>
      <w:pPr>
        <w:spacing w:after="0" w:line="4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Merchandising Strategy. </w:t>
      </w:r>
      <w:r>
        <w:rPr>
          <w:rFonts w:ascii="Arial" w:cs="Arial" w:eastAsia="Arial" w:hAnsi="Arial"/>
          <w:sz w:val="18"/>
          <w:szCs w:val="18"/>
          <w:color w:val="auto"/>
        </w:rPr>
        <w:t>To appeal to a broader range of consumers, we developed a mix of pattern and product offerings specifically targeted at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demographics and refined our product release strategy to expand our product portfolio. In addition, we substantially enhanced our visual merchandising strategy, focusing on a consistent presentation of Vera Bradley as a lifestyle brand. In fiscal 2012, we established a dedicated merchant function and elevated the role of marketing to work more collaboratively with the design team to continue improving our process of bringing products to market.</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Multi-Channel Distribution Capability. </w:t>
      </w:r>
      <w:r>
        <w:rPr>
          <w:rFonts w:ascii="Arial" w:cs="Arial" w:eastAsia="Arial" w:hAnsi="Arial"/>
          <w:sz w:val="18"/>
          <w:szCs w:val="18"/>
          <w:color w:val="auto"/>
        </w:rPr>
        <w:t>In 2006, we initiated a Direct channel strategy that was designed to expand our brand presence and broaden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demographic while complementing the growing Indirect segment of our business. The first step in establishing the Direct segment of our business was selling directly to consumers through verabradley.com beginning in 2006. In fiscal 2014, we had more than 69 million visits to verabradley.com. In September 2007, we opened our first full-price store. As of February 1, 2014, we operated 84 full-price stores and 15 outlet stores in the United States, and 13 department store locations in Japan.</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Infrastructure Investment</w:t>
      </w:r>
      <w:r>
        <w:rPr>
          <w:rFonts w:ascii="Arial" w:cs="Arial" w:eastAsia="Arial" w:hAnsi="Arial"/>
          <w:sz w:val="18"/>
          <w:szCs w:val="18"/>
          <w:color w:val="auto"/>
        </w:rPr>
        <w:t>. Beginning in 2005, we made a series of investments to strengthen our supply chain capabilities, information systems,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distribution facility in Roanoke, Indiana, which was doubled in size to approximately 400,000 square feet as a result of an expansion that was completed in fiscal 2013.</w:t>
      </w:r>
    </w:p>
    <w:p>
      <w:pPr>
        <w:spacing w:after="0" w:line="13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March 2014, the Company refined its strategic initiatives by unveiling its comprehensive five-year strategic plan, designed to drive improved financial performance and shareholder value over the long-term. The vision is to build on the Company's rich heritage and establish Vera Bradley as a premium lifestyle brand that is relevant to the future, expanding our customer reach and growing our customer connections.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08"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over 30 years, we have created, developed, and solidified a true lifestyle brand that resonates with a broad range of female consumers. Employees, family members,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brand positioning emphasizes the high quality, distinctive and vibrant styling, and functional design of our products. At the same time, our releases of new patterns and styles keep the brand fresh, inspire our customers to express their individuality and sense of style in a colorful way, and encourage multiple purchases. We also provide consumers a consistently fresh set of patterns, styles, and products from which to choose that fit with different ages, wardrobes, seasons, and personalities.</w:t>
      </w:r>
    </w:p>
    <w:p>
      <w:pPr>
        <w:spacing w:after="0" w:line="13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offer a broad assortment of products that meet our customers’ different functional needs, including: handbags, such as purses, totes, and specialty bags; accessories, such as wallets, wristlets, smartphone cases, technology accessories, and eyewear; and travel and leisure items, such as weekend bags, duffel bags, and garment bags. We believe this combination of patterns, styles, and products allows us to appeal to all age brackets, including teens, young women, mature women, mothers, and grandmothers. Although our customers represent a broad range of demographic segments, our market research has shown that they generally have a common attitude toward the brand: Vera Bradley is a colorful way of allowing them to express their individuality and sense of style.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 and provide a strong foundation for our future growth:</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Strong Brand Identity and Positioning. </w:t>
      </w:r>
      <w:r>
        <w:rPr>
          <w:rFonts w:ascii="Arial" w:cs="Arial" w:eastAsia="Arial" w:hAnsi="Arial"/>
          <w:sz w:val="18"/>
          <w:szCs w:val="18"/>
          <w:color w:val="auto"/>
        </w:rPr>
        <w:t>We believe the Vera Bradley brand is highly recognized for its distinctive and vibrant style. Vera Bradley is positioned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Exceptional Customer Loyalty. </w:t>
      </w:r>
      <w:r>
        <w:rPr>
          <w:rFonts w:ascii="Arial" w:cs="Arial" w:eastAsia="Arial" w:hAnsi="Arial"/>
          <w:sz w:val="18"/>
          <w:szCs w:val="18"/>
          <w:color w:val="auto"/>
        </w:rPr>
        <w:t>We believe that as consumers become familiar with the Vera Bradley brand and begin using our products, they become loyal</w:t>
      </w:r>
      <w:r>
        <w:rPr>
          <w:rFonts w:ascii="Arial" w:cs="Arial" w:eastAsia="Arial" w:hAnsi="Arial"/>
          <w:sz w:val="18"/>
          <w:szCs w:val="18"/>
          <w:i w:val="1"/>
          <w:iCs w:val="1"/>
          <w:color w:val="auto"/>
        </w:rPr>
        <w:t xml:space="preserve"> </w:t>
      </w:r>
      <w:r>
        <w:rPr>
          <w:rFonts w:ascii="Arial" w:cs="Arial" w:eastAsia="Arial" w:hAnsi="Arial"/>
          <w:sz w:val="18"/>
          <w:szCs w:val="18"/>
          <w:color w:val="auto"/>
        </w:rPr>
        <w:t>and enthusiastic brand advocates. We believe enthusiasm for our brand inspires repeat purchases and helps us expand our customer base. Our customers often purchase our products as gifts for family members and friends, who, in turn, become loyal customers.</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highly creative design associates utilize a disciplined product design process that seeks to maximize the productivity of our product releases and drive consumer demand.</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shop-able, fun, and characteristic of our brand. Whether they are at a Vera Bradley store, a specialty retail store, a department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1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Established Network of Indirect Retailers. </w:t>
      </w:r>
      <w:r>
        <w:rPr>
          <w:rFonts w:ascii="Arial" w:cs="Arial" w:eastAsia="Arial" w:hAnsi="Arial"/>
          <w:sz w:val="18"/>
          <w:szCs w:val="18"/>
          <w:color w:val="auto"/>
        </w:rPr>
        <w:t>Our Indirect business consists of an established and diverse network of over 3,100 specialty retailers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store partners. This channel of gift, apparel and accessories, travel, and other specialty retailers, located throughout the United States, provides a strong foundation for our growth. Our Indirect retailers include some of the brand’s strongest advocates, and their passion has been instrumental in the development of our brand.</w:t>
      </w:r>
    </w:p>
    <w:p>
      <w:pPr>
        <w:spacing w:after="0" w:line="13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 xml:space="preserve">Distinctive Retail Stores. </w:t>
      </w:r>
      <w:r>
        <w:rPr>
          <w:rFonts w:ascii="Arial" w:cs="Arial" w:eastAsia="Arial" w:hAnsi="Arial"/>
          <w:sz w:val="16"/>
          <w:szCs w:val="16"/>
          <w:color w:val="auto"/>
        </w:rPr>
        <w:t>Our stores provide a shopping experience that is uniquely “Vera Bradley.” We bring the Vera Bradley brand to life in our stores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 company around their</w:t>
      </w:r>
      <w:r>
        <w:rPr>
          <w:rFonts w:ascii="Arial" w:cs="Arial" w:eastAsia="Arial" w:hAnsi="Arial"/>
          <w:sz w:val="17"/>
          <w:szCs w:val="17"/>
          <w:i w:val="1"/>
          <w:iCs w:val="1"/>
          <w:color w:val="auto"/>
        </w:rPr>
        <w:t xml:space="preserve"> </w:t>
      </w:r>
      <w:r>
        <w:rPr>
          <w:rFonts w:ascii="Arial" w:cs="Arial" w:eastAsia="Arial" w:hAnsi="Arial"/>
          <w:sz w:val="17"/>
          <w:szCs w:val="17"/>
          <w:color w:val="auto"/>
        </w:rPr>
        <w:t>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1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led by Robert Wallstrom, our Chief Executive Officer, has extensive experience across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diverse range of disciplines in product design, merchandising, marketing, store operations and development, supply chain management, and finance.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March 2014, the Company unveiled its comprehensive five-year strategic plan, designed to drive improved financial performance and shareholder value over the long-term. We intend to achieve this vision through the following three key elements:</w:t>
      </w:r>
    </w:p>
    <w:p>
      <w:pPr>
        <w:spacing w:after="0" w:line="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We will begin offering an elevated product assortment, which will extend our price offering and build aspiration by creating “halo” product in new</w:t>
      </w:r>
      <w:r>
        <w:rPr>
          <w:rFonts w:ascii="Arial" w:cs="Arial" w:eastAsia="Arial" w:hAnsi="Arial"/>
          <w:sz w:val="18"/>
          <w:szCs w:val="18"/>
          <w:i w:val="1"/>
          <w:iCs w:val="1"/>
          <w:color w:val="auto"/>
        </w:rPr>
        <w:t xml:space="preserve"> </w:t>
      </w:r>
      <w:r>
        <w:rPr>
          <w:rFonts w:ascii="Arial" w:cs="Arial" w:eastAsia="Arial" w:hAnsi="Arial"/>
          <w:sz w:val="18"/>
          <w:szCs w:val="18"/>
          <w:color w:val="auto"/>
        </w:rPr>
        <w:t>fabrications that build on our core assortment. We will work to stabilize the business by “majoring in the majors,” making a bigger impact in the classifications Vera Bradley is known for and what we do best, like travel, backpacks, bags, and accessories. We will also invest in emerging growth and brand-enhancing opportunities that will strengthen the core of the future, such as scarves and jewelry.</w:t>
      </w:r>
    </w:p>
    <w:p>
      <w:pPr>
        <w:spacing w:after="0" w:line="5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product assortment will be more focused and more narrowed in the short term by paring the number of signature patterns launched each year and reducing the style count. We will add more solids to the assortment to showcase our signature patterns even more and add career elements into our assortment, which we believe will help expand our customer base. Every product launch will not be treated equally - as they generally are today - and will have a predetermined lifecycle. We will pursue brand extensions that will enhance our position as a lifestyle brand via a structured approach.</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Distribution Channels. </w:t>
      </w:r>
      <w:r>
        <w:rPr>
          <w:rFonts w:ascii="Arial" w:cs="Arial" w:eastAsia="Arial" w:hAnsi="Arial"/>
          <w:sz w:val="18"/>
          <w:szCs w:val="18"/>
          <w:color w:val="auto"/>
        </w:rPr>
        <w:t>We will shape Vera Bradley into a tightly integrated multi-channel business by growing our Direct distribution channel (including full-line stores, factory outlet stores, and e-commerce), right-size and work to strengthen the performance in our gift channel, and further develop our department store and other Indirect channel relationships.</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continue to have a long-term vision of around 300 full-line and 100 factory outlet Vera Bradley stores. We plan to add 13 new full-line stores in fiscal 2015 and believe we can accelerate that pace beginning in fiscal 2016 to add approximately 20 to 25 new stores per year for at least the next four years. We expect to add at least seven new outlet stores in fiscal 2015. We believe that we can accelerate this growth rate going forward to approximately 10 to 15 new stores per year for at least the next four years. Furthermore, within three years, we expect approximately 40% of the product in the outlet channel to be made specifically for our outlets, growing to approximately 70% in a five-year time frame. We believe this made-for-outlet (“MFO”) strategy is a profitable financial model which should drive both sales and gross margins. E-commerce will be a key part of the foundation to support our brand and marketing strategies. Our eventual goal is for the e-commerce experience to mirror the in-store shopping experience by segregating our full-line and factory outlet product onto different sites.</w:t>
      </w:r>
    </w:p>
    <w:p>
      <w:pPr>
        <w:spacing w:after="0" w:line="5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will be placing greater focus on our department store relationships and we will continue to explore other expansion opportunities in the department store space, especially since this is the number one destination for career handbag purchasing. The Indirect specialty gift channel is the heritage of our business and remains very important to us. We will continue to add select accounts while discontinuing unproductive accounts. While the specialty gift business is rapidly becoming a much smaller percentage of our total revenue base, it is still an important piece of our business, and we are working hard to stabilize this channel by narrowing our product assortments, changing the order cycle, and doing a better job of segmenting our assortments by door.</w:t>
      </w:r>
    </w:p>
    <w:p>
      <w:pPr>
        <w:spacing w:after="0" w:line="10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goal will be to generate excitement and desire for the aspirational Vera Bradley brand, attracting new customers while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to foster strong connections with our loyal fan base. We plan to build a cohesive brand story that connects with our target customers, and more of our marketing will be allocated to the “halo” brand-enhancing assortments and less to what is already well-known. We will advertise the brand in relevant national magazines and leverage our database and insights to conduct more segmented, and even personalized, digital and direct mail marketing.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introduce new patterns seasonally. Within each season, we generally introduce two to four patterns. These patterns are incorporated into the designs of a wide range of products, including handbags, accessories, and travel and leisure items, that are part of the core seasonal release. These product assortments each season can be classic styles, updates to older designs, or new product introductions.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keep our assortment current and fresh and to focus our inventory investments on our best performers, we discontinue patterns at regular intervals. We sell our remaining inventory of retired products primarily through our website, outlet stores, and at our annual outlet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chart presents net revenues generated by each of our three product categories and other revenues as a percentage of our total net revenues for fiscal 2014, 2013, and 2012: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16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February 1,</w:t>
            </w:r>
          </w:p>
        </w:tc>
        <w:tc>
          <w:tcPr>
            <w:tcW w:w="16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February 2,</w:t>
            </w:r>
          </w:p>
        </w:tc>
        <w:tc>
          <w:tcPr>
            <w:tcW w:w="154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Handbags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Accessories</w:t>
            </w:r>
          </w:p>
        </w:tc>
        <w:tc>
          <w:tcPr>
            <w:tcW w:w="15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and Leisure Items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70"/>
        </w:trPr>
        <w:tc>
          <w:tcPr>
            <w:tcW w:w="6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65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primarily home, merchandising, freight, and licensing revenues.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net revenues generated by our annual outlet sale.</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Handbags. </w:t>
      </w:r>
      <w:r>
        <w:rPr>
          <w:rFonts w:ascii="Arial" w:cs="Arial" w:eastAsia="Arial" w:hAnsi="Arial"/>
          <w:sz w:val="17"/>
          <w:szCs w:val="17"/>
          <w:color w:val="auto"/>
        </w:rPr>
        <w:t>Handbags are a core part of our product offerings and are the primary component of every seasonal assortment. The category consists of classic</w:t>
      </w:r>
      <w:r>
        <w:rPr>
          <w:rFonts w:ascii="Arial" w:cs="Arial" w:eastAsia="Arial" w:hAnsi="Arial"/>
          <w:sz w:val="17"/>
          <w:szCs w:val="17"/>
          <w:i w:val="1"/>
          <w:iCs w:val="1"/>
          <w:color w:val="auto"/>
        </w:rPr>
        <w:t xml:space="preserve"> </w:t>
      </w:r>
      <w:r>
        <w:rPr>
          <w:rFonts w:ascii="Arial" w:cs="Arial" w:eastAsia="Arial" w:hAnsi="Arial"/>
          <w:sz w:val="17"/>
          <w:szCs w:val="17"/>
          <w:color w:val="auto"/>
        </w:rPr>
        <w:t>and new styles developed by our product development team to meet consumer demand and drive repeat purchases. Our handbag product category extends beyond handbags to include totes and specialty bags such as crossbodies, baby bags, backpacks, and laptop portfolios. Handbags play a prominent role in our visual merchandising, and we focus on showcasing the different patterns, colors, and features of each bag.</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Accessories, our second largest revenue category, include technology accessories and fashion accessories such as wallets, wristlets, eyeglass</w:t>
      </w:r>
      <w:r>
        <w:rPr>
          <w:rFonts w:ascii="Arial" w:cs="Arial" w:eastAsia="Arial" w:hAnsi="Arial"/>
          <w:sz w:val="18"/>
          <w:szCs w:val="18"/>
          <w:i w:val="1"/>
          <w:iCs w:val="1"/>
          <w:color w:val="auto"/>
        </w:rPr>
        <w:t xml:space="preserve"> </w:t>
      </w:r>
      <w:r>
        <w:rPr>
          <w:rFonts w:ascii="Arial" w:cs="Arial" w:eastAsia="Arial" w:hAnsi="Arial"/>
          <w:sz w:val="18"/>
          <w:szCs w:val="18"/>
          <w:color w:val="auto"/>
        </w:rPr>
        <w:t>cases, cosmetics cases, and paper and gift products. Our 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Travel and Leisure Items. </w:t>
      </w:r>
      <w:r>
        <w:rPr>
          <w:rFonts w:ascii="Arial" w:cs="Arial" w:eastAsia="Arial" w:hAnsi="Arial"/>
          <w:sz w:val="17"/>
          <w:szCs w:val="17"/>
          <w:color w:val="auto"/>
        </w:rPr>
        <w:t>Our travel and leisure product category includes duffel bags, garment bags, rolling luggage, and travel accessories, such as travel</w:t>
      </w:r>
      <w:r>
        <w:rPr>
          <w:rFonts w:ascii="Arial" w:cs="Arial" w:eastAsia="Arial" w:hAnsi="Arial"/>
          <w:sz w:val="17"/>
          <w:szCs w:val="17"/>
          <w:i w:val="1"/>
          <w:iCs w:val="1"/>
          <w:color w:val="auto"/>
        </w:rPr>
        <w:t xml:space="preserve"> </w:t>
      </w:r>
      <w:r>
        <w:rPr>
          <w:rFonts w:ascii="Arial" w:cs="Arial" w:eastAsia="Arial" w:hAnsi="Arial"/>
          <w:sz w:val="17"/>
          <w:szCs w:val="17"/>
          <w:color w:val="auto"/>
        </w:rPr>
        <w:t>cosmetic cases. The first Vera Bradley product offering included duffel bags, which consistently have been a strong performer. We believe their popularity, as well as the appeal of our other travel and leisure items, results from our vibrant designs, functional styles, and lightweight fabrications.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typically begin the development stage of our products in the Vera Bradley portfolio 12 – 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generally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 as well as opening a design center in Roanoke, Indiana.</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lifestyle. We use marketing as a critical tool in our efforts to promote our brand.</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The seasonal Vera Bradley catalogs are key vehicles for promoting the brand and product portfolio. Each catalog is sent to a targeted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list. In addition to distributing the catalog, we produce and distribute a number of other marketing pieces, including postcards and mini-mailers. We believe our direct mail media generate excitement and awareness about the brand and seasonal introductions and allow us to reach both new and loyal customers in their homes.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We employ print and outdoor advertising to increase overall brand awareness. Our advertisements are placed primarily in national magazines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a readership similar to our target demographics. These publications have recently included </w:t>
      </w:r>
      <w:r>
        <w:rPr>
          <w:rFonts w:ascii="Arial" w:cs="Arial" w:eastAsia="Arial" w:hAnsi="Arial"/>
          <w:sz w:val="18"/>
          <w:szCs w:val="18"/>
          <w:i w:val="1"/>
          <w:iCs w:val="1"/>
          <w:color w:val="auto"/>
        </w:rPr>
        <w:t>Seventeen, InStyle, Better Homes and Gardens,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Real</w:t>
      </w:r>
      <w:r>
        <w:rPr>
          <w:rFonts w:ascii="Arial" w:cs="Arial" w:eastAsia="Arial" w:hAnsi="Arial"/>
          <w:sz w:val="18"/>
          <w:szCs w:val="18"/>
          <w:color w:val="auto"/>
        </w:rPr>
        <w:t xml:space="preserve"> </w:t>
      </w:r>
      <w:r>
        <w:rPr>
          <w:rFonts w:ascii="Arial" w:cs="Arial" w:eastAsia="Arial" w:hAnsi="Arial"/>
          <w:sz w:val="18"/>
          <w:szCs w:val="18"/>
          <w:i w:val="1"/>
          <w:iCs w:val="1"/>
          <w:color w:val="auto"/>
        </w:rPr>
        <w:t>Simple</w:t>
      </w:r>
      <w:r>
        <w:rPr>
          <w:rFonts w:ascii="Arial" w:cs="Arial" w:eastAsia="Arial" w:hAnsi="Arial"/>
          <w:sz w:val="18"/>
          <w:szCs w:val="18"/>
          <w:color w:val="auto"/>
        </w:rPr>
        <w:t>. We continually assess our advertising strategies and tactics.</w:t>
      </w:r>
    </w:p>
    <w:p>
      <w:pPr>
        <w:spacing w:after="0" w:line="12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Public Relations and Product Placement. </w:t>
      </w:r>
      <w:r>
        <w:rPr>
          <w:rFonts w:ascii="Arial" w:cs="Arial" w:eastAsia="Arial" w:hAnsi="Arial"/>
          <w:sz w:val="17"/>
          <w:szCs w:val="17"/>
          <w:color w:val="auto"/>
        </w:rPr>
        <w:t>Vera Bradley has received considerable exposure in the press, including in publications such as</w:t>
      </w:r>
      <w:r>
        <w:rPr>
          <w:rFonts w:ascii="Arial" w:cs="Arial" w:eastAsia="Arial" w:hAnsi="Arial"/>
          <w:sz w:val="17"/>
          <w:szCs w:val="17"/>
          <w:i w:val="1"/>
          <w:iCs w:val="1"/>
          <w:color w:val="auto"/>
        </w:rPr>
        <w:t xml:space="preserve"> InStyle, O the Oprah Magazine, Good Housekeeping, Southern Living,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New York Times</w:t>
      </w:r>
      <w:r>
        <w:rPr>
          <w:rFonts w:ascii="Arial" w:cs="Arial" w:eastAsia="Arial" w:hAnsi="Arial"/>
          <w:sz w:val="17"/>
          <w:szCs w:val="17"/>
          <w:color w:val="auto"/>
        </w:rPr>
        <w:t>. In addition, we have expanded our marketing efforts to promote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in feature-length films and on prime-time television shows such as </w:t>
      </w:r>
      <w:r>
        <w:rPr>
          <w:rFonts w:ascii="Arial" w:cs="Arial" w:eastAsia="Arial" w:hAnsi="Arial"/>
          <w:sz w:val="17"/>
          <w:szCs w:val="17"/>
          <w:i w:val="1"/>
          <w:iCs w:val="1"/>
          <w:color w:val="auto"/>
        </w:rPr>
        <w:t>Modern Family</w:t>
      </w:r>
      <w:r>
        <w:rPr>
          <w:rFonts w:ascii="Arial" w:cs="Arial" w:eastAsia="Arial" w:hAnsi="Arial"/>
          <w:sz w:val="17"/>
          <w:szCs w:val="17"/>
          <w:color w:val="auto"/>
        </w:rPr>
        <w:t xml:space="preserve"> and </w:t>
      </w:r>
      <w:r>
        <w:rPr>
          <w:rFonts w:ascii="Arial" w:cs="Arial" w:eastAsia="Arial" w:hAnsi="Arial"/>
          <w:sz w:val="17"/>
          <w:szCs w:val="17"/>
          <w:i w:val="1"/>
          <w:iCs w:val="1"/>
          <w:color w:val="auto"/>
        </w:rPr>
        <w:t>New Girl</w:t>
      </w:r>
      <w:r>
        <w:rPr>
          <w:rFonts w:ascii="Arial" w:cs="Arial" w:eastAsia="Arial" w:hAnsi="Arial"/>
          <w:sz w:val="17"/>
          <w:szCs w:val="17"/>
          <w:color w:val="auto"/>
        </w:rPr>
        <w:t>.</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Social Media and Online Marketing. </w:t>
      </w:r>
      <w:r>
        <w:rPr>
          <w:rFonts w:ascii="Arial" w:cs="Arial" w:eastAsia="Arial" w:hAnsi="Arial"/>
          <w:sz w:val="17"/>
          <w:szCs w:val="17"/>
          <w:color w:val="auto"/>
        </w:rPr>
        <w:t>In recent years, we have greatly increased traffic to verabradley.com and have increased awareness of our brand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online marketing and social networking sites. We have captured more than 2.8 million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February 1, 2014, we had approximately 1.6 million Facebook fans, over 65 thousand Twitter followers, and over 7.9 million visits to our blog, </w:t>
      </w:r>
      <w:r>
        <w:rPr>
          <w:rFonts w:ascii="Arial" w:cs="Arial" w:eastAsia="Arial" w:hAnsi="Arial"/>
          <w:sz w:val="17"/>
          <w:szCs w:val="17"/>
          <w:i w:val="1"/>
          <w:iCs w:val="1"/>
          <w:color w:val="auto"/>
        </w:rPr>
        <w:t>The Inside Stitch</w:t>
      </w:r>
      <w:r>
        <w:rPr>
          <w:rFonts w:ascii="Arial" w:cs="Arial" w:eastAsia="Arial" w:hAnsi="Arial"/>
          <w:sz w:val="17"/>
          <w:szCs w:val="17"/>
          <w:color w:val="auto"/>
        </w:rPr>
        <w:t>. We believe these media not only connect us with our fans, but also allow us to target them through cross-channel marketing.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Because Vera Bradley products are frequently given as gifts, Vera Bradley has historically realized, and expects to continue to realize, higher sales and operating income in the fourth quarter of its fiscal year, which includes the holiday months of November and December. In addition, fluctuations in sales and operating income in any fiscal quarter are affected by the timing of seasonal wholesale shipments and other events affecting retail sales. Over the last several years, we have achieved higher levels of growth in the non-holiday quarters, which has reduced these seasonal fluctuations.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distribute our products through our Direct and Indirect segments. This multi-channel distribution model not only enables us to have operational flexibility, but also maximizes the methods by which we can access potential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Segment</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Full-Price Stores. </w:t>
      </w:r>
      <w:r>
        <w:rPr>
          <w:rFonts w:ascii="Arial" w:cs="Arial" w:eastAsia="Arial" w:hAnsi="Arial"/>
          <w:sz w:val="16"/>
          <w:szCs w:val="16"/>
          <w:color w:val="auto"/>
        </w:rPr>
        <w:t>We have developed a retail presence through our full-price stores, all located in the United States, which provides us with a format to</w:t>
      </w:r>
      <w:r>
        <w:rPr>
          <w:rFonts w:ascii="Arial" w:cs="Arial" w:eastAsia="Arial" w:hAnsi="Arial"/>
          <w:sz w:val="16"/>
          <w:szCs w:val="16"/>
          <w:i w:val="1"/>
          <w:iCs w:val="1"/>
          <w:color w:val="auto"/>
        </w:rPr>
        <w:t xml:space="preserve"> </w:t>
      </w:r>
      <w:r>
        <w:rPr>
          <w:rFonts w:ascii="Arial" w:cs="Arial" w:eastAsia="Arial" w:hAnsi="Arial"/>
          <w:sz w:val="16"/>
          <w:szCs w:val="16"/>
          <w:color w:val="auto"/>
        </w:rPr>
        <w:t>showcase the image and products of Vera Bradley. As of February 1, 2014, we operated 84 full-price stores averaging approximately 1,800 square feet per store. Our stores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E-Commerce. </w:t>
      </w:r>
      <w:r>
        <w:rPr>
          <w:rFonts w:ascii="Arial" w:cs="Arial" w:eastAsia="Arial" w:hAnsi="Arial"/>
          <w:sz w:val="16"/>
          <w:szCs w:val="16"/>
          <w:color w:val="auto"/>
        </w:rPr>
        <w:t>In 2006, we began selling our products through the verabradley.com website. The objective of verabradley.com is to provide both a mechanism</w:t>
      </w:r>
      <w:r>
        <w:rPr>
          <w:rFonts w:ascii="Arial" w:cs="Arial" w:eastAsia="Arial" w:hAnsi="Arial"/>
          <w:sz w:val="16"/>
          <w:szCs w:val="16"/>
          <w:i w:val="1"/>
          <w:iCs w:val="1"/>
          <w:color w:val="auto"/>
        </w:rPr>
        <w:t xml:space="preserve"> </w:t>
      </w:r>
      <w:r>
        <w:rPr>
          <w:rFonts w:ascii="Arial" w:cs="Arial" w:eastAsia="Arial" w:hAnsi="Arial"/>
          <w:sz w:val="16"/>
          <w:szCs w:val="16"/>
          <w:color w:val="auto"/>
        </w:rPr>
        <w:t>for marketing directly to consumers and a storefront where consumers can find the entire Vera Bradley collection. In fiscal 2013, we invested in upgrades to our website allowing for a more user friendly homepage, enabling us to ship to over 13 international countries, and enhancing the checkout experience. In fiscal 2014, we migrated our website to a responsive design in order to provide a better shopping experience for our customers by providing an optimal viewing experience regardless of the device being used to shop. We had over 69 million visits to verabradley.com during fiscal 2014.</w:t>
      </w:r>
    </w:p>
    <w:p>
      <w:pPr>
        <w:spacing w:after="0" w:line="10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Outlet Stores. </w:t>
      </w:r>
      <w:r>
        <w:rPr>
          <w:rFonts w:ascii="Arial" w:cs="Arial" w:eastAsia="Arial" w:hAnsi="Arial"/>
          <w:sz w:val="16"/>
          <w:szCs w:val="16"/>
          <w:color w:val="auto"/>
        </w:rPr>
        <w:t>Our outlet stores are a vehicle for selling retired merchandise at discounted prices, while maintaining brand integrity. We believe our outlet</w:t>
      </w:r>
      <w:r>
        <w:rPr>
          <w:rFonts w:ascii="Arial" w:cs="Arial" w:eastAsia="Arial" w:hAnsi="Arial"/>
          <w:sz w:val="16"/>
          <w:szCs w:val="16"/>
          <w:i w:val="1"/>
          <w:iCs w:val="1"/>
          <w:color w:val="auto"/>
        </w:rPr>
        <w:t xml:space="preserve"> </w:t>
      </w:r>
      <w:r>
        <w:rPr>
          <w:rFonts w:ascii="Arial" w:cs="Arial" w:eastAsia="Arial" w:hAnsi="Arial"/>
          <w:sz w:val="16"/>
          <w:szCs w:val="16"/>
          <w:color w:val="auto"/>
        </w:rPr>
        <w:t>stores are an integral part of our distribution strategy, as this format provides an additional channel of distribution for our products and enables us to better target value-oriented customers. Our outlet stores average approximately 3,000 square feet per store. As of February 1, 2014, we operated 15 outlet stores.</w:t>
      </w:r>
    </w:p>
    <w:p>
      <w:pPr>
        <w:spacing w:after="0" w:line="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We launched a marketing campaign to connect with the Japanese consumer on April 18, 2011. This campaign included seven temporary pop-up</w:t>
      </w:r>
      <w:r>
        <w:rPr>
          <w:rFonts w:ascii="Arial" w:cs="Arial" w:eastAsia="Arial" w:hAnsi="Arial"/>
          <w:sz w:val="16"/>
          <w:szCs w:val="16"/>
          <w:i w:val="1"/>
          <w:iCs w:val="1"/>
          <w:color w:val="auto"/>
        </w:rPr>
        <w:t xml:space="preserve"> </w:t>
      </w:r>
      <w:r>
        <w:rPr>
          <w:rFonts w:ascii="Arial" w:cs="Arial" w:eastAsia="Arial" w:hAnsi="Arial"/>
          <w:sz w:val="16"/>
          <w:szCs w:val="16"/>
          <w:color w:val="auto"/>
        </w:rPr>
        <w:t>stores in several department stores including Isetan Shinjuku and Marui Yurakucho located across Tokyo and Kyoto. The international channel includes the Japanese website verabradley.co.jp launched in fiscal 2012. As of February 1, 2014, we operated 13 Japanese department store locations.</w:t>
      </w:r>
    </w:p>
    <w:p>
      <w:pPr>
        <w:spacing w:after="0" w:line="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Annual Outlet Sale. </w:t>
      </w:r>
      <w:r>
        <w:rPr>
          <w:rFonts w:ascii="Arial" w:cs="Arial" w:eastAsia="Arial" w:hAnsi="Arial"/>
          <w:sz w:val="18"/>
          <w:szCs w:val="18"/>
          <w:color w:val="auto"/>
        </w:rPr>
        <w:t>Our annual outlet sale is held in the Allen County War Memorial Coliseum Exposition Center in Fort Wayne, Indiana. The annual outlet</w:t>
      </w:r>
      <w:r>
        <w:rPr>
          <w:rFonts w:ascii="Arial" w:cs="Arial" w:eastAsia="Arial" w:hAnsi="Arial"/>
          <w:sz w:val="18"/>
          <w:szCs w:val="18"/>
          <w:i w:val="1"/>
          <w:iCs w:val="1"/>
          <w:color w:val="auto"/>
        </w:rPr>
        <w:t xml:space="preserve"> </w:t>
      </w:r>
      <w:r>
        <w:rPr>
          <w:rFonts w:ascii="Arial" w:cs="Arial" w:eastAsia="Arial" w:hAnsi="Arial"/>
          <w:sz w:val="18"/>
          <w:szCs w:val="18"/>
          <w:color w:val="auto"/>
        </w:rPr>
        <w:t>sale is an important tradition for Vera Bradley, has many loyal followers, and is an opportunity for us to sell our retired merchandise at discounted prices in a brand-right fashion. We attracted approximately 68 thousand attendees to our 2013 annual outlet 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 Selection Strategy</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store location decisions are made case by case, depending on the retail strategy we have developed for the particular market. This includes actual and planned penetration in both Indirect and Direct segments, as well as existing e-commerce demand. At this time, we do not believe any market has been fully penetrated.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full-price store size is approximately 1,800 square feet, but we are able to work with spaces as small as 1,000 square feet or, depending on our market strategy and relevant economic factors, spaces as large as 2,800 square feet.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Operations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focus of our store operations is providing consumers with a comfortable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 Our district and store managers are our primary link to the consumer, and we continually invest in their development.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Economics</w:t>
      </w:r>
    </w:p>
    <w:p>
      <w:pPr>
        <w:spacing w:after="0" w:line="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believe that our innovative retail concept and distinctive retail experience contribute to the success of our stores, most of which generate strong productivity and returns. We expect our full-price stores to average approximately 1,800 square feet per store, and we expect to invest approximately $0.4 million per new store, consisting of inventory costs, pre-opening costs, and build-out costs, less tenant-improvement allowances. New full-price stores generate on average between $1.2 million and $1.4 million in net revenues during the first twelve months, and the payback on our investment is expected to occur in less than 18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Segment</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February 1, 2014, we had approximately 3,100 Indirect retailer partners, the majority of which were specialty retailers with whom we have had long-standing relationships. The top 30% of our specialty retailers account for over 70% of revenue from our specialty retailers. No single account represented more than 5% of total Indirect net revenues in fiscal 2014, with the top ten accounts representing in the aggregate less than 24% of total Indirect net revenues. The majority of our Indirect retailers have been customers for over five years. In fiscal 2012, we launched our products in the department store channel.</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Force</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that having an in-house sales force results in more consistent brand presentation and messaging, enhanced support for our Indirect retailers, and a more predictable, scalable, and cost-efficient business model. As of February 1, 2014, our sales team consisted of 84 in-house, full-time sales consultants. The compensation structure for our sales consultants consists of a combination of fixed pay and sales-based incentives.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manufacturing and supply chain model is designed to maximize flexibility in order to meet shifting demands in the market. Our model utilizes offshore raw material suppliers and a blend of offshore and domestic manufacturing. We place a strong emphasis on continuous improvement and have employed lean manufacturing concepts. Our broad-based, multi-country manufacturing and supply chain model is designed to achieve efficient, timely, and accurate order fulfillment while maintaining appropriate levels of inventory.</w:t>
      </w:r>
    </w:p>
    <w:p>
      <w:pPr>
        <w:spacing w:after="0" w:line="13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1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majority of our products are cotton-based. Our other products are made primarily from specialty fabrics (including nylon and microfiber) and paper. We source our materials from various suppliers in Asia, with the majority coming from China and South Korea. Our global supply chain and purchasing teams work together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3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remainder of our products are manufactured in the United States to provide flexibility in our supply chain. This production, almost all of which is internal to Vera Bradley, enables us to manufacture a finished product in two weeks. This capability allows us to respond quickly to shifts in marketplace demand and changes in consumer preferences. In fiscal 2014, approximately 6.1% of our units were produced in our domestic manufacturing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2007, we consolidated our warehousing and shipping functions into one, 217,320 square-foot distribution center, located in Roanoke, Indiana. In fiscal 2013, we completed a 200,000 square-foot expansion of the distribution facility. This highly automated, computerized facility allows Vera Bradley employees to receive information directly from the order-collection center and quickly identify the products and quantities necessary for a particular order. The recent expansion resulted in capacity gains in the areas of inbound receiving, inventory storage, order fulfillment, value-add processing and shipping. The facility’s advanced technology enables us to more accurately process and pack orders, as well as track shipments and inventory.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systems for the processing and shipment of orders from our distribution center have enabled us to improve our overall customer service through enhanced order accuracy and reduced turnaround time.</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Merchandise Planning and Allocation function that strives to balance the supply and demand issues that we encounter in our business, optimize our inventory levels, and anticipate inventory needs.</w:t>
      </w:r>
    </w:p>
    <w:p>
      <w:pPr>
        <w:spacing w:after="0" w:line="12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products are shipped primarily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systems, including MICROS-Retail, SAP, JDA, and SCALE, for our information technology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Nine West, Liz Claiborne, Dooney &amp; Bourke, Kate Spade, and Michael Kors.</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development of each new pattern includes the design of an overall print, a complementary fabric backing, and coordinating trim materials. Once developed, we generally copyright each pattern, including the print, fabric backing, and coordinating trim. We currently have in excess of 650 copyrights.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on their expiration dates. We have no material patents.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As of February 1, 2014, we had approximately 2,900 employees. Of the total, 1,850 were engaged in retail selling positions, 350 were engaged in manufacturing functions, 35 were engaged in product design, and 325 were engaged in corporate support and administrative functions. The remaining employees were engaged in other aspects of our business. None of our employees are represented by a union. We believe that our relations with our employees are good, and we have never encountered a significant work stoppage.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Robert Wallstrom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Barbara Bradley Baekgaard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Co-Founder, Chief Creative Officer, and Director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Kevin J. Sierks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Financial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Sue Fuller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Chief Merchandising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Kimberly F. Colby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Design</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 Roddy Mann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Executive Vice President – Strategy &amp; Operations</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Anastacia S. Knapper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Senior Vice President – General Counsel and Corporate Secretary</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David O. Thompson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Senior Vice President – Multi-Channel Commerce</w:t>
            </w: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Robert Wallstrom </w:t>
      </w:r>
      <w:r>
        <w:rPr>
          <w:rFonts w:ascii="Arial" w:cs="Arial" w:eastAsia="Arial" w:hAnsi="Arial"/>
          <w:sz w:val="18"/>
          <w:szCs w:val="18"/>
          <w:color w:val="auto"/>
        </w:rPr>
        <w:t>has served as our Chief Executive Officer, President and Director since November 2013. Prior to joining Vera Bradley, Mr. Wallstrom</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 Prior to joining Saks, Mr. Wallstrom held a variety of roles of increasing responsibility at Macy’s Inc. from 1987 to 1995 and began his career in 1983 at J. W. Robinson department stores.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Barbara Bradley Baekgaard </w:t>
      </w:r>
      <w:r>
        <w:rPr>
          <w:rFonts w:ascii="Arial" w:cs="Arial" w:eastAsia="Arial" w:hAnsi="Arial"/>
          <w:sz w:val="18"/>
          <w:szCs w:val="18"/>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w:t>
      </w:r>
    </w:p>
    <w:p>
      <w:pPr>
        <w:spacing w:after="0" w:line="13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Kevin J. Sierks </w:t>
      </w:r>
      <w:r>
        <w:rPr>
          <w:rFonts w:ascii="Arial" w:cs="Arial" w:eastAsia="Arial" w:hAnsi="Arial"/>
          <w:sz w:val="16"/>
          <w:szCs w:val="16"/>
          <w:color w:val="auto"/>
        </w:rPr>
        <w:t>has served as our Chief Financial Officer since February 2014. Mr. Sierks joined the Company as the Vice President – Controller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in December 2011, and also served as the Interim Chief Financial Officer starting in January 2013. Prior to joining Vera Bradley, from 2007 to 2011 Mr. Sierks served as Vice President – Controller at Biomet, Inc., a large orthopedic medical device company. Mr. Sierks previously served as Director of Accounting and U.S. Shared Services at Boston Scientific Corporation from 2005 to 2007. From 2002 to 2005, Mr. Sierks served as Director of Financial Reporting and Business Development at Guidant Corporation, which was acquired by Boston Scientific Corporation in 2006. Formerly, Mr. Sierks was with Deloitte &amp; Touche from 1995 to 2002, departing as an Audit Manager. Mr. Sierks is a Certified Public Accountant.</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Sue Fuller </w:t>
      </w:r>
      <w:r>
        <w:rPr>
          <w:rFonts w:ascii="Arial" w:cs="Arial" w:eastAsia="Arial" w:hAnsi="Arial"/>
          <w:sz w:val="18"/>
          <w:szCs w:val="18"/>
          <w:color w:val="auto"/>
        </w:rPr>
        <w:t>has served as our Executive Vice President – Chief Merchandising Officer since January 2014. Prior to joining Vera Bradley, Ms. Fuller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General Merchandise Manager of Carhartt, Inc. from July 2010 through November 2013. Between 2005 and July 2010, she served in various roles of increasing responsibility with Kohl’s Department Stores, including Director, Product Development for Juniors Private Label. She gained prior experience with L.L. Bean, Lands’ End and Polo Ralph Lauren.</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 President of Design.</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1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C. Roddy Mann </w:t>
      </w:r>
      <w:r>
        <w:rPr>
          <w:rFonts w:ascii="Arial" w:cs="Arial" w:eastAsia="Arial" w:hAnsi="Arial"/>
          <w:sz w:val="16"/>
          <w:szCs w:val="16"/>
          <w:color w:val="auto"/>
        </w:rPr>
        <w:t>has served as our Executive Vice President – Strategy and Operations since February 2014. From April 2010 to February 2014, Mr. Mann</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Executive Vice President – Strategy and Business Development. Mr. Mann is responsible for the development of our strategies and new business opportunities in both our Indirect and Direct channels, as well as manufacturing and distribution. From 2007 to April 2010, Mr. Mann served as our Vice President – Strategy, Sales and Marketing. From 2006 to 2007, he served as Vice President – Strategic Initiatives. Prior to joining Vera Bradley,</w:t>
      </w:r>
    </w:p>
    <w:p>
      <w:pPr>
        <w:spacing w:after="0" w:line="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Mr. Mann was a Vice President at LakeWest Group, a consulting firm based in Cleveland, Ohio, from 1999 to 2006. In 2006, in a consulting capacity, Mr. Mann assisted us with the development of our Direct retail store strategy and execution plans.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Anastacia S. Knapper </w:t>
      </w:r>
      <w:r>
        <w:rPr>
          <w:rFonts w:ascii="Arial" w:cs="Arial" w:eastAsia="Arial" w:hAnsi="Arial"/>
          <w:sz w:val="18"/>
          <w:szCs w:val="18"/>
          <w:color w:val="auto"/>
        </w:rPr>
        <w:t>has served as our Senior Vice President – General Counsel, Corporate Secretary since February 2014. Ms. Knapper joined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2011 as the Vice President – General Counsel, Corporate Secretary. Prior to joining Vera Bradley, Ms. Knapper served as the Vice President – General Counsel, Corporate Secretary for CTS Corporation from January 2011 to November 2011 and the Vice President – General Counsel, Corporate Secretary for Haynes International, Inc. from August 2006 to December 2010. Formerly, Ms. Knapper was with Ice Miller LLP from August 2000 to August 2006, where she departed as a Senior Associate.</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David O. Thompson </w:t>
      </w:r>
      <w:r>
        <w:rPr>
          <w:rFonts w:ascii="Arial" w:cs="Arial" w:eastAsia="Arial" w:hAnsi="Arial"/>
          <w:sz w:val="17"/>
          <w:szCs w:val="17"/>
          <w:color w:val="auto"/>
        </w:rPr>
        <w:t>has served as our Senior Vice President - Multi-Channel Commerce since 2013. From 2008 to 2013, Mr. Thompson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 Direct Sales. Prior to joining Vera Bradley, Mr. Thompson was a Senior Consultant, Manager 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improvements, and information technology in traditional retail, catalog and e-commerce channels.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You should carefully consider all of the information in this report, particularly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implement our growth strategies or manage our growing business, our future operating results could suffer.</w:t>
      </w:r>
    </w:p>
    <w:p>
      <w:pPr>
        <w:spacing w:after="0" w:line="1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2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continuing to invest in our specialty retailers to support them in growing along with Vera Bradley. This channel will continue to evolve over time as we balance the channel dynamics between the specialty retailers, department stores, our Direct stores, and e-commerce. We sell our wholesale merchandise primarily to specialty retailers and department stores substantially located in the United States and extend credit based on an evaluation of each customer’s financial condition, without requiring collateral. However, the financial difficulties of a specialty retail customer could cause us to limit or eliminate our business with that customer.</w:t>
      </w:r>
    </w:p>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and their impact on consumer confidence and consumer spending, could adversely impact our results of operations.</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general uncertainty regarding the overall future economic environment, and weather and weather-related phenomenas.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as well as the availability and breadth of pattern assortment may not gain consumer acceptance. Merchandise misjudgments could adversely impact our net revenues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open and operate new stores as planned, which could adversely impact our results of operations.</w:t>
      </w:r>
    </w:p>
    <w:p>
      <w:pPr>
        <w:spacing w:after="0" w:line="1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continued growth will depend on our ability to successfully open and operate new stores. We plan to open approximately 20 to 25 new stores during each of the next five fiscal years. Our ability to successfully open and operate new stores depends on many factors, including our ability to:</w:t>
      </w:r>
    </w:p>
    <w:p>
      <w:pPr>
        <w:spacing w:after="0" w:line="11" w:lineRule="exact"/>
        <w:rPr>
          <w:sz w:val="20"/>
          <w:szCs w:val="20"/>
          <w:color w:val="auto"/>
        </w:rPr>
      </w:pPr>
    </w:p>
    <w:p>
      <w:pPr>
        <w:ind w:left="5620" w:right="5340" w:hanging="5301"/>
        <w:spacing w:after="0" w:line="659" w:lineRule="auto"/>
        <w:tabs>
          <w:tab w:leader="none" w:pos="639"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identify suitable store locations, the availability of which may be uncertain; 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maintain and enhance our brand, then we may be unable to sell our products, which could adversely impact our results of operations.</w:t>
      </w:r>
    </w:p>
    <w:p>
      <w:pPr>
        <w:spacing w:after="0" w:line="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our results of operations could be adversely impacted.</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employment agreements with Mr. Wallstrom and certain of our other executive officers, including Ms. Fuller and Mr. Sierks, we may not be able to retain the services of such individuals in the future. The unexpected loss of services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store openings;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or decreases in comparable-store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sales to Indirect retailers;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pattern releases and new product introductions.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dependent on information technology systems and networks, including the Internet, for a significant portion of our Direct store sales, including our e-commerce operations and retail business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Since we do not control third-party service providers and cannot guarantee that no electronic or physical computer break-ins and security breaches will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and other Internet websites in the U.S. and Japan.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meet market expectations of comparable-store sales could cause our stock price to decline.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may not be able to sustain the levels of comparable-store sales that we have experienced in the recent past. If our future comparable-store sales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changes in consumer shopping trends towards on-line shopping,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own our distribution and design center facilities. We lease our corporate headquarters, our other offices, and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competitive market. Our competitors might develop products that are more popular with consumers than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handbags, accessories, and travel and leisure items is competitive. Our competitive challenges include:</w:t>
      </w:r>
    </w:p>
    <w:p>
      <w:pPr>
        <w:spacing w:after="0" w:line="90"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consumer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high-quality products;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215" w:lineRule="exact"/>
        <w:rPr>
          <w:sz w:val="20"/>
          <w:szCs w:val="20"/>
          <w:color w:val="auto"/>
        </w:rPr>
      </w:pPr>
    </w:p>
    <w:p>
      <w:pPr>
        <w:ind w:right="140"/>
        <w:spacing w:after="0" w:line="338" w:lineRule="auto"/>
        <w:rPr>
          <w:sz w:val="20"/>
          <w:szCs w:val="20"/>
          <w:color w:val="auto"/>
        </w:rPr>
      </w:pPr>
      <w:r>
        <w:rPr>
          <w:rFonts w:ascii="Arial" w:cs="Arial" w:eastAsia="Arial" w:hAnsi="Arial"/>
          <w:sz w:val="15"/>
          <w:szCs w:val="15"/>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generally do not enter into long-term formal written agreements with our suppliers and typically transact business with each of them on an order-by-order basis. As a result, we cannot assure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rely on a single distribution facility for all of the products we sell. Disruption to that facility could adversely impact our results of operations, and expansion of that facility could have unpredictable adverse effects.</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35"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unrest;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acts of war and terrorism, changing macroeconomic trends, and other external factors over which we have no control.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9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215" w:lineRule="exact"/>
        <w:rPr>
          <w:sz w:val="20"/>
          <w:szCs w:val="20"/>
          <w:color w:val="auto"/>
        </w:rPr>
      </w:pPr>
    </w:p>
    <w:p>
      <w:pPr>
        <w:ind w:right="620"/>
        <w:spacing w:after="0" w:line="334" w:lineRule="auto"/>
        <w:rPr>
          <w:sz w:val="20"/>
          <w:szCs w:val="20"/>
          <w:color w:val="auto"/>
        </w:rPr>
      </w:pPr>
      <w:r>
        <w:rPr>
          <w:rFonts w:ascii="Arial" w:cs="Arial" w:eastAsia="Arial" w:hAnsi="Arial"/>
          <w:sz w:val="16"/>
          <w:szCs w:val="16"/>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others may sell imitation brand products.</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Prior to the completion of the Reorganization, we were treated as an “S” Corporation under Subchapter S of the Internal Revenue Code, and claims of taxing authorities related to our prior status as an “S” Corporation could harm us.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the completion of the Reorganization in fiscal 2011, our “S” Corporation status terminated automatically and we became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indebtedness may decrease business flexibility and increase borrowing costs.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February 1, 2014, we had no outstanding borrowings under our amended and restated credit agreement, compared to $15.0 million outstanding under our former credit facility as of February 2, 2013. Future indebtedness, if any, could have the effect, among other things, of:</w:t>
      </w:r>
    </w:p>
    <w:p>
      <w:pPr>
        <w:spacing w:after="0" w:line="35"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reducing the availability of cash flow from operations to fund working capital, capital expenditures and other general corporate purposes;</w:t>
      </w:r>
    </w:p>
    <w:p>
      <w:pPr>
        <w:spacing w:after="0" w:line="101"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adapt to changes in our business and the industry in which we operate;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companies that have less debt.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3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growing business and execute our growth strategies, we will need significant amounts of cash from that source. If our business does not generate cash flow from operating activities sufficient to fund these activities, and if sufficient funds are not otherwise available to us from our existing revolving credit facility, we will need to seek additional capital, through debt or equity financings, to fund our growth. If new sources of financing are required, but are insufficient or unavailable, then we will be required to modify our growth and operating plans based on available funding, if any, which would inhibit our growth and could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Indirect business could suffer as a result of bankruptcies or operational or financial difficulties of our Indirect retailers.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our Indirect merchandise primarily to specialty retail stores across the United States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could adversely affect the Company’s business.</w:t>
      </w:r>
    </w:p>
    <w:p>
      <w:pPr>
        <w:spacing w:after="0" w:line="9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2010, Congress enacted comprehensive health care reform legislation which, among other things, includes guaranteed coverage requirements, eliminates pre-existing condition exclusions and annual and lifetime maximum limits, restricts the extent to which policies can be rescinded, and imposes new and significant taxes on health insurers and health care benefits. Due to the breadth and complexity of the health reform legislation, the current lack of implementing regulations and interpretive guidance, and the phased-in nature of the implementation, it is difficult to predict the overall effect of the legislation and related regulations on the business over the coming years. Possible adverse effects of the health reform legislation include increased costs, exposure to expanded liability and requirements for the Company to revise ways in which it conducts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a number of factors, most of which we cannot control, including:</w:t>
      </w:r>
    </w:p>
    <w:p>
      <w:pPr>
        <w:spacing w:after="0" w:line="102"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90" w:lineRule="exact"/>
        <w:rPr>
          <w:rFonts w:ascii="Arial" w:cs="Arial" w:eastAsia="Arial" w:hAnsi="Arial"/>
          <w:sz w:val="18"/>
          <w:szCs w:val="18"/>
          <w:color w:val="auto"/>
        </w:rPr>
      </w:pPr>
    </w:p>
    <w:p>
      <w:pPr>
        <w:ind w:left="640" w:right="32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projections that we may choose to provide to the public, any changes in these projections or our failure for any reason to meet these projections;</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others, including our filings with the SEC and announcements relating to litigation;</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speculation about our business in the press or the investment community;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 As a result, our common stock may trade at prices significantly below the offering price.</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a limited number of shareholders control a large percentage of the voting power of our common stock, investors may have limited ability to determine the outcome of shareholder votes.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Michael Ray (former CEO and Ms. Bradley Baekgaard's son in-law), Robert Hall, Barbara Bradley Baekgaard, Joan Hall (Mr. Hall’s wife and Ms. Bradley Baekgaard’s daughter), Patricia R. Miller and P. Michael Miller, directly or indirectly, beneficially own and have the ability to exercise voting control over, in the aggregate, 43.6% of our outstanding shares of common stock.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From time to time, we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are forecast. In light of the foregoing, investors are urged to put the guidance in context and not to place undue reliance on it.</w:t>
      </w: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6"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serving staggered three-year terms;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location, use, and size of our manufacturing, distribution, and corporate facilities as of February 1, 2014. The leases on the leased properties expire at various times through 2016, subject to renewal options.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Primary Use</w:t>
            </w: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Leased /Owned</w:t>
            </w: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Wayne, Indiana</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headquarters</w:t>
            </w:r>
          </w:p>
        </w:tc>
        <w:tc>
          <w:tcPr>
            <w:tcW w:w="2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27,287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Roanoke, Indiana</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Design center and showroom</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39,269</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Roanoke, Indiana</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Warehouse and distribution</w:t>
            </w:r>
          </w:p>
        </w:tc>
        <w:tc>
          <w:tcPr>
            <w:tcW w:w="2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418,500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Fort Wayne, Indiana</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Support staff</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66,886</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Fort Wayne, Indiana</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Sewing and quilting</w:t>
            </w:r>
          </w:p>
        </w:tc>
        <w:tc>
          <w:tcPr>
            <w:tcW w:w="2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125,356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New York, New York</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Product design and showroom</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Dongguan City, China</w:t>
            </w:r>
          </w:p>
        </w:tc>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China office</w:t>
            </w:r>
          </w:p>
        </w:tc>
        <w:tc>
          <w:tcPr>
            <w:tcW w:w="2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Showroom</w:t>
            </w:r>
          </w:p>
        </w:tc>
        <w:tc>
          <w:tcPr>
            <w:tcW w:w="2260" w:type="dxa"/>
            <w:vAlign w:val="bottom"/>
          </w:tcPr>
          <w:p>
            <w:pPr>
              <w:jc w:val="right"/>
              <w:ind w:right="12"/>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Dallas, Texas</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Showroom</w:t>
            </w:r>
          </w:p>
        </w:tc>
        <w:tc>
          <w:tcPr>
            <w:tcW w:w="2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ind w:left="660" w:right="80" w:hanging="607"/>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property is owned by Milburn, LLC, a leasing company in which Barbara Bradley Baekgaard owns a 50% interest and Patricia R. Miller and P. Michael Miller each own a 25% interest. See Item 13, “Certain Relationships and Related Transactions, and Director Independence,” of this report for additional information regarding this property.</w:t>
      </w:r>
    </w:p>
    <w:p>
      <w:pPr>
        <w:spacing w:after="0" w:line="1" w:lineRule="exact"/>
        <w:rPr>
          <w:sz w:val="20"/>
          <w:szCs w:val="20"/>
          <w:color w:val="auto"/>
        </w:rPr>
      </w:pPr>
    </w:p>
    <w:p>
      <w:pPr>
        <w:ind w:left="660" w:right="400" w:hanging="652"/>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property was purchased from Great Dane Realty, LLC, a company owned by Barbara Bradley Baekgaard, in December 2013. See Item 13, “Certain Relationships and Related Transactions, and Director Independence,” of this report for additional information regarding this property.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200,000 square-foot expansion of the distribution facility was completed in fiscal 2013.</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February 1, 2014, we also leased 105 store locations in the United States, including 6 store locations opened or to be opened in fiscal 2015. See below for more information regarding the locations of our open stores as of February 1, 2014.</w:t>
      </w:r>
    </w:p>
    <w:p>
      <w:pPr>
        <w:spacing w:after="0" w:line="1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two showrooms which are used exclusively by the Indirect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full-price stores are located primarily in high-traffic regional malls, lifestyle centers, and mixed-use shopping centers across the United States. The following table shows the number of full-price and outlet stores we operated in each state as of February 1,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4"/>
                <w:szCs w:val="14"/>
                <w:color w:val="auto"/>
              </w:rPr>
            </w:pPr>
          </w:p>
        </w:tc>
        <w:tc>
          <w:tcPr>
            <w:tcW w:w="1280" w:type="dxa"/>
            <w:vAlign w:val="bottom"/>
          </w:tcPr>
          <w:p>
            <w:pPr>
              <w:ind w:left="220"/>
              <w:spacing w:after="0"/>
              <w:rPr>
                <w:sz w:val="20"/>
                <w:szCs w:val="20"/>
                <w:color w:val="auto"/>
              </w:rPr>
            </w:pPr>
            <w:r>
              <w:rPr>
                <w:rFonts w:ascii="Arial" w:cs="Arial" w:eastAsia="Arial" w:hAnsi="Arial"/>
                <w:sz w:val="14"/>
                <w:szCs w:val="14"/>
                <w:b w:val="1"/>
                <w:bCs w:val="1"/>
                <w:color w:val="auto"/>
                <w:w w:val="96"/>
              </w:rPr>
              <w:t>Total 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State</w:t>
            </w:r>
          </w:p>
        </w:tc>
        <w:tc>
          <w:tcPr>
            <w:tcW w:w="100" w:type="dxa"/>
            <w:vAlign w:val="bottom"/>
            <w:vMerge w:val="restart"/>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1"/>
              </w:rPr>
              <w:t>Full-Price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Outlet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Full-Price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Outlet Stores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Minnesota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Missouri</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North Carolina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Ohio</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Oklahoma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Rhode Island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Texas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Washington</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Wisconsin</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Massachusetts</w:t>
            </w:r>
          </w:p>
        </w:tc>
        <w:tc>
          <w:tcPr>
            <w:tcW w:w="12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Totals</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lease all of our stores. Lease terms generally range from five to ten years with options to renew for varying terms. The leases generally provide for a fixed minimum rental plus contingent rent, which is determined as a percentage of sales in excess of specified levels.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“VRA”. The following table sets forth the high and low sales prices of our common stock, as reported by the NASDAQ Global Select Market, for each quarterly period in our two most recent fiscal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2014 Quarter ended: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February 1, 2014</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21.85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 2013</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August 3, 2013</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4, 2013</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Fiscal 2013 Quarter ended:</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 2013</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October 27, 2012</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20.22</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28, 2012</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April 28, 2012</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26.00</w:t>
            </w: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25, 2014, we had approximately 25 registered shareholders of record. The number of shareholders of record is based upon the actual number of shareholders registered at such date and does not include holders of shares in “street names” or persons, partnerships, associations, corporations, or other entities identified in security position listings maintained by depositories.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16"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2011, we paid distributions of $132.8 million to our shareholders, which included a final distribution (resulting from the termination of our “S” Corporation status) of 100% of our undistributed taxable income from the date of our formation through October 2,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February 1, 2014:</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1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Equity</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(a)</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20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400,029</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5,675,972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400,029</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5,675,972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color w:val="auto"/>
              </w:rPr>
              <w:t>(1)  Approved before our initial public offering.</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2080" w:type="dxa"/>
            <w:vAlign w:val="bottom"/>
            <w:vMerge w:val="restart"/>
          </w:tcPr>
          <w:p>
            <w:pPr>
              <w:jc w:val="right"/>
              <w:ind w:right="124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graph set forth below compares the cumulative shareholder return on our common stock between October 21, 2010 (the date of our initial public offering), and February 1, 2014, to the cumulative return of (i) the S&amp;P 500 Index and (ii) the S&amp;P 500 Apparel, Accessories, and Luxury Goods Index over the same period. This graph assumes an initial investment of $100 on October 21, 2010, in our common stock, the S&amp;P 500 Index, and the S&amp;P 500 Apparel, Accessories, and Luxury Goods Index and assumes the reinvestment of dividends, if any. The graph also assumes that the initial price of our common stock on October 21, 2010, was the initial public offering price of $16.00 per share and that the initial prices of the S&amp;P 500 Index and the S&amp;P 500 Apparel, Accessories, and Luxury Goods Index on October 21, 2010, were the closing prices on the previous trading day.</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97155</wp:posOffset>
            </wp:positionV>
            <wp:extent cx="5797550"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10/21/2010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1/29/2011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1/28/2012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2/2/2013</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2/1/2014</w:t>
            </w: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Vera Bradley,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161.25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150.12</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108.89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114.69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134.89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162.28</w:t>
            </w:r>
          </w:p>
        </w:tc>
      </w:tr>
      <w:tr>
        <w:trPr>
          <w:trHeight w:val="27"/>
        </w:trPr>
        <w:tc>
          <w:tcPr>
            <w:tcW w:w="7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Apparel, Accessories, and Luxury Goods Index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146.75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170.15</w:t>
            </w:r>
          </w:p>
        </w:tc>
      </w:tr>
      <w:tr>
        <w:trPr>
          <w:trHeight w:val="459"/>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57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Selected Financial Data</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following tables present selected consolidated financial and other data as of and for the years indicated. The selected income statement data for the most recent three fiscal years presented and the selected balance sheet data as of February 1, 2014 and February 2, 2013 are derived from our audited consolidated financial statements included in Item 8 of this report. The selected income statement data for the fiscal years ended January 29, 2011, and January 29, 2010, and selected balance sheet data as of January 28, 2012, January 29, 2011, and January 29, 2010, are derived from our 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xml:space="preserve">Fiscal Year Ended </w:t>
            </w:r>
            <w:r>
              <w:rPr>
                <w:rFonts w:ascii="Arial" w:cs="Arial" w:eastAsia="Arial" w:hAnsi="Arial"/>
                <w:sz w:val="12"/>
                <w:szCs w:val="12"/>
                <w:b w:val="1"/>
                <w:bCs w:val="1"/>
                <w:color w:val="auto"/>
                <w:w w:val="93"/>
              </w:rPr>
              <w:t>(1)</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ind w:left="40"/>
              <w:spacing w:after="0" w:line="153" w:lineRule="exact"/>
              <w:rPr>
                <w:sz w:val="20"/>
                <w:szCs w:val="20"/>
                <w:color w:val="auto"/>
              </w:rPr>
            </w:pPr>
            <w:r>
              <w:rPr>
                <w:rFonts w:ascii="Arial" w:cs="Arial" w:eastAsia="Arial" w:hAnsi="Arial"/>
                <w:sz w:val="14"/>
                <w:szCs w:val="14"/>
                <w:i w:val="1"/>
                <w:iCs w:val="1"/>
                <w:color w:val="auto"/>
              </w:rPr>
              <w:t>($ in thousands, except per share data and as</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26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3"/>
                <w:szCs w:val="13"/>
                <w:color w:val="auto"/>
              </w:rPr>
            </w:pPr>
          </w:p>
        </w:tc>
        <w:tc>
          <w:tcPr>
            <w:tcW w:w="13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29,</w:t>
            </w:r>
          </w:p>
        </w:tc>
        <w:tc>
          <w:tcPr>
            <w:tcW w:w="260" w:type="dxa"/>
            <w:vAlign w:val="bottom"/>
          </w:tcPr>
          <w:p>
            <w:pPr>
              <w:spacing w:after="0"/>
              <w:rPr>
                <w:sz w:val="13"/>
                <w:szCs w:val="13"/>
                <w:color w:val="auto"/>
              </w:rPr>
            </w:pPr>
          </w:p>
        </w:tc>
        <w:tc>
          <w:tcPr>
            <w:tcW w:w="126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otherwise indicated)</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Consolidated Statement of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536,021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541,148</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460,843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366,057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288,940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240,589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232,867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203,220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137,803</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295,432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308,281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257,623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209,147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151,137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205,957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204,412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169,427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116,168</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10,743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94,251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45,712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44,108</w:t>
            </w:r>
          </w:p>
        </w:tc>
        <w:tc>
          <w:tcPr>
            <w:tcW w:w="0" w:type="dxa"/>
            <w:vAlign w:val="bottom"/>
          </w:tcPr>
          <w:p>
            <w:pPr>
              <w:spacing w:after="0"/>
              <w:rPr>
                <w:sz w:val="1"/>
                <w:szCs w:val="1"/>
                <w:color w:val="auto"/>
              </w:rPr>
            </w:pPr>
          </w:p>
        </w:tc>
      </w:tr>
      <w:tr>
        <w:trPr>
          <w:trHeight w:val="270"/>
        </w:trPr>
        <w:tc>
          <w:tcPr>
            <w:tcW w:w="3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40,597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37,103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58,812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57,921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46,198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43,219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weighted-average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(3)</w:t>
            </w:r>
          </w:p>
        </w:tc>
        <w:tc>
          <w:tcPr>
            <w:tcW w:w="260" w:type="dxa"/>
            <w:vAlign w:val="bottom"/>
          </w:tcPr>
          <w:p>
            <w:pPr>
              <w:spacing w:after="0"/>
              <w:rPr>
                <w:sz w:val="22"/>
                <w:szCs w:val="22"/>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40,599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40,536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40,507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36,813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shares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outstanding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40,648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40,571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40,542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36,851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35,441</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Basic net income per share </w:t>
            </w:r>
            <w:r>
              <w:rPr>
                <w:rFonts w:ascii="Arial" w:cs="Arial" w:eastAsia="Arial" w:hAnsi="Arial"/>
                <w:sz w:val="25"/>
                <w:szCs w:val="25"/>
                <w:color w:val="auto"/>
                <w:vertAlign w:val="superscript"/>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net income per share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326,217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292,564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225,287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96,111</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209,804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248,584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235,556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214,939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192,829</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536,021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541,148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460,843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366,057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288,940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(4)</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380" w:type="dxa"/>
            <w:vAlign w:val="bottom"/>
          </w:tcPr>
          <w:p>
            <w:pPr>
              <w:ind w:left="40"/>
              <w:spacing w:after="0"/>
              <w:rPr>
                <w:sz w:val="20"/>
                <w:szCs w:val="20"/>
                <w:color w:val="auto"/>
              </w:rPr>
            </w:pPr>
            <w:r>
              <w:rPr>
                <w:rFonts w:ascii="Arial" w:cs="Arial" w:eastAsia="Arial" w:hAnsi="Arial"/>
                <w:sz w:val="18"/>
                <w:szCs w:val="18"/>
                <w:color w:val="auto"/>
                <w:w w:val="93"/>
              </w:rPr>
              <w:t>Comparable-store sales (decrease) increase</w:t>
            </w:r>
          </w:p>
        </w:tc>
        <w:tc>
          <w:tcPr>
            <w:tcW w:w="26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63"/>
        </w:trPr>
        <w:tc>
          <w:tcPr>
            <w:tcW w:w="3380" w:type="dxa"/>
            <w:vAlign w:val="bottom"/>
          </w:tcPr>
          <w:p>
            <w:pPr>
              <w:ind w:left="40"/>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207,096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113,504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50,506</w:t>
            </w:r>
          </w:p>
        </w:tc>
        <w:tc>
          <w:tcPr>
            <w:tcW w:w="0" w:type="dxa"/>
            <w:vAlign w:val="bottom"/>
          </w:tcPr>
          <w:p>
            <w:pPr>
              <w:spacing w:after="0"/>
              <w:rPr>
                <w:sz w:val="1"/>
                <w:szCs w:val="1"/>
                <w:color w:val="auto"/>
              </w:rPr>
            </w:pPr>
          </w:p>
        </w:tc>
      </w:tr>
      <w:tr>
        <w:trPr>
          <w:trHeight w:val="229"/>
        </w:trPr>
        <w:tc>
          <w:tcPr>
            <w:tcW w:w="3380" w:type="dxa"/>
            <w:vAlign w:val="bottom"/>
          </w:tcPr>
          <w:p>
            <w:pPr>
              <w:ind w:left="40"/>
              <w:spacing w:after="0"/>
              <w:rPr>
                <w:sz w:val="20"/>
                <w:szCs w:val="20"/>
                <w:color w:val="auto"/>
              </w:rPr>
            </w:pPr>
            <w:r>
              <w:rPr>
                <w:rFonts w:ascii="Arial" w:cs="Arial" w:eastAsia="Arial" w:hAnsi="Arial"/>
                <w:sz w:val="18"/>
                <w:szCs w:val="18"/>
                <w:color w:val="auto"/>
              </w:rPr>
              <w:t>Average net revenues per gross square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3380" w:type="dxa"/>
            <w:vAlign w:val="bottom"/>
          </w:tcPr>
          <w:p>
            <w:pPr>
              <w:ind w:left="40"/>
              <w:spacing w:after="0"/>
              <w:rPr>
                <w:sz w:val="20"/>
                <w:szCs w:val="20"/>
                <w:color w:val="auto"/>
              </w:rPr>
            </w:pPr>
            <w:r>
              <w:rPr>
                <w:rFonts w:ascii="Arial" w:cs="Arial" w:eastAsia="Arial" w:hAnsi="Arial"/>
                <w:sz w:val="18"/>
                <w:szCs w:val="18"/>
                <w:color w:val="auto"/>
              </w:rPr>
              <w:t xml:space="preserve">foot </w:t>
            </w:r>
            <w:r>
              <w:rPr>
                <w:rFonts w:ascii="Arial" w:cs="Arial" w:eastAsia="Arial" w:hAnsi="Arial"/>
                <w:sz w:val="25"/>
                <w:szCs w:val="25"/>
                <w:color w:val="auto"/>
                <w:vertAlign w:val="superscript"/>
              </w:rPr>
              <w:t>(6)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4"/>
                <w:szCs w:val="24"/>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577"/>
        </w:trPr>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6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29,</w:t>
            </w:r>
          </w:p>
        </w:tc>
        <w:tc>
          <w:tcPr>
            <w:tcW w:w="240" w:type="dxa"/>
            <w:vAlign w:val="bottom"/>
          </w:tcPr>
          <w:p>
            <w:pPr>
              <w:spacing w:after="0"/>
              <w:rPr>
                <w:sz w:val="13"/>
                <w:szCs w:val="13"/>
                <w:color w:val="auto"/>
              </w:rPr>
            </w:pPr>
          </w:p>
        </w:tc>
        <w:tc>
          <w:tcPr>
            <w:tcW w:w="124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January 29,</w:t>
            </w: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2010</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59,215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13,953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6,509</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61,238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332,927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277,319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219,513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206,039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153,752</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30,136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255,147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194,255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124,007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64,322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77,893</w:t>
            </w:r>
          </w:p>
        </w:tc>
      </w:tr>
    </w:tbl>
    <w:p>
      <w:pPr>
        <w:spacing w:after="0" w:line="1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utilizes a 52-53 week fiscal year. Fiscal years 2014, 2012, 2011 and 2010 consisted of 52 weeks. Fiscal 2013 consisted of 53 weeks.</w:t>
      </w:r>
    </w:p>
    <w:p>
      <w:pPr>
        <w:spacing w:after="0" w:line="46" w:lineRule="exact"/>
        <w:rPr>
          <w:rFonts w:ascii="Arial" w:cs="Arial" w:eastAsia="Arial" w:hAnsi="Arial"/>
          <w:sz w:val="16"/>
          <w:szCs w:val="16"/>
          <w:color w:val="auto"/>
        </w:rPr>
      </w:pPr>
    </w:p>
    <w:p>
      <w:pPr>
        <w:ind w:left="580" w:right="420" w:hanging="572"/>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3, 2010, we converted from an “S” Corporation to a “C” Corporation for income-tax purposes and became subject to corporate level federal and state income taxes at prevailing corporate rates.</w:t>
      </w: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all historical share and per share information to reflect this stock split.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full-price and outlet stores. Our first full-price store opened in September 2007 and our first outlet store opened in November 2009.</w:t>
      </w:r>
    </w:p>
    <w:p>
      <w:pPr>
        <w:spacing w:after="0" w:line="20" w:lineRule="exact"/>
        <w:rPr>
          <w:rFonts w:ascii="Arial" w:cs="Arial" w:eastAsia="Arial" w:hAnsi="Arial"/>
          <w:sz w:val="17"/>
          <w:szCs w:val="17"/>
          <w:color w:val="auto"/>
        </w:rPr>
      </w:pPr>
    </w:p>
    <w:p>
      <w:pPr>
        <w:ind w:left="580" w:right="360" w:hanging="572"/>
        <w:spacing w:after="0" w:line="25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Calculation excludes e-commerce sales and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2013.</w:t>
      </w:r>
    </w:p>
    <w:p>
      <w:pPr>
        <w:ind w:left="580" w:right="2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successfully opened 23 new full-price and outlet stores during the year in both current and underpenetrated markets.</w:t>
      </w:r>
    </w:p>
    <w:p>
      <w:pPr>
        <w:spacing w:after="0" w:line="90"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 69 million people visited verabradley.com, an 11% increase over the prior year. We consistently rank among the top in number of annual website visits compared to our most closely related peer companies.</w:t>
      </w:r>
    </w:p>
    <w:p>
      <w:pPr>
        <w:spacing w:after="0" w:line="35" w:lineRule="exact"/>
        <w:rPr>
          <w:rFonts w:ascii="Arial" w:cs="Arial" w:eastAsia="Arial" w:hAnsi="Arial"/>
          <w:sz w:val="18"/>
          <w:szCs w:val="18"/>
          <w:color w:val="auto"/>
        </w:rPr>
      </w:pPr>
    </w:p>
    <w:p>
      <w:pPr>
        <w:ind w:left="820" w:right="500" w:hanging="326"/>
        <w:spacing w:after="0" w:line="308" w:lineRule="auto"/>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August, we announced the expansion of our current design and distribution centers, both of which are located just outside of Fort Wayne, Indiana, to create a company campus for the majority of our office personnel increasing efficiency and ease of collaboration.</w:t>
      </w:r>
    </w:p>
    <w:p>
      <w:pPr>
        <w:spacing w:after="0" w:line="11"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September, we launched the Vera Bradley for Disney Collection at the Florida World of Disney Store.</w:t>
      </w:r>
    </w:p>
    <w:p>
      <w:pPr>
        <w:spacing w:after="0" w:line="90" w:lineRule="exact"/>
        <w:rPr>
          <w:rFonts w:ascii="Arial" w:cs="Arial" w:eastAsia="Arial" w:hAnsi="Arial"/>
          <w:sz w:val="18"/>
          <w:szCs w:val="18"/>
          <w:color w:val="auto"/>
        </w:rPr>
      </w:pPr>
    </w:p>
    <w:p>
      <w:pPr>
        <w:ind w:left="820" w:right="5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migrated our website to a responsive design in order to provide a better shopping experience for our customers by providing an optimal viewing experience regardless of the device being used to shop.</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contributed approximately $1 million to the Vera Bradley Foundation supporting breast cancer research.</w:t>
      </w:r>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Highlights</w:t>
      </w:r>
    </w:p>
    <w:p>
      <w:pPr>
        <w:spacing w:after="0" w:line="94"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revenues decreased 0.9% to $536.0 million in fiscal 2014 compared to $541.1 million in fiscal 2013.</w:t>
      </w:r>
    </w:p>
    <w:p>
      <w:pPr>
        <w:spacing w:after="0" w:line="90" w:lineRule="exact"/>
        <w:rPr>
          <w:rFonts w:ascii="Arial" w:cs="Arial" w:eastAsia="Arial" w:hAnsi="Arial"/>
          <w:sz w:val="18"/>
          <w:szCs w:val="18"/>
          <w:color w:val="auto"/>
        </w:rPr>
      </w:pPr>
    </w:p>
    <w:p>
      <w:pPr>
        <w:ind w:left="1140" w:right="140" w:hanging="322"/>
        <w:spacing w:after="0" w:line="277"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Direct segment sales increased 11.5% to $326.2 million in fiscal 2014 compared to $292.6 million in fiscal 2013. Comparable store net sales for fiscal 2014 decreased 5.7%.</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Indirect segment sales decreased 15.6% to $209.8 million in fiscal 2014 compared to $248.6 million in fiscal 2013.</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Gross profit was $295.4 million (55.1% of net revenue) in fiscal 2014 compared to $308.3 million (57.0% of net revenue) in fiscal 2013.</w:t>
      </w:r>
    </w:p>
    <w:p>
      <w:pPr>
        <w:spacing w:after="0" w:line="101" w:lineRule="exact"/>
        <w:rPr>
          <w:rFonts w:ascii="Arial" w:cs="Arial" w:eastAsia="Arial" w:hAnsi="Arial"/>
          <w:sz w:val="17"/>
          <w:szCs w:val="17"/>
          <w:color w:val="auto"/>
        </w:rPr>
      </w:pPr>
    </w:p>
    <w:p>
      <w:pPr>
        <w:ind w:left="820" w:right="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$206.0 million (38.4% of net revenue) in fiscal 2014 compared to $204.4 million (37.8% of net revenue) in fiscal 2013.</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income was $94.3 million (17.6% of net revenue) in fiscal 2014 compared to $110.1 million (20.4% of net revenue) in fiscal 2013.</w:t>
      </w:r>
    </w:p>
    <w:p>
      <w:pPr>
        <w:spacing w:after="0" w:line="101"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was $58.8 million in fiscal 2014 compared to $68.9 million in fiscal 2013.</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net income per share decreased 14.7% to $1.45 in fiscal 2014 from $1.70 in fiscal 2013.</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were $59.2 million at February 1, 2014.</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generated from operations was $87.9 million in fiscal 2014 and was used to fund capital expenditures of $22.9 million and pay down debt by $15.0 million in fiscal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full-price and outlet stores, department store locations in Japan, our websites, verabradley.com and verabradley.co.jp, and our annual outlet sale in Fort Wayne, Indiana. Revenues for the Indirect segment reflect sales to Indirect specialty retailers and department stores.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Comparable store sales do not include e-commerce sales.</w:t>
      </w:r>
    </w:p>
    <w:p>
      <w:pPr>
        <w:spacing w:after="0" w:line="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35"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 Gross profit can be impacted by changes in volume, fluctuations in sales price, operational efficiencies, such as leveraging of fixed costs, promotional activities, such as free shipping, and commodity prices such as cotton, and labor in Asia.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116" w:lineRule="exact"/>
        <w:rPr>
          <w:sz w:val="20"/>
          <w:szCs w:val="20"/>
          <w:color w:val="auto"/>
        </w:rPr>
      </w:pPr>
    </w:p>
    <w:p>
      <w:pPr>
        <w:ind w:right="460"/>
        <w:spacing w:after="0" w:line="232" w:lineRule="auto"/>
        <w:rPr>
          <w:sz w:val="20"/>
          <w:szCs w:val="20"/>
          <w:color w:val="auto"/>
        </w:rPr>
      </w:pPr>
      <w:r>
        <w:rPr>
          <w:rFonts w:ascii="Arial" w:cs="Arial" w:eastAsia="Arial" w:hAnsi="Arial"/>
          <w:sz w:val="18"/>
          <w:szCs w:val="18"/>
          <w:color w:val="auto"/>
        </w:rPr>
        <w:t>The Company utilizes a 52-53 week fiscal year ending on the Saturday closest to January 31. As such, fiscal year 2014 ended on February 1, 2014 and reflected a 52-week period; fiscal year 2013 ended on February 2, 2013 and reflected a 53-week period; fiscal year 2012 ended on January 28, 2012 and reflected a 52-week period. The inclusion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2013 resulted in incremental net revenues of approximately $4.9 million and approximately $0.02 per diluted share.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3"/>
                <w:szCs w:val="13"/>
                <w:color w:val="auto"/>
              </w:rPr>
            </w:pPr>
          </w:p>
        </w:tc>
        <w:tc>
          <w:tcPr>
            <w:tcW w:w="12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536,021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541,148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460,843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240,589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232,867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203,220</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295,432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308,281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257,623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205,957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204,412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169,427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94,251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96,171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93,869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95,024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35,057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40,597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37,103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58,812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20" w:type="dxa"/>
            <w:vAlign w:val="bottom"/>
            <w:vMerge w:val="restart"/>
          </w:tcPr>
          <w:p>
            <w:pPr>
              <w:jc w:val="right"/>
              <w:ind w:right="690"/>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full-price and outlet store data for the last three fiscal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February 1,</w:t>
            </w:r>
          </w:p>
        </w:tc>
        <w:tc>
          <w:tcPr>
            <w:tcW w:w="12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60" w:type="dxa"/>
            <w:vAlign w:val="bottom"/>
          </w:tcPr>
          <w:p>
            <w:pPr>
              <w:spacing w:after="0"/>
              <w:rPr>
                <w:sz w:val="13"/>
                <w:szCs w:val="13"/>
                <w:color w:val="auto"/>
              </w:rPr>
            </w:pPr>
          </w:p>
        </w:tc>
        <w:tc>
          <w:tcPr>
            <w:tcW w:w="128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 except as otherwise indicated)</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Direct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326,217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292,564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225,287</w:t>
            </w:r>
          </w:p>
        </w:tc>
      </w:tr>
      <w:tr>
        <w:trPr>
          <w:trHeight w:val="27"/>
        </w:trPr>
        <w:tc>
          <w:tcPr>
            <w:tcW w:w="6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209,804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248,584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235,556</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536,021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541,148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460,843</w:t>
            </w:r>
          </w:p>
        </w:tc>
      </w:tr>
      <w:tr>
        <w:trPr>
          <w:trHeight w:val="67"/>
        </w:trPr>
        <w:tc>
          <w:tcPr>
            <w:tcW w:w="65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Direct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6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6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80"/>
        </w:trPr>
        <w:tc>
          <w:tcPr>
            <w:tcW w:w="6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60" w:type="dxa"/>
            <w:vAlign w:val="bottom"/>
          </w:tcPr>
          <w:p>
            <w:pPr>
              <w:spacing w:after="0"/>
              <w:rPr>
                <w:sz w:val="13"/>
                <w:szCs w:val="13"/>
                <w:color w:val="auto"/>
              </w:rPr>
            </w:pPr>
          </w:p>
        </w:tc>
        <w:tc>
          <w:tcPr>
            <w:tcW w:w="128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65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2012</w:t>
            </w: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56</w:t>
            </w:r>
          </w:p>
        </w:tc>
      </w:tr>
      <w:tr>
        <w:trPr>
          <w:trHeight w:val="27"/>
        </w:trPr>
        <w:tc>
          <w:tcPr>
            <w:tcW w:w="6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Comparable-store sales (decrease) increase </w:t>
            </w:r>
            <w:r>
              <w:rPr>
                <w:rFonts w:ascii="Arial" w:cs="Arial" w:eastAsia="Arial" w:hAnsi="Arial"/>
                <w:sz w:val="25"/>
                <w:szCs w:val="25"/>
                <w:color w:val="auto"/>
                <w:vertAlign w:val="superscript"/>
              </w:rPr>
              <w:t>(3)</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207,096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155,919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5"/>
              <w:spacing w:after="0"/>
              <w:rPr>
                <w:sz w:val="20"/>
                <w:szCs w:val="20"/>
                <w:color w:val="auto"/>
              </w:rPr>
            </w:pPr>
            <w:r>
              <w:rPr>
                <w:rFonts w:ascii="Arial" w:cs="Arial" w:eastAsia="Arial" w:hAnsi="Arial"/>
                <w:sz w:val="18"/>
                <w:szCs w:val="18"/>
                <w:color w:val="auto"/>
              </w:rPr>
              <w:t>113,504</w:t>
            </w:r>
          </w:p>
        </w:tc>
      </w:tr>
      <w:tr>
        <w:trPr>
          <w:trHeight w:val="27"/>
        </w:trPr>
        <w:tc>
          <w:tcPr>
            <w:tcW w:w="65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(4)</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1,042</w:t>
            </w:r>
          </w:p>
        </w:tc>
      </w:tr>
    </w:tbl>
    <w:p>
      <w:pPr>
        <w:spacing w:after="0" w:line="202"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Fiscal 2013 consisted of 53 weeks. All other fiscal years presented consisted of 52 weeks.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full-price and outlet stores.</w:t>
      </w:r>
    </w:p>
    <w:p>
      <w:pPr>
        <w:spacing w:after="0" w:line="9" w:lineRule="exact"/>
        <w:rPr>
          <w:rFonts w:ascii="Arial" w:cs="Arial" w:eastAsia="Arial" w:hAnsi="Arial"/>
          <w:sz w:val="18"/>
          <w:szCs w:val="18"/>
          <w:color w:val="auto"/>
        </w:rPr>
      </w:pPr>
    </w:p>
    <w:p>
      <w:pPr>
        <w:ind w:left="580" w:right="20" w:hanging="572"/>
        <w:spacing w:after="0" w:line="258"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Comparable-store sales are the net revenues of our stores that have been open at least 12 full fiscal months as of the end of the period. Increase or decrease is reported as a percentage change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Comparable store sales do not include e-commerce sales. Calculation excludes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2013.</w:t>
      </w:r>
    </w:p>
    <w:p>
      <w:pPr>
        <w:ind w:left="580" w:right="20" w:hanging="572"/>
        <w:spacing w:after="0" w:line="25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to Fiscal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fiscal 2014, net revenues decreased $5.1 million, or 0.9%, to $536.0 million, from $541.1 million for fiscal 2013, primarily due to an additional 7 days included in fiscal 2013 compared to fiscal 2014, which added net revenues of $4.9 million and decreased volume.</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Direct. </w:t>
      </w:r>
      <w:r>
        <w:rPr>
          <w:rFonts w:ascii="Arial" w:cs="Arial" w:eastAsia="Arial" w:hAnsi="Arial"/>
          <w:sz w:val="18"/>
          <w:szCs w:val="18"/>
          <w:color w:val="auto"/>
        </w:rPr>
        <w:t>For fiscal 2014, net revenues increased $33.7 million, or 11.5%, to $326.2 million, from $292.6 million for fiscal 2013. This growth resulted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$31.0 million increase in revenues at our stores due to 23 additional full-price and outlet stores which is offset by a comparable-store sales decrease of $8.4 million, or 5.7%. E-commerce revenues decreased $0.4 million. The decreases in comparable store and e-commerce sales related to year-over-year declines in traffic, a lower average transaction size, and underperformance of the product offering. The number of our stores grew from 76 at the end of fiscal 2013 to 99 at the end of fiscal 2014.</w:t>
      </w:r>
    </w:p>
    <w:p>
      <w:pPr>
        <w:spacing w:after="0" w:line="5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2014, net revenues decreased $38.8 million, or 15.6%, to $209.8 million, from $248.6 million for fiscal 2013,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the Company’s specialty retailers combined with closing approximately 400 wholesale accounts during the year, through a combination of remediation, natural attrition, and a more selective approach to opening new specialty gift stores.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 xml:space="preserve">For fiscal 2014, gross profit decreased $12.8 million, or 4.2%, to $295.4 million, from $308.3 million for fiscal 2013. As a percentage of net revenues, gross profit decreased to 55.1% for fiscal 2014, from 57.0% for fiscal 2013. The decrease in gross margin was due primarily to a $4.8 million </w:t>
      </w:r>
      <w:r>
        <w:rPr>
          <w:rFonts w:ascii="Arial" w:cs="Arial" w:eastAsia="Arial" w:hAnsi="Arial"/>
          <w:sz w:val="19"/>
          <w:szCs w:val="19"/>
          <w:color w:val="auto"/>
        </w:rPr>
        <w:t>i</w:t>
      </w:r>
      <w:r>
        <w:rPr>
          <w:rFonts w:ascii="Arial" w:cs="Arial" w:eastAsia="Arial" w:hAnsi="Arial"/>
          <w:sz w:val="18"/>
          <w:szCs w:val="18"/>
          <w:color w:val="auto"/>
        </w:rPr>
        <w:t>nventory write-down, increased year-over-year promotional activity, as well as the sales mix of lower-margin product.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fiscal 2014, SG&amp;A expenses increased $1.5 million, or 0.8%, to $206.0 million, from $204.4 million for fiscal 2013. As a percentage of net revenues, SG&amp;A expenses were 38.4% and 37.8% for fiscal 2014 and fiscal 2013, respectively. The increase in SG&amp;A expenses as a percent of net revenues was primarily due to fixed expenses being spread over lower revenues in the Indirect segment, the deleveraging of store operating expenses, and the impact of employee-related expenses from headcount added in the first half of fiscal 2014, partially offset by reductions in variable compensation expense associated with Company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fiscal 2014, other income decreased $1.5 million, or 23.9%, to $4.8 million, from $6.3 million for fiscal 2013. The decrease in other income was in line with a decrease in associated advertising costs related to mailers for our specialty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fiscal 2014, operating income decreased $15.9 million, or 14.4%, to $94.3 million, from $110.1 million for fiscal 2013. As a percentage of net revenues, operating income was 17.6% and 20.4% for fiscal 2014 and fiscal 2013, respectively. The following table provides additional information about our operating income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79,877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85,059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(5,182)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6,216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94,251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110,146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fiscal 2014, operating income decreased $5.2 million, or 6.1%. As a percentage of Direct segment net revenues, operating income in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was 24.5% and 29.1% for fiscal 2014 and 2013, respectively. This decrease as a percentage of net revenues in the Direct segment was primarily due to sales of lower-margin product accounting for a higher percentage of total segment revenue, as well as increased promotional activity.</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2014, operating income decreased $16.9 million, or 16.8%.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40.1% and 40.7% for fiscal 2014 and 2013, respectively. This decrease as a percentage of net revenues in the Indirect segment resulted primarily from deleveraging of the relatively fixed SG&amp;A expenses against sales declines.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2014, unallocated expenses decreased $6.2 million, or 8.2%, primarily as a result of discretionary spending cuts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in variable compensation expense associated with the Company’s financial performance.</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2014, net interest expense decreased $0.3 million, or 43.7%, to $0.4 million, from $0.7 million in fiscal 2013.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lower average borrowing levels in fiscal 2014.</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fiscal 2014, we recorded income tax expense of $35.1 million at an effective tax rate of 37.3%, compared to 37.1%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to Fiscal 2012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fiscal 2013, net revenues increased $80.3 million, or 17.4%, to $541.1 million, from $460.8 million for fiscal 2012, primarily due to increased volume and an additional 7 days included in fiscal 2013 compared to fiscal 2012, which added net revenues of $4.9 million.</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Direct. </w:t>
      </w:r>
      <w:r>
        <w:rPr>
          <w:rFonts w:ascii="Arial" w:cs="Arial" w:eastAsia="Arial" w:hAnsi="Arial"/>
          <w:sz w:val="18"/>
          <w:szCs w:val="18"/>
          <w:color w:val="auto"/>
        </w:rPr>
        <w:t>For fiscal 2013, net revenues increased $67.3 million, or 29.9%, to $292.6 million, from $225.3 million for fiscal 2012. This growth resulted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$44.8 million increase in revenues related to additional full-price and outlet stores; a comparable-store sales increase of $3.4 million, or 3.4%, primarily driven by the improved performance of the product assortment and various in-store events to drive traffic; and an $18.9 million increase in e-commerce revenues due to the continued growth in website traffic. The number of our stores grew from 56 at the end of fiscal 2012 to 76 at the end of fiscal 2013.</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2013, net revenues increased $13.0 million, or 5.5%, to $248.6 million, from $235.6 million for fiscal 2012, due to growth in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department store locations and increased sales volume to our specialty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2013, gross profit increased $50.7 million, or 19.7%, to $308.3 million, from $257.6 million for fiscal 2012. As a percentage of net revenues, gross profit increased to 57.0% for fiscal 2013, from 55.9% for fiscal 2012. The increase in gross margin was due primarily to operational efficiencies, lower freight expense, positive channel mix, and lower input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fiscal 2013, SG&amp;A expenses increased $35.0 million, or 20.6%, to $204.4 million, from $169.4 million for fiscal 2012. As a percentage of net revenues, SG&amp;A expenses were 37.8% and 36.8% for fiscal 2013 and fiscal 2012, respectively. The increase as a percentage of net revenues in SG&amp;A expenses was due primarily to increased headcount expenses and increased store operating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fiscal 2013, other income decreased $1.7 million, or 21.3%, to $6.3 million, from $8.0 million for fiscal 2012. The decrease in other income was in line with a decrease in associated advertising costs related to mailers for our specialty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fiscal 2013, operating income increased $14.0 million, or 14.5%, to $110.1 million, from $96.2 million for fiscal 2012. As a percentage of net revenues, operating income was 20.4% and 20.9% for fiscal 2013 and fiscal 2012, respectively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53"/>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32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62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85,059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68,097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16,962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110,146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96,171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13,975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2013, operating income increased $17.0 million, or 24.9%.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29.1% and 30.2% for fiscals 2013 and 2012, respectively. This decrease as a percentage of net revenues in the Direct segment was primarily due to increased store operating expense.</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2013, operating income increased $8.0 million, or 8.6%.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40.7% and 39.5% for fiscals 2013 and 2012, respectively. This increase as a percentage of net revenues in the Indirect segment resulted primarily due to leverage of the relatively fixed SG&amp;A expenses, against sales growth.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2013, unallocated expenses increased $11.0 million, or 16.9%, primarily as a result of increased corporate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costs.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2013, net interest expense decreased $0.5 million, or 40.8%, to $0.7 million, from $1.1 million in fiscal 2012.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lower average borrowing levels in fiscal 2013.</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fiscal 2013, we recorded income tax expense of $40.6 million at an effective tax rate of 37.1%, compared to 39.0%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effective tax rate reduction was primarily related to state income tax credits associated with the completion of our distribution center expansion and discrete items recorded primarily during the third quarter. The impact of these items on the effective tax rate was approximately 1.2% for the fiscal year. During fiscal 2012, there were other permanent items that caused a higher rate which did not recur during fiscal 2013 causing the rate to decrease approximately 0.5% compared to the prior year. The effective tax rate also reflects a loss for the Japanese operations for which a tax benefit was not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primary source of liquidity is cash flow from operations. We also have access to additional liquidity, if needed, through borrowings under our $125.0 million amended and restated credit agreement. Historically, our primary cash needs have been for purchasing inventories, payroll, store rent, capital expenditures associated with opening new stores, buildings, operational equipment, information technology, and debt repayments. The most significant components of our working capital are cash and cash equivalents, purchasing inventories, accounts receivable, accounts payable, and other current liabilities. We do not believe that the expansion of our Direct business will materially increase borrowings under our amended and restated credit agreement, in the near term.</w:t>
      </w:r>
    </w:p>
    <w:p>
      <w:pPr>
        <w:spacing w:after="0" w:line="13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believe that cash flows from operating activities and the availability of borrowings under our amended and restated credit agreement or other financing arrangements will be sufficient to meet working capital requirements and anticipated capital expenditures for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51,516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(18,836)</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w:t>
            </w:r>
          </w:p>
        </w:tc>
      </w:tr>
      <w:tr>
        <w:trPr>
          <w:trHeight w:val="27"/>
        </w:trPr>
        <w:tc>
          <w:tcPr>
            <w:tcW w:w="6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cash provided by operating activities increased to $87.9 million during fiscal 2014, as compared to $51.5 million during fiscal 2013. This increase in cash provided by operating activities was primarily driven by a net working capital increase of $44.5 million, as a result of a reduced inventory build of $19.4 million along with an increase in accounts payable of $25.3 million. This increase was partially offset by a decrease in net income of $10.1 million.</w:t>
      </w:r>
    </w:p>
    <w:p>
      <w:pPr>
        <w:spacing w:after="0" w:line="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operating activities was $51.5 million in fiscal 2013. Net income increased $10.9 million, non-cash changes in balances increased $12.8 million, and income taxes payable provided an incremental increase of $13.7 million, offset by working capital changes including an incremental inventory build of $24.6 million and an incremental reduction in accounts payable of $12.4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$51.5 million for fiscal 2012 which was primarily driven by our net income during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Net cash used in investing activities was $22.9 million in fiscal 2014, compared to $35.9 million in fiscal 2013. The $13.0 million decrease in capital expenditures was driven primarily by the expansion of the distribution facility which occurred in fiscal 2013, partially offset by the cost associated with opening of three additional stores during fiscal 2014.</w:t>
      </w:r>
    </w:p>
    <w:p>
      <w:pPr>
        <w:spacing w:after="0" w:line="12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Net cash used in investing activities was $35.9 million in fiscal 2013, compared to $18.8 million in fiscal 2012. The $17.1 million increase in capital expenditures was driven primarily by the expansion of the distribution facility.</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Capital expenditures for fiscal 2015 are expected to be approximately $40 million, including the corporate campus expansion, build-out of new stores, and continued investment in our systems, including the e-commerce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financing activities was $15.3 million in fiscal 2014, primarily resulting from $15.0 million net payments under our amended and restated credit agreement.</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cash used in financing activities was $10.8 million in fiscal 2013, resulting from $10.0 million net payments under our amended and restated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$41.8 million in fiscal 2012, resulting from the net payments under our amended and restated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was to mature on October 3, 2015. On June 1, 2012, Vera Bradley Designs, Inc. entered into an amendment to the credit agreement. The amendment extends the maturity date from October 3, 2015 to June 1, 2017. Certain permitted indebtedness covenants were also amended. All borrowings under the amended and restated credit agreement are collateralized by substantially all of the assets of Vera Bradley Design, Inc.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February 1, 2014.</w:t>
      </w:r>
    </w:p>
    <w:p>
      <w:pPr>
        <w:spacing w:after="0" w:line="11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We had borrowing availability of $125.0 million under the agreement as of February 1,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enter into long-term contractual obligations and commitments in the normal course of business, primarily non-cancellable operating leases and debt obligations. As of February 1, 2014, our contractual cash obligations over the next several periods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 xml:space="preserve">Payments Due by Period </w:t>
            </w:r>
            <w:r>
              <w:rPr>
                <w:rFonts w:ascii="Arial" w:cs="Arial" w:eastAsia="Arial" w:hAnsi="Arial"/>
                <w:sz w:val="12"/>
                <w:szCs w:val="12"/>
                <w:b w:val="1"/>
                <w:bCs w:val="1"/>
                <w:color w:val="auto"/>
                <w:w w:val="91"/>
              </w:rPr>
              <w:t>(3)</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151,967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43,841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20" w:hanging="572"/>
        <w:spacing w:after="0" w:line="25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store leases generally range from five to ten years with varying renewal options. Our future operating lease obligations would change if we were to extend these leases, or if we were to enter into new operating leases.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purchases.</w:t>
      </w:r>
    </w:p>
    <w:p>
      <w:pPr>
        <w:spacing w:after="0" w:line="9"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Due to the uncertainty with respect to the timing of future cash flows associated with our uncertain tax positions at February 1, 2014, we are unable to make reasonably reliable estimates of the period of cash settlement with the respective taxing authorities. Therefore, $3.1 million of uncertain tax positions have been excluded from the contractual obligations table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1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$3.7 million and $4.1 million at February 1, 2014, and February 2, 2013,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 provision accordingly.</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Inventory adjustments of $8.9 million and $3.5 million were recorded for these matters as of the fiscal years ended February 1, 2014, and February 2, 2013, respectively. These adjustments related primarily to raw materials of retired patterns and certain merchandise from the baby gift category, which is being discontinued by the Company, as we have the ability to move retired finished goods through a number of channels, including the annual outlet sale, our website and outlet stores, and through liquidators as needed.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$1.2 million and $0.2 million for the periods ended February 1, 2014 and February 2, 2013, respectively.</w:t>
      </w:r>
    </w:p>
    <w:p>
      <w:pPr>
        <w:spacing w:after="0" w:line="12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interest rate risk in connection with borrowings under our amended and restated credit agreement, which bear interest at variable rates. The amended and restated credit agreement allows for a revolving credit commitment of $125.0 million, bearing interest at a variable rate, based on either LIBOR plus the applicable margin (ranging from 1.05% to 2.05%) or the alternate base rate (as defined in the agreement) plus the applicable margin (ranging from 0.05% to 1.05%). Assuming the amended and restated credit agreement is fully drawn, each quarter point increase or decrease in the interest rate would change our annual interest expense by approximately $0.3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source a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1"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122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112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441"/>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6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2"/>
              </w:rPr>
              <w:t>Vera Bradley, Inc.</w:t>
            </w:r>
          </w:p>
        </w:tc>
        <w:tc>
          <w:tcPr>
            <w:tcW w:w="18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40" w:type="dxa"/>
            <w:vAlign w:val="bottom"/>
            <w:gridSpan w:val="7"/>
          </w:tcPr>
          <w:p>
            <w:pPr>
              <w:jc w:val="center"/>
              <w:ind w:right="29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18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42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Report of Independent Registered Public Accounting Firm</w:t>
              </w:r>
            </w:hyperlink>
          </w:p>
        </w:tc>
        <w:tc>
          <w:tcPr>
            <w:tcW w:w="696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 xml:space="preserve">Consolidated Balance Sheets as of February 1, 2014, and February 2, </w:t>
              </w:r>
            </w:hyperlink>
            <w:r>
              <w:rPr>
                <w:rFonts w:ascii="Arial" w:cs="Arial" w:eastAsia="Arial" w:hAnsi="Arial"/>
                <w:sz w:val="18"/>
                <w:szCs w:val="18"/>
                <w:color w:val="0000FF"/>
              </w:rPr>
              <w:t>2013</w:t>
            </w:r>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6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Income for the fiscal years ended February 1, 2014, February 2, 2013, and January 28, 2012</w:t>
              </w:r>
            </w:hyperlink>
          </w:p>
        </w:tc>
        <w:tc>
          <w:tcPr>
            <w:tcW w:w="248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 xml:space="preserve">Consolidated Statements of Comprehensive Income for the fiscal years ended </w:t>
              </w:r>
            </w:hyperlink>
            <w:r>
              <w:rPr>
                <w:rFonts w:ascii="Arial" w:cs="Arial" w:eastAsia="Arial" w:hAnsi="Arial"/>
                <w:sz w:val="18"/>
                <w:szCs w:val="18"/>
                <w:color w:val="0000FF"/>
              </w:rPr>
              <w:t>February 1, 2014, February 2, 2013, and January 28, 2012</w:t>
            </w:r>
          </w:p>
        </w:tc>
        <w:tc>
          <w:tcPr>
            <w:tcW w:w="180" w:type="dxa"/>
            <w:vAlign w:val="bottom"/>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50"/>
        </w:trPr>
        <w:tc>
          <w:tcPr>
            <w:tcW w:w="60" w:type="dxa"/>
            <w:vAlign w:val="bottom"/>
          </w:tcPr>
          <w:p>
            <w:pPr>
              <w:spacing w:after="0"/>
              <w:rPr>
                <w:sz w:val="21"/>
                <w:szCs w:val="21"/>
                <w:color w:val="auto"/>
              </w:rPr>
            </w:pPr>
          </w:p>
        </w:tc>
        <w:tc>
          <w:tcPr>
            <w:tcW w:w="96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 xml:space="preserve">Consolidated Statements of Shareholders’ Equity for the fiscal years ended </w:t>
              </w:r>
            </w:hyperlink>
            <w:r>
              <w:rPr>
                <w:rFonts w:ascii="Arial" w:cs="Arial" w:eastAsia="Arial" w:hAnsi="Arial"/>
                <w:sz w:val="18"/>
                <w:szCs w:val="18"/>
                <w:color w:val="0000FF"/>
                <w:w w:val="89"/>
              </w:rPr>
              <w:t>February 1, 2014, February 2, 2013, and January 28, 2012</w:t>
            </w:r>
          </w:p>
        </w:tc>
        <w:tc>
          <w:tcPr>
            <w:tcW w:w="180" w:type="dxa"/>
            <w:vAlign w:val="bottom"/>
            <w:tcBorders>
              <w:top w:val="single" w:sz="8" w:color="0000FF"/>
            </w:tcBorders>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60" w:type="dxa"/>
            <w:vAlign w:val="bottom"/>
          </w:tcPr>
          <w:p>
            <w:pPr>
              <w:spacing w:after="0"/>
              <w:rPr>
                <w:sz w:val="21"/>
                <w:szCs w:val="21"/>
                <w:color w:val="auto"/>
              </w:rPr>
            </w:pPr>
          </w:p>
        </w:tc>
        <w:tc>
          <w:tcPr>
            <w:tcW w:w="898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 xml:space="preserve">Consolidated Statements of Cash Flows for the fiscal years ended </w:t>
              </w:r>
            </w:hyperlink>
            <w:r>
              <w:rPr>
                <w:rFonts w:ascii="Arial" w:cs="Arial" w:eastAsia="Arial" w:hAnsi="Arial"/>
                <w:sz w:val="18"/>
                <w:szCs w:val="18"/>
                <w:color w:val="0000FF"/>
                <w:w w:val="89"/>
              </w:rPr>
              <w:t>February 1, 2014, February 2, 2013, and January 28, 2012</w:t>
            </w:r>
          </w:p>
        </w:tc>
        <w:tc>
          <w:tcPr>
            <w:tcW w:w="218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60" w:type="dxa"/>
            <w:vAlign w:val="bottom"/>
          </w:tcPr>
          <w:p>
            <w:pPr>
              <w:spacing w:after="0"/>
              <w:rPr>
                <w:sz w:val="21"/>
                <w:szCs w:val="21"/>
                <w:color w:val="auto"/>
              </w:rPr>
            </w:pPr>
          </w:p>
        </w:tc>
        <w:tc>
          <w:tcPr>
            <w:tcW w:w="11160" w:type="dxa"/>
            <w:vAlign w:val="bottom"/>
            <w:gridSpan w:val="9"/>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5560" w:type="dxa"/>
            <w:vAlign w:val="bottom"/>
            <w:gridSpan w:val="3"/>
          </w:tcPr>
          <w:p>
            <w:pPr>
              <w:jc w:val="center"/>
              <w:ind w:right="500"/>
              <w:spacing w:after="0"/>
              <w:rPr>
                <w:sz w:val="20"/>
                <w:szCs w:val="20"/>
                <w:color w:val="auto"/>
              </w:rPr>
            </w:pPr>
            <w:r>
              <w:rPr>
                <w:rFonts w:ascii="Arial" w:cs="Arial" w:eastAsia="Arial" w:hAnsi="Arial"/>
                <w:sz w:val="18"/>
                <w:szCs w:val="18"/>
                <w:color w:val="auto"/>
                <w:w w:val="89"/>
              </w:rPr>
              <w:t>42</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Vera Bradley, Inc.:</w:t>
      </w:r>
    </w:p>
    <w:p>
      <w:pPr>
        <w:spacing w:after="0" w:line="200" w:lineRule="exact"/>
        <w:rPr>
          <w:sz w:val="20"/>
          <w:szCs w:val="20"/>
          <w:color w:val="auto"/>
        </w:rPr>
      </w:pPr>
    </w:p>
    <w:p>
      <w:pPr>
        <w:spacing w:after="0" w:line="20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audited the accompanying consolidated balance sheet of Vera Bradley, Inc. and subsidiaries as of February 1, 2014 and the related consolidated statements of income, comprehensive income, shareholders' equity and cash flows for the year ended February 1, 2014. These financial statements are the responsibility of the Company's management. Our responsibility is to express an opinion on these financial statements based on our audit.</w:t>
      </w:r>
    </w:p>
    <w:p>
      <w:pPr>
        <w:spacing w:after="0" w:line="10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Vera Bradley, Inc. and subsidiaries at February 1, 2014, and the consolidated results of their operations and their cash flows for the year ended February 1, 2014, in conformity with U.S. generally accepted accounting principles.</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Vera Bradley, Inc. and subsidiaries’ internal control over financial reporting as of February 1, 2014, based on criteria established in Internal Control-Integrated Framework issued by the Committee of Sponsoring Organizations of the Treadway Commission (1992 framework) and our report dated April 2, 2014 expressed an unqualified opinion thereon.</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2014</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Vera Bradley,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consolidated balance sheet as of February 2, 2013, and the related consolidated statements of income, comprehensive income, shareholders' equity and cash flows for each of two years in the period ended February 2, 2013, present fairly, in all material respects, the financial position of Vera Bradley, Inc. and its subsidiaries at February 2, 2013, and the results of their operations and their cash flows for each of the two years in the period ended February 2, 2013,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34,811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131,562</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198,340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14,853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83,064</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200,000 shares authorized, 40,607 and 40,563 shares issued and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119,190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194,255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277,319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60" w:type="dxa"/>
            <w:vAlign w:val="bottom"/>
          </w:tcPr>
          <w:p>
            <w:pPr>
              <w:ind w:left="56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7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4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44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460,843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240,589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232,867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203,220</w:t>
            </w:r>
          </w:p>
        </w:tc>
      </w:tr>
      <w:tr>
        <w:trPr>
          <w:trHeight w:val="27"/>
        </w:trPr>
        <w:tc>
          <w:tcPr>
            <w:tcW w:w="4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257,623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205,957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204,412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169,427</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7,975</w:t>
            </w: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94,251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110,146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96,171</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109,467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95,024</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37,103</w:t>
            </w: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57,921</w:t>
            </w:r>
          </w:p>
        </w:tc>
      </w:tr>
      <w:tr>
        <w:trPr>
          <w:trHeight w:val="67"/>
        </w:trPr>
        <w:tc>
          <w:tcPr>
            <w:tcW w:w="446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40,507</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40,542</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9940" w:type="dxa"/>
            <w:vAlign w:val="bottom"/>
            <w:gridSpan w:val="8"/>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459"/>
        </w:trPr>
        <w:tc>
          <w:tcPr>
            <w:tcW w:w="4460" w:type="dxa"/>
            <w:vAlign w:val="bottom"/>
          </w:tcPr>
          <w:p>
            <w:pPr>
              <w:spacing w:after="0"/>
              <w:rPr>
                <w:sz w:val="24"/>
                <w:szCs w:val="24"/>
                <w:color w:val="auto"/>
              </w:rPr>
            </w:pPr>
          </w:p>
        </w:tc>
        <w:tc>
          <w:tcPr>
            <w:tcW w:w="2300" w:type="dxa"/>
            <w:vAlign w:val="bottom"/>
          </w:tcPr>
          <w:p>
            <w:pPr>
              <w:jc w:val="right"/>
              <w:ind w:right="87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958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5" w:lineRule="exact"/>
        <w:rPr>
          <w:sz w:val="20"/>
          <w:szCs w:val="20"/>
          <w:color w:val="auto"/>
        </w:rPr>
      </w:pPr>
    </w:p>
    <w:p>
      <w:pPr>
        <w:jc w:val="right"/>
        <w:ind w:right="400"/>
        <w:spacing w:after="0"/>
        <w:tabs>
          <w:tab w:leader="none" w:pos="2280" w:val="left"/>
          <w:tab w:leader="none" w:pos="700" w:val="left"/>
        </w:tabs>
        <w:rPr>
          <w:sz w:val="20"/>
          <w:szCs w:val="20"/>
          <w:color w:val="auto"/>
        </w:rPr>
      </w:pPr>
      <w:r>
        <w:rPr>
          <w:rFonts w:ascii="Arial" w:cs="Arial" w:eastAsia="Arial" w:hAnsi="Arial"/>
          <w:sz w:val="14"/>
          <w:szCs w:val="14"/>
          <w:b w:val="1"/>
          <w:bCs w:val="1"/>
          <w:color w:val="auto"/>
        </w:rPr>
        <w:t>February 1,</w:t>
      </w:r>
      <w:r>
        <w:rPr>
          <w:sz w:val="20"/>
          <w:szCs w:val="20"/>
          <w:color w:val="auto"/>
        </w:rPr>
        <w:tab/>
      </w:r>
      <w:r>
        <w:rPr>
          <w:rFonts w:ascii="Arial" w:cs="Arial" w:eastAsia="Arial" w:hAnsi="Arial"/>
          <w:sz w:val="14"/>
          <w:szCs w:val="14"/>
          <w:b w:val="1"/>
          <w:bCs w:val="1"/>
          <w:color w:val="auto"/>
        </w:rPr>
        <w:t>February 2,</w:t>
      </w:r>
      <w:r>
        <w:rPr>
          <w:sz w:val="20"/>
          <w:szCs w:val="20"/>
          <w:color w:val="auto"/>
        </w:rPr>
        <w:tab/>
      </w:r>
      <w:r>
        <w:rPr>
          <w:rFonts w:ascii="Arial" w:cs="Arial" w:eastAsia="Arial" w:hAnsi="Arial"/>
          <w:sz w:val="13"/>
          <w:szCs w:val="13"/>
          <w:b w:val="1"/>
          <w:bCs w:val="1"/>
          <w:color w:val="auto"/>
        </w:rPr>
        <w:t>January 28,</w:t>
      </w:r>
    </w:p>
    <w:p>
      <w:pPr>
        <w:spacing w:after="0" w:line="4" w:lineRule="exact"/>
        <w:rPr>
          <w:sz w:val="20"/>
          <w:szCs w:val="20"/>
          <w:color w:val="auto"/>
        </w:rPr>
      </w:pPr>
    </w:p>
    <w:p>
      <w:pPr>
        <w:ind w:left="7360"/>
        <w:spacing w:after="0"/>
        <w:tabs>
          <w:tab w:leader="none" w:pos="8940" w:val="left"/>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Cumulative translation adjustment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4180" w:type="dxa"/>
        <w:tblCellMar>
          <w:top w:w="0" w:type="dxa"/>
          <w:left w:w="0" w:type="dxa"/>
          <w:bottom w:w="0" w:type="dxa"/>
          <w:right w:w="0" w:type="dxa"/>
        </w:tblCellMar>
      </w:tblPr>
      <w:tr>
        <w:trPr>
          <w:trHeight w:val="23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57,921</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58,414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68,163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-162560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 w:lineRule="exact"/>
        <w:rPr>
          <w:sz w:val="20"/>
          <w:szCs w:val="20"/>
          <w:color w:val="auto"/>
        </w:rPr>
      </w:pPr>
    </w:p>
    <w:p>
      <w:pPr>
        <w:jc w:val="center"/>
        <w:ind w:right="25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-115570</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5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2520" w:space="60"/>
            <w:col w:w="8840"/>
          </w:cols>
          <w:pgMar w:left="240" w:top="121"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7"/>
                <w:szCs w:val="17"/>
                <w:color w:val="auto"/>
              </w:rPr>
            </w:pPr>
          </w:p>
        </w:tc>
        <w:tc>
          <w:tcPr>
            <w:tcW w:w="17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1"/>
                <w:szCs w:val="11"/>
                <w:color w:val="auto"/>
              </w:rPr>
            </w:pPr>
          </w:p>
        </w:tc>
        <w:tc>
          <w:tcPr>
            <w:tcW w:w="1240" w:type="dxa"/>
            <w:vAlign w:val="bottom"/>
          </w:tcPr>
          <w:p>
            <w:pPr>
              <w:jc w:val="center"/>
              <w:ind w:right="184"/>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1"/>
                <w:szCs w:val="11"/>
                <w:color w:val="auto"/>
              </w:rPr>
            </w:pPr>
          </w:p>
        </w:tc>
        <w:tc>
          <w:tcPr>
            <w:tcW w:w="1720" w:type="dxa"/>
            <w:vAlign w:val="bottom"/>
            <w:gridSpan w:val="3"/>
          </w:tcPr>
          <w:p>
            <w:pPr>
              <w:jc w:val="center"/>
              <w:ind w:right="640"/>
              <w:spacing w:after="0" w:line="133"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vMerge w:val="restart"/>
          </w:tcPr>
          <w:p>
            <w:pPr>
              <w:jc w:val="center"/>
              <w:ind w:right="2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200" w:type="dxa"/>
            <w:vAlign w:val="bottom"/>
          </w:tcPr>
          <w:p>
            <w:pPr>
              <w:spacing w:after="0"/>
              <w:rPr>
                <w:sz w:val="12"/>
                <w:szCs w:val="12"/>
                <w:color w:val="auto"/>
              </w:rPr>
            </w:pPr>
          </w:p>
        </w:tc>
        <w:tc>
          <w:tcPr>
            <w:tcW w:w="17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29, 2011</w:t>
            </w:r>
          </w:p>
        </w:tc>
        <w:tc>
          <w:tcPr>
            <w:tcW w:w="16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40,506,670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71,923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gridSpan w:val="3"/>
            <w:shd w:val="clear" w:color="auto" w:fill="CCEEFF"/>
          </w:tcPr>
          <w:p>
            <w:pPr>
              <w:ind w:left="1000"/>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64,322</w:t>
            </w:r>
          </w:p>
        </w:tc>
        <w:tc>
          <w:tcPr>
            <w:tcW w:w="0" w:type="dxa"/>
            <w:vAlign w:val="bottom"/>
          </w:tcPr>
          <w:p>
            <w:pPr>
              <w:spacing w:after="0"/>
              <w:rPr>
                <w:sz w:val="1"/>
                <w:szCs w:val="1"/>
                <w:color w:val="auto"/>
              </w:rPr>
            </w:pPr>
          </w:p>
        </w:tc>
      </w:tr>
      <w:tr>
        <w:trPr>
          <w:trHeight w:val="27"/>
        </w:trPr>
        <w:tc>
          <w:tcPr>
            <w:tcW w:w="34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Recovery of short-swing profit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Arial" w:cs="Arial" w:eastAsia="Arial" w:hAnsi="Arial"/>
                <w:sz w:val="18"/>
                <w:szCs w:val="18"/>
                <w:color w:val="auto"/>
                <w:w w:val="97"/>
              </w:rPr>
              <w:t>Restricted shares vested, net of repurchase</w:t>
            </w: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for taxes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28, 2012</w:t>
            </w: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40,506,720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Arial" w:cs="Arial" w:eastAsia="Arial" w:hAnsi="Arial"/>
                <w:sz w:val="18"/>
                <w:szCs w:val="18"/>
                <w:color w:val="auto"/>
                <w:w w:val="97"/>
              </w:rPr>
              <w:t>Restricted shares vested, net of repurchase</w:t>
            </w: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for taxes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56,336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Tax related benefit of restricted stock units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February 2, 2013</w:t>
            </w: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40,563,056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0"/>
                <w:szCs w:val="20"/>
                <w:color w:val="auto"/>
              </w:rPr>
            </w:pPr>
            <w:r>
              <w:rPr>
                <w:rFonts w:ascii="Arial" w:cs="Arial" w:eastAsia="Arial" w:hAnsi="Arial"/>
                <w:sz w:val="18"/>
                <w:szCs w:val="18"/>
                <w:color w:val="auto"/>
                <w:w w:val="97"/>
              </w:rPr>
              <w:t>Restricted shares vested, net of repurchase</w:t>
            </w: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for taxes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43,675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Tax related benefit of restricted stock units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Balance at February 1, 2014</w:t>
            </w:r>
          </w:p>
        </w:tc>
        <w:tc>
          <w:tcPr>
            <w:tcW w:w="1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40,606,731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57,921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57,921</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486"/>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1,590</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1,590</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73,590</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50,320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124,007</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68,870</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486"/>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46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2,763</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75,675</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119,190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194,255</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58,812</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700" w:type="dxa"/>
            <w:vAlign w:val="bottom"/>
          </w:tcPr>
          <w:p>
            <w:pPr>
              <w:jc w:val="right"/>
              <w:ind w:right="110"/>
              <w:spacing w:after="0"/>
              <w:rPr>
                <w:sz w:val="20"/>
                <w:szCs w:val="20"/>
                <w:color w:val="auto"/>
              </w:rPr>
            </w:pPr>
            <w:r>
              <w:rPr>
                <w:rFonts w:ascii="Arial" w:cs="Arial" w:eastAsia="Arial" w:hAnsi="Arial"/>
                <w:sz w:val="18"/>
                <w:szCs w:val="18"/>
                <w:color w:val="auto"/>
              </w:rPr>
              <w:t>2,950</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2,950</w:t>
            </w:r>
          </w:p>
        </w:tc>
      </w:tr>
      <w:tr>
        <w:trPr>
          <w:trHeight w:val="486"/>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(412)</w:t>
            </w:r>
          </w:p>
        </w:tc>
        <w:tc>
          <w:tcPr>
            <w:tcW w:w="46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78,153</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178,002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255,147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-3335655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-2992120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-2160270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-1680210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-985520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-642620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-1337310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-2512060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360" w:space="720"/>
            <w:col w:w="5340"/>
          </w:cols>
          <w:pgMar w:left="240" w:top="121"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-115570</wp:posOffset>
            </wp:positionV>
            <wp:extent cx="5059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February 2,</w:t>
            </w:r>
          </w:p>
        </w:tc>
        <w:tc>
          <w:tcPr>
            <w:tcW w:w="240" w:type="dxa"/>
            <w:vAlign w:val="bottom"/>
          </w:tcPr>
          <w:p>
            <w:pPr>
              <w:spacing w:after="0"/>
              <w:rPr>
                <w:sz w:val="13"/>
                <w:szCs w:val="13"/>
                <w:color w:val="auto"/>
              </w:rPr>
            </w:pPr>
          </w:p>
        </w:tc>
        <w:tc>
          <w:tcPr>
            <w:tcW w:w="124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of) 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87,864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51,516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0" w:type="dxa"/>
            <w:vAlign w:val="bottom"/>
          </w:tcPr>
          <w:p>
            <w:pPr>
              <w:spacing w:after="0"/>
              <w:rPr>
                <w:sz w:val="1"/>
                <w:szCs w:val="1"/>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financial-institution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Borrowings on financial-institution debt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34,450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vendor-financed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Shares surrendered for tax withholding</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36,743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43,850</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6"/>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6760" w:type="dxa"/>
            <w:vAlign w:val="bottom"/>
          </w:tcPr>
          <w:p>
            <w:pPr>
              <w:ind w:left="56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4" w:lineRule="exact"/>
        <w:rPr>
          <w:rFonts w:ascii="Arial" w:cs="Arial" w:eastAsia="Arial" w:hAnsi="Arial"/>
          <w:sz w:val="18"/>
          <w:szCs w:val="18"/>
          <w:b w:val="1"/>
          <w:bCs w:val="1"/>
          <w:color w:val="auto"/>
        </w:rPr>
      </w:pPr>
    </w:p>
    <w:p>
      <w:pPr>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segment consists of sales of Vera Bradley products through our 84 full-price stores, our 15 outlet stores in the United States, 13 department store locations in Japan, our websites, verabradley.com and verabradley.co.jp, and our annual outlet sale in Fort Wayne, Indiana. The Indirect business consists of sales of Vera Bradley products to approximately 3,100 specialty retailers, substantially all of which are located in the United States, as well as select department stores and third-party e-commerce sites. Except where context requires or where otherwise indicated, the terms“Vera Bradley” and “Company” refer to Vera Bradley, Inc. and its subsidiaries, including Vera Bradley Designs, Inc.</w:t>
      </w:r>
    </w:p>
    <w:p>
      <w:pPr>
        <w:spacing w:after="0" w:line="1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340" w:right="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3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utilizes a 52-53 week fiscal year ending on the Saturday closest to January 31. As such, fiscal 2014 ended on February 1, 2014 and reflected a 52-week period; fiscal 2013 and 2012 ended on February 2, 2013, and January 28, 2012, and reflected 53-week and 52-week periods, respectively. The inclusion of the 53rd week in fiscal 2013 resulted in incremental revenues of approximately $4.9 million and approximately $0.02 per diluted share.</w:t>
      </w:r>
    </w:p>
    <w:p>
      <w:pPr>
        <w:spacing w:after="0" w:line="182" w:lineRule="exact"/>
        <w:rPr>
          <w:rFonts w:ascii="Arial" w:cs="Arial" w:eastAsia="Arial" w:hAnsi="Arial"/>
          <w:sz w:val="18"/>
          <w:szCs w:val="18"/>
          <w:b w:val="1"/>
          <w:bCs w:val="1"/>
          <w:color w:val="auto"/>
        </w:rPr>
      </w:pPr>
    </w:p>
    <w:p>
      <w:pPr>
        <w:ind w:left="340" w:right="7620" w:hanging="332"/>
        <w:spacing w:after="0" w:line="346"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2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4" w:lineRule="exact"/>
        <w:rPr>
          <w:rFonts w:ascii="Arial" w:cs="Arial" w:eastAsia="Arial" w:hAnsi="Arial"/>
          <w:sz w:val="18"/>
          <w:szCs w:val="18"/>
          <w:b w:val="1"/>
          <w:bCs w:val="1"/>
          <w:color w:val="auto"/>
        </w:rPr>
      </w:pPr>
    </w:p>
    <w:p>
      <w:pPr>
        <w:ind w:left="34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maintains nearly all of its cash and cash equivalents with one financial institution. The Company monitors the credit standing of this financial institution on a regular basis.</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4" w:lineRule="exact"/>
        <w:rPr>
          <w:rFonts w:ascii="Arial" w:cs="Arial" w:eastAsia="Arial" w:hAnsi="Arial"/>
          <w:sz w:val="18"/>
          <w:szCs w:val="18"/>
          <w:b w:val="1"/>
          <w:bCs w:val="1"/>
          <w:color w:val="auto"/>
        </w:rPr>
      </w:pPr>
    </w:p>
    <w:p>
      <w:pPr>
        <w:jc w:val="both"/>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121"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Buildings and building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Land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Computer equipment and software ...................................................</w:t>
            </w:r>
          </w:p>
        </w:tc>
        <w:tc>
          <w:tcPr>
            <w:tcW w:w="1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Production equipment .......................................................................</w:t>
            </w:r>
          </w:p>
        </w:tc>
        <w:tc>
          <w:tcPr>
            <w:tcW w:w="17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Vehicles .............................................................................................</w:t>
            </w:r>
          </w:p>
        </w:tc>
        <w:tc>
          <w:tcPr>
            <w:tcW w:w="17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five to ten years.</w:t>
      </w:r>
    </w:p>
    <w:p>
      <w:pPr>
        <w:spacing w:after="0" w:line="113"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133" w:lineRule="exact"/>
        <w:rPr>
          <w:sz w:val="20"/>
          <w:szCs w:val="20"/>
          <w:color w:val="auto"/>
        </w:rPr>
      </w:pPr>
    </w:p>
    <w:p>
      <w:pPr>
        <w:jc w:val="both"/>
        <w:ind w:left="340" w:right="60"/>
        <w:spacing w:after="0" w:line="279"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jc w:val="both"/>
        <w:ind w:left="340" w:right="240"/>
        <w:spacing w:after="0" w:line="279" w:lineRule="auto"/>
        <w:rPr>
          <w:sz w:val="20"/>
          <w:szCs w:val="20"/>
          <w:color w:val="auto"/>
        </w:rPr>
      </w:pPr>
      <w:r>
        <w:rPr>
          <w:rFonts w:ascii="Arial" w:cs="Arial" w:eastAsia="Arial" w:hAnsi="Arial"/>
          <w:sz w:val="17"/>
          <w:szCs w:val="17"/>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36" w:lineRule="exact"/>
        <w:rPr>
          <w:sz w:val="20"/>
          <w:szCs w:val="20"/>
          <w:color w:val="auto"/>
        </w:rPr>
      </w:pPr>
    </w:p>
    <w:p>
      <w:pPr>
        <w:ind w:left="340" w:right="160"/>
        <w:spacing w:after="0" w:line="264"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46"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Historical experience provides the Company the ability to estimate reasonably the amount of product sales that customers will return. Product returns are often resalable through the Company’s annual outlet sale or other channels. The Company accounts for anticipated returns by reducing net revenues, cost of sales, and accounts receivable and increasing inventories, essentially reversing the effects of the original sales transactions. Additionally, the Company reserves for other potential product credits granted to Indirect retailers. The returns and credits reserve and the related activity for each fiscal year presented were as follows (in thousands):</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Provision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4"/>
                <w:szCs w:val="14"/>
                <w:color w:val="auto"/>
              </w:rPr>
            </w:pPr>
          </w:p>
        </w:tc>
        <w:tc>
          <w:tcPr>
            <w:tcW w:w="12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Taken</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30,335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28,656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65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$0.3 million and $0.7 million at February 1, 2014, and February 2, 2013, respectively.</w:t>
      </w:r>
    </w:p>
    <w:p>
      <w:pPr>
        <w:spacing w:after="0" w:line="46"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The Company sells gift cards with no expiration dates to customers and does not charge administrative fees on unused gift cards. Gift cards issued by the Company are recorded as a liability until they are redeemed, at which point revenue is recognized. The Company currently does not recognize breakage on its gift cards.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manufacture and distribute the products are recorded as cost of sales when the related revenues are recognized.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step-up rent liability. As of February 1, 2014 and February 2, 2013, step-up rent liability was $7.0 million and $5.5 million, respectively and is included within other accrued liabilities on the Consolidated Balance Sheets.</w:t>
      </w:r>
    </w:p>
    <w:p>
      <w:pPr>
        <w:spacing w:after="0" w:line="53"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February 1, 2014 and February 2, 2013, the deferred lease credit liability was $10.3 million and $8.5 million, respectively. Of this, $1.4 million and $1.1 million is included within other accrued liabilities and $8.9 million and $7.4 million is included within other long term liabilities as of February 1, 2014 and February 2, 2013, respectively.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4"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The Company accounts for stock-based compensation using the fair-value recognition provisions of ASC 718, Stock Compensation.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and Advertising Costs</w:t>
      </w:r>
    </w:p>
    <w:p>
      <w:pPr>
        <w:spacing w:after="0" w:line="94"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advertising expense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5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58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22,495</w:t>
            </w:r>
          </w:p>
        </w:tc>
      </w:tr>
      <w:tr>
        <w:trPr>
          <w:trHeight w:val="27"/>
        </w:trPr>
        <w:tc>
          <w:tcPr>
            <w:tcW w:w="39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58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20,154</w:t>
            </w:r>
          </w:p>
        </w:tc>
      </w:tr>
      <w:tr>
        <w:trPr>
          <w:trHeight w:val="459"/>
        </w:trPr>
        <w:tc>
          <w:tcPr>
            <w:tcW w:w="3920" w:type="dxa"/>
            <w:vAlign w:val="bottom"/>
          </w:tcPr>
          <w:p>
            <w:pPr>
              <w:spacing w:after="0"/>
              <w:rPr>
                <w:sz w:val="24"/>
                <w:szCs w:val="24"/>
                <w:color w:val="auto"/>
              </w:rPr>
            </w:pPr>
          </w:p>
        </w:tc>
        <w:tc>
          <w:tcPr>
            <w:tcW w:w="5840" w:type="dxa"/>
            <w:vAlign w:val="bottom"/>
          </w:tcPr>
          <w:p>
            <w:pPr>
              <w:jc w:val="right"/>
              <w:ind w:right="4210"/>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180" w:type="dxa"/>
            <w:vAlign w:val="bottom"/>
          </w:tcPr>
          <w:p>
            <w:pPr>
              <w:ind w:left="4680"/>
              <w:spacing w:after="0"/>
              <w:rPr>
                <w:sz w:val="20"/>
                <w:szCs w:val="20"/>
                <w:color w:val="auto"/>
              </w:rPr>
            </w:pPr>
            <w:r>
              <w:rPr>
                <w:rFonts w:ascii="Arial" w:cs="Arial" w:eastAsia="Arial" w:hAnsi="Arial"/>
                <w:sz w:val="18"/>
                <w:szCs w:val="18"/>
                <w:b w:val="1"/>
                <w:bCs w:val="1"/>
                <w:color w:val="auto"/>
              </w:rPr>
              <w:t>Vera Bradley, Inc.</w:t>
            </w: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8180" w:type="dxa"/>
            <w:vAlign w:val="bottom"/>
          </w:tcPr>
          <w:p>
            <w:pPr>
              <w:ind w:left="3700"/>
              <w:spacing w:after="0"/>
              <w:rPr>
                <w:sz w:val="20"/>
                <w:szCs w:val="20"/>
                <w:color w:val="auto"/>
              </w:rPr>
            </w:pPr>
            <w:r>
              <w:rPr>
                <w:rFonts w:ascii="Arial" w:cs="Arial" w:eastAsia="Arial" w:hAnsi="Arial"/>
                <w:sz w:val="18"/>
                <w:szCs w:val="18"/>
                <w:b w:val="1"/>
                <w:bCs w:val="1"/>
                <w:color w:val="auto"/>
              </w:rPr>
              <w:t>Notes to Consolidated Financial Statements</w:t>
            </w: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21"/>
        </w:trPr>
        <w:tc>
          <w:tcPr>
            <w:tcW w:w="8180" w:type="dxa"/>
            <w:vAlign w:val="bottom"/>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1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5,984</w:t>
            </w:r>
          </w:p>
        </w:tc>
      </w:tr>
      <w:tr>
        <w:trPr>
          <w:trHeight w:val="27"/>
        </w:trPr>
        <w:tc>
          <w:tcPr>
            <w:tcW w:w="8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16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r>
      <w:tr>
        <w:trPr>
          <w:trHeight w:val="27"/>
        </w:trPr>
        <w:tc>
          <w:tcPr>
            <w:tcW w:w="8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Debt-Issuance Costs</w:t>
      </w:r>
    </w:p>
    <w:p>
      <w:pPr>
        <w:spacing w:after="0" w:line="94"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During the fiscal year ended January 29, 2011, in connection with the amendment and restatement of the credit agreement (see Note 5), the Company incurred debt-issuance costs of $1.1 million and wrote off, to interest expense, $0.2 million of unamortized debt-issuance costs relating to certain portions of the original credit agreement. The Company is amortizing the remaining debt-issuance costs to interest expense over the five-year term of the amended and restated credit agreement. Debt-issuance costs, net of accumulated amortization, totaled $0.7 million at February 1, 2014, and $0.9 million at February 2, 2013, and are included in other assets on the Consolidated Balance Sheets. Amortization expense of $0.2 million, $0.2 million, and $0.3 million is included in interest expense in the Consolidated Statements of Income for the fiscal years ended February 1, 2014, February 2, 2013, and January 28, 2012, respectively.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73"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w:t>
      </w:r>
    </w:p>
    <w:p>
      <w:pPr>
        <w:spacing w:after="0" w:line="10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February 1, 2014, and February 2, 2013, approximated their fair values.</w:t>
      </w:r>
    </w:p>
    <w:p>
      <w:pPr>
        <w:spacing w:after="0" w:line="35" w:lineRule="exact"/>
        <w:rPr>
          <w:sz w:val="20"/>
          <w:szCs w:val="20"/>
          <w:color w:val="auto"/>
        </w:rPr>
      </w:pPr>
    </w:p>
    <w:p>
      <w:pPr>
        <w:ind w:left="340" w:right="260"/>
        <w:spacing w:after="0" w:line="334" w:lineRule="auto"/>
        <w:rPr>
          <w:sz w:val="20"/>
          <w:szCs w:val="20"/>
          <w:color w:val="auto"/>
        </w:rPr>
      </w:pPr>
      <w:r>
        <w:rPr>
          <w:rFonts w:ascii="Arial" w:cs="Arial" w:eastAsia="Arial" w:hAnsi="Arial"/>
          <w:sz w:val="16"/>
          <w:szCs w:val="16"/>
          <w:color w:val="auto"/>
        </w:rPr>
        <w:t>The carrying amount for the amended and restated credit agreement (“credit agreement”) approximates fair value at February 1, 2014, and February 2, 2013, as the interest rates of these borrowings fluctuate with the market. The credit agreement falls within Level 2 of the fair value hierarchy.</w:t>
      </w:r>
    </w:p>
    <w:p>
      <w:pPr>
        <w:spacing w:after="0" w:line="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has certain assets that are measured on a non-recurring basis under circumstances and events described in Note 2. The categorization of the framework to price these assets are level 3 due to subjective nature of unobservable inputs.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340" w:right="100"/>
        <w:spacing w:after="0" w:line="286" w:lineRule="auto"/>
        <w:rPr>
          <w:sz w:val="20"/>
          <w:szCs w:val="20"/>
          <w:color w:val="auto"/>
        </w:rPr>
      </w:pPr>
      <w:r>
        <w:rPr>
          <w:rFonts w:ascii="Arial" w:cs="Arial" w:eastAsia="Arial" w:hAnsi="Arial"/>
          <w:sz w:val="17"/>
          <w:szCs w:val="17"/>
          <w:color w:val="auto"/>
        </w:rPr>
        <w:t>The Company accrues income taxes payable or refundable and recognizes deferred tax assets and liabilities based on differences between the GAAP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30"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Inventories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inventories were as follows (in thousands):</w:t>
      </w:r>
    </w:p>
    <w:p>
      <w:pPr>
        <w:spacing w:after="0" w:line="200" w:lineRule="exact"/>
        <w:rPr>
          <w:sz w:val="20"/>
          <w:szCs w:val="20"/>
          <w:color w:val="auto"/>
        </w:rPr>
      </w:pPr>
    </w:p>
    <w:p>
      <w:pPr>
        <w:spacing w:after="0" w:line="2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7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19,490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836</w:t>
            </w: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111,236</w:t>
            </w:r>
          </w:p>
        </w:tc>
      </w:tr>
      <w:tr>
        <w:trPr>
          <w:trHeight w:val="237"/>
        </w:trPr>
        <w:tc>
          <w:tcPr>
            <w:tcW w:w="776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136,923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131,562</w:t>
            </w:r>
          </w:p>
        </w:tc>
      </w:tr>
      <w:tr>
        <w:trPr>
          <w:trHeight w:val="27"/>
        </w:trPr>
        <w:tc>
          <w:tcPr>
            <w:tcW w:w="7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29,163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leasehold improvements and 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74,379</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Production equipment and vehicles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128,948</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(51,737)</w:t>
            </w:r>
          </w:p>
        </w:tc>
      </w:tr>
      <w:tr>
        <w:trPr>
          <w:trHeight w:val="237"/>
        </w:trPr>
        <w:tc>
          <w:tcPr>
            <w:tcW w:w="78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77,211</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$1.2 million and $0.2 million was recognized, using level 3 inputs, in the fiscal years ended February 1, 2014 and February 2, 2013, respectively, for assets related to underperforming stores and is included in selling, general, and administrative expenses in the Consolidated Statements of Income and in depreciation and amortization of property, plant, and equipment in the Consolidated Statements of Cash Flows. The Company did not record any impairment charges in fiscal 2012.</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associated with property, plant, and equipment, net of impairment charges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3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13,942</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10,601</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9,457</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60" w:type="dxa"/>
            <w:vAlign w:val="bottom"/>
          </w:tcPr>
          <w:p>
            <w:pPr>
              <w:jc w:val="right"/>
              <w:ind w:right="255"/>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Financial-institution debt</w:t>
            </w:r>
          </w:p>
        </w:tc>
        <w:tc>
          <w:tcPr>
            <w:tcW w:w="4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February 1, 2014.</w:t>
      </w:r>
    </w:p>
    <w:p>
      <w:pPr>
        <w:spacing w:after="0" w:line="124"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As of February 1, 2014, the Company had borrowing availability of $125.0 million.</w:t>
      </w:r>
    </w:p>
    <w:p>
      <w:pPr>
        <w:spacing w:after="0" w:line="36" w:lineRule="exact"/>
        <w:rPr>
          <w:sz w:val="20"/>
          <w:szCs w:val="20"/>
          <w:color w:val="auto"/>
        </w:rPr>
      </w:pPr>
    </w:p>
    <w:p>
      <w:pPr>
        <w:ind w:left="340" w:right="660"/>
        <w:spacing w:after="0" w:line="277"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16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Federal</w:t>
            </w:r>
          </w:p>
        </w:tc>
        <w:tc>
          <w:tcPr>
            <w:tcW w:w="2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34,578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38,065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31,437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3,990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4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35,057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4"/>
          </w:tcPr>
          <w:p>
            <w:pPr>
              <w:spacing w:after="0"/>
              <w:rPr>
                <w:sz w:val="20"/>
                <w:szCs w:val="20"/>
                <w:color w:val="auto"/>
              </w:rPr>
            </w:pPr>
            <w:r>
              <w:rPr>
                <w:rFonts w:ascii="Arial" w:cs="Arial" w:eastAsia="Arial" w:hAnsi="Arial"/>
                <w:sz w:val="18"/>
                <w:szCs w:val="18"/>
                <w:color w:val="auto"/>
                <w:w w:val="91"/>
              </w:rPr>
              <w:t>A breakdown of the Company’s income before income taxes is as follows (in thousands):</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3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February 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93,869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109,467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730"/>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8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income tax expense to the amount computed at the federal statutory rate is as follows for the fiscal years ended February 1, 2014,</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2, 2013, and January 28, 2012 (in thousands):</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7"/>
              </w:rPr>
              <w:t>February 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7"/>
              </w:rPr>
              <w:t>February 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5"/>
              </w:rPr>
              <w:t>January 28,</w:t>
            </w:r>
          </w:p>
        </w:tc>
        <w:tc>
          <w:tcPr>
            <w:tcW w:w="720" w:type="dxa"/>
            <w:vAlign w:val="bottom"/>
          </w:tcPr>
          <w:p>
            <w:pPr>
              <w:spacing w:after="0"/>
              <w:rPr>
                <w:sz w:val="14"/>
                <w:szCs w:val="14"/>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16"/>
                <w:szCs w:val="16"/>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State and local income taxes, net of</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federal benefit</w:t>
            </w:r>
          </w:p>
        </w:tc>
        <w:tc>
          <w:tcPr>
            <w:tcW w:w="3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foreign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Foreign valuation allowance</w:t>
            </w: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on capital loss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
        </w:trPr>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35,057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40,597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39.0 %</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During fiscal year 2014, the Company continued retail operations in Japan. Since operations began in 2012, these retail activities have resulted in a loss. The Company has not recorded a tax benefit for losses incurred in fiscal year 2012, 2013, or 2014 due to the uncertainty regarding the future realizability of the tax benefit of these losses. Accordingly, a valuation allowance was recorded for the Japan entity for $0.6 million, $0.9 million and $0.6 million for fiscal year 2014, 2013 and 2012, respectively. If not used, these carryforwards will expire in fiscal year 2021, 2020 and 2019.</w:t>
      </w:r>
    </w:p>
    <w:p>
      <w:pPr>
        <w:spacing w:after="0" w:line="100"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GAAP and tax bases of assets and liabilities. Significant components of deferred tax assets and liabilities were as follows (in thousands):</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4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Deferred credits from landlords</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operating loss</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deferred tax assets</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Less: valuation allowances</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plant, and equipment</w:t>
            </w:r>
          </w:p>
        </w:tc>
        <w:tc>
          <w:tcPr>
            <w:tcW w:w="3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8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880" w:type="dxa"/>
            <w:vAlign w:val="bottom"/>
            <w:vMerge w:val="restart"/>
          </w:tcPr>
          <w:p>
            <w:pPr>
              <w:jc w:val="right"/>
              <w:ind w:right="22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gross amount of unrecognized tax benefits (excluding interest and penalties) for the fiscal years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February 1, 2014, and February 2, 2013, is as follows (in thousands):</w:t>
      </w:r>
    </w:p>
    <w:p>
      <w:pPr>
        <w:spacing w:after="0" w:line="3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Increases in unrecognized tax benefits as a result of current-year activity</w:t>
            </w: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349</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As of February 1, 2014, of the $3.1 million of total unrecognized tax benefits, $2.5 million, which is net of federal benefit, would, if recognized, favorably affect the effective tax rate in future periods. It is reasonably possible that the total unrecognized tax benefits could decrease by $0.5 million in the next twelve months. The Company recognized an immaterial amount of interest only, no penalties, related to unrecognized tax benefits in the fiscal years ended February 1, 2014 and February 2, 2013.</w:t>
      </w:r>
    </w:p>
    <w:p>
      <w:pPr>
        <w:spacing w:after="0" w:line="52"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Income tax returns for calendar year 2010 to present are open for examination in the federal jurisdiction and in significant state jurisdictions. Taxable income/loss in foreign jurisdictions are not material.</w:t>
      </w:r>
    </w:p>
    <w:p>
      <w:pPr>
        <w:spacing w:after="0" w:line="17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340"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7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19,855</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2016</w:t>
            </w:r>
          </w:p>
        </w:tc>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19,831</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6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19,806</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2018</w:t>
            </w:r>
          </w:p>
        </w:tc>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19,414</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6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17,917</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55,144</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151,967</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 for all leases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3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24,289</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37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20,609</w:t>
            </w:r>
          </w:p>
        </w:tc>
      </w:tr>
      <w:tr>
        <w:trPr>
          <w:trHeight w:val="27"/>
        </w:trPr>
        <w:tc>
          <w:tcPr>
            <w:tcW w:w="5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37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15,358</w:t>
            </w:r>
          </w:p>
        </w:tc>
      </w:tr>
      <w:tr>
        <w:trPr>
          <w:trHeight w:val="27"/>
        </w:trPr>
        <w:tc>
          <w:tcPr>
            <w:tcW w:w="59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was $2.5 million, $2.3 million and $1.6 million for fiscal years ended February 1, 2014, February 2, 2013, and January 28, 2012, respectively.</w:t>
      </w:r>
    </w:p>
    <w:p>
      <w:pPr>
        <w:spacing w:after="0" w:line="52"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In fiscal 2014, the Company leased two of its facilities from leasing companies owned by certain shareholders and directors. The Company is currently under a month-to-month lease agreement with Milburn, LLC. Lease expense related to this arrangement, was $0.2 million in each of the fiscal years ended February 1, 2014, February 2, 2013, and January 28, 2012, respectively. The Company was also also under a lease agreement during ten months of fiscal 2014 with Great Dane Realty, LLC, a company owned by Barbara Bradley Baekgaard. Lease expense for fiscal years ended February 1, 2014, February 2, 2013 and January 28, 2012, related to this arrangement was approximately $0.3 million, $0.5 million and $0.4 million, respectively.</w:t>
      </w:r>
    </w:p>
    <w:p>
      <w:pPr>
        <w:spacing w:after="0" w:line="15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3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stock-based compensation consists of awards of restricted stock and restricted stock units. The Company recognized stock-based compensation expense of $3.0 million, $2.8 million and $1.6 million, in the fiscal years ended February 1, 2014, February 2, 2013 and January 28, 2012, respectively.</w:t>
      </w:r>
    </w:p>
    <w:p>
      <w:pPr>
        <w:sectPr>
          <w:pgSz w:w="11900" w:h="16838" w:orient="portrait"/>
          <w:cols w:equalWidth="0" w:num="1">
            <w:col w:w="11380"/>
          </w:cols>
          <w:pgMar w:left="240" w:top="121"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121" w:right="2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of Restricted-Stock Units</w:t>
      </w:r>
    </w:p>
    <w:p>
      <w:pPr>
        <w:spacing w:after="0" w:line="90" w:lineRule="exact"/>
        <w:rPr>
          <w:sz w:val="20"/>
          <w:szCs w:val="20"/>
          <w:color w:val="auto"/>
        </w:rPr>
      </w:pPr>
    </w:p>
    <w:p>
      <w:pPr>
        <w:ind w:left="340" w:right="120"/>
        <w:spacing w:after="0" w:line="308" w:lineRule="auto"/>
        <w:rPr>
          <w:sz w:val="20"/>
          <w:szCs w:val="20"/>
          <w:color w:val="auto"/>
        </w:rPr>
      </w:pPr>
      <w:r>
        <w:rPr>
          <w:rFonts w:ascii="Arial" w:cs="Arial" w:eastAsia="Arial" w:hAnsi="Arial"/>
          <w:sz w:val="17"/>
          <w:szCs w:val="17"/>
          <w:color w:val="auto"/>
        </w:rPr>
        <w:t>The Company reserved 6,076,001 shares of common stock for issuance or transfer under the 2010 Equity and Incentive Plan, which allows for grants of restricted stock units as well as other equity awards. As of February 1, 2014, there were 5,675,972 of shares remaining in that program.</w:t>
      </w:r>
    </w:p>
    <w:p>
      <w:pPr>
        <w:spacing w:after="0" w:line="11"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During the fiscal year ended February 1, 2014, the Company granted a total of 322,218 time-based and performance-based restricted stock units to certain employees under the 2010 Equity and Incentive Plan with an aggregate fair value of $7.7 million. The Company determined the fair value of the units based on the closing price of the Company’s common stock on the grant date.</w:t>
      </w:r>
    </w:p>
    <w:p>
      <w:pPr>
        <w:spacing w:after="0" w:line="46" w:lineRule="exact"/>
        <w:rPr>
          <w:sz w:val="20"/>
          <w:szCs w:val="20"/>
          <w:color w:val="auto"/>
        </w:rPr>
      </w:pPr>
    </w:p>
    <w:p>
      <w:pPr>
        <w:jc w:val="both"/>
        <w:ind w:left="340" w:right="10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awards issued to non-employee Directors vest after a one-year period from grant date. The Company is recognizing the expense relating to these awards, net of estimated forfeitures, on a straight-line basis over the vesting period.</w:t>
      </w:r>
    </w:p>
    <w:p>
      <w:pPr>
        <w:spacing w:after="0" w:line="52"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The majority of 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units, net of estimated forfeitures and based on the probable outcome of achievement of the net income targets, on a straight-line basis over the vesting period.</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restricted-stock units as of and for the year ended February 1, 2014 (units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Time-based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Grant</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6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4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Value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Units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w w:val="95"/>
              </w:rPr>
              <w:t>(per unit)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2, 2013</w:t>
            </w: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150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ind w:right="13"/>
              <w:spacing w:after="0"/>
              <w:rPr>
                <w:sz w:val="20"/>
                <w:szCs w:val="20"/>
                <w:color w:val="auto"/>
              </w:rPr>
            </w:pPr>
            <w:r>
              <w:rPr>
                <w:rFonts w:ascii="Arial" w:cs="Arial" w:eastAsia="Arial" w:hAnsi="Arial"/>
                <w:sz w:val="18"/>
                <w:szCs w:val="18"/>
                <w:color w:val="auto"/>
                <w:w w:val="86"/>
              </w:rPr>
              <w:t>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2014</w:t>
            </w:r>
          </w:p>
        </w:tc>
        <w:tc>
          <w:tcPr>
            <w:tcW w:w="10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231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As of February 1, 2014, there was $4.5 million of total unrecognized compensation cost, net of estimated forfeitures, related to nonvested restricted stock units. That cost is expected to be recognized over a weighted average period of 1.8 years. The total fair value of restricted stock units for which restrictions lapsed (vested) during fiscal 2014 was $1.4 million. No restricted-stock awards were granted, vested, or forfeited for the year ended February 1, 2014.</w:t>
      </w:r>
    </w:p>
    <w:p>
      <w:pPr>
        <w:spacing w:after="0" w:line="18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4" w:lineRule="exact"/>
        <w:rPr>
          <w:rFonts w:ascii="Arial" w:cs="Arial" w:eastAsia="Arial" w:hAnsi="Arial"/>
          <w:sz w:val="18"/>
          <w:szCs w:val="18"/>
          <w:b w:val="1"/>
          <w:bCs w:val="1"/>
          <w:color w:val="auto"/>
        </w:rPr>
      </w:pPr>
    </w:p>
    <w:p>
      <w:pPr>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regulatory, environmental, and other matters. Management believes that it is not reasonably possible that any of these claims will have a material adverse effect on the Company’s financial condition,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4"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50% match of an employee’s contribution to the plan up to a maximum employer contribution of either 10% of the employee’s annual compensation or the annual legal allowable contribution limit, whichever is lower. Additionally, the Company has the option of making discretionary profit sharing payments to the plan as approved by the board of directors. As of February 1, 2014, and February 2, 2013, no discretionary profit sharing payments had been approved. Total Company contributions to the plan were as follows (in thousands):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3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1,507</w:t>
            </w:r>
          </w:p>
        </w:tc>
      </w:tr>
      <w:tr>
        <w:trPr>
          <w:trHeight w:val="27"/>
        </w:trPr>
        <w:tc>
          <w:tcPr>
            <w:tcW w:w="59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38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r>
      <w:tr>
        <w:trPr>
          <w:trHeight w:val="27"/>
        </w:trPr>
        <w:tc>
          <w:tcPr>
            <w:tcW w:w="59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4" w:lineRule="exact"/>
        <w:rPr>
          <w:rFonts w:ascii="Arial" w:cs="Arial" w:eastAsia="Arial" w:hAnsi="Arial"/>
          <w:sz w:val="18"/>
          <w:szCs w:val="18"/>
          <w:b w:val="1"/>
          <w:bCs w:val="1"/>
          <w:color w:val="auto"/>
        </w:rPr>
      </w:pPr>
    </w:p>
    <w:p>
      <w:pPr>
        <w:ind w:left="34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leased two of its facilities, in fiscal 2014, from leasing companies owned by certain shareholders and directors, as described further in Note 7.</w:t>
      </w:r>
    </w:p>
    <w:p>
      <w:pPr>
        <w:spacing w:after="0" w:line="35"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2013, the Company purchased land and a building, that was previously leased, from Great Dane Realty, LLC, a company owned by Barbara Bradley Baekgaard. The Board of Directors, along with independent real estate appraisers, determined the purchase price of the property, which totaled $2.4 million. This building is adjacent to the distribution center in Roanoke, Indiana.</w:t>
      </w:r>
    </w:p>
    <w:p>
      <w:pPr>
        <w:spacing w:after="0" w:line="46" w:lineRule="exact"/>
        <w:rPr>
          <w:rFonts w:ascii="Arial" w:cs="Arial" w:eastAsia="Arial" w:hAnsi="Arial"/>
          <w:sz w:val="18"/>
          <w:szCs w:val="18"/>
          <w:b w:val="1"/>
          <w:bCs w:val="1"/>
          <w:color w:val="auto"/>
        </w:rPr>
      </w:pPr>
    </w:p>
    <w:p>
      <w:pPr>
        <w:jc w:val="both"/>
        <w:ind w:left="34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 sold certain life insurance policies on the lives of its founders, who are also directors and officers of the Company, to the insureds at the fair market value of $0.7 million. The cash surrender value of the policies was $0.6 million, resulting in a $0.1 million gain. The cash surrender value was included in other assets prior to the sale and the gain on the sale was recorded in other income. Other life insurance policies not purchased by the insureds were terminated.</w:t>
      </w:r>
    </w:p>
    <w:p>
      <w:pPr>
        <w:spacing w:after="0" w:line="51" w:lineRule="exact"/>
        <w:rPr>
          <w:rFonts w:ascii="Arial" w:cs="Arial" w:eastAsia="Arial" w:hAnsi="Arial"/>
          <w:sz w:val="18"/>
          <w:szCs w:val="18"/>
          <w:b w:val="1"/>
          <w:bCs w:val="1"/>
          <w:color w:val="auto"/>
        </w:rPr>
      </w:pPr>
    </w:p>
    <w:p>
      <w:pPr>
        <w:ind w:left="34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During fiscal year ended February 1, 2014, the Company made charitable contributions of approximately $1.0 million to the Vera Bradley Foundation for Breast Cancer (the “Foundation”). In fiscal years ended February 2, 2013 and January 28, 2012, the Company made charitable contributions of 10% of the net proceeds from the sale of inventory of certain designated patterns to the Foundation. The Foundation was founded by two of the Company’s directors, who are also on the board of directors of the Foundation. The liability associated with this commitment was approximately $0.4 million at both February 1, 2014 and February 2, 2013, which is included in other accrued liabilities in the Consolidated Balance Sheets. The associated expense, which is included in selling, general, and administrative expenses, was as follows (in thousands):</w:t>
      </w: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2014</w:t>
            </w:r>
          </w:p>
        </w:tc>
        <w:tc>
          <w:tcPr>
            <w:tcW w:w="3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February 2, 2013</w:t>
            </w:r>
          </w:p>
        </w:tc>
        <w:tc>
          <w:tcPr>
            <w:tcW w:w="3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982</w:t>
            </w:r>
          </w:p>
        </w:tc>
      </w:tr>
      <w:tr>
        <w:trPr>
          <w:trHeight w:val="27"/>
        </w:trPr>
        <w:tc>
          <w:tcPr>
            <w:tcW w:w="5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28, 2012</w:t>
            </w:r>
          </w:p>
        </w:tc>
        <w:tc>
          <w:tcPr>
            <w:tcW w:w="38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59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34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20" w:type="dxa"/>
            <w:vAlign w:val="bottom"/>
          </w:tcPr>
          <w:p>
            <w:pPr>
              <w:spacing w:after="0"/>
              <w:rPr>
                <w:sz w:val="13"/>
                <w:szCs w:val="13"/>
                <w:color w:val="auto"/>
              </w:rPr>
            </w:pP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58,812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68,870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57,921</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40,507</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40,571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40,542</w:t>
            </w: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1.43</w:t>
            </w:r>
          </w:p>
        </w:tc>
      </w:tr>
      <w:tr>
        <w:trPr>
          <w:trHeight w:val="67"/>
        </w:trPr>
        <w:tc>
          <w:tcPr>
            <w:tcW w:w="6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40" w:right="400"/>
        <w:spacing w:after="0" w:line="264" w:lineRule="auto"/>
        <w:rPr>
          <w:sz w:val="20"/>
          <w:szCs w:val="20"/>
          <w:color w:val="auto"/>
        </w:rPr>
      </w:pPr>
      <w:r>
        <w:rPr>
          <w:rFonts w:ascii="Arial" w:cs="Arial" w:eastAsia="Arial" w:hAnsi="Arial"/>
          <w:sz w:val="18"/>
          <w:szCs w:val="18"/>
          <w:color w:val="auto"/>
        </w:rPr>
        <w:t>As of February 1, 2014, the amount of additional shares issuable upon the vesting of restricted stock units that were excluded from the diluted share calculations because they were anti-dilutive was immaterial. As of February 1, 2014, there were no additional shares issuable upon the vesting of restricted stock units that were excluded from the diluted share calculations.</w:t>
      </w:r>
    </w:p>
    <w:p>
      <w:pPr>
        <w:spacing w:after="0" w:line="17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34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revenues generated through the distribution of Company-branded products to approximately 3,100 specialty Indirect retailers and department store partners across the United States. The Direct segment includes the Company’s full-price and outlet stores, department store locations in Japan, the Company’s websites, verabradley.com and verabradley.co.jp, and the annual outlet sale. Revenues generated through this segment are driven through the sale of Company-branded products from Vera Bradley to end consumers. No customer accounted for 10% or more of the Company’s net revenues during fiscal years 2014, 2013 and 2012.</w:t>
      </w:r>
    </w:p>
    <w:p>
      <w:pPr>
        <w:spacing w:after="0" w:line="53" w:lineRule="exact"/>
        <w:rPr>
          <w:rFonts w:ascii="Arial" w:cs="Arial" w:eastAsia="Arial" w:hAnsi="Arial"/>
          <w:sz w:val="18"/>
          <w:szCs w:val="18"/>
          <w:b w:val="1"/>
          <w:bCs w:val="1"/>
          <w:color w:val="auto"/>
        </w:rPr>
      </w:pPr>
    </w:p>
    <w:p>
      <w:pPr>
        <w:ind w:left="34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6" w:lineRule="exact"/>
        <w:rPr>
          <w:rFonts w:ascii="Arial" w:cs="Arial" w:eastAsia="Arial" w:hAnsi="Arial"/>
          <w:sz w:val="18"/>
          <w:szCs w:val="18"/>
          <w:b w:val="1"/>
          <w:bCs w:val="1"/>
          <w:color w:val="auto"/>
        </w:rPr>
      </w:pPr>
    </w:p>
    <w:p>
      <w:pPr>
        <w:jc w:val="both"/>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6" w:lineRule="exact"/>
        <w:rPr>
          <w:rFonts w:ascii="Arial" w:cs="Arial" w:eastAsia="Arial" w:hAnsi="Arial"/>
          <w:sz w:val="18"/>
          <w:szCs w:val="18"/>
          <w:b w:val="1"/>
          <w:bCs w:val="1"/>
          <w:color w:val="auto"/>
        </w:rPr>
      </w:pPr>
    </w:p>
    <w:p>
      <w:pPr>
        <w:jc w:val="both"/>
        <w:ind w:left="34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Net revenues and operating income information for the Company’s reportable segments consisted of the following (in thousands):</w:t>
      </w: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2012</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326,217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292,564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225,287</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209,804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235,556</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536,021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541,148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460,843</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79,877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85,059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68,097</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93,042</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164,007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186,118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161,139</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164,007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186,118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161,139</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(64,968)</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96,171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outside of the United States were included in the Direct segment and are considered immaterial.</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1"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Revenues to external customers for Vera Bradley brand products are attributable to sales of handbags, accessories, and travel and leisure items. Other revenue to external customers primarily includes revenue from our annual outlet sale, home products, merchandising, freight, and licensing revenues. Net revenues by product category are as follows (in thousands):</w:t>
      </w:r>
    </w:p>
    <w:p>
      <w:pPr>
        <w:spacing w:after="0" w:line="3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20" w:type="dxa"/>
            <w:vAlign w:val="bottom"/>
          </w:tcPr>
          <w:p>
            <w:pPr>
              <w:spacing w:after="0"/>
              <w:rPr>
                <w:sz w:val="13"/>
                <w:szCs w:val="13"/>
                <w:color w:val="auto"/>
              </w:rPr>
            </w:pPr>
          </w:p>
        </w:tc>
        <w:tc>
          <w:tcPr>
            <w:tcW w:w="11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Handbags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208,478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214,307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193,861</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Accessories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144,575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Travel and Leisure Items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77,667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68,385</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54,022</w:t>
            </w:r>
          </w:p>
        </w:tc>
      </w:tr>
      <w:tr>
        <w:trPr>
          <w:trHeight w:val="237"/>
        </w:trPr>
        <w:tc>
          <w:tcPr>
            <w:tcW w:w="624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536,021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541,148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460,843</w:t>
            </w:r>
          </w:p>
        </w:tc>
      </w:tr>
      <w:tr>
        <w:trPr>
          <w:trHeight w:val="27"/>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 2014 and February 2, 2013, substantially all of the Company’s long-lived assets were located in the United States.</w:t>
      </w:r>
    </w:p>
    <w:p>
      <w:pPr>
        <w:spacing w:after="0" w:line="16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4" w:lineRule="exact"/>
        <w:rPr>
          <w:rFonts w:ascii="Arial" w:cs="Arial" w:eastAsia="Arial" w:hAnsi="Arial"/>
          <w:sz w:val="18"/>
          <w:szCs w:val="18"/>
          <w:b w:val="1"/>
          <w:bCs w:val="1"/>
          <w:color w:val="auto"/>
        </w:rPr>
      </w:pPr>
    </w:p>
    <w:p>
      <w:pPr>
        <w:ind w:left="34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table below sets forth selected quarterly financial data for each of the last two fiscal years (in thousands, except per share data). Each of the quarters presented was thirteen weeks in duration, except the fourth quarter of fiscal year ended February 2, 2013, which was fourteen weeks.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February 1, 2014</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(1)</w:t>
            </w:r>
          </w:p>
        </w:tc>
      </w:tr>
      <w:tr>
        <w:trPr>
          <w:trHeight w:val="250"/>
        </w:trPr>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123,033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157,522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68,466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71,933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83,260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30,805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19,446</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0.48</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0.48</w:t>
            </w:r>
          </w:p>
        </w:tc>
      </w:tr>
      <w:tr>
        <w:trPr>
          <w:trHeight w:val="615"/>
        </w:trPr>
        <w:tc>
          <w:tcPr>
            <w:tcW w:w="4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February 2, 2013</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2"/>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117,201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162,564</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80,228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94,139</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39,966</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12,626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25,129</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0.62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in any one Quarterly period should not be considered indicative of annual results due to the effect of seasonality of the business.</w:t>
      </w:r>
    </w:p>
    <w:p>
      <w:pPr>
        <w:spacing w:after="0" w:line="237" w:lineRule="exact"/>
        <w:rPr>
          <w:sz w:val="20"/>
          <w:szCs w:val="20"/>
          <w:color w:val="auto"/>
        </w:rPr>
      </w:pPr>
    </w:p>
    <w:p>
      <w:pPr>
        <w:ind w:left="5620" w:right="3720" w:hanging="5288"/>
        <w:spacing w:after="0" w:line="521" w:lineRule="auto"/>
        <w:tabs>
          <w:tab w:leader="none" w:pos="520" w:val="left"/>
        </w:tabs>
        <w:numPr>
          <w:ilvl w:val="0"/>
          <w:numId w:val="36"/>
        </w:numPr>
        <w:rPr>
          <w:rFonts w:ascii="Arial" w:cs="Arial" w:eastAsia="Arial" w:hAnsi="Arial"/>
          <w:sz w:val="23"/>
          <w:szCs w:val="23"/>
          <w:color w:val="auto"/>
          <w:vertAlign w:val="superscript"/>
        </w:rPr>
      </w:pPr>
      <w:r>
        <w:rPr>
          <w:rFonts w:ascii="Arial" w:cs="Arial" w:eastAsia="Arial" w:hAnsi="Arial"/>
          <w:sz w:val="17"/>
          <w:szCs w:val="17"/>
          <w:color w:val="auto"/>
        </w:rPr>
        <w:t>The Quarterly financial data reflects a pre-tax inventory write-down of approximately $4.8 million. 61</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Kevin J. Sierks, the Executive Vice President – Chief Financial Officer of the Company, has concluded that the Company’s disclosure controls and procedures are effective as of February 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(1992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Based on the results of that evaluation, management has concluded that such internal control over financial reporting was effective as of February 1, 2014.</w:t>
      </w:r>
    </w:p>
    <w:p>
      <w:pPr>
        <w:spacing w:after="0" w:line="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February 1, 2014 has been audited by Ernst &amp; Young, LLP, an independent registered public accounting firm, as stated in their report which appears in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information set forth in the Proxy Statement for the 2014 Annual Meeting of Shareholders under the headings “Nominees for Election as Class III Directors at the 2013 Annual Meeting,” “Directors Continuing in Office,” “Director Nominations,” “Family Relationships,” “Section 16(a) Beneficial Ownership Reporting Compliance,”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“Business – Executive Officers” in this Form 10-K is incorporated herein by reference.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in the Proxy Statement for the 2014 Annual Meeting of Shareholders under the headings “Executive Compensation Discussion and Analysis”, and “Compensation Committee Interlocks and Insider Participation”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information set forth in the Proxy Statement for the 2014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in Part II, Item 5 of this Form 10-K under the heading “Dividends” is incorporated herein by reference.</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information set forth in the Proxy Statement for the 2014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2014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121"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consolidated financial statements of Vera Bradley, Inc. are filed as part of this report under Item 8. Financial Statements and Supplementary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Report of Independent Registered Public Accounting Firm</w:t>
              </w:r>
            </w:hyperlink>
          </w:p>
        </w:tc>
        <w:tc>
          <w:tcPr>
            <w:tcW w:w="6960" w:type="dxa"/>
            <w:vAlign w:val="bottom"/>
            <w:gridSpan w:val="6"/>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50"/>
        </w:trPr>
        <w:tc>
          <w:tcPr>
            <w:tcW w:w="1118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Consolidated Balance Sheets as of February 1, 2014, and February 2, 2013</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70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Income for the fiscal years ended February 1, 2014, February 2, 2013, and January 28, 2012</w:t>
              </w:r>
            </w:hyperlink>
          </w:p>
        </w:tc>
        <w:tc>
          <w:tcPr>
            <w:tcW w:w="248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1118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 xml:space="preserve">Consolidated Statements of Comprehensive Income for the fiscal years ended </w:t>
              </w:r>
            </w:hyperlink>
            <w:r>
              <w:rPr>
                <w:rFonts w:ascii="Arial" w:cs="Arial" w:eastAsia="Arial" w:hAnsi="Arial"/>
                <w:sz w:val="18"/>
                <w:szCs w:val="18"/>
                <w:color w:val="0000FF"/>
              </w:rPr>
              <w:t>February 1, 2014, February 2, 2013, and January 28, 2012</w:t>
            </w:r>
          </w:p>
        </w:tc>
        <w:tc>
          <w:tcPr>
            <w:tcW w:w="180" w:type="dxa"/>
            <w:vAlign w:val="bottom"/>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50"/>
        </w:trPr>
        <w:tc>
          <w:tcPr>
            <w:tcW w:w="96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 xml:space="preserve">Consolidated Statements of Shareholders’ Equity for the fiscal years ended </w:t>
              </w:r>
            </w:hyperlink>
            <w:r>
              <w:rPr>
                <w:rFonts w:ascii="Arial" w:cs="Arial" w:eastAsia="Arial" w:hAnsi="Arial"/>
                <w:sz w:val="18"/>
                <w:szCs w:val="18"/>
                <w:color w:val="0000FF"/>
                <w:w w:val="90"/>
              </w:rPr>
              <w:t>February 1, 2014, February 2, 2013, and January 28, 2012</w:t>
            </w:r>
          </w:p>
        </w:tc>
        <w:tc>
          <w:tcPr>
            <w:tcW w:w="180" w:type="dxa"/>
            <w:vAlign w:val="bottom"/>
            <w:tcBorders>
              <w:top w:val="single" w:sz="8" w:color="0000FF"/>
            </w:tcBorders>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90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 xml:space="preserve">Consolidated Statements of Cash Flows for the fiscal years ended </w:t>
              </w:r>
            </w:hyperlink>
            <w:r>
              <w:rPr>
                <w:rFonts w:ascii="Arial" w:cs="Arial" w:eastAsia="Arial" w:hAnsi="Arial"/>
                <w:sz w:val="18"/>
                <w:szCs w:val="18"/>
                <w:color w:val="0000FF"/>
                <w:w w:val="89"/>
              </w:rPr>
              <w:t>February 1, 2014, February 2, 2013, and January 28, 2012</w:t>
            </w:r>
          </w:p>
        </w:tc>
        <w:tc>
          <w:tcPr>
            <w:tcW w:w="218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1180" w:type="dxa"/>
            <w:vAlign w:val="bottom"/>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April 2, 2014.</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 Chief Financial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Kevin J. Sierks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April 2, 2014.</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J. Sierks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Barbara Bradley Baekgaard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Kaplan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Kyees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left="160" w:right="320" w:hanging="161"/>
        <w:spacing w:after="0" w:line="277" w:lineRule="auto"/>
        <w:rPr>
          <w:sz w:val="20"/>
          <w:szCs w:val="20"/>
          <w:color w:val="auto"/>
        </w:rPr>
      </w:pPr>
      <w:r>
        <w:rPr>
          <w:rFonts w:ascii="Arial" w:cs="Arial" w:eastAsia="Arial" w:hAnsi="Arial"/>
          <w:sz w:val="18"/>
          <w:szCs w:val="18"/>
          <w:color w:val="auto"/>
        </w:rPr>
        <w:t>Executive Vice President – Chief Financial Officer (principal accounting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8" w:lineRule="exact"/>
        <w:rPr>
          <w:sz w:val="20"/>
          <w:szCs w:val="20"/>
          <w:color w:val="auto"/>
        </w:rPr>
      </w:pPr>
    </w:p>
    <w:p>
      <w:pPr>
        <w:sectPr>
          <w:pgSz w:w="11900" w:h="16838" w:orient="portrait"/>
          <w:cols w:equalWidth="0" w:num="2">
            <w:col w:w="5140" w:space="720"/>
            <w:col w:w="556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839"/>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1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4900" w:space="720"/>
            <w:col w:w="4599"/>
          </w:cols>
          <w:pgMar w:left="240" w:top="121"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Second Amended and Restated Articles of Incorporation (Incorporated by reference to Exhibit 3.1 to the Registration Statement on Form 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Amended and Restated Bylaws (Incorporated by reference to Exhibit 3.2 to the Registration Statement on Form S-1, Registration No. 333-</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Specimen Common Stock Certificate (Incorporated by reference to Exhibit 4.1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Vera Bradley, Inc. 2010 Equity and Incentive Plan (Incorporated by reference to Exhibit 10.1 to the Registration Statement on Form S-1,</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Vera Bradley Designs, Inc. 2010 Restricted Stock Plan (Incorporated by reference to Exhibit 10.3 to the Registration Statement on Form 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Form of Restricted Stock Award Agreement under Vera Bradley Designs, Inc. 2010 Restricted Stock Plan (Incorporated by reference to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Exhibit 10.4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Form of Indemnification Agreement (Incorporated by reference to Exhibit 10.5 to the Registration Statement on Form S-1, Registration No.</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0"/>
              </w:rPr>
              <w:t>Amended and Restated Credit Agreement dated as of October 4, 2010 among Vera Bradley Designs, Inc. and JPMorgan Chase Bank, N.A.</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(Incorporated by reference to Exhibit 10.6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Parent Guaranty dated as of October 4, 2010 made by Vera Bradley, Inc. in favor of JPMorgan Chase Bank, N.A. (Incorporated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10.7 to the 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Reaffirmation of Guaranty and Security Documents dated as of October 4, 2010 by Vera Bradley Designs, Inc., Vera Bradley Retail Stores,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LLC and Vera Bradley International, LLC for the benefit of JPMorgan Chase Bank, N.A. (Incorporated by reference to Exhibit 10.13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Registration Statement on Form S-1, Registration No. 333-167934)</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2011 Restricted Stock Unit Terms And Conditions for Employees (Incorporated by reference to Exhibit 10.2 to the Quarterly Report on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Form 10-Q for the fiscal quarter ended April 30, 2011)</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2011 Restricted Stock Unit Terms And Conditions for Non-Employee Directors (Incorporated by reference to Exhibit 10.3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fiscal quarter ended April 30, 2011)</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3"/>
              </w:rPr>
              <w:t>Lease Agreement, dated as of March 28, 2011, by and between Vera Bradley Designs, Inc., as tenant, and Great Dane Realty, LLC, as</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landlord (Incorporated by reference to Exhibit 10.4 to the Quarterly Report on Form 10-Q for the fiscal quarter ended April 30, 2011)</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Lease Extension, dated April 19, 2011, by and between Vera Bradley, Inc., as tenant, and Milburn, LLC, as landlord (Incorporated by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reference to Exhibit 10.5 to the Quarterly Report on Form 10-Q for the fiscal quarter ended April 30, 2011)</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Fiscal 2013 Restricted Stock Unit/Performance Unit Terms and Conditions (Incorporated by reference to Exhibit 10.1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6"/>
              </w:rPr>
              <w:t>Fiscal 2013 Outside Director Restricted Stock Unit Terms and Conditions (Incorporated by reference to Exhibit 10.2 to the Quarterly</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Report on Form 10-Q for the fiscal quarter ended April 28, 2012)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Fiscal 2013 Annual Incentive Compensation Plan (Incorporated by reference to Exhibit 10.3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7"/>
              </w:rPr>
              <w:t>Form of Time-Based Award Agreement under the 2010 Equity and Incentive Plan (Incorporated by reference to Exhibit 10.4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Form of Performance-Based Award Agreement under the 2010 Equity and Incentive Plan (Incorporated by reference to Exhibit 10.5 to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Quarterly Report on Form 10-Q for the 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Amendment No. 3 to Amended and Restated Credit Agreement, dated as of June 1, 2012, among Vera Bradley Designs, Inc., JPMorgan</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4"/>
              </w:rPr>
              <w:t>Chase Bank N.A. and the lenders party thereto (Incorporated by reference to Exhibit 10.6 to the Quarterly Report on Form 10-Q for the</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fiscal quarter ended April 28, 2012)</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2"/>
              </w:rPr>
              <w:t>Letter of Agreement with Kevin J. Sierks (Incorporated by reference to Exhibit 10.23 to the Annual Report on Form 10-K for the fiscal year</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ended February 2, 2013)</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Letter of Agreement with Sue Fuller</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5"/>
              </w:rPr>
              <w:t>Amendment No. 1 to Amended and Restated Credit Agreement, dated as of November 18, 2010, among Vera Bradley Designs, Inc.,</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JPMorgan Chase Bank N.A. and the lenders party thereto</w:t>
            </w:r>
          </w:p>
        </w:tc>
      </w:tr>
      <w:tr>
        <w:trPr>
          <w:trHeight w:val="485"/>
        </w:trPr>
        <w:tc>
          <w:tcPr>
            <w:tcW w:w="1160" w:type="dxa"/>
            <w:vAlign w:val="bottom"/>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w w:val="91"/>
              </w:rPr>
              <w:t>Amendment No. 2 to Amended and Restated Credit Agreement, dated as of March 10, 2011, among Vera Bradley Designs, Inc., JPMorgan</w:t>
            </w: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Chase Bank N.A. and the lenders party thereto</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Subsidiaries of Vera Bradley, Inc.</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Consent of PricewaterhouseCoopers LLP</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13a-14(a)/15d-4(a) Certification of Chief Executive Officer</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00"/>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Arial" w:cs="Arial" w:eastAsia="Arial" w:hAnsi="Arial"/>
                <w:sz w:val="18"/>
                <w:szCs w:val="18"/>
                <w:color w:val="auto"/>
              </w:rPr>
              <w:t>Section 1350 Certifications</w:t>
            </w:r>
          </w:p>
        </w:tc>
      </w:tr>
    </w:tbl>
    <w:p>
      <w:pPr>
        <w:spacing w:after="0" w:line="269" w:lineRule="exact"/>
        <w:rPr>
          <w:sz w:val="20"/>
          <w:szCs w:val="20"/>
          <w:color w:val="auto"/>
        </w:rPr>
      </w:pPr>
    </w:p>
    <w:p>
      <w:pPr>
        <w:ind w:left="1300" w:right="180" w:hanging="1265"/>
        <w:spacing w:after="0" w:line="255"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materials from Vera Bradley, Inc.’s Annual Report on Form 10-K for the year ended February 1, 2014 formatted in Extensible Business Reporting Language (XBRL): (i) Consolidated Statements of Operations and Comprehensive Income for the fiscal years ended February 1, 2014, February 2, 2013, and January 28, 2012; (ii) Consolidated Balance Sheets as of February 1, 2014, and February 2, 2013; (iii) Consolidated Statements of Shareholders’ Equity for the fiscal years ended February 1, 2014, February 2, 2013 and January 28, 2012; (iv) Consolidated Statements of Cash Flows for the fiscal years ended February 1, 2014, February 2, 2013, and January 28, 2012; and (v) related notes. **</w:t>
      </w:r>
    </w:p>
    <w:p>
      <w:pPr>
        <w:spacing w:after="0" w:line="261" w:lineRule="exact"/>
        <w:rPr>
          <w:sz w:val="20"/>
          <w:szCs w:val="20"/>
          <w:color w:val="auto"/>
        </w:rPr>
      </w:pPr>
    </w:p>
    <w:p>
      <w:pPr>
        <w:ind w:left="1300" w:hanging="126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300" w:right="120" w:hanging="1265"/>
        <w:spacing w:after="0" w:line="31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pleased to offer you the position of Executive Vice President, Chief Merchandising Officer at Vera Bradley, Inc. and its subsidiaries effective as of January 6, 2014, reporting to the Chief Executive Officer, with duties and responsibilities commensurate with such position. A detailed overview of the compensation and benefits associated with this offer follows. Please note that this offer is contingent upon the successful completion of your background check and pre-employment drug screen.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acceptance of this offer, please sign a copy of this letter and return it to Julie North, Vice President, Human Resources. Please feel free to contact me should you have any questions regarding the offer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thrilled you are joining Vera Bradley! Your experience, qualifications, and positive energy will be an excellent addition to our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Your bi-weekly base salary will be $19,231, which equates to an annual base salary of $500,000.</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 will be eligible for both an Annual Incentive and a Long-term Incentive starting in Vera Bradley’s fiscal 2015. These incentives are tied to performance during fiscal 2015, which begins February 2, 2014 and ends January 31, 2015. Please note that although you will be employed at Vera Bradley for approximately one month of fiscal 2014 (which ends February 2, 2014), you will not be eligible to participate in any fiscal 2014 incentive plans.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fiscal 2015, your Annual Incentive will be a guaranteed annual bonus at the target payout level (which is 50% of your base salary) for that fiscal year. The fiscal 2015 Annual Incentive is anticipated to be paid in March 2015. Thereafter, the Annual Incentive will have a target incentive set at 50% of your annual base salary. Also starting in fiscal 2015, you will be eligible for a Long-Term Incentive, with a target incentive set at 60% of your base salary. Both the Annual Incentive and the Long-Term Incentive grants are subject to specific plan documents, which will be provided to you in March 2014. These incentives are also described in further detail in the attached Total Rewards Summary.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additional consideration, you will receive a one-time grant of Restricted Stock Units (RSUs). The number of RSUs actually granted will be equal to $600,000 calculated based upon the price of VRA shares at the close of the market on your first day of employment with the Company. These RSU’s will vest ratably over three years and will be subject to specific plan documents that will be provided upon grant.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You will be entitled to a retention bonus of $375,000 to be paid in three equal payments of $125,000: August 1, 2014, August 1, 2015 and August 1, 2016. In the event that your employment terminates prior to the payment of the third installment of the retention bonus which is earned August 1, 2016, you will be paid an amount equal to any unpaid portion of the retention bonus in addition to any other amounts owed to you under the Vera Bradley 2014 Executive Severance Plan (the “Plan”) or any other applicable plan or document; provided, however, that this sentence will not apply in the case of any voluntary termination by you without Good Reason (as defined in the Plan) or by Vera Bradley for Cause (as defined in the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Listed below is information regarding our complete benefits package based on a tentative January 1, 2014 start date. Further details can be found in the attached Vera Bradley Employee Benefits Guide.</w:t>
      </w:r>
    </w:p>
    <w:p>
      <w:pPr>
        <w:spacing w:after="0" w:line="1" w:lineRule="exact"/>
        <w:rPr>
          <w:sz w:val="20"/>
          <w:szCs w:val="20"/>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Nine (9) paid holidays annually</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days (200 hours) of paid managed time off (MTO) per calendar year. MTO provides for time away from work for any purpose.</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Short-term disability insurance (one year waiting period)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Long-term disability insurance (one year waiting period)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Life insurance coverage equal to one times your annual salary with a minimum of $50,000, maximum of $200,000 (30 day waiting period)</w:t>
      </w:r>
    </w:p>
    <w:p>
      <w:pPr>
        <w:spacing w:after="0" w:line="20" w:lineRule="exact"/>
        <w:rPr>
          <w:rFonts w:ascii="Arial" w:cs="Arial" w:eastAsia="Arial" w:hAnsi="Arial"/>
          <w:sz w:val="17"/>
          <w:szCs w:val="17"/>
          <w:color w:val="auto"/>
        </w:rPr>
      </w:pPr>
    </w:p>
    <w:p>
      <w:pPr>
        <w:ind w:left="640" w:hanging="320"/>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Health/Dental insurance through Anthem. Vera Bradley pays a portion of both the employee and dependent premium after a 30 day waiting period</w:t>
      </w:r>
    </w:p>
    <w:p>
      <w:pPr>
        <w:spacing w:after="0" w:line="32" w:lineRule="exact"/>
        <w:rPr>
          <w:rFonts w:ascii="Arial" w:cs="Arial" w:eastAsia="Arial" w:hAnsi="Arial"/>
          <w:sz w:val="16"/>
          <w:szCs w:val="16"/>
          <w:color w:val="auto"/>
        </w:rPr>
      </w:pPr>
    </w:p>
    <w:p>
      <w:pPr>
        <w:ind w:left="640" w:right="180" w:hanging="320"/>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125 Flexible Spending Plan (30 day waiting period). You can create a non-taxable account to pay non-reimbursable medical expenses and dependent care expenses.</w:t>
      </w: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401(k) Profit Sharing Plan (one year waiting period). Your eligibility date will be January 1, 2015.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purchase on account, Vera Bradley product at discounted pricing.</w:t>
      </w:r>
    </w:p>
    <w:p>
      <w:pPr>
        <w:sectPr>
          <w:pgSz w:w="11900" w:h="16838" w:orient="portrait"/>
          <w:cols w:equalWidth="0" w:num="1">
            <w:col w:w="11340"/>
          </w:cols>
          <w:pgMar w:left="320" w:top="580" w:right="239" w:bottom="1440" w:gutter="0" w:footer="0" w:header="0"/>
        </w:sectPr>
      </w:pPr>
    </w:p>
    <w:bookmarkStart w:id="70" w:name="page71"/>
    <w:bookmarkEnd w:id="70"/>
    <w:p>
      <w:pPr>
        <w:ind w:left="720" w:hanging="320"/>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Participation in the Vera Bradley, Inc. 2013 Executive Severance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Temporary Living &amp; Relocation Assistance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Vera Bradley will provide you the following relocation benefits to assist with your transition from Michigan to Indiana:</w:t>
      </w:r>
    </w:p>
    <w:p>
      <w:pPr>
        <w:spacing w:after="0" w:line="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Reasonable, interim living expenses (rent, utilities, internet, cleaning fees, etc.) up to a maximum of $3,000 per month for a period of nine months.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pay costs associated with moving your household goods and personal effects from your current residence to your new permanent residence up to a maximum of $25,000.</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relating to two pre-move house hunting trips for you and your family up to a maximum of $5,000.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to assist with customary closing costs and realtor fees of sale of existing home in Michigan not to exceed 6% of sales price up to a maximum of $80,000.</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relating to two flights per month from Fort Wayne to Michigan for a period of nine months up to a maximum of $9,000.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lump sum cash payment of $80,000 to be paid January 31, 2014 to be used to cover miscellaneous expenses including taxes due.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note that some reimbursed expenses are considered taxable income and will be reported as income upon reimbursement by Vera Bradley. If you have any questions about the tax consequences of this reimbursement, please consult your tax advisor. In addition, supporting documentation will be required for reimbursement.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Repayment Provision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you elect to voluntarily resign employment from Vera Bradley (except in the case of a resignation for Good Reason (as defined in the Plan)) or are involuntary terminated for cause, at any time within twelve (12) months of receiving relocation assistance, you will be subject to the repayment costs associated with any relocation assistance provided.</w:t>
      </w:r>
    </w:p>
    <w:p>
      <w:pPr>
        <w:spacing w:after="0" w:line="19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Sue, please note that 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Robert T. Wallstrom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Accepted by Sue Fuller</w:t>
      </w:r>
    </w:p>
    <w:p>
      <w:pPr>
        <w:sectPr>
          <w:pgSz w:w="11900" w:h="16838" w:orient="portrait"/>
          <w:cols w:equalWidth="0" w:num="1">
            <w:col w:w="11420"/>
          </w:cols>
          <w:pgMar w:left="240" w:top="584" w:right="23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Sue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449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1/1/2014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3880" w:space="720"/>
            <w:col w:w="682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Sue Fuller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3880" w:space="720"/>
            <w:col w:w="6820"/>
          </w:cols>
          <w:pgMar w:left="240" w:top="584"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Total Rewards - Sue Fuller, EVP &amp; Chief Merchandising Officer</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480" w:type="dxa"/>
            <w:vAlign w:val="bottom"/>
            <w:tcBorders>
              <w:top w:val="single" w:sz="8" w:color="auto"/>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ANNUAL CASH AND AWARDS</w:t>
            </w:r>
          </w:p>
        </w:tc>
        <w:tc>
          <w:tcPr>
            <w:tcW w:w="126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70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Base Salary</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$500,000</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$19,231 paid bi-weekly.</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Annual Cash Incentive</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$250,000</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Target based on 50% of annual salary (FY2015 bonus guaranteed at target</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(50% annual salary)</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Annual Long-Term Equity Incentive</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$300,000</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Target based on 60% of annual salary (60% performance based; 40% time</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based vesting ratably over three years)</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Annual Cash and Awards in FY2015</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$1,050,000</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480" w:type="dxa"/>
            <w:vAlign w:val="bottom"/>
            <w:tcBorders>
              <w:top w:val="single" w:sz="8" w:color="auto"/>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Retirement &amp; Employee Health &amp; Welfare Benefits</w:t>
            </w:r>
          </w:p>
        </w:tc>
        <w:tc>
          <w:tcPr>
            <w:tcW w:w="126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70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37"/>
        </w:trPr>
        <w:tc>
          <w:tcPr>
            <w:tcW w:w="4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401k match contributions</w:t>
            </w:r>
          </w:p>
        </w:tc>
        <w:tc>
          <w:tcPr>
            <w:tcW w:w="1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$8,750</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Assumes participation at maximum IRS contribution of $17,500.</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Estimated annual average contribution paid by Vera Bradley for employee's</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provided health and welfare benefits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$18,200</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behalf for health, dental, life and AD&amp;D coverages. Assumes employee plus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family medical and dental coverage elected.</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Estimated Annual Company Contributions of Retirement</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$26,950</w:t>
            </w: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and Employee Health &amp; Welfare Benefits</w:t>
            </w:r>
          </w:p>
        </w:tc>
        <w:tc>
          <w:tcPr>
            <w:tcW w:w="1260" w:type="dxa"/>
            <w:vAlign w:val="bottom"/>
            <w:tcBorders>
              <w:right w:val="single" w:sz="8" w:color="auto"/>
            </w:tcBorders>
            <w:vMerge w:val="continue"/>
          </w:tcPr>
          <w:p>
            <w:pPr>
              <w:spacing w:after="0"/>
              <w:rPr>
                <w:sz w:val="10"/>
                <w:szCs w:val="10"/>
                <w:color w:val="auto"/>
              </w:rPr>
            </w:pPr>
          </w:p>
        </w:tc>
        <w:tc>
          <w:tcPr>
            <w:tcW w:w="5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 Annual Awards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$1,076,950</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80" w:type="dxa"/>
            <w:vAlign w:val="bottom"/>
            <w:tcBorders>
              <w:left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ONE-TIME AWARDS</w:t>
            </w:r>
          </w:p>
        </w:tc>
        <w:tc>
          <w:tcPr>
            <w:tcW w:w="126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Value</w:t>
            </w:r>
          </w:p>
        </w:tc>
        <w:tc>
          <w:tcPr>
            <w:tcW w:w="570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0" w:type="dxa"/>
            <w:vAlign w:val="bottom"/>
          </w:tcPr>
          <w:p>
            <w:pPr>
              <w:spacing w:after="0"/>
              <w:rPr>
                <w:sz w:val="1"/>
                <w:szCs w:val="1"/>
                <w:color w:val="auto"/>
              </w:rPr>
            </w:pPr>
          </w:p>
        </w:tc>
      </w:tr>
      <w:tr>
        <w:trPr>
          <w:trHeight w:val="222"/>
        </w:trPr>
        <w:tc>
          <w:tcPr>
            <w:tcW w:w="4480" w:type="dxa"/>
            <w:vAlign w:val="bottom"/>
            <w:tcBorders>
              <w:top w:val="single" w:sz="8" w:color="auto"/>
              <w:left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Granted in Restricted Stock Units (RSUs) equivalent to $600,000. The exact</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Equity Grant awarded upon first day of employment with</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$600,000</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number of RSUs granted will be calculated based on the VRA strike price at</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Vera Bradley</w:t>
            </w:r>
          </w:p>
        </w:tc>
        <w:tc>
          <w:tcPr>
            <w:tcW w:w="1260" w:type="dxa"/>
            <w:vAlign w:val="bottom"/>
            <w:tcBorders>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the end of business on your first day of employment.</w:t>
            </w:r>
          </w:p>
        </w:tc>
        <w:tc>
          <w:tcPr>
            <w:tcW w:w="0" w:type="dxa"/>
            <w:vAlign w:val="bottom"/>
          </w:tcPr>
          <w:p>
            <w:pPr>
              <w:spacing w:after="0"/>
              <w:rPr>
                <w:sz w:val="1"/>
                <w:szCs w:val="1"/>
                <w:color w:val="auto"/>
              </w:rPr>
            </w:pPr>
          </w:p>
        </w:tc>
      </w:tr>
      <w:tr>
        <w:trPr>
          <w:trHeight w:val="94"/>
        </w:trPr>
        <w:tc>
          <w:tcPr>
            <w:tcW w:w="4480" w:type="dxa"/>
            <w:vAlign w:val="bottom"/>
            <w:tcBorders>
              <w:left w:val="single" w:sz="8" w:color="auto"/>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5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grant will vest ratably over three years.</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Cash lump sum paid ratably over three years. First payment of $125,000 to be</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Retention Bonus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$375,000</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paid on August 1, 2014. Unpaid portion payable upon termination, other than</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in the case of voluntary termination without Good Reason or termination by</w:t>
            </w:r>
          </w:p>
        </w:tc>
        <w:tc>
          <w:tcPr>
            <w:tcW w:w="0" w:type="dxa"/>
            <w:vAlign w:val="bottom"/>
          </w:tcPr>
          <w:p>
            <w:pPr>
              <w:spacing w:after="0"/>
              <w:rPr>
                <w:sz w:val="1"/>
                <w:szCs w:val="1"/>
                <w:color w:val="auto"/>
              </w:rPr>
            </w:pPr>
          </w:p>
        </w:tc>
      </w:tr>
      <w:tr>
        <w:trPr>
          <w:trHeight w:val="94"/>
        </w:trPr>
        <w:tc>
          <w:tcPr>
            <w:tcW w:w="4480" w:type="dxa"/>
            <w:vAlign w:val="bottom"/>
            <w:tcBorders>
              <w:left w:val="single" w:sz="8" w:color="auto"/>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5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Company for Cause (as described more fully in offer letter).</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One-Time Awards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$975,000</w:t>
            </w:r>
          </w:p>
        </w:tc>
        <w:tc>
          <w:tcPr>
            <w:tcW w:w="5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tcBorders>
              <w:left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OTHER CONSIDERATIONS - Interim Living &amp;</w:t>
            </w:r>
          </w:p>
        </w:tc>
        <w:tc>
          <w:tcPr>
            <w:tcW w:w="1260" w:type="dxa"/>
            <w:vAlign w:val="bottom"/>
            <w:tcBorders>
              <w:right w:val="single" w:sz="8" w:color="BFBFBF"/>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5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480" w:type="dxa"/>
            <w:vAlign w:val="bottom"/>
            <w:tcBorders>
              <w:left w:val="single" w:sz="8" w:color="auto"/>
              <w:right w:val="single" w:sz="8" w:color="auto"/>
            </w:tcBorders>
            <w:vMerge w:val="restart"/>
            <w:shd w:val="clear" w:color="auto" w:fill="BFBFBF"/>
          </w:tcPr>
          <w:p>
            <w:pPr>
              <w:ind w:left="40"/>
              <w:spacing w:after="0"/>
              <w:rPr>
                <w:sz w:val="20"/>
                <w:szCs w:val="20"/>
                <w:color w:val="auto"/>
              </w:rPr>
            </w:pPr>
            <w:r>
              <w:rPr>
                <w:rFonts w:ascii="Arial" w:cs="Arial" w:eastAsia="Arial" w:hAnsi="Arial"/>
                <w:sz w:val="18"/>
                <w:szCs w:val="18"/>
                <w:b w:val="1"/>
                <w:bCs w:val="1"/>
                <w:color w:val="auto"/>
              </w:rPr>
              <w:t>Relocation Assistance</w:t>
            </w:r>
          </w:p>
        </w:tc>
        <w:tc>
          <w:tcPr>
            <w:tcW w:w="1260" w:type="dxa"/>
            <w:vAlign w:val="bottom"/>
            <w:tcBorders>
              <w:right w:val="single" w:sz="8" w:color="BFBFBF"/>
            </w:tcBorders>
            <w:vMerge w:val="continue"/>
            <w:shd w:val="clear" w:color="auto" w:fill="BFBFBF"/>
          </w:tcPr>
          <w:p>
            <w:pPr>
              <w:spacing w:after="0"/>
              <w:rPr>
                <w:sz w:val="10"/>
                <w:szCs w:val="10"/>
                <w:color w:val="auto"/>
              </w:rPr>
            </w:pPr>
          </w:p>
        </w:tc>
        <w:tc>
          <w:tcPr>
            <w:tcW w:w="570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80" w:type="dxa"/>
            <w:vAlign w:val="bottom"/>
            <w:tcBorders>
              <w:left w:val="single" w:sz="8" w:color="auto"/>
              <w:bottom w:val="single" w:sz="8" w:color="BFBFBF"/>
              <w:right w:val="single" w:sz="8" w:color="auto"/>
            </w:tcBorders>
            <w:vMerge w:val="continue"/>
            <w:shd w:val="clear" w:color="auto" w:fill="BFBFBF"/>
          </w:tcPr>
          <w:p>
            <w:pPr>
              <w:spacing w:after="0"/>
              <w:rPr>
                <w:sz w:val="11"/>
                <w:szCs w:val="11"/>
                <w:color w:val="auto"/>
              </w:rPr>
            </w:pPr>
          </w:p>
        </w:tc>
        <w:tc>
          <w:tcPr>
            <w:tcW w:w="1260" w:type="dxa"/>
            <w:vAlign w:val="bottom"/>
            <w:tcBorders>
              <w:bottom w:val="single" w:sz="8" w:color="BFBFBF"/>
              <w:right w:val="single" w:sz="8" w:color="BFBFBF"/>
            </w:tcBorders>
            <w:shd w:val="clear" w:color="auto" w:fill="BFBFBF"/>
          </w:tcPr>
          <w:p>
            <w:pPr>
              <w:spacing w:after="0"/>
              <w:rPr>
                <w:sz w:val="11"/>
                <w:szCs w:val="11"/>
                <w:color w:val="auto"/>
              </w:rPr>
            </w:pPr>
          </w:p>
        </w:tc>
        <w:tc>
          <w:tcPr>
            <w:tcW w:w="5700" w:type="dxa"/>
            <w:vAlign w:val="bottom"/>
            <w:tcBorders>
              <w:bottom w:val="single" w:sz="8" w:color="BFBFBF"/>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Temporary Living</w:t>
            </w:r>
          </w:p>
        </w:tc>
        <w:tc>
          <w:tcPr>
            <w:tcW w:w="69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Interim living expenses up to $3,000 per month for 9 months (commuting from Birmingham,</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MI to Fort Wayne, IN). Approximate cost: $27,000</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Moving of Household Goods</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Reimbursement of costs associated with moving household and personal effects from Michigan</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to Indiana. Approximate cost: $25,000</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House Hunting</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Two house hunting trips for you and your family. Approximate cost: $5,000</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tcPr>
          <w:p>
            <w:pPr>
              <w:spacing w:after="0"/>
              <w:rPr>
                <w:sz w:val="19"/>
                <w:szCs w:val="19"/>
                <w:color w:val="auto"/>
              </w:rPr>
            </w:pP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Assistance with sale of current home including customary closing costs, agent fees and base</w:t>
            </w: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Home Sale/Purchase Assistance</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0"/>
              </w:rPr>
              <w:t>expenses associated with sale (6% commission on house sale plus other customary expenses).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Approximate cost: $80,000.</w:t>
            </w: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Flights</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Up to two flights per month from Fort Wayne to Michigan for a period of nine months.</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Approximate cost: $9,000</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One time Cash Lump sum</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Lump sum cash bonus paid January 31, 2014 of $80,000 to help offset taxes incurred relative</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to relocation expenses and other miscellaneous expenses.</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Flights</w:t>
            </w:r>
          </w:p>
        </w:tc>
        <w:tc>
          <w:tcPr>
            <w:tcW w:w="69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Up to two flights per month from Fort Wayne to Michigan for a period of nine months.</w:t>
            </w:r>
          </w:p>
        </w:tc>
        <w:tc>
          <w:tcPr>
            <w:tcW w:w="0" w:type="dxa"/>
            <w:vAlign w:val="bottom"/>
          </w:tcPr>
          <w:p>
            <w:pPr>
              <w:spacing w:after="0"/>
              <w:rPr>
                <w:sz w:val="1"/>
                <w:szCs w:val="1"/>
                <w:color w:val="auto"/>
              </w:rPr>
            </w:pPr>
          </w:p>
        </w:tc>
      </w:tr>
      <w:tr>
        <w:trPr>
          <w:trHeight w:val="122"/>
        </w:trPr>
        <w:tc>
          <w:tcPr>
            <w:tcW w:w="4480" w:type="dxa"/>
            <w:vAlign w:val="bottom"/>
            <w:tcBorders>
              <w:left w:val="single" w:sz="8" w:color="auto"/>
              <w:right w:val="single" w:sz="8" w:color="auto"/>
            </w:tcBorders>
            <w:vMerge w:val="continue"/>
          </w:tcPr>
          <w:p>
            <w:pPr>
              <w:spacing w:after="0"/>
              <w:rPr>
                <w:sz w:val="10"/>
                <w:szCs w:val="10"/>
                <w:color w:val="auto"/>
              </w:rPr>
            </w:pPr>
          </w:p>
        </w:tc>
        <w:tc>
          <w:tcPr>
            <w:tcW w:w="6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Approximate cost: $9,000</w:t>
            </w:r>
          </w:p>
        </w:tc>
        <w:tc>
          <w:tcPr>
            <w:tcW w:w="0" w:type="dxa"/>
            <w:vAlign w:val="bottom"/>
          </w:tcPr>
          <w:p>
            <w:pPr>
              <w:spacing w:after="0"/>
              <w:rPr>
                <w:sz w:val="1"/>
                <w:szCs w:val="1"/>
                <w:color w:val="auto"/>
              </w:rPr>
            </w:pPr>
          </w:p>
        </w:tc>
      </w:tr>
      <w:tr>
        <w:trPr>
          <w:trHeight w:val="108"/>
        </w:trPr>
        <w:tc>
          <w:tcPr>
            <w:tcW w:w="4480" w:type="dxa"/>
            <w:vAlign w:val="bottom"/>
            <w:tcBorders>
              <w:left w:val="single" w:sz="8" w:color="auto"/>
              <w:right w:val="single" w:sz="8" w:color="auto"/>
            </w:tcBorders>
          </w:tcPr>
          <w:p>
            <w:pPr>
              <w:spacing w:after="0"/>
              <w:rPr>
                <w:sz w:val="9"/>
                <w:szCs w:val="9"/>
                <w:color w:val="auto"/>
              </w:rPr>
            </w:pPr>
          </w:p>
        </w:tc>
        <w:tc>
          <w:tcPr>
            <w:tcW w:w="6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0" w:right="219" w:bottom="1440" w:gutter="0" w:footer="0" w:header="0"/>
        </w:sectPr>
      </w:pPr>
    </w:p>
    <w:bookmarkStart w:id="72" w:name="page73"/>
    <w:bookmarkEnd w:id="7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3696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36963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4"/>
        </w:trPr>
        <w:tc>
          <w:tcPr>
            <w:tcW w:w="56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Arial" w:cs="Arial" w:eastAsia="Arial" w:hAnsi="Arial"/>
                <w:sz w:val="18"/>
                <w:szCs w:val="18"/>
                <w:b w:val="1"/>
                <w:bCs w:val="1"/>
                <w:color w:val="auto"/>
              </w:rPr>
              <w:t>Vera Bradley Executive Severance Plan</w:t>
            </w:r>
          </w:p>
        </w:tc>
        <w:tc>
          <w:tcPr>
            <w:tcW w:w="5780" w:type="dxa"/>
            <w:vAlign w:val="bottom"/>
            <w:tcBorders>
              <w:top w:val="single" w:sz="8" w:color="auto"/>
              <w:bottom w:val="single" w:sz="8" w:color="BFBFBF"/>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Details</w:t>
            </w:r>
          </w:p>
        </w:tc>
        <w:tc>
          <w:tcPr>
            <w:tcW w:w="20" w:type="dxa"/>
            <w:vAlign w:val="bottom"/>
            <w:tcBorders>
              <w:top w:val="single" w:sz="8" w:color="auto"/>
            </w:tcBorders>
          </w:tcPr>
          <w:p>
            <w:pPr>
              <w:spacing w:after="0"/>
              <w:rPr>
                <w:sz w:val="22"/>
                <w:szCs w:val="22"/>
                <w:color w:val="auto"/>
              </w:rPr>
            </w:pPr>
          </w:p>
        </w:tc>
      </w:tr>
      <w:tr>
        <w:trPr>
          <w:trHeight w:val="20"/>
        </w:trPr>
        <w:tc>
          <w:tcPr>
            <w:tcW w:w="5640" w:type="dxa"/>
            <w:vAlign w:val="bottom"/>
            <w:tcBorders>
              <w:right w:val="single" w:sz="8" w:color="auto"/>
            </w:tcBorders>
            <w:shd w:val="clear" w:color="auto" w:fill="000000"/>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40" w:right="240"/>
        <w:spacing w:after="0" w:line="277" w:lineRule="auto"/>
        <w:rPr>
          <w:sz w:val="20"/>
          <w:szCs w:val="20"/>
          <w:color w:val="auto"/>
        </w:rPr>
      </w:pPr>
      <w:r>
        <w:rPr>
          <w:rFonts w:ascii="Arial" w:cs="Arial" w:eastAsia="Arial" w:hAnsi="Arial"/>
          <w:sz w:val="18"/>
          <w:szCs w:val="18"/>
          <w:color w:val="auto"/>
        </w:rPr>
        <w:t>This is a summary of the applicable terms and conditions of the Vera Bradley 2014 Executive Severance Plan, and is in all cases subject to the terms of the plan document including conditions not set forth below.</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Severance Outside of a Change in Control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40" w:type="dxa"/>
            <w:vAlign w:val="bottom"/>
            <w:tcBorders>
              <w:top w:val="single" w:sz="8" w:color="auto"/>
              <w:right w:val="single" w:sz="8" w:color="auto"/>
            </w:tcBorders>
          </w:tcPr>
          <w:p>
            <w:pPr>
              <w:spacing w:after="0"/>
              <w:rPr>
                <w:sz w:val="21"/>
                <w:szCs w:val="21"/>
                <w:color w:val="auto"/>
              </w:rPr>
            </w:pPr>
          </w:p>
        </w:tc>
        <w:tc>
          <w:tcPr>
            <w:tcW w:w="5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All unpaid Base Salary</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w w:val="95"/>
              </w:rPr>
              <w:t>• Any accrued Benefits Any Bonus that was earned in a prior fiscal year,</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but not yet paid</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4"/>
              </w:rPr>
              <w:t>Termination by Company without “Cause” or by Executive for “Good</w:t>
            </w:r>
          </w:p>
        </w:tc>
        <w:tc>
          <w:tcPr>
            <w:tcW w:w="5800" w:type="dxa"/>
            <w:vAlign w:val="bottom"/>
          </w:tcPr>
          <w:p>
            <w:pPr>
              <w:ind w:left="340"/>
              <w:spacing w:after="0"/>
              <w:rPr>
                <w:sz w:val="20"/>
                <w:szCs w:val="20"/>
                <w:color w:val="auto"/>
              </w:rPr>
            </w:pPr>
            <w:r>
              <w:rPr>
                <w:rFonts w:ascii="Arial" w:cs="Arial" w:eastAsia="Arial" w:hAnsi="Arial"/>
                <w:sz w:val="18"/>
                <w:szCs w:val="18"/>
                <w:color w:val="auto"/>
                <w:w w:val="97"/>
              </w:rPr>
              <w:t>• A pro rata portion of Bonus in the current year at actual performance</w:t>
            </w:r>
          </w:p>
        </w:tc>
        <w:tc>
          <w:tcPr>
            <w:tcW w:w="0" w:type="dxa"/>
            <w:vAlign w:val="bottom"/>
          </w:tcPr>
          <w:p>
            <w:pPr>
              <w:spacing w:after="0"/>
              <w:rPr>
                <w:sz w:val="1"/>
                <w:szCs w:val="1"/>
                <w:color w:val="auto"/>
              </w:rPr>
            </w:pPr>
          </w:p>
        </w:tc>
      </w:tr>
      <w:tr>
        <w:trPr>
          <w:trHeight w:val="212"/>
        </w:trPr>
        <w:tc>
          <w:tcPr>
            <w:tcW w:w="5640" w:type="dxa"/>
            <w:vAlign w:val="bottom"/>
            <w:tcBorders>
              <w:right w:val="single" w:sz="8" w:color="auto"/>
            </w:tcBorders>
            <w:vMerge w:val="continue"/>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levels</w:t>
            </w:r>
          </w:p>
        </w:tc>
        <w:tc>
          <w:tcPr>
            <w:tcW w:w="0" w:type="dxa"/>
            <w:vAlign w:val="bottom"/>
          </w:tcPr>
          <w:p>
            <w:pPr>
              <w:spacing w:after="0"/>
              <w:rPr>
                <w:sz w:val="1"/>
                <w:szCs w:val="1"/>
                <w:color w:val="auto"/>
              </w:rPr>
            </w:pPr>
          </w:p>
        </w:tc>
      </w:tr>
      <w:tr>
        <w:trPr>
          <w:trHeight w:val="220"/>
        </w:trPr>
        <w:tc>
          <w:tcPr>
            <w:tcW w:w="56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Reason”</w:t>
            </w:r>
          </w:p>
        </w:tc>
        <w:tc>
          <w:tcPr>
            <w:tcW w:w="5800" w:type="dxa"/>
            <w:vAlign w:val="bottom"/>
          </w:tcPr>
          <w:p>
            <w:pPr>
              <w:ind w:left="340"/>
              <w:spacing w:after="0"/>
              <w:rPr>
                <w:sz w:val="20"/>
                <w:szCs w:val="20"/>
                <w:color w:val="auto"/>
              </w:rPr>
            </w:pPr>
            <w:r>
              <w:rPr>
                <w:rFonts w:ascii="Arial" w:cs="Arial" w:eastAsia="Arial" w:hAnsi="Arial"/>
                <w:sz w:val="18"/>
                <w:szCs w:val="18"/>
                <w:color w:val="auto"/>
                <w:w w:val="91"/>
              </w:rPr>
              <w:t>• A lump sum equal to one and one-half (1.5) times the sum of base salary</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and target bonus (currently there are five total EVP positions)</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 12 months of COBRA</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w w:val="93"/>
              </w:rPr>
              <w:t>• Recurring LTI grants to be treated in accordance with the terms of grant</w:t>
            </w:r>
          </w:p>
        </w:tc>
        <w:tc>
          <w:tcPr>
            <w:tcW w:w="0" w:type="dxa"/>
            <w:vAlign w:val="bottom"/>
          </w:tcPr>
          <w:p>
            <w:pPr>
              <w:spacing w:after="0"/>
              <w:rPr>
                <w:sz w:val="1"/>
                <w:szCs w:val="1"/>
                <w:color w:val="auto"/>
              </w:rPr>
            </w:pPr>
          </w:p>
        </w:tc>
      </w:tr>
      <w:tr>
        <w:trPr>
          <w:trHeight w:val="230"/>
        </w:trPr>
        <w:tc>
          <w:tcPr>
            <w:tcW w:w="5640" w:type="dxa"/>
            <w:vAlign w:val="bottom"/>
            <w:tcBorders>
              <w:right w:val="single" w:sz="8" w:color="auto"/>
            </w:tcBorders>
          </w:tcPr>
          <w:p>
            <w:pPr>
              <w:spacing w:after="0"/>
              <w:rPr>
                <w:sz w:val="20"/>
                <w:szCs w:val="20"/>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Severance Following a Change in Control</w:t>
            </w: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40" w:type="dxa"/>
            <w:vAlign w:val="bottom"/>
            <w:tcBorders>
              <w:right w:val="single" w:sz="8" w:color="auto"/>
            </w:tcBorders>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 All unpaid Base Salary</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 Any accrued Benefits</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 Any Bonus that was earned in a prior fiscal year, but not yet paid</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5"/>
              </w:rPr>
              <w:t>Termination in anticipation of, upon or within 24 months following a</w:t>
            </w:r>
          </w:p>
        </w:tc>
        <w:tc>
          <w:tcPr>
            <w:tcW w:w="5800" w:type="dxa"/>
            <w:vAlign w:val="bottom"/>
          </w:tcPr>
          <w:p>
            <w:pPr>
              <w:ind w:left="340"/>
              <w:spacing w:after="0"/>
              <w:rPr>
                <w:sz w:val="20"/>
                <w:szCs w:val="20"/>
                <w:color w:val="auto"/>
              </w:rPr>
            </w:pPr>
            <w:r>
              <w:rPr>
                <w:rFonts w:ascii="Arial" w:cs="Arial" w:eastAsia="Arial" w:hAnsi="Arial"/>
                <w:sz w:val="18"/>
                <w:szCs w:val="18"/>
                <w:color w:val="auto"/>
                <w:w w:val="98"/>
              </w:rPr>
              <w:t>• A pro rata portion of Bonus in the current year at target performance</w:t>
            </w:r>
          </w:p>
        </w:tc>
        <w:tc>
          <w:tcPr>
            <w:tcW w:w="0" w:type="dxa"/>
            <w:vAlign w:val="bottom"/>
          </w:tcPr>
          <w:p>
            <w:pPr>
              <w:spacing w:after="0"/>
              <w:rPr>
                <w:sz w:val="1"/>
                <w:szCs w:val="1"/>
                <w:color w:val="auto"/>
              </w:rPr>
            </w:pPr>
          </w:p>
        </w:tc>
      </w:tr>
      <w:tr>
        <w:trPr>
          <w:trHeight w:val="104"/>
        </w:trPr>
        <w:tc>
          <w:tcPr>
            <w:tcW w:w="5640" w:type="dxa"/>
            <w:vAlign w:val="bottom"/>
            <w:tcBorders>
              <w:right w:val="single" w:sz="8" w:color="auto"/>
            </w:tcBorders>
            <w:vMerge w:val="continue"/>
          </w:tcPr>
          <w:p>
            <w:pPr>
              <w:spacing w:after="0"/>
              <w:rPr>
                <w:sz w:val="9"/>
                <w:szCs w:val="9"/>
                <w:color w:val="auto"/>
              </w:rPr>
            </w:pPr>
          </w:p>
        </w:tc>
        <w:tc>
          <w:tcPr>
            <w:tcW w:w="5800" w:type="dxa"/>
            <w:vAlign w:val="bottom"/>
            <w:vMerge w:val="restart"/>
          </w:tcPr>
          <w:p>
            <w:pPr>
              <w:ind w:left="340"/>
              <w:spacing w:after="0"/>
              <w:rPr>
                <w:sz w:val="20"/>
                <w:szCs w:val="20"/>
                <w:color w:val="auto"/>
              </w:rPr>
            </w:pPr>
            <w:r>
              <w:rPr>
                <w:rFonts w:ascii="Arial" w:cs="Arial" w:eastAsia="Arial" w:hAnsi="Arial"/>
                <w:sz w:val="18"/>
                <w:szCs w:val="18"/>
                <w:color w:val="auto"/>
              </w:rPr>
              <w:t>levels</w:t>
            </w:r>
          </w:p>
        </w:tc>
        <w:tc>
          <w:tcPr>
            <w:tcW w:w="0" w:type="dxa"/>
            <w:vAlign w:val="bottom"/>
          </w:tcPr>
          <w:p>
            <w:pPr>
              <w:spacing w:after="0"/>
              <w:rPr>
                <w:sz w:val="1"/>
                <w:szCs w:val="1"/>
                <w:color w:val="auto"/>
              </w:rPr>
            </w:pPr>
          </w:p>
        </w:tc>
      </w:tr>
      <w:tr>
        <w:trPr>
          <w:trHeight w:val="112"/>
        </w:trPr>
        <w:tc>
          <w:tcPr>
            <w:tcW w:w="5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Change in Control by the Company without “Cause” or by the</w:t>
            </w:r>
          </w:p>
        </w:tc>
        <w:tc>
          <w:tcPr>
            <w:tcW w:w="5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640" w:type="dxa"/>
            <w:vAlign w:val="bottom"/>
            <w:tcBorders>
              <w:right w:val="single" w:sz="8" w:color="auto"/>
            </w:tcBorders>
            <w:vMerge w:val="continue"/>
          </w:tcPr>
          <w:p>
            <w:pPr>
              <w:spacing w:after="0"/>
              <w:rPr>
                <w:sz w:val="9"/>
                <w:szCs w:val="9"/>
                <w:color w:val="auto"/>
              </w:rPr>
            </w:pPr>
          </w:p>
        </w:tc>
        <w:tc>
          <w:tcPr>
            <w:tcW w:w="5800" w:type="dxa"/>
            <w:vAlign w:val="bottom"/>
            <w:vMerge w:val="restart"/>
          </w:tcPr>
          <w:p>
            <w:pPr>
              <w:ind w:left="340"/>
              <w:spacing w:after="0"/>
              <w:rPr>
                <w:sz w:val="20"/>
                <w:szCs w:val="20"/>
                <w:color w:val="auto"/>
              </w:rPr>
            </w:pPr>
            <w:r>
              <w:rPr>
                <w:rFonts w:ascii="Arial" w:cs="Arial" w:eastAsia="Arial" w:hAnsi="Arial"/>
                <w:sz w:val="18"/>
                <w:szCs w:val="18"/>
                <w:color w:val="auto"/>
                <w:w w:val="93"/>
              </w:rPr>
              <w:t>• A lump sum equal to two times the sum of base salary and target bonus</w:t>
            </w:r>
          </w:p>
        </w:tc>
        <w:tc>
          <w:tcPr>
            <w:tcW w:w="0" w:type="dxa"/>
            <w:vAlign w:val="bottom"/>
          </w:tcPr>
          <w:p>
            <w:pPr>
              <w:spacing w:after="0"/>
              <w:rPr>
                <w:sz w:val="1"/>
                <w:szCs w:val="1"/>
                <w:color w:val="auto"/>
              </w:rPr>
            </w:pPr>
          </w:p>
        </w:tc>
      </w:tr>
      <w:tr>
        <w:trPr>
          <w:trHeight w:val="112"/>
        </w:trPr>
        <w:tc>
          <w:tcPr>
            <w:tcW w:w="56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Executive with “Good Reason”</w:t>
            </w:r>
          </w:p>
        </w:tc>
        <w:tc>
          <w:tcPr>
            <w:tcW w:w="5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640" w:type="dxa"/>
            <w:vAlign w:val="bottom"/>
            <w:tcBorders>
              <w:right w:val="single" w:sz="8" w:color="auto"/>
            </w:tcBorders>
            <w:vMerge w:val="continue"/>
          </w:tcPr>
          <w:p>
            <w:pPr>
              <w:spacing w:after="0"/>
              <w:rPr>
                <w:sz w:val="10"/>
                <w:szCs w:val="10"/>
                <w:color w:val="auto"/>
              </w:rPr>
            </w:pPr>
          </w:p>
        </w:tc>
        <w:tc>
          <w:tcPr>
            <w:tcW w:w="5800" w:type="dxa"/>
            <w:vAlign w:val="bottom"/>
            <w:vMerge w:val="restart"/>
          </w:tcPr>
          <w:p>
            <w:pPr>
              <w:ind w:left="340"/>
              <w:spacing w:after="0"/>
              <w:rPr>
                <w:sz w:val="20"/>
                <w:szCs w:val="20"/>
                <w:color w:val="auto"/>
              </w:rPr>
            </w:pPr>
            <w:r>
              <w:rPr>
                <w:rFonts w:ascii="Arial" w:cs="Arial" w:eastAsia="Arial" w:hAnsi="Arial"/>
                <w:sz w:val="18"/>
                <w:szCs w:val="18"/>
                <w:color w:val="auto"/>
              </w:rPr>
              <w:t>• 12 months of COBRA</w:t>
            </w:r>
          </w:p>
        </w:tc>
        <w:tc>
          <w:tcPr>
            <w:tcW w:w="0" w:type="dxa"/>
            <w:vAlign w:val="bottom"/>
          </w:tcPr>
          <w:p>
            <w:pPr>
              <w:spacing w:after="0"/>
              <w:rPr>
                <w:sz w:val="1"/>
                <w:szCs w:val="1"/>
                <w:color w:val="auto"/>
              </w:rPr>
            </w:pPr>
          </w:p>
        </w:tc>
      </w:tr>
      <w:tr>
        <w:trPr>
          <w:trHeight w:val="94"/>
        </w:trPr>
        <w:tc>
          <w:tcPr>
            <w:tcW w:w="5640" w:type="dxa"/>
            <w:vAlign w:val="bottom"/>
            <w:tcBorders>
              <w:right w:val="single" w:sz="8" w:color="auto"/>
            </w:tcBorders>
          </w:tcPr>
          <w:p>
            <w:pPr>
              <w:spacing w:after="0"/>
              <w:rPr>
                <w:sz w:val="8"/>
                <w:szCs w:val="8"/>
                <w:color w:val="auto"/>
              </w:rPr>
            </w:pPr>
          </w:p>
        </w:tc>
        <w:tc>
          <w:tcPr>
            <w:tcW w:w="5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 Outplacement services up to $30,000</w:t>
            </w:r>
          </w:p>
        </w:tc>
        <w:tc>
          <w:tcPr>
            <w:tcW w:w="0" w:type="dxa"/>
            <w:vAlign w:val="bottom"/>
          </w:tcPr>
          <w:p>
            <w:pPr>
              <w:spacing w:after="0"/>
              <w:rPr>
                <w:sz w:val="1"/>
                <w:szCs w:val="1"/>
                <w:color w:val="auto"/>
              </w:rPr>
            </w:pPr>
          </w:p>
        </w:tc>
      </w:tr>
      <w:tr>
        <w:trPr>
          <w:trHeight w:val="216"/>
        </w:trPr>
        <w:tc>
          <w:tcPr>
            <w:tcW w:w="5640" w:type="dxa"/>
            <w:vAlign w:val="bottom"/>
            <w:tcBorders>
              <w:right w:val="single" w:sz="8" w:color="auto"/>
            </w:tcBorders>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w w:val="93"/>
              </w:rPr>
              <w:t>• Recurring LTI grants to be treated in accordance with the terms of grant</w:t>
            </w:r>
          </w:p>
        </w:tc>
        <w:tc>
          <w:tcPr>
            <w:tcW w:w="0" w:type="dxa"/>
            <w:vAlign w:val="bottom"/>
          </w:tcPr>
          <w:p>
            <w:pPr>
              <w:spacing w:after="0"/>
              <w:rPr>
                <w:sz w:val="1"/>
                <w:szCs w:val="1"/>
                <w:color w:val="auto"/>
              </w:rPr>
            </w:pPr>
          </w:p>
        </w:tc>
      </w:tr>
      <w:tr>
        <w:trPr>
          <w:trHeight w:val="230"/>
        </w:trPr>
        <w:tc>
          <w:tcPr>
            <w:tcW w:w="5640" w:type="dxa"/>
            <w:vAlign w:val="bottom"/>
            <w:tcBorders>
              <w:right w:val="single" w:sz="8" w:color="auto"/>
            </w:tcBorders>
          </w:tcPr>
          <w:p>
            <w:pPr>
              <w:spacing w:after="0"/>
              <w:rPr>
                <w:sz w:val="20"/>
                <w:szCs w:val="20"/>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27"/>
        </w:trPr>
        <w:tc>
          <w:tcPr>
            <w:tcW w:w="5640" w:type="dxa"/>
            <w:vAlign w:val="bottom"/>
            <w:tcBorders>
              <w:bottom w:val="single" w:sz="8" w:color="auto"/>
              <w:right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7229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7229475"/>
                    </a:xfrm>
                    <a:prstGeom prst="rect">
                      <a:avLst/>
                    </a:prstGeom>
                    <a:noFill/>
                  </pic:spPr>
                </pic:pic>
              </a:graphicData>
            </a:graphic>
          </wp:anchor>
        </w:drawing>
        <w:t>Restrictive Covenants</w:t>
      </w:r>
    </w:p>
    <w:p>
      <w:pPr>
        <w:spacing w:after="0" w:line="8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 During the period of Executive's employment and for a period of one (1)</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year following Executive's termination of employment for any reason,</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shall not: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 singly, jointly, or in any other capacity, in a manner that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contributes to any research, design, development, strategy,</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marketing, promotion, or sales, or that relates to Executive's</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employment with the Company, directly or beneficially engage</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in, manage, join, participate in the management, operation or</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control of, or work for, or permit the use of her name by, or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provide financial or other assistance to, any person or entity that</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engages in the design, production, marketing, and retailing of (A)</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handbags and other bags and related accessories ("Handbag</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Competitive Activities"), or (B) accessories such as jewelry,</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travel and leisure items, and baby clothes and accessories ("Other</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Competitive Activities"), and, in the case of either (A) or ((B),</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has received in the prior fiscal year at least twenty-five percent</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(25%) of its revenues from Handbag Competitive Activities and</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more than fifty (50%) of its revenues from the combination of</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Handbag and Other Competitive Activities (a "Competitor");</w:t>
      </w:r>
    </w:p>
    <w:p>
      <w:pPr>
        <w:spacing w:after="0" w:line="211"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 provide any service or assistance to a Competitor, (A) that is of</w:t>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the general type of service or assistance provided by Executive to</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the Company, (B) that relates to any design, product, project or</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piece of work with which Executive was involved during her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employment, (C) that contributes to causing an entity to design,</w:t>
      </w:r>
    </w:p>
    <w:p>
      <w:pPr>
        <w:spacing w:after="0" w:line="32"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b w:val="1"/>
          <w:bCs w:val="1"/>
          <w:color w:val="auto"/>
        </w:rPr>
        <w:t>Non-Competition</w:t>
      </w:r>
      <w:r>
        <w:rPr>
          <w:sz w:val="20"/>
          <w:szCs w:val="20"/>
          <w:color w:val="auto"/>
        </w:rPr>
        <w:tab/>
      </w:r>
      <w:r>
        <w:rPr>
          <w:rFonts w:ascii="Arial" w:cs="Arial" w:eastAsia="Arial" w:hAnsi="Arial"/>
          <w:sz w:val="16"/>
          <w:szCs w:val="16"/>
          <w:color w:val="auto"/>
        </w:rPr>
        <w:t>manufacture, sell and market any product or service that</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competes with or that is similar to the handbags and other bags,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jewelry, travel and leisure items, and baby clothes and accessories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that are designed, produced, sold or marketed by the Company, or</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(D) in which there is a reasonable possibility that Executive may,</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intentionally or inadvertently, use or rely upon the Company's</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secret or confidential information;</w:t>
      </w:r>
    </w:p>
    <w:p>
      <w:pPr>
        <w:spacing w:after="0" w:line="21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 solicit or accept if offered to Executive, with or without</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solicitation, on his own behalf or on behalf of any other person,</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the services of any person who is a then-current employee of the</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Company (or was an employee of the Company during the year</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preceding such solicitation), (B) solicit any of the Company's</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then-current employees (or an individual who was employed by</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or engaged by the Company during the year preceding such</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solicitation) to terminate employment or an engagement with the</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Company, or (C) agree to hire any then-current employee (or an</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individual who was an employee of the Company during the year</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preceding such hire) of the Company into employment with</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or any company, individual or other entity; or</w:t>
      </w:r>
    </w:p>
    <w:p>
      <w:pPr>
        <w:spacing w:after="0" w:line="21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 On behalf of a Competitor, directly or indirectly divert or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attempt to divert from the Company any business in which the</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Company has been actively engaged during Executive's</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employment, nor interfere with the relationships of the Company</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or with their sources of business.</w:t>
      </w:r>
    </w:p>
    <w:p>
      <w:pPr>
        <w:sectPr>
          <w:pgSz w:w="11900" w:h="16838" w:orient="portrait"/>
          <w:cols w:equalWidth="0" w:num="1">
            <w:col w:w="11340"/>
          </w:cols>
          <w:pgMar w:left="280" w:top="756" w:right="27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Non-Disparagement</w:t>
      </w:r>
    </w:p>
    <w:p>
      <w:pPr>
        <w:spacing w:after="0" w:line="20" w:lineRule="exact"/>
        <w:rPr>
          <w:sz w:val="20"/>
          <w:szCs w:val="20"/>
          <w:color w:val="auto"/>
        </w:rPr>
      </w:pPr>
      <w:r>
        <w:rPr>
          <w:sz w:val="20"/>
          <w:szCs w:val="20"/>
          <w:color w:val="auto"/>
        </w:rPr>
        <w:br w:type="column"/>
      </w:r>
    </w:p>
    <w:p>
      <w:pPr>
        <w:ind w:left="320" w:right="20" w:hanging="3"/>
        <w:spacing w:after="0" w:line="297" w:lineRule="auto"/>
        <w:tabs>
          <w:tab w:leader="none" w:pos="4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Participant shall not during his employment (except in connection with the proper performance of his duties) and thereafter, disclose to any person or entity, or use for any reason or purpose, any material or significant secret or confidential information concerning the business of the Company that Participant obtained in the course of Participant's employment.</w:t>
      </w:r>
    </w:p>
    <w:p>
      <w:pPr>
        <w:spacing w:after="0" w:line="158" w:lineRule="exact"/>
        <w:rPr>
          <w:rFonts w:ascii="Arial" w:cs="Arial" w:eastAsia="Arial" w:hAnsi="Arial"/>
          <w:sz w:val="16"/>
          <w:szCs w:val="16"/>
          <w:color w:val="auto"/>
        </w:rPr>
      </w:pPr>
    </w:p>
    <w:p>
      <w:pPr>
        <w:ind w:left="320" w:hanging="3"/>
        <w:spacing w:after="0" w:line="279" w:lineRule="auto"/>
        <w:tabs>
          <w:tab w:leader="none" w:pos="4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Participant further agrees that if Participant's employment is terminated for any reason, Participant will not take, but will leave with the Company, all records and papers and all matter of whatever nature that bears secret or confidential information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-1416685</wp:posOffset>
            </wp:positionV>
            <wp:extent cx="7254875" cy="2426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426970"/>
                    </a:xfrm>
                    <a:prstGeom prst="rect">
                      <a:avLst/>
                    </a:prstGeom>
                    <a:noFill/>
                  </pic:spPr>
                </pic:pic>
              </a:graphicData>
            </a:graphic>
          </wp:anchor>
        </w:drawing>
      </w:r>
    </w:p>
    <w:p>
      <w:pPr>
        <w:spacing w:after="0" w:line="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Participant agrees not to make, repeat, authorize, or permit any person under his control to make, directly or indirectly, any public statements (whether oral or written), comments, remarks, or publications of any type or of any nature, to anyone, which would defame or disparage the business reputation, practices, or conduct of the Company (including its products, services or its business decisions), or its employees, directors or officers, or any of them, at any time now or in the future.</w:t>
      </w:r>
    </w:p>
    <w:p>
      <w:pPr>
        <w:sectPr>
          <w:pgSz w:w="11900" w:h="16838" w:orient="portrait"/>
          <w:cols w:equalWidth="0" w:num="2">
            <w:col w:w="4900" w:space="720"/>
            <w:col w:w="5720"/>
          </w:cols>
          <w:pgMar w:left="280" w:top="760"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282828"/>
        </w:rPr>
        <w:t>Exhibit 10.20</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u w:val="single" w:color="auto"/>
          <w:color w:val="282828"/>
        </w:rPr>
        <w:t>AMENDMENT NO.1 TO AMENDED AND RESTATED CREDIT AGREEMENT</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82828"/>
        </w:rPr>
        <w:t>This Amendment No. 1 to Amended and Restated Credit Agreement (this "Amendment") is entered into as of November 18, 2010 by and between Vera Bradley Designs, Inc., an Indiana corporation (the "Borrower"), and JPMorgan Chase Bank, National Association, as administrative agent (the "Administrative Agent"), acting with the consent of the Required Lenders.</w:t>
      </w:r>
    </w:p>
    <w:p>
      <w:pPr>
        <w:spacing w:after="0" w:line="39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282828"/>
        </w:rPr>
        <w:t>RECITALS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282828"/>
        </w:rPr>
        <w:t>A. The Borrower, the Administrative Agent and the Lenders are party to that certain Amended and Restated Credit Agreement dated as of October 4, 2010 (the "Credit Agreement"). Unless otherwise specified herein, capitalized terms used in this Amendment shall have the meanings ascribed to them by the Credit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82828"/>
        </w:rPr>
        <w:t>B. The Borrower and the Administrative Agent, acting with the consent of the Required Lenders, wish to amend the Credit Agreement on the terms and conditions set forth below.</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282828"/>
        </w:rPr>
        <w:t>Now, therefore, in consideration of the mutual execution hereof and other good and valuable consideration, the parties hereto agree as follows:</w:t>
      </w:r>
    </w:p>
    <w:p>
      <w:pPr>
        <w:spacing w:after="0" w:line="248" w:lineRule="exact"/>
        <w:rPr>
          <w:sz w:val="20"/>
          <w:szCs w:val="20"/>
          <w:color w:val="auto"/>
        </w:rPr>
      </w:pPr>
    </w:p>
    <w:p>
      <w:pPr>
        <w:ind w:right="80" w:firstLine="1306"/>
        <w:spacing w:after="0" w:line="277" w:lineRule="auto"/>
        <w:tabs>
          <w:tab w:leader="none" w:pos="1611" w:val="left"/>
        </w:tabs>
        <w:numPr>
          <w:ilvl w:val="0"/>
          <w:numId w:val="44"/>
        </w:numPr>
        <w:rPr>
          <w:rFonts w:ascii="Arial" w:cs="Arial" w:eastAsia="Arial" w:hAnsi="Arial"/>
          <w:sz w:val="18"/>
          <w:szCs w:val="18"/>
          <w:color w:val="282828"/>
        </w:rPr>
      </w:pPr>
      <w:r>
        <w:rPr>
          <w:rFonts w:ascii="Arial" w:cs="Arial" w:eastAsia="Arial" w:hAnsi="Arial"/>
          <w:sz w:val="18"/>
          <w:szCs w:val="18"/>
          <w:u w:val="single" w:color="auto"/>
          <w:color w:val="282828"/>
        </w:rPr>
        <w:t>Amendment to Credit Agreement</w:t>
      </w:r>
      <w:r>
        <w:rPr>
          <w:rFonts w:ascii="Arial" w:cs="Arial" w:eastAsia="Arial" w:hAnsi="Arial"/>
          <w:sz w:val="18"/>
          <w:szCs w:val="18"/>
          <w:color w:val="282828"/>
        </w:rPr>
        <w:t>. Upon the "Effective Date" (as defined below), Section 2.12(a) of the Credit Agreement is amended in its entirety to read as follows:</w:t>
      </w:r>
    </w:p>
    <w:p>
      <w:pPr>
        <w:spacing w:after="0" w:line="170" w:lineRule="exact"/>
        <w:rPr>
          <w:sz w:val="20"/>
          <w:szCs w:val="20"/>
          <w:color w:val="auto"/>
        </w:rPr>
      </w:pPr>
    </w:p>
    <w:p>
      <w:pPr>
        <w:jc w:val="both"/>
        <w:ind w:left="660" w:firstLine="1269"/>
        <w:spacing w:after="0" w:line="289" w:lineRule="auto"/>
        <w:rPr>
          <w:sz w:val="20"/>
          <w:szCs w:val="20"/>
          <w:color w:val="auto"/>
        </w:rPr>
      </w:pPr>
      <w:r>
        <w:rPr>
          <w:rFonts w:ascii="Arial" w:cs="Arial" w:eastAsia="Arial" w:hAnsi="Arial"/>
          <w:sz w:val="16"/>
          <w:szCs w:val="16"/>
          <w:color w:val="282828"/>
        </w:rPr>
        <w:t>"(a) The Borrower agrees to pay to the Administrative Agent for the account of each Lender</w:t>
      </w:r>
      <w:r>
        <w:rPr>
          <w:rFonts w:ascii="Arial" w:cs="Arial" w:eastAsia="Arial" w:hAnsi="Arial"/>
          <w:sz w:val="16"/>
          <w:szCs w:val="16"/>
          <w:color w:val="AFAFAF"/>
        </w:rPr>
        <w:t>.</w:t>
      </w:r>
      <w:r>
        <w:rPr>
          <w:rFonts w:ascii="Arial" w:cs="Arial" w:eastAsia="Arial" w:hAnsi="Arial"/>
          <w:sz w:val="16"/>
          <w:szCs w:val="16"/>
          <w:color w:val="282828"/>
        </w:rPr>
        <w:t xml:space="preserve"> a facility fee, which shall accrue at the Applicable Rate on the daily amount of the Commitment of such Lender (whether used or unused) during the period from and including the date hereof to but excluding the date on which such Commitment terminates; </w:t>
      </w:r>
      <w:r>
        <w:rPr>
          <w:rFonts w:ascii="Arial" w:cs="Arial" w:eastAsia="Arial" w:hAnsi="Arial"/>
          <w:sz w:val="16"/>
          <w:szCs w:val="16"/>
          <w:u w:val="single" w:color="auto"/>
          <w:color w:val="282828"/>
        </w:rPr>
        <w:t>provided</w:t>
      </w:r>
      <w:r>
        <w:rPr>
          <w:rFonts w:ascii="Arial" w:cs="Arial" w:eastAsia="Arial" w:hAnsi="Arial"/>
          <w:sz w:val="16"/>
          <w:szCs w:val="16"/>
          <w:color w:val="282828"/>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Accrued facility fees shall be payable in arrears on the last day of March, June, September and December of each year and on the date on which the Commitments terminate, commencing on the first such date to occur after the date hereof; </w:t>
      </w:r>
      <w:r>
        <w:rPr>
          <w:rFonts w:ascii="Arial" w:cs="Arial" w:eastAsia="Arial" w:hAnsi="Arial"/>
          <w:sz w:val="16"/>
          <w:szCs w:val="16"/>
          <w:u w:val="single" w:color="auto"/>
          <w:color w:val="282828"/>
        </w:rPr>
        <w:t>provided</w:t>
      </w:r>
      <w:r>
        <w:rPr>
          <w:rFonts w:ascii="Arial" w:cs="Arial" w:eastAsia="Arial" w:hAnsi="Arial"/>
          <w:sz w:val="16"/>
          <w:szCs w:val="16"/>
          <w:color w:val="282828"/>
        </w:rPr>
        <w:t xml:space="preserve"> that, any facility fees accruing after the date on which the Commitments terminate shall be payable on demand. All facility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10" w:lineRule="exact"/>
        <w:rPr>
          <w:sz w:val="20"/>
          <w:szCs w:val="20"/>
          <w:color w:val="auto"/>
        </w:rPr>
      </w:pPr>
    </w:p>
    <w:p>
      <w:pPr>
        <w:ind w:left="1340" w:right="300" w:hanging="7"/>
        <w:spacing w:after="0" w:line="277" w:lineRule="auto"/>
        <w:tabs>
          <w:tab w:leader="none" w:pos="1700" w:val="left"/>
        </w:tabs>
        <w:numPr>
          <w:ilvl w:val="1"/>
          <w:numId w:val="45"/>
        </w:numPr>
        <w:rPr>
          <w:rFonts w:ascii="Arial" w:cs="Arial" w:eastAsia="Arial" w:hAnsi="Arial"/>
          <w:sz w:val="18"/>
          <w:szCs w:val="18"/>
          <w:color w:val="313131"/>
        </w:rPr>
      </w:pPr>
      <w:r>
        <w:rPr>
          <w:rFonts w:ascii="Arial" w:cs="Arial" w:eastAsia="Arial" w:hAnsi="Arial"/>
          <w:sz w:val="18"/>
          <w:szCs w:val="18"/>
          <w:u w:val="single" w:color="auto"/>
          <w:color w:val="313131"/>
        </w:rPr>
        <w:t>Effective Date</w:t>
      </w:r>
      <w:r>
        <w:rPr>
          <w:rFonts w:ascii="Arial" w:cs="Arial" w:eastAsia="Arial" w:hAnsi="Arial"/>
          <w:sz w:val="18"/>
          <w:szCs w:val="18"/>
          <w:color w:val="313131"/>
        </w:rPr>
        <w:t>. This Amendment shall become effective on the date (the</w:t>
      </w:r>
      <w:r>
        <w:rPr>
          <w:rFonts w:ascii="Arial" w:cs="Arial" w:eastAsia="Arial" w:hAnsi="Arial"/>
          <w:sz w:val="18"/>
          <w:szCs w:val="18"/>
          <w:color w:val="4B4B4B"/>
        </w:rPr>
        <w:t>"</w:t>
      </w:r>
      <w:r>
        <w:rPr>
          <w:rFonts w:ascii="Arial" w:cs="Arial" w:eastAsia="Arial" w:hAnsi="Arial"/>
          <w:sz w:val="18"/>
          <w:szCs w:val="18"/>
          <w:color w:val="313131"/>
        </w:rPr>
        <w:t>Effective Date") on which the following conditions have been satisfied:</w:t>
      </w:r>
    </w:p>
    <w:p>
      <w:pPr>
        <w:spacing w:after="0" w:line="170" w:lineRule="exact"/>
        <w:rPr>
          <w:rFonts w:ascii="Arial" w:cs="Arial" w:eastAsia="Arial" w:hAnsi="Arial"/>
          <w:sz w:val="18"/>
          <w:szCs w:val="18"/>
          <w:color w:val="313131"/>
        </w:rPr>
      </w:pPr>
    </w:p>
    <w:p>
      <w:pPr>
        <w:ind w:left="1960" w:right="160" w:hanging="6"/>
        <w:spacing w:after="0" w:line="277" w:lineRule="auto"/>
        <w:tabs>
          <w:tab w:leader="none" w:pos="2385" w:val="left"/>
        </w:tabs>
        <w:numPr>
          <w:ilvl w:val="2"/>
          <w:numId w:val="45"/>
        </w:numPr>
        <w:rPr>
          <w:rFonts w:ascii="Arial" w:cs="Arial" w:eastAsia="Arial" w:hAnsi="Arial"/>
          <w:sz w:val="18"/>
          <w:szCs w:val="18"/>
          <w:color w:val="313131"/>
        </w:rPr>
      </w:pPr>
      <w:r>
        <w:rPr>
          <w:rFonts w:ascii="Arial" w:cs="Arial" w:eastAsia="Arial" w:hAnsi="Arial"/>
          <w:sz w:val="18"/>
          <w:szCs w:val="18"/>
          <w:color w:val="313131"/>
        </w:rPr>
        <w:t>The execution and delivery hereof by the Borrower and the Administrative Agent, acting with the consent of the Required Lenders; and</w:t>
      </w:r>
    </w:p>
    <w:p>
      <w:pPr>
        <w:spacing w:after="0" w:line="170" w:lineRule="exact"/>
        <w:rPr>
          <w:rFonts w:ascii="Arial" w:cs="Arial" w:eastAsia="Arial" w:hAnsi="Arial"/>
          <w:sz w:val="18"/>
          <w:szCs w:val="18"/>
          <w:color w:val="313131"/>
        </w:rPr>
      </w:pPr>
    </w:p>
    <w:p>
      <w:pPr>
        <w:ind w:left="1960" w:right="80" w:hanging="6"/>
        <w:spacing w:after="0" w:line="277" w:lineRule="auto"/>
        <w:tabs>
          <w:tab w:leader="none" w:pos="2395" w:val="left"/>
        </w:tabs>
        <w:numPr>
          <w:ilvl w:val="2"/>
          <w:numId w:val="45"/>
        </w:numPr>
        <w:rPr>
          <w:rFonts w:ascii="Arial" w:cs="Arial" w:eastAsia="Arial" w:hAnsi="Arial"/>
          <w:sz w:val="18"/>
          <w:szCs w:val="18"/>
          <w:color w:val="313131"/>
        </w:rPr>
      </w:pPr>
      <w:r>
        <w:rPr>
          <w:rFonts w:ascii="Arial" w:cs="Arial" w:eastAsia="Arial" w:hAnsi="Arial"/>
          <w:sz w:val="18"/>
          <w:szCs w:val="18"/>
          <w:color w:val="313131"/>
        </w:rPr>
        <w:t>The execution and delivery by Holdings and each of the Subsidiary Guarantors of a Reaffirmation substantially in the form of Exhibit A hereto</w:t>
      </w:r>
      <w:r>
        <w:rPr>
          <w:rFonts w:ascii="Arial" w:cs="Arial" w:eastAsia="Arial" w:hAnsi="Arial"/>
          <w:sz w:val="18"/>
          <w:szCs w:val="18"/>
          <w:color w:val="5D5D5D"/>
        </w:rPr>
        <w:t>.</w:t>
      </w:r>
    </w:p>
    <w:p>
      <w:pPr>
        <w:spacing w:after="0" w:line="170" w:lineRule="exact"/>
        <w:rPr>
          <w:rFonts w:ascii="Arial" w:cs="Arial" w:eastAsia="Arial" w:hAnsi="Arial"/>
          <w:sz w:val="18"/>
          <w:szCs w:val="18"/>
          <w:color w:val="313131"/>
        </w:rPr>
      </w:pPr>
    </w:p>
    <w:p>
      <w:pPr>
        <w:ind w:left="1660" w:hanging="354"/>
        <w:spacing w:after="0"/>
        <w:tabs>
          <w:tab w:leader="none" w:pos="1660" w:val="left"/>
        </w:tabs>
        <w:numPr>
          <w:ilvl w:val="0"/>
          <w:numId w:val="46"/>
        </w:numPr>
        <w:rPr>
          <w:rFonts w:ascii="Arial" w:cs="Arial" w:eastAsia="Arial" w:hAnsi="Arial"/>
          <w:sz w:val="18"/>
          <w:szCs w:val="18"/>
          <w:color w:val="313131"/>
        </w:rPr>
      </w:pPr>
      <w:r>
        <w:rPr>
          <w:rFonts w:ascii="Arial" w:cs="Arial" w:eastAsia="Arial" w:hAnsi="Arial"/>
          <w:sz w:val="18"/>
          <w:szCs w:val="18"/>
          <w:u w:val="single" w:color="auto"/>
          <w:color w:val="313131"/>
        </w:rPr>
        <w:t>Reference to and Effect Upon the Credit Agreement</w:t>
      </w:r>
      <w:r>
        <w:rPr>
          <w:rFonts w:ascii="Arial" w:cs="Arial" w:eastAsia="Arial" w:hAnsi="Arial"/>
          <w:sz w:val="18"/>
          <w:szCs w:val="18"/>
          <w:color w:val="313131"/>
        </w:rPr>
        <w:t>.</w:t>
      </w:r>
    </w:p>
    <w:p>
      <w:pPr>
        <w:spacing w:after="0" w:line="225" w:lineRule="exact"/>
        <w:rPr>
          <w:rFonts w:ascii="Arial" w:cs="Arial" w:eastAsia="Arial" w:hAnsi="Arial"/>
          <w:sz w:val="18"/>
          <w:szCs w:val="18"/>
          <w:color w:val="313131"/>
        </w:rPr>
      </w:pPr>
    </w:p>
    <w:p>
      <w:pPr>
        <w:ind w:left="680" w:firstLine="1274"/>
        <w:spacing w:after="0" w:line="277" w:lineRule="auto"/>
        <w:tabs>
          <w:tab w:leader="none" w:pos="2208" w:val="left"/>
        </w:tabs>
        <w:numPr>
          <w:ilvl w:val="2"/>
          <w:numId w:val="46"/>
        </w:numPr>
        <w:rPr>
          <w:rFonts w:ascii="Arial" w:cs="Arial" w:eastAsia="Arial" w:hAnsi="Arial"/>
          <w:sz w:val="18"/>
          <w:szCs w:val="18"/>
          <w:color w:val="313131"/>
        </w:rPr>
      </w:pPr>
      <w:r>
        <w:rPr>
          <w:rFonts w:ascii="Arial" w:cs="Arial" w:eastAsia="Arial" w:hAnsi="Arial"/>
          <w:sz w:val="18"/>
          <w:szCs w:val="18"/>
          <w:color w:val="313131"/>
        </w:rPr>
        <w:t>Except as specifically amended above, the Credit Agreement and the other Credit Documents shall remain in full force and effect and are hereby ratified and confirmed.</w:t>
      </w:r>
    </w:p>
    <w:p>
      <w:pPr>
        <w:spacing w:after="0" w:line="170" w:lineRule="exact"/>
        <w:rPr>
          <w:rFonts w:ascii="Arial" w:cs="Arial" w:eastAsia="Arial" w:hAnsi="Arial"/>
          <w:sz w:val="18"/>
          <w:szCs w:val="18"/>
          <w:color w:val="313131"/>
        </w:rPr>
      </w:pPr>
    </w:p>
    <w:p>
      <w:pPr>
        <w:jc w:val="both"/>
        <w:ind w:left="680" w:firstLine="1274"/>
        <w:spacing w:after="0" w:line="302" w:lineRule="auto"/>
        <w:tabs>
          <w:tab w:leader="none" w:pos="2204" w:val="left"/>
        </w:tabs>
        <w:numPr>
          <w:ilvl w:val="2"/>
          <w:numId w:val="46"/>
        </w:numPr>
        <w:rPr>
          <w:rFonts w:ascii="Arial" w:cs="Arial" w:eastAsia="Arial" w:hAnsi="Arial"/>
          <w:sz w:val="16"/>
          <w:szCs w:val="16"/>
          <w:color w:val="313131"/>
        </w:rPr>
      </w:pPr>
      <w:r>
        <w:rPr>
          <w:rFonts w:ascii="Arial" w:cs="Arial" w:eastAsia="Arial" w:hAnsi="Arial"/>
          <w:sz w:val="16"/>
          <w:szCs w:val="16"/>
          <w:color w:val="313131"/>
        </w:rPr>
        <w:t>The execution, delivery and effectiveness of this Amendment shall not operate as a waiver of any right, power or remedy of the Administrative Agent or any Lender under the Credit Agreement or any Credit Document, nor constitute a waiver of any provision of the Credit Agreement or any Credit Document, except as specifically set forth herein. Upon the effectiveness of this Amendment, each reference in the Credit Agreement to ''this Agreement", "hereunder", "hereof", "herein" or words of similar import shall mean and be a reference to the Credit</w:t>
      </w:r>
    </w:p>
    <w:p>
      <w:pPr>
        <w:sectPr>
          <w:pgSz w:w="11900" w:h="16838" w:orient="portrait"/>
          <w:cols w:equalWidth="0" w:num="1">
            <w:col w:w="11340"/>
          </w:cols>
          <w:pgMar w:left="320" w:top="580" w:right="239" w:bottom="1440" w:gutter="0" w:footer="0" w:header="0"/>
        </w:sectPr>
      </w:pPr>
    </w:p>
    <w:bookmarkStart w:id="76" w:name="page77"/>
    <w:bookmarkEnd w:id="76"/>
    <w:p>
      <w:pPr>
        <w:ind w:left="760"/>
        <w:spacing w:after="0"/>
        <w:rPr>
          <w:sz w:val="20"/>
          <w:szCs w:val="20"/>
          <w:color w:val="auto"/>
        </w:rPr>
      </w:pPr>
      <w:r>
        <w:rPr>
          <w:rFonts w:ascii="Arial" w:cs="Arial" w:eastAsia="Arial" w:hAnsi="Arial"/>
          <w:sz w:val="18"/>
          <w:szCs w:val="18"/>
          <w:color w:val="313131"/>
        </w:rPr>
        <w:t>Agreement as amended hereby.</w:t>
      </w:r>
    </w:p>
    <w:p>
      <w:pPr>
        <w:spacing w:after="0" w:line="225"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313131"/>
        </w:rPr>
        <w:t>4</w:t>
      </w:r>
      <w:r>
        <w:rPr>
          <w:rFonts w:ascii="Arial" w:cs="Arial" w:eastAsia="Arial" w:hAnsi="Arial"/>
          <w:sz w:val="18"/>
          <w:szCs w:val="18"/>
          <w:color w:val="4B4B4B"/>
        </w:rPr>
        <w:t>.</w:t>
      </w:r>
      <w:r>
        <w:rPr>
          <w:sz w:val="20"/>
          <w:szCs w:val="20"/>
          <w:color w:val="auto"/>
        </w:rPr>
        <w:tab/>
      </w:r>
      <w:r>
        <w:rPr>
          <w:rFonts w:ascii="Arial" w:cs="Arial" w:eastAsia="Arial" w:hAnsi="Arial"/>
          <w:sz w:val="16"/>
          <w:szCs w:val="16"/>
          <w:u w:val="single" w:color="auto"/>
          <w:color w:val="313131"/>
        </w:rPr>
        <w:t>Governing Law</w:t>
      </w:r>
      <w:r>
        <w:rPr>
          <w:rFonts w:ascii="Arial" w:cs="Arial" w:eastAsia="Arial" w:hAnsi="Arial"/>
          <w:sz w:val="16"/>
          <w:szCs w:val="16"/>
          <w:color w:val="4B4B4B"/>
        </w:rPr>
        <w:t>.</w:t>
      </w:r>
      <w:r>
        <w:rPr>
          <w:rFonts w:ascii="Arial" w:cs="Arial" w:eastAsia="Arial" w:hAnsi="Arial"/>
          <w:sz w:val="16"/>
          <w:szCs w:val="16"/>
          <w:u w:val="single" w:color="auto"/>
          <w:color w:val="313131"/>
        </w:rPr>
        <w:t xml:space="preserve"> </w:t>
      </w:r>
      <w:r>
        <w:rPr>
          <w:rFonts w:ascii="Arial" w:cs="Arial" w:eastAsia="Arial" w:hAnsi="Arial"/>
          <w:sz w:val="16"/>
          <w:szCs w:val="16"/>
          <w:color w:val="313131"/>
        </w:rPr>
        <w:t>This Amendment shall be construed in accordance with and governed by the law of the State of New York.</w:t>
      </w:r>
    </w:p>
    <w:p>
      <w:pPr>
        <w:spacing w:after="0" w:line="225" w:lineRule="exact"/>
        <w:rPr>
          <w:sz w:val="20"/>
          <w:szCs w:val="20"/>
          <w:color w:val="auto"/>
        </w:rPr>
      </w:pPr>
    </w:p>
    <w:p>
      <w:pPr>
        <w:ind w:left="80" w:firstLine="1297"/>
        <w:spacing w:after="0" w:line="277" w:lineRule="auto"/>
        <w:rPr>
          <w:sz w:val="20"/>
          <w:szCs w:val="20"/>
          <w:color w:val="auto"/>
        </w:rPr>
      </w:pPr>
      <w:r>
        <w:rPr>
          <w:rFonts w:ascii="Arial" w:cs="Arial" w:eastAsia="Arial" w:hAnsi="Arial"/>
          <w:sz w:val="18"/>
          <w:szCs w:val="18"/>
          <w:color w:val="313131"/>
        </w:rPr>
        <w:t>5</w:t>
      </w:r>
      <w:r>
        <w:rPr>
          <w:rFonts w:ascii="Arial" w:cs="Arial" w:eastAsia="Arial" w:hAnsi="Arial"/>
          <w:sz w:val="18"/>
          <w:szCs w:val="18"/>
          <w:color w:val="4B4B4B"/>
        </w:rPr>
        <w:t>.</w:t>
      </w:r>
      <w:r>
        <w:rPr>
          <w:rFonts w:ascii="Arial" w:cs="Arial" w:eastAsia="Arial" w:hAnsi="Arial"/>
          <w:sz w:val="18"/>
          <w:szCs w:val="18"/>
          <w:color w:val="313131"/>
        </w:rPr>
        <w:t xml:space="preserve"> </w:t>
      </w:r>
      <w:r>
        <w:rPr>
          <w:rFonts w:ascii="Arial" w:cs="Arial" w:eastAsia="Arial" w:hAnsi="Arial"/>
          <w:sz w:val="18"/>
          <w:szCs w:val="18"/>
          <w:u w:val="single" w:color="auto"/>
          <w:color w:val="313131"/>
        </w:rPr>
        <w:t>Headings</w:t>
      </w:r>
      <w:r>
        <w:rPr>
          <w:rFonts w:ascii="Arial" w:cs="Arial" w:eastAsia="Arial" w:hAnsi="Arial"/>
          <w:sz w:val="18"/>
          <w:szCs w:val="18"/>
          <w:color w:val="313131"/>
        </w:rPr>
        <w:t>. Section headings in this Amendment are included here</w:t>
      </w:r>
      <w:r>
        <w:rPr>
          <w:rFonts w:ascii="Arial" w:cs="Arial" w:eastAsia="Arial" w:hAnsi="Arial"/>
          <w:sz w:val="18"/>
          <w:szCs w:val="18"/>
          <w:color w:val="4B4B4B"/>
        </w:rPr>
        <w:t>i</w:t>
      </w:r>
      <w:r>
        <w:rPr>
          <w:rFonts w:ascii="Arial" w:cs="Arial" w:eastAsia="Arial" w:hAnsi="Arial"/>
          <w:sz w:val="18"/>
          <w:szCs w:val="18"/>
          <w:color w:val="313131"/>
        </w:rPr>
        <w:t>n for convenience of reference only and shall not constitute a part of this Amendment for any other purposes</w:t>
      </w:r>
      <w:r>
        <w:rPr>
          <w:rFonts w:ascii="Arial" w:cs="Arial" w:eastAsia="Arial" w:hAnsi="Arial"/>
          <w:sz w:val="18"/>
          <w:szCs w:val="18"/>
          <w:color w:val="4B4B4B"/>
        </w:rPr>
        <w:t>.</w:t>
      </w:r>
    </w:p>
    <w:p>
      <w:pPr>
        <w:spacing w:after="0" w:line="170" w:lineRule="exact"/>
        <w:rPr>
          <w:sz w:val="20"/>
          <w:szCs w:val="20"/>
          <w:color w:val="auto"/>
        </w:rPr>
      </w:pPr>
    </w:p>
    <w:p>
      <w:pPr>
        <w:jc w:val="both"/>
        <w:ind w:left="120" w:firstLine="1266"/>
        <w:spacing w:after="0" w:line="264" w:lineRule="auto"/>
        <w:tabs>
          <w:tab w:leader="none" w:pos="1763" w:val="left"/>
        </w:tabs>
        <w:numPr>
          <w:ilvl w:val="0"/>
          <w:numId w:val="47"/>
        </w:numPr>
        <w:rPr>
          <w:rFonts w:ascii="Arial" w:cs="Arial" w:eastAsia="Arial" w:hAnsi="Arial"/>
          <w:sz w:val="18"/>
          <w:szCs w:val="18"/>
          <w:color w:val="313131"/>
        </w:rPr>
      </w:pPr>
      <w:r>
        <w:rPr>
          <w:rFonts w:ascii="Arial" w:cs="Arial" w:eastAsia="Arial" w:hAnsi="Arial"/>
          <w:sz w:val="18"/>
          <w:szCs w:val="18"/>
          <w:u w:val="single" w:color="auto"/>
          <w:color w:val="313131"/>
        </w:rPr>
        <w:t>Counterparts</w:t>
      </w:r>
      <w:r>
        <w:rPr>
          <w:rFonts w:ascii="Arial" w:cs="Arial" w:eastAsia="Arial" w:hAnsi="Arial"/>
          <w:sz w:val="18"/>
          <w:szCs w:val="18"/>
          <w:color w:val="4B4B4B"/>
        </w:rPr>
        <w:t>.</w:t>
      </w:r>
      <w:r>
        <w:rPr>
          <w:rFonts w:ascii="Arial" w:cs="Arial" w:eastAsia="Arial" w:hAnsi="Arial"/>
          <w:sz w:val="18"/>
          <w:szCs w:val="18"/>
          <w:color w:val="313131"/>
        </w:rPr>
        <w:t xml:space="preserve"> This Amendment may be executed in any number of counterparts, each of which when so executed shall be deemed an original but all such counterparts shall constitute one and the same instrument. Delivery of an executed signature page of this Amendment by facsimile transmission or be electronic mail shall be effective as delivery of manually executed counterpart hereof.</w:t>
      </w:r>
    </w:p>
    <w:p>
      <w:pPr>
        <w:spacing w:after="0" w:line="195" w:lineRule="exact"/>
        <w:rPr>
          <w:sz w:val="20"/>
          <w:szCs w:val="20"/>
          <w:color w:val="auto"/>
        </w:rPr>
      </w:pPr>
    </w:p>
    <w:p>
      <w:pPr>
        <w:ind w:left="5160"/>
        <w:spacing w:after="0"/>
        <w:rPr>
          <w:sz w:val="20"/>
          <w:szCs w:val="20"/>
          <w:color w:val="auto"/>
        </w:rPr>
      </w:pPr>
      <w:r>
        <w:rPr>
          <w:rFonts w:ascii="Arial" w:cs="Arial" w:eastAsia="Arial" w:hAnsi="Arial"/>
          <w:sz w:val="18"/>
          <w:szCs w:val="18"/>
          <w:color w:val="282828"/>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313131"/>
        </w:rPr>
        <w:t>CHI</w:t>
      </w:r>
      <w:r>
        <w:rPr>
          <w:rFonts w:ascii="Arial" w:cs="Arial" w:eastAsia="Arial" w:hAnsi="Arial"/>
          <w:sz w:val="18"/>
          <w:szCs w:val="18"/>
          <w:color w:val="5D5D5D"/>
        </w:rPr>
        <w:t>:</w:t>
      </w:r>
      <w:r>
        <w:rPr>
          <w:rFonts w:ascii="Arial" w:cs="Arial" w:eastAsia="Arial" w:hAnsi="Arial"/>
          <w:sz w:val="18"/>
          <w:szCs w:val="18"/>
          <w:color w:val="313131"/>
        </w:rPr>
        <w:t>2468383</w:t>
      </w:r>
      <w:r>
        <w:rPr>
          <w:rFonts w:ascii="Arial" w:cs="Arial" w:eastAsia="Arial" w:hAnsi="Arial"/>
          <w:sz w:val="18"/>
          <w:szCs w:val="18"/>
          <w:color w:val="727272"/>
        </w:rPr>
        <w:t>.</w:t>
      </w:r>
      <w:r>
        <w:rPr>
          <w:rFonts w:ascii="Arial" w:cs="Arial" w:eastAsia="Arial" w:hAnsi="Arial"/>
          <w:sz w:val="18"/>
          <w:szCs w:val="18"/>
          <w:color w:val="313131"/>
        </w:rPr>
        <w:t>2</w:t>
      </w:r>
    </w:p>
    <w:p>
      <w:pPr>
        <w:sectPr>
          <w:pgSz w:w="11900" w:h="16838" w:orient="portrait"/>
          <w:cols w:equalWidth="0" w:num="1">
            <w:col w:w="11420"/>
          </w:cols>
          <w:pgMar w:left="240" w:top="584" w:right="239" w:bottom="1440" w:gutter="0" w:footer="0" w:header="0"/>
        </w:sectPr>
      </w:pPr>
    </w:p>
    <w:bookmarkStart w:id="77" w:name="page78"/>
    <w:bookmarkEnd w:id="77"/>
    <w:p>
      <w:pPr>
        <w:ind w:left="80"/>
        <w:spacing w:after="0"/>
        <w:rPr>
          <w:sz w:val="20"/>
          <w:szCs w:val="20"/>
          <w:color w:val="auto"/>
        </w:rPr>
      </w:pPr>
      <w:r>
        <w:rPr>
          <w:rFonts w:ascii="Arial" w:cs="Arial" w:eastAsia="Arial" w:hAnsi="Arial"/>
          <w:sz w:val="18"/>
          <w:szCs w:val="18"/>
          <w:color w:val="2A2A2A"/>
        </w:rPr>
        <w:t>IN WITNESS WHEREOF, the parties have executed this Amendment as of the date and year first above written.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2A2A2A"/>
        </w:rPr>
        <w:t>.</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VERA BRADLEY DESIGNS, INC.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31750</wp:posOffset>
            </wp:positionV>
            <wp:extent cx="29673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David R. Traylor</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VP, Finance</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JPMORGAN CHASE BANK, NATIONAL ASSOCIATION,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 Administrative Agent and acting with the consent of the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Required Lenders</w:t>
      </w:r>
    </w:p>
    <w:p>
      <w:pPr>
        <w:spacing w:after="0" w:line="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Stephanie L. 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31750</wp:posOffset>
            </wp:positionV>
            <wp:extent cx="29673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Stephanie L. Yoder</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40"/>
        <w:spacing w:after="0"/>
        <w:rPr>
          <w:sz w:val="20"/>
          <w:szCs w:val="20"/>
          <w:color w:val="auto"/>
        </w:rPr>
      </w:pPr>
      <w:r>
        <w:rPr>
          <w:rFonts w:ascii="Arial" w:cs="Arial" w:eastAsia="Arial" w:hAnsi="Arial"/>
          <w:sz w:val="18"/>
          <w:szCs w:val="18"/>
          <w:color w:val="2A2A2A"/>
        </w:rPr>
        <w:t>[Signature Page to Amendment No.1 to Amended and Restated Credit Agreement]</w:t>
      </w:r>
    </w:p>
    <w:p>
      <w:pPr>
        <w:sectPr>
          <w:pgSz w:w="11900" w:h="16838" w:orient="portrait"/>
          <w:cols w:equalWidth="0" w:num="1">
            <w:col w:w="10220"/>
          </w:cols>
          <w:pgMar w:left="1440" w:top="61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2F2F2F"/>
        </w:rPr>
        <w:t>EXHIBIT 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282828"/>
        </w:rPr>
        <w:t>REAFFIRMATION</w:t>
      </w:r>
    </w:p>
    <w:p>
      <w:pPr>
        <w:spacing w:after="0" w:line="229" w:lineRule="exact"/>
        <w:rPr>
          <w:sz w:val="20"/>
          <w:szCs w:val="20"/>
          <w:color w:val="auto"/>
        </w:rPr>
      </w:pPr>
    </w:p>
    <w:p>
      <w:pPr>
        <w:jc w:val="both"/>
        <w:ind w:left="80" w:firstLine="1189"/>
        <w:spacing w:after="0" w:line="279" w:lineRule="auto"/>
        <w:rPr>
          <w:sz w:val="20"/>
          <w:szCs w:val="20"/>
          <w:color w:val="auto"/>
        </w:rPr>
      </w:pPr>
      <w:r>
        <w:rPr>
          <w:rFonts w:ascii="Arial" w:cs="Arial" w:eastAsia="Arial" w:hAnsi="Arial"/>
          <w:sz w:val="17"/>
          <w:szCs w:val="17"/>
          <w:color w:val="2F2F2F"/>
        </w:rPr>
        <w:t>Each of the undersigned (i) acknowledges receipt of a copy of Amendment No</w:t>
      </w:r>
      <w:r>
        <w:rPr>
          <w:rFonts w:ascii="Arial" w:cs="Arial" w:eastAsia="Arial" w:hAnsi="Arial"/>
          <w:sz w:val="17"/>
          <w:szCs w:val="17"/>
          <w:color w:val="666666"/>
        </w:rPr>
        <w:t>.</w:t>
      </w:r>
      <w:r>
        <w:rPr>
          <w:rFonts w:ascii="Arial" w:cs="Arial" w:eastAsia="Arial" w:hAnsi="Arial"/>
          <w:sz w:val="17"/>
          <w:szCs w:val="17"/>
          <w:color w:val="2F2F2F"/>
        </w:rPr>
        <w:t xml:space="preserve"> 1 to Amended and Restated Credit Agreement (the "Amendment"), amending the Amended and Restated Credit Agreement dated as of October 4, 2010, (ii) consents to the Amendment and each of the transactions referenced therein, and (iii) hereby reaffirms </w:t>
      </w:r>
      <w:r>
        <w:rPr>
          <w:rFonts w:ascii="Arial" w:cs="Arial" w:eastAsia="Arial" w:hAnsi="Arial"/>
          <w:sz w:val="17"/>
          <w:szCs w:val="17"/>
          <w:color w:val="424242"/>
        </w:rPr>
        <w:t>its</w:t>
      </w:r>
      <w:r>
        <w:rPr>
          <w:rFonts w:ascii="Arial" w:cs="Arial" w:eastAsia="Arial" w:hAnsi="Arial"/>
          <w:sz w:val="17"/>
          <w:szCs w:val="17"/>
          <w:color w:val="2F2F2F"/>
        </w:rPr>
        <w:t xml:space="preserve"> obligations, as applicable, under the Subsidiary Guaranty dated as of November 26, 2008 and the Parent Guaranty dated as of October 4, 2010, each, in favor of JPMorgan Chase Bank, National Association, as Administrative Agent.</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2F2F2F"/>
        </w:rPr>
        <w:t>Dated as of November 18, 2010</w:t>
      </w:r>
    </w:p>
    <w:p>
      <w:pPr>
        <w:spacing w:after="0" w:line="38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INC.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VP, Finance</w:t>
      </w: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RETAIL STORES, LLC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VP, Finance</w:t>
      </w: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INTERNATIONAL, LLC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VP, Finance</w:t>
      </w:r>
    </w:p>
    <w:p>
      <w:pPr>
        <w:sectPr>
          <w:pgSz w:w="11900" w:h="16838" w:orient="portrait"/>
          <w:cols w:equalWidth="0" w:num="1">
            <w:col w:w="11420"/>
          </w:cols>
          <w:pgMar w:left="240" w:top="59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242424"/>
        </w:rPr>
        <w:t>Exhibit 10.21</w:t>
      </w:r>
    </w:p>
    <w:p>
      <w:pPr>
        <w:spacing w:after="0" w:line="36" w:lineRule="exact"/>
        <w:rPr>
          <w:sz w:val="20"/>
          <w:szCs w:val="20"/>
          <w:color w:val="auto"/>
        </w:rPr>
      </w:pPr>
    </w:p>
    <w:p>
      <w:pPr>
        <w:ind w:left="2260"/>
        <w:spacing w:after="0"/>
        <w:rPr>
          <w:sz w:val="20"/>
          <w:szCs w:val="20"/>
          <w:color w:val="auto"/>
        </w:rPr>
      </w:pPr>
      <w:r>
        <w:rPr>
          <w:rFonts w:ascii="Arial" w:cs="Arial" w:eastAsia="Arial" w:hAnsi="Arial"/>
          <w:sz w:val="18"/>
          <w:szCs w:val="18"/>
          <w:b w:val="1"/>
          <w:bCs w:val="1"/>
          <w:u w:val="single" w:color="auto"/>
          <w:color w:val="242424"/>
        </w:rPr>
        <w:t>AMENDMENT NO.2 TO AMENDED AND RESTATED CREDIT AGREEMENT AND WAIVER</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82828"/>
        </w:rPr>
        <w:t>This Amendment No. 2 to Amended and Restated Credit Agreement and Waiver (this "Amendment'') is entered into as of March 10, 2011 by and between Vera Bradley Designs, Inc., an Indiana corporation (the "Borrower"), and JPMorgan Chase Bank, National Association, as administrative agent (the "Administrative Agent''), acting with the consent of the Required Lenders.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42424"/>
        </w:rPr>
        <w:t>RECITALS</w:t>
      </w:r>
    </w:p>
    <w:p>
      <w:pPr>
        <w:spacing w:after="0" w:line="229" w:lineRule="exact"/>
        <w:rPr>
          <w:sz w:val="20"/>
          <w:szCs w:val="20"/>
          <w:color w:val="auto"/>
        </w:rPr>
      </w:pPr>
    </w:p>
    <w:p>
      <w:pPr>
        <w:jc w:val="both"/>
        <w:ind w:firstLine="8"/>
        <w:spacing w:after="0" w:line="264" w:lineRule="auto"/>
        <w:tabs>
          <w:tab w:leader="none" w:pos="411" w:val="left"/>
        </w:tabs>
        <w:numPr>
          <w:ilvl w:val="0"/>
          <w:numId w:val="48"/>
        </w:numPr>
        <w:rPr>
          <w:rFonts w:ascii="Arial" w:cs="Arial" w:eastAsia="Arial" w:hAnsi="Arial"/>
          <w:sz w:val="18"/>
          <w:szCs w:val="18"/>
          <w:color w:val="242424"/>
        </w:rPr>
      </w:pPr>
      <w:r>
        <w:rPr>
          <w:rFonts w:ascii="Arial" w:cs="Arial" w:eastAsia="Arial" w:hAnsi="Arial"/>
          <w:sz w:val="18"/>
          <w:szCs w:val="18"/>
          <w:color w:val="242424"/>
        </w:rPr>
        <w:t>The Borrower, the Administrative Agent and the Lenders are party to that certain Amended and Restated Credit Agreement dated as of October 4, 2010 (as amended from time to time, the "Credit Agreement"). Unless otherwise specified herein, capitalized terms used in this Amendment shall have the meanings ascribed to them by the Credit Agreement.</w:t>
      </w:r>
    </w:p>
    <w:p>
      <w:pPr>
        <w:spacing w:after="0" w:line="194" w:lineRule="exact"/>
        <w:rPr>
          <w:rFonts w:ascii="Arial" w:cs="Arial" w:eastAsia="Arial" w:hAnsi="Arial"/>
          <w:sz w:val="18"/>
          <w:szCs w:val="18"/>
          <w:color w:val="242424"/>
        </w:rPr>
      </w:pPr>
    </w:p>
    <w:p>
      <w:pPr>
        <w:ind w:firstLine="8"/>
        <w:spacing w:after="0" w:line="277" w:lineRule="auto"/>
        <w:tabs>
          <w:tab w:leader="none" w:pos="467" w:val="left"/>
        </w:tabs>
        <w:numPr>
          <w:ilvl w:val="0"/>
          <w:numId w:val="48"/>
        </w:numPr>
        <w:rPr>
          <w:rFonts w:ascii="Arial" w:cs="Arial" w:eastAsia="Arial" w:hAnsi="Arial"/>
          <w:sz w:val="18"/>
          <w:szCs w:val="18"/>
          <w:color w:val="242424"/>
        </w:rPr>
      </w:pPr>
      <w:r>
        <w:rPr>
          <w:rFonts w:ascii="Arial" w:cs="Arial" w:eastAsia="Arial" w:hAnsi="Arial"/>
          <w:sz w:val="18"/>
          <w:szCs w:val="18"/>
          <w:color w:val="242424"/>
        </w:rPr>
        <w:t>The Borrower, the Subsidiary Guarantors and the Administrative Agent, acting with the consent of the Required Lenders, wish to amend the Credit Agreement and the Security Agreement and waive certain provisions thereof on the terms and conditions set forth below</w:t>
      </w:r>
      <w:r>
        <w:rPr>
          <w:rFonts w:ascii="Arial" w:cs="Arial" w:eastAsia="Arial" w:hAnsi="Arial"/>
          <w:sz w:val="18"/>
          <w:szCs w:val="18"/>
          <w:color w:val="575757"/>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242424"/>
        </w:rPr>
        <w:t>Now, therefore, in consideration of the mutual execution hereof and other good and valuable consideration, the parties hereto agree as follows:</w:t>
      </w:r>
    </w:p>
    <w:p>
      <w:pPr>
        <w:spacing w:after="0" w:line="237"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242424"/>
        </w:rPr>
      </w:pPr>
      <w:r>
        <w:rPr>
          <w:rFonts w:ascii="Arial" w:cs="Arial" w:eastAsia="Arial" w:hAnsi="Arial"/>
          <w:sz w:val="18"/>
          <w:szCs w:val="18"/>
          <w:u w:val="single" w:color="auto"/>
          <w:color w:val="242424"/>
        </w:rPr>
        <w:t>Amendments to Credit Agreement</w:t>
      </w:r>
      <w:r>
        <w:rPr>
          <w:rFonts w:ascii="Arial" w:cs="Arial" w:eastAsia="Arial" w:hAnsi="Arial"/>
          <w:sz w:val="18"/>
          <w:szCs w:val="18"/>
          <w:color w:val="242424"/>
        </w:rPr>
        <w:t>. Upon the "Effective Date" (as defined below), the Credit Agreement shall be amended as follows:</w:t>
      </w:r>
    </w:p>
    <w:p>
      <w:pPr>
        <w:spacing w:after="0" w:line="225" w:lineRule="exact"/>
        <w:rPr>
          <w:rFonts w:ascii="Arial" w:cs="Arial" w:eastAsia="Arial" w:hAnsi="Arial"/>
          <w:sz w:val="18"/>
          <w:szCs w:val="18"/>
          <w:color w:val="242424"/>
        </w:rPr>
      </w:pPr>
    </w:p>
    <w:p>
      <w:pPr>
        <w:ind w:left="840" w:hanging="427"/>
        <w:spacing w:after="0"/>
        <w:tabs>
          <w:tab w:leader="none" w:pos="840" w:val="left"/>
        </w:tabs>
        <w:numPr>
          <w:ilvl w:val="1"/>
          <w:numId w:val="49"/>
        </w:numPr>
        <w:rPr>
          <w:rFonts w:ascii="Arial" w:cs="Arial" w:eastAsia="Arial" w:hAnsi="Arial"/>
          <w:sz w:val="18"/>
          <w:szCs w:val="18"/>
          <w:color w:val="242424"/>
        </w:rPr>
      </w:pPr>
      <w:r>
        <w:rPr>
          <w:rFonts w:ascii="Arial" w:cs="Arial" w:eastAsia="Arial" w:hAnsi="Arial"/>
          <w:sz w:val="18"/>
          <w:szCs w:val="18"/>
          <w:color w:val="242424"/>
        </w:rPr>
        <w:t>Section 1.01 shall be amended by inserting the following new defined term therein in the appropriate alphabetical order: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242424"/>
        </w:rPr>
        <w:t>"</w:t>
      </w:r>
      <w:r>
        <w:rPr>
          <w:rFonts w:ascii="Arial" w:cs="Arial" w:eastAsia="Arial" w:hAnsi="Arial"/>
          <w:sz w:val="18"/>
          <w:szCs w:val="18"/>
          <w:u w:val="single" w:color="auto"/>
          <w:color w:val="242424"/>
        </w:rPr>
        <w:t>Domestic Credit Parties</w:t>
      </w:r>
      <w:r>
        <w:rPr>
          <w:rFonts w:ascii="Arial" w:cs="Arial" w:eastAsia="Arial" w:hAnsi="Arial"/>
          <w:sz w:val="18"/>
          <w:szCs w:val="18"/>
          <w:color w:val="242424"/>
        </w:rPr>
        <w:t>" means Holdings, the Borrower and each Subsidiary Guarantor that is a Domestic Subsidiary</w:t>
      </w:r>
      <w:r>
        <w:rPr>
          <w:rFonts w:ascii="Arial" w:cs="Arial" w:eastAsia="Arial" w:hAnsi="Arial"/>
          <w:sz w:val="18"/>
          <w:szCs w:val="18"/>
          <w:color w:val="575757"/>
        </w:rPr>
        <w:t>.</w:t>
      </w:r>
    </w:p>
    <w:p>
      <w:pPr>
        <w:spacing w:after="0" w:line="239" w:lineRule="exact"/>
        <w:rPr>
          <w:sz w:val="20"/>
          <w:szCs w:val="20"/>
          <w:color w:val="auto"/>
        </w:rPr>
      </w:pPr>
    </w:p>
    <w:p>
      <w:pPr>
        <w:ind w:left="840" w:hanging="427"/>
        <w:spacing w:after="0"/>
        <w:tabs>
          <w:tab w:leader="none" w:pos="840" w:val="left"/>
        </w:tabs>
        <w:numPr>
          <w:ilvl w:val="0"/>
          <w:numId w:val="50"/>
        </w:numPr>
        <w:rPr>
          <w:rFonts w:ascii="Arial" w:cs="Arial" w:eastAsia="Arial" w:hAnsi="Arial"/>
          <w:sz w:val="16"/>
          <w:szCs w:val="16"/>
          <w:color w:val="242424"/>
        </w:rPr>
      </w:pPr>
      <w:r>
        <w:rPr>
          <w:rFonts w:ascii="Arial" w:cs="Arial" w:eastAsia="Arial" w:hAnsi="Arial"/>
          <w:sz w:val="16"/>
          <w:szCs w:val="16"/>
          <w:color w:val="242424"/>
        </w:rPr>
        <w:t xml:space="preserve">Section 5.l0(a)(ii) shall be amended by inserting the following words at the end thereof after the words </w:t>
      </w:r>
      <w:r>
        <w:rPr>
          <w:rFonts w:ascii="Arial" w:cs="Arial" w:eastAsia="Arial" w:hAnsi="Arial"/>
          <w:sz w:val="16"/>
          <w:szCs w:val="16"/>
          <w:color w:val="AFAFAF"/>
        </w:rPr>
        <w:t>.</w:t>
      </w:r>
      <w:r>
        <w:rPr>
          <w:rFonts w:ascii="Arial" w:cs="Arial" w:eastAsia="Arial" w:hAnsi="Arial"/>
          <w:sz w:val="16"/>
          <w:szCs w:val="16"/>
          <w:color w:val="242424"/>
        </w:rPr>
        <w:t>"Administrative Agent" and before the".":</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42424"/>
        </w:rPr>
        <w:t>(such pledge to occur and related documentation to be delivered within ten (10) Business Days (or such longer period as the Administrative Agent may agree) after such Foreign Subsidiary becoming a Material Subsidiary</w:t>
      </w:r>
    </w:p>
    <w:p>
      <w:pPr>
        <w:spacing w:after="0" w:line="170" w:lineRule="exact"/>
        <w:rPr>
          <w:sz w:val="20"/>
          <w:szCs w:val="20"/>
          <w:color w:val="auto"/>
        </w:rPr>
      </w:pPr>
    </w:p>
    <w:p>
      <w:pPr>
        <w:ind w:left="840" w:hanging="427"/>
        <w:spacing w:after="0"/>
        <w:tabs>
          <w:tab w:leader="none" w:pos="840" w:val="left"/>
        </w:tabs>
        <w:numPr>
          <w:ilvl w:val="0"/>
          <w:numId w:val="51"/>
        </w:numPr>
        <w:rPr>
          <w:rFonts w:ascii="Arial" w:cs="Arial" w:eastAsia="Arial" w:hAnsi="Arial"/>
          <w:sz w:val="18"/>
          <w:szCs w:val="18"/>
          <w:color w:val="242424"/>
        </w:rPr>
      </w:pPr>
      <w:r>
        <w:rPr>
          <w:rFonts w:ascii="Arial" w:cs="Arial" w:eastAsia="Arial" w:hAnsi="Arial"/>
          <w:sz w:val="18"/>
          <w:szCs w:val="18"/>
          <w:color w:val="242424"/>
        </w:rPr>
        <w:t>Section 6</w:t>
      </w:r>
      <w:r>
        <w:rPr>
          <w:rFonts w:ascii="Arial" w:cs="Arial" w:eastAsia="Arial" w:hAnsi="Arial"/>
          <w:sz w:val="18"/>
          <w:szCs w:val="18"/>
          <w:color w:val="575757"/>
        </w:rPr>
        <w:t>.</w:t>
      </w:r>
      <w:r>
        <w:rPr>
          <w:rFonts w:ascii="Arial" w:cs="Arial" w:eastAsia="Arial" w:hAnsi="Arial"/>
          <w:sz w:val="18"/>
          <w:szCs w:val="18"/>
          <w:color w:val="242424"/>
        </w:rPr>
        <w:t>04(c) shall be amended and restated in its entirety to read as follows:</w:t>
      </w:r>
    </w:p>
    <w:p>
      <w:pPr>
        <w:spacing w:after="0" w:line="252" w:lineRule="exact"/>
        <w:rPr>
          <w:rFonts w:ascii="Arial" w:cs="Arial" w:eastAsia="Arial" w:hAnsi="Arial"/>
          <w:sz w:val="18"/>
          <w:szCs w:val="18"/>
          <w:color w:val="242424"/>
        </w:rPr>
      </w:pPr>
    </w:p>
    <w:p>
      <w:pPr>
        <w:ind w:left="1720" w:hanging="415"/>
        <w:spacing w:after="0"/>
        <w:tabs>
          <w:tab w:leader="none" w:pos="1720" w:val="left"/>
        </w:tabs>
        <w:numPr>
          <w:ilvl w:val="1"/>
          <w:numId w:val="51"/>
        </w:numPr>
        <w:rPr>
          <w:rFonts w:ascii="Arial" w:cs="Arial" w:eastAsia="Arial" w:hAnsi="Arial"/>
          <w:sz w:val="18"/>
          <w:szCs w:val="18"/>
          <w:color w:val="242424"/>
        </w:rPr>
      </w:pPr>
      <w:r>
        <w:rPr>
          <w:rFonts w:ascii="Arial" w:cs="Arial" w:eastAsia="Arial" w:hAnsi="Arial"/>
          <w:sz w:val="18"/>
          <w:szCs w:val="18"/>
          <w:color w:val="262626"/>
        </w:rPr>
        <w:t>loans, advances or investments made among the Domestic Credit Parties;</w:t>
      </w:r>
    </w:p>
    <w:p>
      <w:pPr>
        <w:spacing w:after="0" w:line="225" w:lineRule="exact"/>
        <w:rPr>
          <w:rFonts w:ascii="Arial" w:cs="Arial" w:eastAsia="Arial" w:hAnsi="Arial"/>
          <w:sz w:val="18"/>
          <w:szCs w:val="18"/>
          <w:color w:val="242424"/>
        </w:rPr>
      </w:pPr>
    </w:p>
    <w:p>
      <w:pPr>
        <w:ind w:left="840" w:hanging="427"/>
        <w:spacing w:after="0"/>
        <w:tabs>
          <w:tab w:leader="none" w:pos="840" w:val="left"/>
        </w:tabs>
        <w:numPr>
          <w:ilvl w:val="0"/>
          <w:numId w:val="51"/>
        </w:numPr>
        <w:rPr>
          <w:rFonts w:ascii="Arial" w:cs="Arial" w:eastAsia="Arial" w:hAnsi="Arial"/>
          <w:sz w:val="18"/>
          <w:szCs w:val="18"/>
          <w:color w:val="262626"/>
        </w:rPr>
      </w:pPr>
      <w:r>
        <w:rPr>
          <w:rFonts w:ascii="Arial" w:cs="Arial" w:eastAsia="Arial" w:hAnsi="Arial"/>
          <w:sz w:val="18"/>
          <w:szCs w:val="18"/>
          <w:color w:val="262626"/>
        </w:rPr>
        <w:t>Section 6.04(f) shall be amended by deleting the period at the end thereof and inserting in its place "; and".</w:t>
      </w:r>
    </w:p>
    <w:p>
      <w:pPr>
        <w:spacing w:after="0" w:line="306" w:lineRule="exact"/>
        <w:rPr>
          <w:rFonts w:ascii="Arial" w:cs="Arial" w:eastAsia="Arial" w:hAnsi="Arial"/>
          <w:sz w:val="18"/>
          <w:szCs w:val="18"/>
          <w:color w:val="262626"/>
        </w:rPr>
      </w:pPr>
    </w:p>
    <w:p>
      <w:pPr>
        <w:ind w:left="840" w:hanging="427"/>
        <w:spacing w:after="0"/>
        <w:tabs>
          <w:tab w:leader="none" w:pos="840" w:val="left"/>
        </w:tabs>
        <w:numPr>
          <w:ilvl w:val="0"/>
          <w:numId w:val="51"/>
        </w:numPr>
        <w:rPr>
          <w:rFonts w:ascii="Arial" w:cs="Arial" w:eastAsia="Arial" w:hAnsi="Arial"/>
          <w:sz w:val="18"/>
          <w:szCs w:val="18"/>
          <w:color w:val="262626"/>
        </w:rPr>
      </w:pPr>
      <w:r>
        <w:rPr>
          <w:rFonts w:ascii="Arial" w:cs="Arial" w:eastAsia="Arial" w:hAnsi="Arial"/>
          <w:sz w:val="18"/>
          <w:szCs w:val="18"/>
          <w:color w:val="262626"/>
        </w:rPr>
        <w:t>Section 6.04 shall be amended by inserting the following new clause (g)therein:</w:t>
      </w:r>
    </w:p>
    <w:p>
      <w:pPr>
        <w:spacing w:after="0" w:line="306" w:lineRule="exact"/>
        <w:rPr>
          <w:rFonts w:ascii="Arial" w:cs="Arial" w:eastAsia="Arial" w:hAnsi="Arial"/>
          <w:sz w:val="18"/>
          <w:szCs w:val="18"/>
          <w:color w:val="262626"/>
        </w:rPr>
      </w:pPr>
    </w:p>
    <w:p>
      <w:pPr>
        <w:ind w:left="1740" w:hanging="435"/>
        <w:spacing w:after="0"/>
        <w:tabs>
          <w:tab w:leader="none" w:pos="1740" w:val="left"/>
        </w:tabs>
        <w:numPr>
          <w:ilvl w:val="1"/>
          <w:numId w:val="52"/>
        </w:numPr>
        <w:rPr>
          <w:rFonts w:ascii="Arial" w:cs="Arial" w:eastAsia="Arial" w:hAnsi="Arial"/>
          <w:sz w:val="17"/>
          <w:szCs w:val="17"/>
          <w:color w:val="262626"/>
        </w:rPr>
      </w:pPr>
      <w:r>
        <w:rPr>
          <w:rFonts w:ascii="Arial" w:cs="Arial" w:eastAsia="Arial" w:hAnsi="Arial"/>
          <w:sz w:val="17"/>
          <w:szCs w:val="17"/>
          <w:color w:val="262626"/>
        </w:rPr>
        <w:t>loans by the Borrower to Vera Bradley (Japan) K.K. in an aggregate amount not to exceed $10,000,000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242424"/>
        </w:rPr>
        <w:t>CHI:2506144</w:t>
      </w:r>
      <w:r>
        <w:rPr>
          <w:rFonts w:ascii="Arial" w:cs="Arial" w:eastAsia="Arial" w:hAnsi="Arial"/>
          <w:sz w:val="18"/>
          <w:szCs w:val="18"/>
          <w:color w:val="575757"/>
        </w:rPr>
        <w:t>.</w:t>
      </w:r>
      <w:r>
        <w:rPr>
          <w:rFonts w:ascii="Arial" w:cs="Arial" w:eastAsia="Arial" w:hAnsi="Arial"/>
          <w:sz w:val="18"/>
          <w:szCs w:val="18"/>
          <w:color w:val="242424"/>
        </w:rPr>
        <w:t>4</w:t>
      </w:r>
    </w:p>
    <w:p>
      <w:pPr>
        <w:sectPr>
          <w:pgSz w:w="11900" w:h="16838" w:orient="portrait"/>
          <w:cols w:equalWidth="0" w:num="1">
            <w:col w:w="11420"/>
          </w:cols>
          <w:pgMar w:left="240" w:top="607" w:right="239" w:bottom="1440" w:gutter="0" w:footer="0" w:header="0"/>
        </w:sectPr>
      </w:pPr>
    </w:p>
    <w:bookmarkStart w:id="80" w:name="page81"/>
    <w:bookmarkEnd w:id="80"/>
    <w:p>
      <w:pPr>
        <w:ind w:firstLine="8"/>
        <w:spacing w:after="0" w:line="277" w:lineRule="auto"/>
        <w:tabs>
          <w:tab w:leader="none" w:pos="396" w:val="left"/>
        </w:tabs>
        <w:numPr>
          <w:ilvl w:val="0"/>
          <w:numId w:val="53"/>
        </w:numPr>
        <w:rPr>
          <w:rFonts w:ascii="Arial" w:cs="Arial" w:eastAsia="Arial" w:hAnsi="Arial"/>
          <w:sz w:val="18"/>
          <w:szCs w:val="18"/>
          <w:color w:val="262626"/>
        </w:rPr>
      </w:pPr>
      <w:r>
        <w:rPr>
          <w:rFonts w:ascii="Arial" w:cs="Arial" w:eastAsia="Arial" w:hAnsi="Arial"/>
          <w:sz w:val="18"/>
          <w:szCs w:val="18"/>
          <w:u w:val="single" w:color="auto"/>
          <w:color w:val="262626"/>
        </w:rPr>
        <w:t>Amendments to Security Agreement</w:t>
      </w:r>
      <w:r>
        <w:rPr>
          <w:rFonts w:ascii="Arial" w:cs="Arial" w:eastAsia="Arial" w:hAnsi="Arial"/>
          <w:sz w:val="18"/>
          <w:szCs w:val="18"/>
          <w:color w:val="262626"/>
        </w:rPr>
        <w:t xml:space="preserve">. Upon the Effective Date, the first sentence of Section 4.4(a) of the Security Agreement shall be amended and restated in its entirety to read as follows: </w:t>
      </w:r>
      <w:r>
        <w:rPr>
          <w:rFonts w:ascii="Arial" w:cs="Arial" w:eastAsia="Arial" w:hAnsi="Arial"/>
          <w:sz w:val="18"/>
          <w:szCs w:val="18"/>
          <w:color w:val="9A9A9A"/>
        </w:rPr>
        <w: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62626"/>
        </w:rPr>
        <w:t>Except as otherwise permitted by the Credit Agreement, no Grantor shall (i) reincorporate or reorganize itself under the laws of any jurisdiction other than the jurisdiction in which it is incorporated or organized as of the date hereof or (ii) otherwise change its name, identity or corporate structure unless, in the case of the foregoing clause (ii), the Collateral Agent shall</w:t>
      </w:r>
      <w:r>
        <w:rPr>
          <w:rFonts w:ascii="Arial" w:cs="Arial" w:eastAsia="Arial" w:hAnsi="Arial"/>
          <w:sz w:val="16"/>
          <w:szCs w:val="16"/>
          <w:color w:val="AFAFAF"/>
        </w:rPr>
        <w:t>·</w:t>
      </w:r>
      <w:r>
        <w:rPr>
          <w:rFonts w:ascii="Arial" w:cs="Arial" w:eastAsia="Arial" w:hAnsi="Arial"/>
          <w:sz w:val="16"/>
          <w:szCs w:val="16"/>
          <w:color w:val="262626"/>
        </w:rPr>
        <w:t>have determined in its sole discretion that such UCC filings and other actions as are necessary to protect the interests of the Lenders and Collateral Agent hereunder and in respect of the security interest granted hereby have been made or taken.</w:t>
      </w:r>
    </w:p>
    <w:p>
      <w:pPr>
        <w:spacing w:after="0" w:line="168" w:lineRule="exact"/>
        <w:rPr>
          <w:sz w:val="20"/>
          <w:szCs w:val="20"/>
          <w:color w:val="auto"/>
        </w:rPr>
      </w:pPr>
    </w:p>
    <w:p>
      <w:pPr>
        <w:jc w:val="both"/>
        <w:ind w:firstLine="8"/>
        <w:spacing w:after="0" w:line="264" w:lineRule="auto"/>
        <w:tabs>
          <w:tab w:leader="none" w:pos="382" w:val="left"/>
        </w:tabs>
        <w:numPr>
          <w:ilvl w:val="0"/>
          <w:numId w:val="54"/>
        </w:numPr>
        <w:rPr>
          <w:rFonts w:ascii="Arial" w:cs="Arial" w:eastAsia="Arial" w:hAnsi="Arial"/>
          <w:sz w:val="18"/>
          <w:szCs w:val="18"/>
          <w:color w:val="262626"/>
        </w:rPr>
      </w:pPr>
      <w:r>
        <w:rPr>
          <w:rFonts w:ascii="Arial" w:cs="Arial" w:eastAsia="Arial" w:hAnsi="Arial"/>
          <w:sz w:val="18"/>
          <w:szCs w:val="18"/>
          <w:u w:val="single" w:color="auto"/>
          <w:color w:val="262626"/>
        </w:rPr>
        <w:t>Waiver</w:t>
      </w:r>
      <w:r>
        <w:rPr>
          <w:rFonts w:ascii="Arial" w:cs="Arial" w:eastAsia="Arial" w:hAnsi="Arial"/>
          <w:sz w:val="18"/>
          <w:szCs w:val="18"/>
          <w:color w:val="262626"/>
        </w:rPr>
        <w:t>. The Administrative Agent, acting with the consent of the Required Lenders, hereby waives (a) any breach of Section 4.4(a) of the Security Agreement arising solely as a result of Vera Bradley Retail Stores, LLC changing its legal name to Vera Bradley Sales, LLC and (b) any Defaults or Events of Default under the Credit Agreement or any other Credit Document relating solely to such breach.</w:t>
      </w:r>
    </w:p>
    <w:p>
      <w:pPr>
        <w:spacing w:after="0" w:line="181" w:lineRule="exact"/>
        <w:rPr>
          <w:rFonts w:ascii="Arial" w:cs="Arial" w:eastAsia="Arial" w:hAnsi="Arial"/>
          <w:sz w:val="18"/>
          <w:szCs w:val="18"/>
          <w:color w:val="262626"/>
        </w:rPr>
      </w:pPr>
    </w:p>
    <w:p>
      <w:pPr>
        <w:ind w:left="320" w:hanging="312"/>
        <w:spacing w:after="0"/>
        <w:tabs>
          <w:tab w:leader="none" w:pos="320" w:val="left"/>
        </w:tabs>
        <w:numPr>
          <w:ilvl w:val="0"/>
          <w:numId w:val="54"/>
        </w:numPr>
        <w:rPr>
          <w:rFonts w:ascii="Arial" w:cs="Arial" w:eastAsia="Arial" w:hAnsi="Arial"/>
          <w:sz w:val="18"/>
          <w:szCs w:val="18"/>
          <w:color w:val="262626"/>
        </w:rPr>
      </w:pPr>
      <w:r>
        <w:rPr>
          <w:rFonts w:ascii="Arial" w:cs="Arial" w:eastAsia="Arial" w:hAnsi="Arial"/>
          <w:sz w:val="18"/>
          <w:szCs w:val="18"/>
          <w:u w:val="single" w:color="auto"/>
          <w:color w:val="262626"/>
        </w:rPr>
        <w:t>Representations and Warranties of the Borrower</w:t>
      </w:r>
      <w:r>
        <w:rPr>
          <w:rFonts w:ascii="Arial" w:cs="Arial" w:eastAsia="Arial" w:hAnsi="Arial"/>
          <w:sz w:val="18"/>
          <w:szCs w:val="18"/>
          <w:color w:val="262626"/>
        </w:rPr>
        <w:t>. The Borrower and each Subsidiary Guarantor represent and warrant that</w:t>
      </w:r>
      <w:r>
        <w:rPr>
          <w:rFonts w:ascii="Arial" w:cs="Arial" w:eastAsia="Arial" w:hAnsi="Arial"/>
          <w:sz w:val="18"/>
          <w:szCs w:val="18"/>
          <w:color w:val="565656"/>
        </w:rPr>
        <w:t>:</w:t>
      </w:r>
    </w:p>
    <w:p>
      <w:pPr>
        <w:spacing w:after="0" w:line="238" w:lineRule="exact"/>
        <w:rPr>
          <w:rFonts w:ascii="Arial" w:cs="Arial" w:eastAsia="Arial" w:hAnsi="Arial"/>
          <w:sz w:val="18"/>
          <w:szCs w:val="18"/>
          <w:color w:val="262626"/>
        </w:rPr>
      </w:pPr>
    </w:p>
    <w:p>
      <w:pPr>
        <w:jc w:val="both"/>
        <w:ind w:firstLine="413"/>
        <w:spacing w:after="0" w:line="257" w:lineRule="auto"/>
        <w:tabs>
          <w:tab w:leader="none" w:pos="951" w:val="left"/>
        </w:tabs>
        <w:numPr>
          <w:ilvl w:val="1"/>
          <w:numId w:val="54"/>
        </w:numPr>
        <w:rPr>
          <w:rFonts w:ascii="Arial" w:cs="Arial" w:eastAsia="Arial" w:hAnsi="Arial"/>
          <w:sz w:val="18"/>
          <w:szCs w:val="18"/>
          <w:color w:val="262626"/>
        </w:rPr>
      </w:pPr>
      <w:r>
        <w:rPr>
          <w:rFonts w:ascii="Arial" w:cs="Arial" w:eastAsia="Arial" w:hAnsi="Arial"/>
          <w:sz w:val="18"/>
          <w:szCs w:val="18"/>
          <w:color w:val="262626"/>
        </w:rPr>
        <w:t>The execution, delivery and performance by the Borrower or such Subsidiary Guarantor, as applicable, of this Amendment have been duly authorized by all necessary corporate or limited liability company action, as applicable, and that this Amendment is a legal, valid and binding obligation of the Borrower or such Subsidiary Guarantor, as applicable, enforceable against the Borrower or such Subsidiary Guarantor, as applicable, in accordance with its terms, except as the enforcement thereof may be subject to the effect of any applicable bankruptcy, insolvency, reorganization, moratorium or similar law affecting creditors’ rights generally or by general principles of equity;</w:t>
      </w:r>
    </w:p>
    <w:p>
      <w:pPr>
        <w:spacing w:after="0" w:line="188" w:lineRule="exact"/>
        <w:rPr>
          <w:rFonts w:ascii="Arial" w:cs="Arial" w:eastAsia="Arial" w:hAnsi="Arial"/>
          <w:sz w:val="18"/>
          <w:szCs w:val="18"/>
          <w:color w:val="262626"/>
        </w:rPr>
      </w:pPr>
    </w:p>
    <w:p>
      <w:pPr>
        <w:jc w:val="both"/>
        <w:ind w:firstLine="413"/>
        <w:spacing w:after="0" w:line="286" w:lineRule="auto"/>
        <w:tabs>
          <w:tab w:leader="none" w:pos="846" w:val="left"/>
        </w:tabs>
        <w:numPr>
          <w:ilvl w:val="1"/>
          <w:numId w:val="54"/>
        </w:numPr>
        <w:rPr>
          <w:rFonts w:ascii="Arial" w:cs="Arial" w:eastAsia="Arial" w:hAnsi="Arial"/>
          <w:sz w:val="17"/>
          <w:szCs w:val="17"/>
          <w:color w:val="262626"/>
        </w:rPr>
      </w:pPr>
      <w:r>
        <w:rPr>
          <w:rFonts w:ascii="Arial" w:cs="Arial" w:eastAsia="Arial" w:hAnsi="Arial"/>
          <w:sz w:val="17"/>
          <w:szCs w:val="17"/>
          <w:color w:val="262626"/>
        </w:rPr>
        <w:t>After giving effect to this Amendment, each of the representations and warranties contained in the Credit Agreement (treating this Amendment as a Credit Document for purposes thereof) and the other Credit Documents is true and correct on and as of the date hereof (except to the extent that such representation or warranty expressly refers to an earlier date, in which case it shall be true and correct as of such earlier date); and</w:t>
      </w:r>
    </w:p>
    <w:p>
      <w:pPr>
        <w:spacing w:after="0" w:line="165" w:lineRule="exact"/>
        <w:rPr>
          <w:rFonts w:ascii="Arial" w:cs="Arial" w:eastAsia="Arial" w:hAnsi="Arial"/>
          <w:sz w:val="17"/>
          <w:szCs w:val="17"/>
          <w:color w:val="262626"/>
        </w:rPr>
      </w:pPr>
    </w:p>
    <w:p>
      <w:pPr>
        <w:ind w:left="960" w:hanging="547"/>
        <w:spacing w:after="0"/>
        <w:tabs>
          <w:tab w:leader="none" w:pos="960" w:val="left"/>
        </w:tabs>
        <w:numPr>
          <w:ilvl w:val="1"/>
          <w:numId w:val="54"/>
        </w:numPr>
        <w:rPr>
          <w:rFonts w:ascii="Arial" w:cs="Arial" w:eastAsia="Arial" w:hAnsi="Arial"/>
          <w:sz w:val="18"/>
          <w:szCs w:val="18"/>
          <w:color w:val="262626"/>
        </w:rPr>
      </w:pPr>
      <w:r>
        <w:rPr>
          <w:rFonts w:ascii="Arial" w:cs="Arial" w:eastAsia="Arial" w:hAnsi="Arial"/>
          <w:sz w:val="18"/>
          <w:szCs w:val="18"/>
          <w:color w:val="262626"/>
        </w:rPr>
        <w:t>After giving effect to this Amendment, no Default has occurred and is continuing.</w:t>
      </w:r>
    </w:p>
    <w:p>
      <w:pPr>
        <w:spacing w:after="0" w:line="225" w:lineRule="exact"/>
        <w:rPr>
          <w:rFonts w:ascii="Arial" w:cs="Arial" w:eastAsia="Arial" w:hAnsi="Arial"/>
          <w:sz w:val="18"/>
          <w:szCs w:val="18"/>
          <w:color w:val="262626"/>
        </w:rPr>
      </w:pPr>
    </w:p>
    <w:p>
      <w:pPr>
        <w:ind w:left="360" w:hanging="352"/>
        <w:spacing w:after="0"/>
        <w:tabs>
          <w:tab w:leader="none" w:pos="360" w:val="left"/>
        </w:tabs>
        <w:numPr>
          <w:ilvl w:val="0"/>
          <w:numId w:val="54"/>
        </w:numPr>
        <w:rPr>
          <w:rFonts w:ascii="Arial" w:cs="Arial" w:eastAsia="Arial" w:hAnsi="Arial"/>
          <w:sz w:val="17"/>
          <w:szCs w:val="17"/>
          <w:color w:val="262626"/>
        </w:rPr>
      </w:pPr>
      <w:r>
        <w:rPr>
          <w:rFonts w:ascii="Arial" w:cs="Arial" w:eastAsia="Arial" w:hAnsi="Arial"/>
          <w:sz w:val="17"/>
          <w:szCs w:val="17"/>
          <w:u w:val="single" w:color="auto"/>
          <w:color w:val="262626"/>
        </w:rPr>
        <w:t>Effective Date</w:t>
      </w:r>
      <w:r>
        <w:rPr>
          <w:rFonts w:ascii="Arial" w:cs="Arial" w:eastAsia="Arial" w:hAnsi="Arial"/>
          <w:sz w:val="17"/>
          <w:szCs w:val="17"/>
          <w:color w:val="262626"/>
        </w:rPr>
        <w:t>. This Amendment shall become effective on the date (the ''Effective Date") on which the following conditions have been satisfied:</w:t>
      </w:r>
    </w:p>
    <w:p>
      <w:pPr>
        <w:spacing w:after="0" w:line="250" w:lineRule="exact"/>
        <w:rPr>
          <w:rFonts w:ascii="Arial" w:cs="Arial" w:eastAsia="Arial" w:hAnsi="Arial"/>
          <w:sz w:val="17"/>
          <w:szCs w:val="17"/>
          <w:color w:val="262626"/>
        </w:rPr>
      </w:pPr>
    </w:p>
    <w:p>
      <w:pPr>
        <w:ind w:firstLine="413"/>
        <w:spacing w:after="0" w:line="277" w:lineRule="auto"/>
        <w:tabs>
          <w:tab w:leader="none" w:pos="924" w:val="left"/>
        </w:tabs>
        <w:numPr>
          <w:ilvl w:val="1"/>
          <w:numId w:val="54"/>
        </w:numPr>
        <w:rPr>
          <w:rFonts w:ascii="Arial" w:cs="Arial" w:eastAsia="Arial" w:hAnsi="Arial"/>
          <w:sz w:val="18"/>
          <w:szCs w:val="18"/>
          <w:color w:val="262626"/>
        </w:rPr>
      </w:pPr>
      <w:r>
        <w:rPr>
          <w:rFonts w:ascii="Arial" w:cs="Arial" w:eastAsia="Arial" w:hAnsi="Arial"/>
          <w:sz w:val="18"/>
          <w:szCs w:val="18"/>
          <w:color w:val="262626"/>
        </w:rPr>
        <w:t>The execution and delivery hereof by the Borrower, each Subsidiary Guarantor and the Administrative Agent, acting with the consent of the Required Lenders; and</w:t>
      </w:r>
    </w:p>
    <w:p>
      <w:pPr>
        <w:spacing w:after="0" w:line="170" w:lineRule="exact"/>
        <w:rPr>
          <w:rFonts w:ascii="Arial" w:cs="Arial" w:eastAsia="Arial" w:hAnsi="Arial"/>
          <w:sz w:val="18"/>
          <w:szCs w:val="18"/>
          <w:color w:val="262626"/>
        </w:rPr>
      </w:pPr>
    </w:p>
    <w:p>
      <w:pPr>
        <w:ind w:left="840" w:hanging="427"/>
        <w:spacing w:after="0"/>
        <w:tabs>
          <w:tab w:leader="none" w:pos="840" w:val="left"/>
        </w:tabs>
        <w:numPr>
          <w:ilvl w:val="1"/>
          <w:numId w:val="54"/>
        </w:numPr>
        <w:rPr>
          <w:rFonts w:ascii="Arial" w:cs="Arial" w:eastAsia="Arial" w:hAnsi="Arial"/>
          <w:sz w:val="16"/>
          <w:szCs w:val="16"/>
          <w:color w:val="262626"/>
        </w:rPr>
      </w:pPr>
      <w:r>
        <w:rPr>
          <w:rFonts w:ascii="Arial" w:cs="Arial" w:eastAsia="Arial" w:hAnsi="Arial"/>
          <w:sz w:val="16"/>
          <w:szCs w:val="16"/>
          <w:color w:val="262626"/>
        </w:rPr>
        <w:t>The execution and delivery by Holdings and each of the Subsidiary Guarantors of a Reaffirmation substantially in the form of Exhibit A hereto.</w:t>
      </w:r>
    </w:p>
    <w:p>
      <w:pPr>
        <w:spacing w:after="0" w:line="248" w:lineRule="exact"/>
        <w:rPr>
          <w:rFonts w:ascii="Arial" w:cs="Arial" w:eastAsia="Arial" w:hAnsi="Arial"/>
          <w:sz w:val="16"/>
          <w:szCs w:val="16"/>
          <w:color w:val="262626"/>
        </w:rPr>
      </w:pPr>
    </w:p>
    <w:p>
      <w:pPr>
        <w:ind w:left="360" w:hanging="352"/>
        <w:spacing w:after="0"/>
        <w:tabs>
          <w:tab w:leader="none" w:pos="360" w:val="left"/>
        </w:tabs>
        <w:numPr>
          <w:ilvl w:val="0"/>
          <w:numId w:val="54"/>
        </w:numPr>
        <w:rPr>
          <w:rFonts w:ascii="Arial" w:cs="Arial" w:eastAsia="Arial" w:hAnsi="Arial"/>
          <w:sz w:val="18"/>
          <w:szCs w:val="18"/>
          <w:color w:val="262626"/>
        </w:rPr>
      </w:pPr>
      <w:r>
        <w:rPr>
          <w:rFonts w:ascii="Arial" w:cs="Arial" w:eastAsia="Arial" w:hAnsi="Arial"/>
          <w:sz w:val="18"/>
          <w:szCs w:val="18"/>
          <w:u w:val="single" w:color="auto"/>
          <w:color w:val="262626"/>
        </w:rPr>
        <w:t>Reference to and Effect Upon the Credit Documents</w:t>
      </w:r>
      <w:r>
        <w:rPr>
          <w:rFonts w:ascii="Arial" w:cs="Arial" w:eastAsia="Arial" w:hAnsi="Arial"/>
          <w:sz w:val="18"/>
          <w:szCs w:val="18"/>
          <w:color w:val="505050"/>
        </w:rPr>
        <w:t>.</w:t>
      </w:r>
    </w:p>
    <w:p>
      <w:pPr>
        <w:spacing w:after="0" w:line="225" w:lineRule="exact"/>
        <w:rPr>
          <w:rFonts w:ascii="Arial" w:cs="Arial" w:eastAsia="Arial" w:hAnsi="Arial"/>
          <w:sz w:val="18"/>
          <w:szCs w:val="18"/>
          <w:color w:val="262626"/>
        </w:rPr>
      </w:pPr>
    </w:p>
    <w:p>
      <w:pPr>
        <w:ind w:firstLine="413"/>
        <w:spacing w:after="0" w:line="277" w:lineRule="auto"/>
        <w:tabs>
          <w:tab w:leader="none" w:pos="988" w:val="left"/>
        </w:tabs>
        <w:numPr>
          <w:ilvl w:val="1"/>
          <w:numId w:val="54"/>
        </w:numPr>
        <w:rPr>
          <w:rFonts w:ascii="Arial" w:cs="Arial" w:eastAsia="Arial" w:hAnsi="Arial"/>
          <w:sz w:val="18"/>
          <w:szCs w:val="18"/>
          <w:color w:val="262626"/>
        </w:rPr>
      </w:pPr>
      <w:r>
        <w:rPr>
          <w:rFonts w:ascii="Arial" w:cs="Arial" w:eastAsia="Arial" w:hAnsi="Arial"/>
          <w:sz w:val="18"/>
          <w:szCs w:val="18"/>
          <w:color w:val="262626"/>
        </w:rPr>
        <w:t>Except as specifically amended above, the Credit Agreement, the Security Agreement and the other Credit Documents shall remain in full force and effect and are hereby ratified and confirmed.</w:t>
      </w:r>
    </w:p>
    <w:p>
      <w:pPr>
        <w:spacing w:after="0" w:line="170" w:lineRule="exact"/>
        <w:rPr>
          <w:rFonts w:ascii="Arial" w:cs="Arial" w:eastAsia="Arial" w:hAnsi="Arial"/>
          <w:sz w:val="18"/>
          <w:szCs w:val="18"/>
          <w:color w:val="262626"/>
        </w:rPr>
      </w:pPr>
    </w:p>
    <w:p>
      <w:pPr>
        <w:ind w:right="120" w:firstLine="413"/>
        <w:spacing w:after="0" w:line="273" w:lineRule="auto"/>
        <w:tabs>
          <w:tab w:leader="none" w:pos="972" w:val="left"/>
        </w:tabs>
        <w:numPr>
          <w:ilvl w:val="1"/>
          <w:numId w:val="54"/>
        </w:numPr>
        <w:rPr>
          <w:rFonts w:ascii="Arial" w:cs="Arial" w:eastAsia="Arial" w:hAnsi="Arial"/>
          <w:sz w:val="17"/>
          <w:szCs w:val="17"/>
          <w:color w:val="262626"/>
        </w:rPr>
      </w:pPr>
      <w:r>
        <w:rPr>
          <w:rFonts w:ascii="Arial" w:cs="Arial" w:eastAsia="Arial" w:hAnsi="Arial"/>
          <w:sz w:val="17"/>
          <w:szCs w:val="17"/>
          <w:color w:val="262626"/>
        </w:rPr>
        <w:t>The execution, delivery and effectiveness of this Amendment shall not operate as a waiver of any right, power or remedy of the Administrative Agent, the Collateral Agent or any Lender under the Credit Agreement, the Security Agreement or any Credit Document, nor constitute a waiver of any provision of the Credit Agreement, the Security Agreement or any Credit Document, except as specifically set forth herein. Upon the effectiveness of this Amendment, (i) each reference in the Credit Agreement to "this Agreement", "hereunder", "hereof", ''herein" or words of similar import shall mean and be a reference to the Credit Agreement as amended hereby and (ii) each reference in the Security Agreement to "this Agreement”, "hereunder", ''hereof", "herein" or words of similar import shall mean and be a reference to the Security Agreement as amended hereby.</w:t>
      </w:r>
    </w:p>
    <w:p>
      <w:pPr>
        <w:sectPr>
          <w:pgSz w:w="11900" w:h="16838" w:orient="portrait"/>
          <w:cols w:equalWidth="0" w:num="1">
            <w:col w:w="11420"/>
          </w:cols>
          <w:pgMar w:left="240" w:top="827" w:right="239" w:bottom="1440" w:gutter="0" w:footer="0" w:header="0"/>
        </w:sectPr>
      </w:pPr>
    </w:p>
    <w:bookmarkStart w:id="81" w:name="page82"/>
    <w:bookmarkEnd w:id="81"/>
    <w:p>
      <w:pPr>
        <w:jc w:val="both"/>
        <w:ind w:firstLine="8"/>
        <w:spacing w:after="0" w:line="312" w:lineRule="auto"/>
        <w:tabs>
          <w:tab w:leader="none" w:pos="387" w:val="left"/>
        </w:tabs>
        <w:numPr>
          <w:ilvl w:val="0"/>
          <w:numId w:val="55"/>
        </w:numPr>
        <w:rPr>
          <w:rFonts w:ascii="Arial" w:cs="Arial" w:eastAsia="Arial" w:hAnsi="Arial"/>
          <w:sz w:val="16"/>
          <w:szCs w:val="16"/>
          <w:color w:val="262626"/>
        </w:rPr>
      </w:pPr>
      <w:r>
        <w:rPr>
          <w:rFonts w:ascii="Arial" w:cs="Arial" w:eastAsia="Arial" w:hAnsi="Arial"/>
          <w:sz w:val="16"/>
          <w:szCs w:val="16"/>
          <w:u w:val="single" w:color="auto"/>
          <w:color w:val="262626"/>
        </w:rPr>
        <w:t>Costs and Expenses</w:t>
      </w:r>
      <w:r>
        <w:rPr>
          <w:rFonts w:ascii="Arial" w:cs="Arial" w:eastAsia="Arial" w:hAnsi="Arial"/>
          <w:sz w:val="16"/>
          <w:szCs w:val="16"/>
          <w:color w:val="262626"/>
        </w:rPr>
        <w:t>. The Borrower hereby affirms its obligation under Section 9.03 of the Credit Agreement to reimburse the Administrative Agent for all reasonable out-of-pocket expenses incurred by the Administrative Agent in connection with the preparation, negotiation, execution and delivery of this Amendment, including but not limited to the reasonable fees, charges and disbursements of attorneys for the Administrative Agent with respect thereto</w:t>
      </w:r>
      <w:r>
        <w:rPr>
          <w:rFonts w:ascii="Arial" w:cs="Arial" w:eastAsia="Arial" w:hAnsi="Arial"/>
          <w:sz w:val="16"/>
          <w:szCs w:val="16"/>
          <w:color w:val="505050"/>
        </w:rPr>
        <w:t>.</w:t>
      </w:r>
    </w:p>
    <w:p>
      <w:pPr>
        <w:spacing w:after="0" w:line="146" w:lineRule="exact"/>
        <w:rPr>
          <w:rFonts w:ascii="Arial" w:cs="Arial" w:eastAsia="Arial" w:hAnsi="Arial"/>
          <w:sz w:val="16"/>
          <w:szCs w:val="16"/>
          <w:color w:val="262626"/>
        </w:rPr>
      </w:pPr>
    </w:p>
    <w:p>
      <w:pPr>
        <w:ind w:left="360" w:hanging="352"/>
        <w:spacing w:after="0"/>
        <w:tabs>
          <w:tab w:leader="none" w:pos="360" w:val="left"/>
        </w:tabs>
        <w:numPr>
          <w:ilvl w:val="0"/>
          <w:numId w:val="55"/>
        </w:numPr>
        <w:rPr>
          <w:rFonts w:ascii="Arial" w:cs="Arial" w:eastAsia="Arial" w:hAnsi="Arial"/>
          <w:sz w:val="18"/>
          <w:szCs w:val="18"/>
          <w:color w:val="262626"/>
        </w:rPr>
      </w:pPr>
      <w:r>
        <w:rPr>
          <w:rFonts w:ascii="Arial" w:cs="Arial" w:eastAsia="Arial" w:hAnsi="Arial"/>
          <w:sz w:val="18"/>
          <w:szCs w:val="18"/>
          <w:u w:val="single" w:color="auto"/>
          <w:color w:val="262626"/>
        </w:rPr>
        <w:t>Governing Law</w:t>
      </w:r>
      <w:r>
        <w:rPr>
          <w:rFonts w:ascii="Arial" w:cs="Arial" w:eastAsia="Arial" w:hAnsi="Arial"/>
          <w:sz w:val="18"/>
          <w:szCs w:val="18"/>
          <w:color w:val="262626"/>
        </w:rPr>
        <w:t>. This Amendment shall be construed in accordance with and governed by the law of the State of New York.</w:t>
      </w:r>
    </w:p>
    <w:p>
      <w:pPr>
        <w:spacing w:after="0" w:line="225" w:lineRule="exact"/>
        <w:rPr>
          <w:rFonts w:ascii="Arial" w:cs="Arial" w:eastAsia="Arial" w:hAnsi="Arial"/>
          <w:sz w:val="18"/>
          <w:szCs w:val="18"/>
          <w:color w:val="262626"/>
        </w:rPr>
      </w:pPr>
    </w:p>
    <w:p>
      <w:pPr>
        <w:ind w:firstLine="8"/>
        <w:spacing w:after="0" w:line="277" w:lineRule="auto"/>
        <w:tabs>
          <w:tab w:leader="none" w:pos="374" w:val="left"/>
        </w:tabs>
        <w:numPr>
          <w:ilvl w:val="0"/>
          <w:numId w:val="55"/>
        </w:numPr>
        <w:rPr>
          <w:rFonts w:ascii="Arial" w:cs="Arial" w:eastAsia="Arial" w:hAnsi="Arial"/>
          <w:sz w:val="18"/>
          <w:szCs w:val="18"/>
          <w:color w:val="262626"/>
        </w:rPr>
      </w:pPr>
      <w:r>
        <w:rPr>
          <w:rFonts w:ascii="Arial" w:cs="Arial" w:eastAsia="Arial" w:hAnsi="Arial"/>
          <w:sz w:val="18"/>
          <w:szCs w:val="18"/>
          <w:u w:val="single" w:color="auto"/>
          <w:color w:val="262626"/>
        </w:rPr>
        <w:t>Headings</w:t>
      </w:r>
      <w:r>
        <w:rPr>
          <w:rFonts w:ascii="Arial" w:cs="Arial" w:eastAsia="Arial" w:hAnsi="Arial"/>
          <w:sz w:val="18"/>
          <w:szCs w:val="18"/>
          <w:color w:val="505050"/>
        </w:rPr>
        <w:t>.</w:t>
      </w:r>
      <w:r>
        <w:rPr>
          <w:rFonts w:ascii="Arial" w:cs="Arial" w:eastAsia="Arial" w:hAnsi="Arial"/>
          <w:sz w:val="18"/>
          <w:szCs w:val="18"/>
          <w:color w:val="262626"/>
        </w:rPr>
        <w:t xml:space="preserve"> Section headings in this Amendment are included herein for convenience of reference only and shall not constitute a part of this Amendment for any other purposes.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62626"/>
        </w:rPr>
        <w:t>10</w:t>
      </w:r>
      <w:r>
        <w:rPr>
          <w:rFonts w:ascii="Arial" w:cs="Arial" w:eastAsia="Arial" w:hAnsi="Arial"/>
          <w:sz w:val="18"/>
          <w:szCs w:val="18"/>
          <w:color w:val="545454"/>
        </w:rPr>
        <w:t>.</w:t>
      </w:r>
      <w:r>
        <w:rPr>
          <w:rFonts w:ascii="Arial" w:cs="Arial" w:eastAsia="Arial" w:hAnsi="Arial"/>
          <w:sz w:val="18"/>
          <w:szCs w:val="18"/>
          <w:color w:val="262626"/>
        </w:rPr>
        <w:t xml:space="preserve"> </w:t>
      </w:r>
      <w:r>
        <w:rPr>
          <w:rFonts w:ascii="Arial" w:cs="Arial" w:eastAsia="Arial" w:hAnsi="Arial"/>
          <w:sz w:val="18"/>
          <w:szCs w:val="18"/>
          <w:u w:val="single" w:color="auto"/>
          <w:color w:val="262626"/>
        </w:rPr>
        <w:t>Counterparts</w:t>
      </w:r>
      <w:r>
        <w:rPr>
          <w:rFonts w:ascii="Arial" w:cs="Arial" w:eastAsia="Arial" w:hAnsi="Arial"/>
          <w:sz w:val="18"/>
          <w:szCs w:val="18"/>
          <w:color w:val="666666"/>
        </w:rPr>
        <w:t>.</w:t>
      </w:r>
      <w:r>
        <w:rPr>
          <w:rFonts w:ascii="Arial" w:cs="Arial" w:eastAsia="Arial" w:hAnsi="Arial"/>
          <w:sz w:val="18"/>
          <w:szCs w:val="18"/>
          <w:color w:val="262626"/>
        </w:rPr>
        <w:t xml:space="preserve"> This Amendment may be executed in any number of counterparts, each of which when so executed shall be deemed an original but all such counterparts shall constitute one and the same instrument. Delivery of an executed signature page of this Amendment by facsimile transmission or electronic mail shall be effective as delivery of manually executed counterpart hereof.</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242424"/>
        </w:rPr>
        <w:t>[signature page follows]</w:t>
      </w:r>
    </w:p>
    <w:p>
      <w:pPr>
        <w:sectPr>
          <w:pgSz w:w="11900" w:h="16838" w:orient="portrait"/>
          <w:cols w:equalWidth="0" w:num="1">
            <w:col w:w="11420"/>
          </w:cols>
          <w:pgMar w:left="240" w:top="104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282828"/>
        </w:rPr>
        <w:t>IN WTINESS WHEREOF, the parties haw executed this Amendment as of the date and year first above written</w:t>
      </w:r>
      <w:r>
        <w:rPr>
          <w:rFonts w:ascii="Arial" w:cs="Arial" w:eastAsia="Arial" w:hAnsi="Arial"/>
          <w:sz w:val="18"/>
          <w:szCs w:val="18"/>
          <w:color w:val="545454"/>
        </w:rPr>
        <w:t>.</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VERA BRADLEY DESIGNS, INC.</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David R. Traylor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VERA BRADLEY SALES, LLC</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David R. Traylor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VERA BRADLEY INTERNATIONAL, LLC</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David R. Traylor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1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JPMORGAN CHASE BANK, NATIONAL ASSOCIATION,</w:t>
      </w:r>
    </w:p>
    <w:p>
      <w:pPr>
        <w:spacing w:after="0" w:line="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as Administrative Agent and Collateral Agent acting with the</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consent of the Required Lenders</w:t>
      </w:r>
    </w:p>
    <w:p>
      <w:pPr>
        <w:spacing w:after="0" w:line="4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Stephanie L. Yoder,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Stephanie L. Yoder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282828"/>
        </w:rPr>
        <w:t>[Signature Page to Amendment No. 2 to Amended and Restated Credit Agreement and Waiver]</w:t>
      </w:r>
    </w:p>
    <w:p>
      <w:pPr>
        <w:sectPr>
          <w:pgSz w:w="11900" w:h="16838" w:orient="portrait"/>
          <w:cols w:equalWidth="0" w:num="1">
            <w:col w:w="11200"/>
          </w:cols>
          <w:pgMar w:left="240" w:top="611"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242424"/>
        </w:rPr>
        <w:t>REAFFIRMATION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121"/>
        </w:rPr>
        <w:t>Each of the undersigned (i) acknowledges receipt of a copy of Amendment No. 2 to Amended and Restated Credit Agreement and Waiver (the "Amendment"), amending the Amended and Restated Credit Agreement dated as of October 4, 2010 (as amended from time to time, the "Credit Agreement") and the Security Agreement and waiving certain provisions thereof, (ii) consents to the Amendment and each of the transactions referenced therein, and (iii) hereby reaffirms its obligations, as applicable, under the Subsidiary Guaranty dated as of November 26, 2008 and the Parent Guaranty dated as of October 4, 2010, each, in favor of JPMorgan Chase Bank, National Association, as Administrative Agent. Capitalized terms used herein shall have the meanings ascribed to them by the Credit Agreement.</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212121"/>
        </w:rPr>
        <w:t>Dated as of March 10, 2011</w:t>
      </w:r>
    </w:p>
    <w:p>
      <w:pPr>
        <w:spacing w:after="0" w:line="38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INC.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SALES, LLC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VERA BRADLEY INTERNATIONAL, LLC</w:t>
      </w:r>
    </w:p>
    <w:p>
      <w:pPr>
        <w:spacing w:after="0" w:line="6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R. Traylor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2"/>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Arial" w:cs="Arial" w:eastAsia="Arial" w:hAnsi="Arial"/>
                <w:sz w:val="18"/>
                <w:szCs w:val="18"/>
                <w:b w:val="1"/>
                <w:bCs w:val="1"/>
                <w:color w:val="auto"/>
                <w:w w:val="87"/>
              </w:rPr>
              <w:t>Subsidiaries</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(Japan) K.K.</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333-170062) of Vera Bradley, Inc. of our report dated April 2, 2014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2014</w:t>
      </w:r>
    </w:p>
    <w:p>
      <w:pPr>
        <w:sectPr>
          <w:pgSz w:w="11900" w:h="16838" w:orient="portrait"/>
          <w:cols w:equalWidth="0" w:num="1">
            <w:col w:w="11420"/>
          </w:cols>
          <w:pgMar w:left="240" w:top="66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color w:val="auto"/>
        </w:rPr>
        <w:t>We hereby consent to the incorporation by reference in the Registration Statement on Form S-8 (No. 333-170062) of Vera Bradley, Inc. of our report dated April 2, 2013 relating to the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ectPr>
          <w:pgSz w:w="11900" w:h="16838" w:orient="portrait"/>
          <w:cols w:equalWidth="0" w:num="1">
            <w:col w:w="11420"/>
          </w:cols>
          <w:pgMar w:left="240" w:top="66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April 2, 2014</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Date: April 2, 2014</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annual report on Form 10-K for the fiscal year ended February 1,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Kevin J. Sierks, the Chief Financial Officer of Vera Bradley, Inc., certify that (i) the annual report on Form 10-K for the fiscal year ended February 1, 2014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J. Sierks</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lvl w:ilvl="1">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4"/>
    </w:lvl>
  </w:abstractNum>
  <w:abstractNum w:abstractNumId="25">
    <w:nsid w:val="3855585C"/>
    <w:multiLevelType w:val="hybridMultilevel"/>
    <w:lvl w:ilvl="0">
      <w:lvlJc w:val="left"/>
      <w:lvlText w:val="%1."/>
      <w:numFmt w:val="decimal"/>
      <w:start w:val="5"/>
    </w:lvl>
  </w:abstractNum>
  <w:abstractNum w:abstractNumId="26">
    <w:nsid w:val="70A64E2A"/>
    <w:multiLevelType w:val="hybridMultilevel"/>
    <w:lvl w:ilvl="0">
      <w:lvlJc w:val="left"/>
      <w:lvlText w:val="%1."/>
      <w:numFmt w:val="decimal"/>
      <w:start w:val="6"/>
    </w:lvl>
  </w:abstractNum>
  <w:abstractNum w:abstractNumId="27">
    <w:nsid w:val="6A2342EC"/>
    <w:multiLevelType w:val="hybridMultilevel"/>
    <w:lvl w:ilvl="0">
      <w:lvlJc w:val="left"/>
      <w:lvlText w:val="%1."/>
      <w:numFmt w:val="decimal"/>
      <w:start w:val="7"/>
    </w:lvl>
  </w:abstractNum>
  <w:abstractNum w:abstractNumId="28">
    <w:nsid w:val="2A487CB0"/>
    <w:multiLevelType w:val="hybridMultilevel"/>
    <w:lvl w:ilvl="0">
      <w:lvlJc w:val="left"/>
      <w:lvlText w:val="%1."/>
      <w:numFmt w:val="decimal"/>
      <w:start w:val="8"/>
    </w:lvl>
  </w:abstractNum>
  <w:abstractNum w:abstractNumId="29">
    <w:nsid w:val="1D4ED43B"/>
    <w:multiLevelType w:val="hybridMultilevel"/>
    <w:lvl w:ilvl="0">
      <w:lvlJc w:val="left"/>
      <w:lvlText w:val="%1."/>
      <w:numFmt w:val="decimal"/>
      <w:start w:val="9"/>
    </w:lvl>
  </w:abstractNum>
  <w:abstractNum w:abstractNumId="30">
    <w:nsid w:val="725A06FB"/>
    <w:multiLevelType w:val="hybridMultilevel"/>
    <w:lvl w:ilvl="0">
      <w:lvlJc w:val="left"/>
      <w:lvlText w:val="%1."/>
      <w:numFmt w:val="decimal"/>
      <w:start w:val="10"/>
    </w:lvl>
  </w:abstractNum>
  <w:abstractNum w:abstractNumId="31">
    <w:nsid w:val="2CD89A32"/>
    <w:multiLevelType w:val="hybridMultilevel"/>
    <w:lvl w:ilvl="0">
      <w:lvlJc w:val="left"/>
      <w:lvlText w:val="%1."/>
      <w:numFmt w:val="decimal"/>
      <w:start w:val="11"/>
    </w:lvl>
  </w:abstractNum>
  <w:abstractNum w:abstractNumId="32">
    <w:nsid w:val="57E4CCAF"/>
    <w:multiLevelType w:val="hybridMultilevel"/>
    <w:lvl w:ilvl="0">
      <w:lvlJc w:val="left"/>
      <w:lvlText w:val="%1."/>
      <w:numFmt w:val="decimal"/>
      <w:start w:val="12"/>
    </w:lvl>
  </w:abstractNum>
  <w:abstractNum w:abstractNumId="33">
    <w:nsid w:val="7A6D8D3C"/>
    <w:multiLevelType w:val="hybridMultilevel"/>
    <w:lvl w:ilvl="0">
      <w:lvlJc w:val="left"/>
      <w:lvlText w:val="%1."/>
      <w:numFmt w:val="decimal"/>
      <w:start w:val="13"/>
    </w:lvl>
  </w:abstractNum>
  <w:abstractNum w:abstractNumId="34">
    <w:nsid w:val="4B588F54"/>
    <w:multiLevelType w:val="hybridMultilevel"/>
    <w:lvl w:ilvl="0">
      <w:lvlJc w:val="left"/>
      <w:lvlText w:val="%1."/>
      <w:numFmt w:val="decimal"/>
      <w:start w:val="14"/>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0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45">
    <w:nsid w:val="79A1DEA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6">
    <w:nsid w:val="75C6C33A"/>
    <w:multiLevelType w:val="hybridMultilevel"/>
    <w:lvl w:ilvl="0">
      <w:lvlJc w:val="left"/>
      <w:lvlText w:val="%1."/>
      <w:numFmt w:val="decimal"/>
      <w:start w:val="6"/>
    </w:lvl>
  </w:abstractNum>
  <w:abstractNum w:abstractNumId="47">
    <w:nsid w:val="12E685FB"/>
    <w:multiLevelType w:val="hybridMultilevel"/>
    <w:lvl w:ilvl="0">
      <w:lvlJc w:val="left"/>
      <w:lvlText w:val="%1."/>
      <w:numFmt w:val="upperLetter"/>
      <w:start w:val="1"/>
    </w:lvl>
  </w:abstractNum>
  <w:abstractNum w:abstractNumId="48">
    <w:nsid w:val="70C6A529"/>
    <w:multiLevelType w:val="hybridMultilevel"/>
    <w:lvl w:ilvl="0">
      <w:lvlJc w:val="left"/>
      <w:lvlText w:val="%1."/>
      <w:numFmt w:val="lowerLetter"/>
      <w:start w:val="12"/>
    </w:lvl>
    <w:lvl w:ilvl="1">
      <w:lvlJc w:val="left"/>
      <w:lvlText w:val="(%2)"/>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3"/>
    </w:lvl>
    <w:lvl w:ilvl="1">
      <w:lvlJc w:val="left"/>
      <w:lvlText w:val="(%2)"/>
      <w:numFmt w:val="lowerLetter"/>
      <w:start w:val="3"/>
    </w:lvl>
  </w:abstractNum>
  <w:abstractNum w:abstractNumId="51">
    <w:nsid w:val="4F4EF005"/>
    <w:multiLevelType w:val="hybridMultilevel"/>
    <w:lvl w:ilvl="0">
      <w:lvlJc w:val="left"/>
      <w:lvlText w:val="%1"/>
      <w:numFmt w:val="lowerLetter"/>
      <w:start w:val="1"/>
    </w:lvl>
    <w:lvl w:ilvl="1">
      <w:lvlJc w:val="left"/>
      <w:lvlText w:val="(%2)"/>
      <w:numFmt w:val="lowerLetter"/>
      <w:start w:val="7"/>
    </w:lvl>
  </w:abstractNum>
  <w:abstractNum w:abstractNumId="52">
    <w:nsid w:val="23F9C13C"/>
    <w:multiLevelType w:val="hybridMultilevel"/>
    <w:lvl w:ilvl="0">
      <w:lvlJc w:val="left"/>
      <w:lvlText w:val="%1."/>
      <w:numFmt w:val="decimal"/>
      <w:start w:val="2"/>
    </w:lvl>
  </w:abstractNum>
  <w:abstractNum w:abstractNumId="53">
    <w:nsid w:val="649BB77C"/>
    <w:multiLevelType w:val="hybridMultilevel"/>
    <w:lvl w:ilvl="0">
      <w:lvlJc w:val="left"/>
      <w:lvlText w:val="%1."/>
      <w:numFmt w:val="decimal"/>
      <w:start w:val="3"/>
    </w:lvl>
    <w:lvl w:ilvl="1">
      <w:lvlJc w:val="left"/>
      <w:lvlText w:val="(%2)"/>
      <w:numFmt w:val="lowerLetter"/>
      <w:start w:val="1"/>
    </w:lvl>
  </w:abstractNum>
  <w:abstractNum w:abstractNumId="54">
    <w:nsid w:val="275AC794"/>
    <w:multiLevelType w:val="hybridMultilevel"/>
    <w:lvl w:ilvl="0">
      <w:lvlJc w:val="left"/>
      <w:lvlText w:val="%1."/>
      <w:numFmt w:val="decimal"/>
      <w:start w:val="7"/>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2019-12-07T23:04:08Z</dcterms:created>
  <dcterms:modified xsi:type="dcterms:W3CDTF">2019-12-07T23:04:08Z</dcterms:modified>
</cp:coreProperties>
</file>