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October 27,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54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001-34918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VERA BRADLEY,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780" w:type="dxa"/>
        <w:tblCellMar>
          <w:top w:w="0" w:type="dxa"/>
          <w:left w:w="0" w:type="dxa"/>
          <w:bottom w:w="0" w:type="dxa"/>
          <w:right w:w="0" w:type="dxa"/>
        </w:tblCellMar>
      </w:tblPr>
      <w:tr>
        <w:trPr>
          <w:trHeight w:val="218"/>
        </w:trPr>
        <w:tc>
          <w:tcPr>
            <w:tcW w:w="6320" w:type="dxa"/>
            <w:vAlign w:val="bottom"/>
          </w:tcPr>
          <w:p>
            <w:pPr>
              <w:jc w:val="center"/>
              <w:ind w:right="4022"/>
              <w:spacing w:after="0"/>
              <w:rPr>
                <w:sz w:val="20"/>
                <w:szCs w:val="20"/>
                <w:color w:val="auto"/>
              </w:rPr>
            </w:pPr>
            <w:r>
              <w:rPr>
                <w:rFonts w:ascii="Arial" w:cs="Arial" w:eastAsia="Arial" w:hAnsi="Arial"/>
                <w:sz w:val="18"/>
                <w:szCs w:val="18"/>
                <w:b w:val="1"/>
                <w:bCs w:val="1"/>
                <w:color w:val="auto"/>
                <w:w w:val="91"/>
              </w:rPr>
              <w:t>Indiana</w:t>
            </w:r>
          </w:p>
        </w:tc>
        <w:tc>
          <w:tcPr>
            <w:tcW w:w="1080" w:type="dxa"/>
            <w:vAlign w:val="bottom"/>
          </w:tcPr>
          <w:p>
            <w:pPr>
              <w:jc w:val="right"/>
              <w:ind w:right="24"/>
              <w:spacing w:after="0"/>
              <w:rPr>
                <w:sz w:val="20"/>
                <w:szCs w:val="20"/>
                <w:color w:val="auto"/>
              </w:rPr>
            </w:pPr>
            <w:r>
              <w:rPr>
                <w:rFonts w:ascii="Arial" w:cs="Arial" w:eastAsia="Arial" w:hAnsi="Arial"/>
                <w:sz w:val="18"/>
                <w:szCs w:val="18"/>
                <w:b w:val="1"/>
                <w:bCs w:val="1"/>
                <w:color w:val="auto"/>
                <w:w w:val="99"/>
              </w:rPr>
              <w:t>27-2935063</w:t>
            </w:r>
          </w:p>
        </w:tc>
      </w:tr>
      <w:tr>
        <w:trPr>
          <w:trHeight w:val="149"/>
        </w:trPr>
        <w:tc>
          <w:tcPr>
            <w:tcW w:w="6320" w:type="dxa"/>
            <w:vAlign w:val="bottom"/>
          </w:tcPr>
          <w:p>
            <w:pPr>
              <w:jc w:val="center"/>
              <w:ind w:right="402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320" w:type="dxa"/>
            <w:vAlign w:val="bottom"/>
          </w:tcPr>
          <w:p>
            <w:pPr>
              <w:jc w:val="center"/>
              <w:ind w:right="4002"/>
              <w:spacing w:after="0"/>
              <w:rPr>
                <w:sz w:val="20"/>
                <w:szCs w:val="20"/>
                <w:color w:val="auto"/>
              </w:rPr>
            </w:pPr>
            <w:r>
              <w:rPr>
                <w:rFonts w:ascii="Arial" w:cs="Arial" w:eastAsia="Arial" w:hAnsi="Arial"/>
                <w:sz w:val="14"/>
                <w:szCs w:val="14"/>
                <w:b w:val="1"/>
                <w:bCs w:val="1"/>
                <w:color w:val="auto"/>
                <w:w w:val="88"/>
              </w:rPr>
              <w:t>incorporation or organization)</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6320" w:type="dxa"/>
            <w:vAlign w:val="bottom"/>
          </w:tcPr>
          <w:p>
            <w:pPr>
              <w:jc w:val="center"/>
              <w:ind w:right="4022"/>
              <w:spacing w:after="0"/>
              <w:rPr>
                <w:sz w:val="20"/>
                <w:szCs w:val="20"/>
                <w:color w:val="auto"/>
              </w:rPr>
            </w:pPr>
            <w:r>
              <w:rPr>
                <w:rFonts w:ascii="Arial" w:cs="Arial" w:eastAsia="Arial" w:hAnsi="Arial"/>
                <w:sz w:val="18"/>
                <w:szCs w:val="18"/>
                <w:b w:val="1"/>
                <w:bCs w:val="1"/>
                <w:color w:val="auto"/>
                <w:w w:val="87"/>
              </w:rPr>
              <w:t>2208 Production Road</w:t>
            </w:r>
          </w:p>
        </w:tc>
        <w:tc>
          <w:tcPr>
            <w:tcW w:w="1080" w:type="dxa"/>
            <w:vAlign w:val="bottom"/>
          </w:tcPr>
          <w:p>
            <w:pPr>
              <w:spacing w:after="0"/>
              <w:rPr>
                <w:sz w:val="24"/>
                <w:szCs w:val="24"/>
                <w:color w:val="auto"/>
              </w:rPr>
            </w:pPr>
          </w:p>
        </w:tc>
      </w:tr>
      <w:tr>
        <w:trPr>
          <w:trHeight w:val="231"/>
        </w:trPr>
        <w:tc>
          <w:tcPr>
            <w:tcW w:w="6320" w:type="dxa"/>
            <w:vAlign w:val="bottom"/>
          </w:tcPr>
          <w:p>
            <w:pPr>
              <w:jc w:val="center"/>
              <w:ind w:right="4022"/>
              <w:spacing w:after="0"/>
              <w:rPr>
                <w:sz w:val="20"/>
                <w:szCs w:val="20"/>
                <w:color w:val="auto"/>
              </w:rPr>
            </w:pPr>
            <w:r>
              <w:rPr>
                <w:rFonts w:ascii="Arial" w:cs="Arial" w:eastAsia="Arial" w:hAnsi="Arial"/>
                <w:sz w:val="18"/>
                <w:szCs w:val="18"/>
                <w:b w:val="1"/>
                <w:bCs w:val="1"/>
                <w:color w:val="auto"/>
                <w:w w:val="92"/>
              </w:rPr>
              <w:t>Fort Wayne, Indiana</w:t>
            </w:r>
          </w:p>
        </w:tc>
        <w:tc>
          <w:tcPr>
            <w:tcW w:w="1080" w:type="dxa"/>
            <w:vAlign w:val="bottom"/>
          </w:tcPr>
          <w:p>
            <w:pPr>
              <w:jc w:val="right"/>
              <w:ind w:right="224"/>
              <w:spacing w:after="0"/>
              <w:rPr>
                <w:sz w:val="20"/>
                <w:szCs w:val="20"/>
                <w:color w:val="auto"/>
              </w:rPr>
            </w:pPr>
            <w:r>
              <w:rPr>
                <w:rFonts w:ascii="Arial" w:cs="Arial" w:eastAsia="Arial" w:hAnsi="Arial"/>
                <w:sz w:val="18"/>
                <w:szCs w:val="18"/>
                <w:b w:val="1"/>
                <w:bCs w:val="1"/>
                <w:color w:val="auto"/>
              </w:rPr>
              <w:t>46808</w:t>
            </w:r>
          </w:p>
        </w:tc>
      </w:tr>
      <w:tr>
        <w:trPr>
          <w:trHeight w:val="174"/>
        </w:trPr>
        <w:tc>
          <w:tcPr>
            <w:tcW w:w="6320" w:type="dxa"/>
            <w:vAlign w:val="bottom"/>
          </w:tcPr>
          <w:p>
            <w:pPr>
              <w:jc w:val="center"/>
              <w:ind w:right="402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320" w:type="dxa"/>
            <w:vAlign w:val="bottom"/>
          </w:tcPr>
          <w:p>
            <w:pPr>
              <w:jc w:val="center"/>
              <w:ind w:left="1462"/>
              <w:spacing w:after="0"/>
              <w:rPr>
                <w:sz w:val="20"/>
                <w:szCs w:val="20"/>
                <w:color w:val="auto"/>
              </w:rPr>
            </w:pPr>
            <w:r>
              <w:rPr>
                <w:rFonts w:ascii="Arial" w:cs="Arial" w:eastAsia="Arial" w:hAnsi="Arial"/>
                <w:sz w:val="18"/>
                <w:szCs w:val="18"/>
                <w:b w:val="1"/>
                <w:bCs w:val="1"/>
                <w:color w:val="auto"/>
                <w:w w:val="89"/>
              </w:rPr>
              <w:t>(877) 708-8372</w:t>
            </w:r>
          </w:p>
        </w:tc>
        <w:tc>
          <w:tcPr>
            <w:tcW w:w="1080" w:type="dxa"/>
            <w:vAlign w:val="bottom"/>
          </w:tcPr>
          <w:p>
            <w:pPr>
              <w:spacing w:after="0"/>
              <w:rPr>
                <w:sz w:val="24"/>
                <w:szCs w:val="24"/>
                <w:color w:val="auto"/>
              </w:rPr>
            </w:pPr>
          </w:p>
        </w:tc>
      </w:tr>
      <w:tr>
        <w:trPr>
          <w:trHeight w:val="174"/>
        </w:trPr>
        <w:tc>
          <w:tcPr>
            <w:tcW w:w="6320" w:type="dxa"/>
            <w:vAlign w:val="bottom"/>
          </w:tcPr>
          <w:p>
            <w:pPr>
              <w:jc w:val="center"/>
              <w:ind w:left="1462"/>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080" w:type="dxa"/>
            <w:vAlign w:val="bottom"/>
          </w:tcPr>
          <w:p>
            <w:pPr>
              <w:spacing w:after="0"/>
              <w:rPr>
                <w:sz w:val="15"/>
                <w:szCs w:val="15"/>
                <w:color w:val="auto"/>
              </w:rPr>
            </w:pPr>
          </w:p>
        </w:tc>
      </w:tr>
      <w:tr>
        <w:trPr>
          <w:trHeight w:val="352"/>
        </w:trPr>
        <w:tc>
          <w:tcPr>
            <w:tcW w:w="6320" w:type="dxa"/>
            <w:vAlign w:val="bottom"/>
          </w:tcPr>
          <w:p>
            <w:pPr>
              <w:jc w:val="center"/>
              <w:ind w:left="1462"/>
              <w:spacing w:after="0"/>
              <w:rPr>
                <w:sz w:val="20"/>
                <w:szCs w:val="20"/>
                <w:color w:val="auto"/>
              </w:rPr>
            </w:pPr>
            <w:r>
              <w:rPr>
                <w:rFonts w:ascii="Arial" w:cs="Arial" w:eastAsia="Arial" w:hAnsi="Arial"/>
                <w:sz w:val="18"/>
                <w:szCs w:val="18"/>
                <w:b w:val="1"/>
                <w:bCs w:val="1"/>
                <w:color w:val="auto"/>
                <w:w w:val="84"/>
              </w:rPr>
              <w:t>None</w:t>
            </w:r>
          </w:p>
        </w:tc>
        <w:tc>
          <w:tcPr>
            <w:tcW w:w="1080" w:type="dxa"/>
            <w:vAlign w:val="bottom"/>
          </w:tcPr>
          <w:p>
            <w:pPr>
              <w:spacing w:after="0"/>
              <w:rPr>
                <w:sz w:val="24"/>
                <w:szCs w:val="24"/>
                <w:color w:val="auto"/>
              </w:rPr>
            </w:pPr>
          </w:p>
        </w:tc>
      </w:tr>
      <w:tr>
        <w:trPr>
          <w:trHeight w:val="174"/>
        </w:trPr>
        <w:tc>
          <w:tcPr>
            <w:tcW w:w="6320" w:type="dxa"/>
            <w:vAlign w:val="bottom"/>
          </w:tcPr>
          <w:p>
            <w:pPr>
              <w:jc w:val="center"/>
              <w:ind w:left="1462"/>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08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40"/>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940" w:type="dxa"/>
            <w:vAlign w:val="bottom"/>
          </w:tcPr>
          <w:p>
            <w:pPr>
              <w:ind w:left="78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32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940" w:type="dxa"/>
            <w:vAlign w:val="bottom"/>
          </w:tcPr>
          <w:p>
            <w:pPr>
              <w:ind w:left="78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080" w:type="dxa"/>
            <w:vAlign w:val="bottom"/>
            <w:gridSpan w:val="2"/>
          </w:tcPr>
          <w:p>
            <w:pPr>
              <w:spacing w:after="0"/>
              <w:rPr>
                <w:sz w:val="20"/>
                <w:szCs w:val="20"/>
                <w:color w:val="auto"/>
              </w:rPr>
            </w:pPr>
            <w:r>
              <w:rPr>
                <w:rFonts w:ascii="Arial" w:cs="Arial" w:eastAsia="Arial" w:hAnsi="Arial"/>
                <w:sz w:val="18"/>
                <w:szCs w:val="18"/>
                <w:color w:val="auto"/>
                <w:w w:val="89"/>
              </w:rPr>
              <w:t>Indicate by check mark whether the registrant is a shell company (as defined in Rule 12b-2 of the Exchange Act).</w:t>
            </w:r>
          </w:p>
        </w:tc>
        <w:tc>
          <w:tcPr>
            <w:tcW w:w="294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080" w:type="dxa"/>
            <w:vAlign w:val="bottom"/>
            <w:gridSpan w:val="2"/>
          </w:tcPr>
          <w:p>
            <w:pPr>
              <w:spacing w:after="0"/>
              <w:rPr>
                <w:sz w:val="20"/>
                <w:szCs w:val="20"/>
                <w:color w:val="auto"/>
              </w:rPr>
            </w:pPr>
            <w:r>
              <w:rPr>
                <w:rFonts w:ascii="Arial" w:cs="Arial" w:eastAsia="Arial" w:hAnsi="Arial"/>
                <w:sz w:val="18"/>
                <w:szCs w:val="18"/>
                <w:color w:val="auto"/>
              </w:rPr>
              <w:t>The registrant had 40,562,103 shares of its common stock outstanding as of December 6, 2012.</w:t>
            </w:r>
          </w:p>
        </w:tc>
        <w:tc>
          <w:tcPr>
            <w:tcW w:w="29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4"/>
        </w:trPr>
        <w:tc>
          <w:tcPr>
            <w:tcW w:w="1760" w:type="dxa"/>
            <w:vAlign w:val="bottom"/>
            <w:tcBorders>
              <w:bottom w:val="single" w:sz="8" w:color="auto"/>
            </w:tcBorders>
          </w:tcPr>
          <w:p>
            <w:pPr>
              <w:spacing w:after="0"/>
              <w:rPr>
                <w:sz w:val="10"/>
                <w:szCs w:val="10"/>
                <w:color w:val="auto"/>
              </w:rPr>
            </w:pPr>
          </w:p>
        </w:tc>
        <w:tc>
          <w:tcPr>
            <w:tcW w:w="6320" w:type="dxa"/>
            <w:vAlign w:val="bottom"/>
            <w:tcBorders>
              <w:bottom w:val="single" w:sz="8" w:color="auto"/>
            </w:tcBorders>
          </w:tcPr>
          <w:p>
            <w:pPr>
              <w:spacing w:after="0"/>
              <w:rPr>
                <w:sz w:val="10"/>
                <w:szCs w:val="10"/>
                <w:color w:val="auto"/>
              </w:rPr>
            </w:pPr>
          </w:p>
        </w:tc>
        <w:tc>
          <w:tcPr>
            <w:tcW w:w="29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632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760" w:type="dxa"/>
            <w:vAlign w:val="bottom"/>
            <w:gridSpan w:val="7"/>
          </w:tcPr>
          <w:p>
            <w:pPr>
              <w:jc w:val="center"/>
              <w:ind w:right="3520"/>
              <w:spacing w:after="0"/>
              <w:rPr>
                <w:sz w:val="20"/>
                <w:szCs w:val="20"/>
                <w:color w:val="auto"/>
              </w:rPr>
            </w:pPr>
            <w:r>
              <w:rPr>
                <w:rFonts w:ascii="Arial" w:cs="Arial" w:eastAsia="Arial" w:hAnsi="Arial"/>
                <w:sz w:val="18"/>
                <w:szCs w:val="18"/>
                <w:b w:val="1"/>
                <w:bCs w:val="1"/>
                <w:color w:val="auto"/>
                <w:w w:val="96"/>
              </w:rPr>
              <w:t>TABLE OF CONTENTS</w:t>
            </w:r>
          </w:p>
        </w:tc>
        <w:tc>
          <w:tcPr>
            <w:tcW w:w="460" w:type="dxa"/>
            <w:vAlign w:val="bottom"/>
          </w:tcPr>
          <w:p>
            <w:pPr>
              <w:spacing w:after="0"/>
              <w:rPr>
                <w:sz w:val="19"/>
                <w:szCs w:val="19"/>
                <w:color w:val="auto"/>
              </w:rPr>
            </w:pPr>
          </w:p>
        </w:tc>
      </w:tr>
      <w:tr>
        <w:trPr>
          <w:trHeight w:val="488"/>
        </w:trPr>
        <w:tc>
          <w:tcPr>
            <w:tcW w:w="3000" w:type="dxa"/>
            <w:vAlign w:val="bottom"/>
            <w:tcBorders>
              <w:bottom w:val="single" w:sz="8" w:color="0000EE"/>
            </w:tcBorders>
            <w:gridSpan w:val="6"/>
          </w:tcPr>
          <w:p>
            <w:pPr>
              <w:spacing w:after="0"/>
              <w:rPr>
                <w:rFonts w:ascii="Arial" w:cs="Arial" w:eastAsia="Arial" w:hAnsi="Arial"/>
                <w:sz w:val="18"/>
                <w:szCs w:val="18"/>
                <w:b w:val="1"/>
                <w:bCs w:val="1"/>
                <w:color w:val="0000EE"/>
                <w:w w:val="99"/>
              </w:rPr>
            </w:pPr>
            <w:hyperlink w:anchor="page4">
              <w:r>
                <w:rPr>
                  <w:rFonts w:ascii="Arial" w:cs="Arial" w:eastAsia="Arial" w:hAnsi="Arial"/>
                  <w:sz w:val="18"/>
                  <w:szCs w:val="18"/>
                  <w:b w:val="1"/>
                  <w:bCs w:val="1"/>
                  <w:color w:val="0000EE"/>
                  <w:w w:val="99"/>
                </w:rPr>
                <w:t>PART I. FINANCIAL INFORMATION</w:t>
              </w:r>
            </w:hyperlink>
          </w:p>
        </w:tc>
        <w:tc>
          <w:tcPr>
            <w:tcW w:w="7860" w:type="dxa"/>
            <w:vAlign w:val="bottom"/>
            <w:gridSpan w:val="9"/>
          </w:tcPr>
          <w:p>
            <w:pPr>
              <w:spacing w:after="0"/>
              <w:rPr>
                <w:sz w:val="24"/>
                <w:szCs w:val="24"/>
                <w:color w:val="auto"/>
              </w:rPr>
            </w:pPr>
          </w:p>
        </w:tc>
        <w:tc>
          <w:tcPr>
            <w:tcW w:w="460" w:type="dxa"/>
            <w:vAlign w:val="bottom"/>
          </w:tcPr>
          <w:p>
            <w:pPr>
              <w:spacing w:after="0"/>
              <w:rPr>
                <w:sz w:val="24"/>
                <w:szCs w:val="24"/>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Item 1.</w:t>
            </w:r>
          </w:p>
        </w:tc>
        <w:tc>
          <w:tcPr>
            <w:tcW w:w="232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Financial Statements (unaudited)</w:t>
              </w:r>
            </w:hyperlink>
          </w:p>
        </w:tc>
        <w:tc>
          <w:tcPr>
            <w:tcW w:w="7760" w:type="dxa"/>
            <w:vAlign w:val="bottom"/>
            <w:gridSpan w:val="8"/>
          </w:tcPr>
          <w:p>
            <w:pPr>
              <w:spacing w:after="0"/>
              <w:rPr>
                <w:sz w:val="24"/>
                <w:szCs w:val="24"/>
                <w:color w:val="auto"/>
              </w:rPr>
            </w:pPr>
          </w:p>
        </w:tc>
        <w:tc>
          <w:tcPr>
            <w:tcW w:w="460" w:type="dxa"/>
            <w:vAlign w:val="bottom"/>
          </w:tcPr>
          <w:p>
            <w:pPr>
              <w:spacing w:after="0"/>
              <w:rPr>
                <w:sz w:val="24"/>
                <w:szCs w:val="24"/>
                <w:color w:val="auto"/>
              </w:rPr>
            </w:pPr>
          </w:p>
        </w:tc>
      </w:tr>
      <w:tr>
        <w:trPr>
          <w:trHeight w:val="304"/>
        </w:trPr>
        <w:tc>
          <w:tcPr>
            <w:tcW w:w="780" w:type="dxa"/>
            <w:vAlign w:val="bottom"/>
          </w:tcPr>
          <w:p>
            <w:pPr>
              <w:spacing w:after="0"/>
              <w:rPr>
                <w:sz w:val="24"/>
                <w:szCs w:val="24"/>
                <w:color w:val="auto"/>
              </w:rPr>
            </w:pPr>
          </w:p>
        </w:tc>
        <w:tc>
          <w:tcPr>
            <w:tcW w:w="5280" w:type="dxa"/>
            <w:vAlign w:val="bottom"/>
            <w:tcBorders>
              <w:bottom w:val="single" w:sz="8" w:color="0000EE"/>
            </w:tcBorders>
            <w:gridSpan w:val="9"/>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Consolidated Balance Sheets as of October 27, 2012, and January 28, 2012</w:t>
              </w:r>
            </w:hyperlink>
          </w:p>
        </w:tc>
        <w:tc>
          <w:tcPr>
            <w:tcW w:w="4800" w:type="dxa"/>
            <w:vAlign w:val="bottom"/>
            <w:gridSpan w:val="5"/>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780" w:type="dxa"/>
            <w:vAlign w:val="bottom"/>
          </w:tcPr>
          <w:p>
            <w:pPr>
              <w:spacing w:after="0"/>
              <w:rPr>
                <w:sz w:val="24"/>
                <w:szCs w:val="24"/>
                <w:color w:val="auto"/>
              </w:rPr>
            </w:pPr>
          </w:p>
        </w:tc>
        <w:tc>
          <w:tcPr>
            <w:tcW w:w="866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Consolidated Statements of Income for the Thirteen and Thirty-nine Weeks Ended October 27, 2012, and October 29, 2011</w:t>
              </w:r>
            </w:hyperlink>
          </w:p>
        </w:tc>
        <w:tc>
          <w:tcPr>
            <w:tcW w:w="1420" w:type="dxa"/>
            <w:vAlign w:val="bottom"/>
            <w:gridSpan w:val="2"/>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780" w:type="dxa"/>
            <w:vAlign w:val="bottom"/>
          </w:tcPr>
          <w:p>
            <w:pPr>
              <w:spacing w:after="0"/>
              <w:rPr>
                <w:sz w:val="24"/>
                <w:szCs w:val="24"/>
                <w:color w:val="auto"/>
              </w:rPr>
            </w:pPr>
          </w:p>
        </w:tc>
        <w:tc>
          <w:tcPr>
            <w:tcW w:w="10080" w:type="dxa"/>
            <w:vAlign w:val="bottom"/>
            <w:gridSpan w:val="14"/>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Statements of Comprehensive Income for the Thirteen and Thirty-nine Weeks Ended October 27, 2012, and October 29, 2011</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780" w:type="dxa"/>
            <w:vAlign w:val="bottom"/>
          </w:tcPr>
          <w:p>
            <w:pPr>
              <w:spacing w:after="0"/>
              <w:rPr>
                <w:sz w:val="24"/>
                <w:szCs w:val="24"/>
                <w:color w:val="auto"/>
              </w:rPr>
            </w:pPr>
          </w:p>
        </w:tc>
        <w:tc>
          <w:tcPr>
            <w:tcW w:w="80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Consolidated Statements of Cash Flows for the Thirty-nine Weeks Ended October 27, 2012, and October 29, 2011</w:t>
              </w:r>
            </w:hyperlink>
          </w:p>
        </w:tc>
        <w:tc>
          <w:tcPr>
            <w:tcW w:w="1780" w:type="dxa"/>
            <w:vAlign w:val="bottom"/>
            <w:tcBorders>
              <w:top w:val="single" w:sz="8" w:color="0000EE"/>
            </w:tcBorders>
            <w:gridSpan w:val="2"/>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780" w:type="dxa"/>
            <w:vAlign w:val="bottom"/>
          </w:tcPr>
          <w:p>
            <w:pPr>
              <w:spacing w:after="0"/>
              <w:rPr>
                <w:sz w:val="24"/>
                <w:szCs w:val="24"/>
                <w:color w:val="auto"/>
              </w:rPr>
            </w:pPr>
          </w:p>
        </w:tc>
        <w:tc>
          <w:tcPr>
            <w:tcW w:w="10080" w:type="dxa"/>
            <w:vAlign w:val="bottom"/>
            <w:gridSpan w:val="14"/>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the Consolidated Financial Statements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7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13">
              <w:r>
                <w:rPr>
                  <w:rFonts w:ascii="Arial" w:cs="Arial" w:eastAsia="Arial" w:hAnsi="Arial"/>
                  <w:sz w:val="18"/>
                  <w:szCs w:val="18"/>
                  <w:color w:val="0000EE"/>
                  <w:w w:val="88"/>
                </w:rPr>
                <w:t>Management’s Discussion and Analysis of Financial Condition and Results of Operations</w:t>
              </w:r>
            </w:hyperlink>
          </w:p>
        </w:tc>
        <w:tc>
          <w:tcPr>
            <w:tcW w:w="3780" w:type="dxa"/>
            <w:vAlign w:val="bottom"/>
            <w:gridSpan w:val="4"/>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Item 3.</w:t>
            </w:r>
          </w:p>
        </w:tc>
        <w:tc>
          <w:tcPr>
            <w:tcW w:w="10080" w:type="dxa"/>
            <w:vAlign w:val="bottom"/>
            <w:gridSpan w:val="14"/>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Quantitative and Qualitative Disclosures About Market Risk</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Item 4.</w:t>
            </w:r>
          </w:p>
        </w:tc>
        <w:tc>
          <w:tcPr>
            <w:tcW w:w="4240" w:type="dxa"/>
            <w:vAlign w:val="bottom"/>
            <w:tcBorders>
              <w:top w:val="single" w:sz="8" w:color="0000EE"/>
            </w:tcBorders>
            <w:gridSpan w:val="8"/>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Controls and Procedures</w:t>
              </w:r>
            </w:hyperlink>
          </w:p>
        </w:tc>
        <w:tc>
          <w:tcPr>
            <w:tcW w:w="5840" w:type="dxa"/>
            <w:vAlign w:val="bottom"/>
            <w:gridSpan w:val="6"/>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7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160" w:type="dxa"/>
            <w:vAlign w:val="bottom"/>
            <w:gridSpan w:val="1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04"/>
        </w:trPr>
        <w:tc>
          <w:tcPr>
            <w:tcW w:w="10860" w:type="dxa"/>
            <w:vAlign w:val="bottom"/>
            <w:gridSpan w:val="15"/>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PART II. OTHER INFORMATION</w:t>
              </w:r>
            </w:hyperlink>
          </w:p>
        </w:tc>
        <w:tc>
          <w:tcPr>
            <w:tcW w:w="460" w:type="dxa"/>
            <w:vAlign w:val="bottom"/>
          </w:tcPr>
          <w:p>
            <w:pPr>
              <w:spacing w:after="0"/>
              <w:rPr>
                <w:sz w:val="24"/>
                <w:szCs w:val="24"/>
                <w:color w:val="auto"/>
              </w:rPr>
            </w:pPr>
          </w:p>
        </w:tc>
      </w:tr>
      <w:tr>
        <w:trPr>
          <w:trHeight w:val="304"/>
        </w:trPr>
        <w:tc>
          <w:tcPr>
            <w:tcW w:w="7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1A.</w:t>
            </w:r>
          </w:p>
        </w:tc>
        <w:tc>
          <w:tcPr>
            <w:tcW w:w="1920" w:type="dxa"/>
            <w:vAlign w:val="bottom"/>
            <w:tcBorders>
              <w:top w:val="single" w:sz="8" w:color="0000EE"/>
            </w:tcBorders>
            <w:gridSpan w:val="4"/>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Risk Factors</w:t>
              </w:r>
            </w:hyperlink>
          </w:p>
        </w:tc>
        <w:tc>
          <w:tcPr>
            <w:tcW w:w="8160" w:type="dxa"/>
            <w:vAlign w:val="bottom"/>
            <w:gridSpan w:val="10"/>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Item 6.</w:t>
            </w:r>
          </w:p>
        </w:tc>
        <w:tc>
          <w:tcPr>
            <w:tcW w:w="880" w:type="dxa"/>
            <w:vAlign w:val="bottom"/>
            <w:tcBorders>
              <w:top w:val="single" w:sz="8" w:color="0000EE"/>
            </w:tcBorders>
            <w:gridSpan w:val="2"/>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Exhibits</w:t>
              </w:r>
            </w:hyperlink>
          </w:p>
        </w:tc>
        <w:tc>
          <w:tcPr>
            <w:tcW w:w="9200" w:type="dxa"/>
            <w:vAlign w:val="bottom"/>
            <w:gridSpan w:val="12"/>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532"/>
        </w:trPr>
        <w:tc>
          <w:tcPr>
            <w:tcW w:w="78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700" w:type="dxa"/>
            <w:vAlign w:val="bottom"/>
            <w:gridSpan w:val="8"/>
          </w:tcPr>
          <w:p>
            <w:pPr>
              <w:jc w:val="right"/>
              <w:ind w:right="300"/>
              <w:spacing w:after="0"/>
              <w:rPr>
                <w:sz w:val="20"/>
                <w:szCs w:val="20"/>
                <w:color w:val="auto"/>
              </w:rPr>
            </w:pPr>
            <w:r>
              <w:rPr>
                <w:rFonts w:ascii="Arial" w:cs="Arial" w:eastAsia="Arial" w:hAnsi="Arial"/>
                <w:sz w:val="18"/>
                <w:szCs w:val="18"/>
                <w:color w:val="auto"/>
              </w:rPr>
              <w:t>2</w:t>
            </w:r>
          </w:p>
        </w:tc>
        <w:tc>
          <w:tcPr>
            <w:tcW w:w="10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ORWARD</w:t>
      </w:r>
      <w:r>
        <w:rPr>
          <w:rFonts w:ascii="Arial" w:cs="Arial" w:eastAsia="Arial" w:hAnsi="Arial"/>
          <w:sz w:val="18"/>
          <w:szCs w:val="18"/>
          <w:b w:val="1"/>
          <w:bCs w:val="1"/>
          <w:color w:val="auto"/>
        </w:rPr>
        <w:t>-</w:t>
      </w:r>
      <w:r>
        <w:rPr>
          <w:rFonts w:ascii="Arial" w:cs="Arial" w:eastAsia="Arial" w:hAnsi="Arial"/>
          <w:sz w:val="14"/>
          <w:szCs w:val="14"/>
          <w:b w:val="1"/>
          <w:bCs w:val="1"/>
          <w:color w:val="auto"/>
        </w:rPr>
        <w:t>LOOKING</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TATEMENTS</w:t>
      </w:r>
    </w:p>
    <w:p>
      <w:pPr>
        <w:spacing w:after="0" w:line="177"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This report contains forward-looking statements that are subject to risks and uncertainties. All statements other than statements of historical or current fact included in this report are forward-looking statements. Forward-looking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and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initiatives, or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spacing w:after="0" w:line="39"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adverse changes in general economic conditions and their impact on consumer confidence and consumer spending;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predict and respond in a timely manner to changes in consumer demand;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loss of key management or design associates or inability to attract and retain the talent required for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maintain and enhance our brand;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implement our growth strategies or manage our growing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open and operate new stores as planned;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sustain levels of comparable-store sales;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adverse changes in the cost of raw materials and labor used to manufacture our products.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derive many of our forward-looking statements from our operating plans and forecasts, which are based upon detailed assumptions. While we believe that our assumptions are reasonable, we caution that it is difficult to predict the impact of known factors, and it is impossible for us to anticipate all factors that could affect our actual results.</w:t>
      </w:r>
    </w:p>
    <w:p>
      <w:pPr>
        <w:spacing w:after="0" w:line="140"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For a discussion of these risks and other risks and uncertainties that could cause actual results to differ materially from those contained in our forward-looking statements, please refer to “Risk Factors” in Item 1A of our Annual Report on Form 10-K for the fiscal year ended January 28, 2012.</w:t>
      </w:r>
    </w:p>
    <w:p>
      <w:pPr>
        <w:spacing w:after="0" w:line="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October 27,</w:t>
            </w:r>
          </w:p>
        </w:tc>
        <w:tc>
          <w:tcPr>
            <w:tcW w:w="14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8"/>
              </w:rPr>
              <w:t>January 28,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4,468</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46,866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38,097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135,311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106,967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9,758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62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205,187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166,339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 of accumulated depreciation of $48,677 and $41,872, respectively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283,972</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219,513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6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36,683</w:t>
            </w:r>
          </w:p>
        </w:tc>
        <w:tc>
          <w:tcPr>
            <w:tcW w:w="180" w:type="dxa"/>
            <w:vAlign w:val="bottom"/>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27,276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employment costs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Other accrued liabilities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17,737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15,297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66,834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35,294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114,907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6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Preferred stock; 5,000 shares authorized, no shares issued or outstanding</w:t>
            </w: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Common stock, without par value; 200,000 shares authorized, 40,562 and 40,507 shares issued and outstanding, respectively</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Additional paid-in-capital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75,113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73,590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94,061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Accumulated other comprehensive (loss) income</w:t>
            </w: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169,065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124,007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20" w:type="dxa"/>
            <w:vAlign w:val="bottom"/>
          </w:tcPr>
          <w:p>
            <w:pPr>
              <w:ind w:left="86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283,972</w:t>
            </w:r>
          </w:p>
        </w:tc>
        <w:tc>
          <w:tcPr>
            <w:tcW w:w="180" w:type="dxa"/>
            <w:vAlign w:val="bottom"/>
          </w:tcPr>
          <w:p>
            <w:pPr>
              <w:spacing w:after="0"/>
              <w:rPr>
                <w:sz w:val="19"/>
                <w:szCs w:val="19"/>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219,513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4"/>
          </w:tcPr>
          <w:p>
            <w:pPr>
              <w:jc w:val="right"/>
              <w:ind w:right="94"/>
              <w:spacing w:after="0"/>
              <w:rPr>
                <w:sz w:val="20"/>
                <w:szCs w:val="20"/>
                <w:color w:val="auto"/>
              </w:rPr>
            </w:pPr>
            <w:r>
              <w:rPr>
                <w:rFonts w:ascii="Arial" w:cs="Arial" w:eastAsia="Arial" w:hAnsi="Arial"/>
                <w:sz w:val="14"/>
                <w:szCs w:val="14"/>
                <w:b w:val="1"/>
                <w:bCs w:val="1"/>
                <w:color w:val="auto"/>
                <w:w w:val="91"/>
              </w:rPr>
              <w:t>Thirteen Weeks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spacing w:after="0"/>
              <w:rPr>
                <w:sz w:val="20"/>
                <w:szCs w:val="20"/>
                <w:color w:val="auto"/>
              </w:rPr>
            </w:pPr>
            <w:r>
              <w:rPr>
                <w:rFonts w:ascii="Arial" w:cs="Arial" w:eastAsia="Arial" w:hAnsi="Arial"/>
                <w:sz w:val="14"/>
                <w:szCs w:val="14"/>
                <w:b w:val="1"/>
                <w:bCs w:val="1"/>
                <w:color w:val="auto"/>
                <w:w w:val="98"/>
              </w:rPr>
              <w:t>Thirty-nine Weeks Ended</w:t>
            </w:r>
          </w:p>
        </w:tc>
        <w:tc>
          <w:tcPr>
            <w:tcW w:w="0" w:type="dxa"/>
            <w:vAlign w:val="bottom"/>
          </w:tcPr>
          <w:p>
            <w:pPr>
              <w:spacing w:after="0"/>
              <w:rPr>
                <w:sz w:val="1"/>
                <w:szCs w:val="1"/>
                <w:color w:val="auto"/>
              </w:rPr>
            </w:pPr>
          </w:p>
        </w:tc>
      </w:tr>
      <w:tr>
        <w:trPr>
          <w:trHeight w:val="129"/>
        </w:trPr>
        <w:tc>
          <w:tcPr>
            <w:tcW w:w="7700" w:type="dxa"/>
            <w:vAlign w:val="bottom"/>
          </w:tcPr>
          <w:p>
            <w:pPr>
              <w:spacing w:after="0"/>
              <w:rPr>
                <w:sz w:val="11"/>
                <w:szCs w:val="11"/>
                <w:color w:val="auto"/>
              </w:rPr>
            </w:pPr>
          </w:p>
        </w:tc>
        <w:tc>
          <w:tcPr>
            <w:tcW w:w="9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October 27,</w:t>
            </w:r>
          </w:p>
        </w:tc>
        <w:tc>
          <w:tcPr>
            <w:tcW w:w="6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October 29,</w:t>
            </w:r>
          </w:p>
        </w:tc>
        <w:tc>
          <w:tcPr>
            <w:tcW w:w="300" w:type="dxa"/>
            <w:vAlign w:val="bottom"/>
          </w:tcPr>
          <w:p>
            <w:pPr>
              <w:spacing w:after="0"/>
              <w:rPr>
                <w:sz w:val="11"/>
                <w:szCs w:val="11"/>
                <w:color w:val="auto"/>
              </w:rPr>
            </w:pPr>
          </w:p>
        </w:tc>
        <w:tc>
          <w:tcPr>
            <w:tcW w:w="10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October 27,</w:t>
            </w:r>
          </w:p>
        </w:tc>
        <w:tc>
          <w:tcPr>
            <w:tcW w:w="6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October 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7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138,346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121,149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378,584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326,328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Cost of sales</w:t>
            </w: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58,118</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55,471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164,442</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144,578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80,228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65,678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214,142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181,750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53,598</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45,365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148,622</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124,474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4,660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ind w:left="440"/>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7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27,571</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21,519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70,180</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63,505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ind w:left="440"/>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7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27,399</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21,231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69,665</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62,572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9,657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25,924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ind w:left="440"/>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0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17,742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12,962</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43,741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37,819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Basic weighted-average shares outstanding</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40,534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40,507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40,527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Diluted weighted-average shares outstanding</w:t>
            </w: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40,574</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40,540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40,563</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40,538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0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0.32</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5"/>
          </w:tcPr>
          <w:p>
            <w:pPr>
              <w:jc w:val="right"/>
              <w:ind w:right="157"/>
              <w:spacing w:after="0"/>
              <w:rPr>
                <w:sz w:val="20"/>
                <w:szCs w:val="20"/>
                <w:color w:val="auto"/>
              </w:rPr>
            </w:pPr>
            <w:r>
              <w:rPr>
                <w:rFonts w:ascii="Arial" w:cs="Arial" w:eastAsia="Arial" w:hAnsi="Arial"/>
                <w:sz w:val="14"/>
                <w:szCs w:val="14"/>
                <w:b w:val="1"/>
                <w:bCs w:val="1"/>
                <w:color w:val="auto"/>
                <w:w w:val="91"/>
              </w:rPr>
              <w:t>Thirteen Weeks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ind w:left="2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9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October 27,</w:t>
            </w:r>
          </w:p>
        </w:tc>
        <w:tc>
          <w:tcPr>
            <w:tcW w:w="1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October 29,</w:t>
            </w:r>
          </w:p>
        </w:tc>
        <w:tc>
          <w:tcPr>
            <w:tcW w:w="400" w:type="dxa"/>
            <w:vAlign w:val="bottom"/>
          </w:tcPr>
          <w:p>
            <w:pPr>
              <w:spacing w:after="0"/>
              <w:rPr>
                <w:sz w:val="11"/>
                <w:szCs w:val="11"/>
                <w:color w:val="auto"/>
              </w:rPr>
            </w:pPr>
          </w:p>
        </w:tc>
        <w:tc>
          <w:tcPr>
            <w:tcW w:w="11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October 27,</w:t>
            </w:r>
          </w:p>
        </w:tc>
        <w:tc>
          <w:tcPr>
            <w:tcW w:w="6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October 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80" w:type="dxa"/>
            <w:vAlign w:val="bottom"/>
            <w:tcBorders>
              <w:bottom w:val="single" w:sz="8" w:color="CCEEFF"/>
            </w:tcBorders>
          </w:tcPr>
          <w:p>
            <w:pPr>
              <w:spacing w:after="0"/>
              <w:rPr>
                <w:sz w:val="14"/>
                <w:szCs w:val="14"/>
                <w:color w:val="auto"/>
              </w:rPr>
            </w:pPr>
          </w:p>
        </w:tc>
        <w:tc>
          <w:tcPr>
            <w:tcW w:w="24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6"/>
              </w:rPr>
              <w:t>2011</w:t>
            </w: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17,742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12,962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43,741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37,819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Cumulative translation adjustment</w:t>
            </w: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(189)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(206)</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17,553</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13,009</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43,535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37,940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Vera Bradley,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89"/>
              </w:rPr>
              <w:t>Thirty-nine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500" w:type="dxa"/>
            <w:vAlign w:val="bottom"/>
          </w:tcPr>
          <w:p>
            <w:pPr>
              <w:spacing w:after="0"/>
              <w:rPr>
                <w:sz w:val="11"/>
                <w:szCs w:val="11"/>
                <w:color w:val="auto"/>
              </w:rPr>
            </w:pPr>
          </w:p>
        </w:tc>
        <w:tc>
          <w:tcPr>
            <w:tcW w:w="92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October 27,</w:t>
            </w: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October 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5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43,741</w:t>
            </w:r>
          </w:p>
        </w:tc>
        <w:tc>
          <w:tcPr>
            <w:tcW w:w="24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37,819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Depreciation of property, plant, and equipment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7,424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Loss on disposal of property, plant, and equipment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(548)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assets and liabilities: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(9,139)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(28,489)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(14,382)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(2,397)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(11,063)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Income taxes payable</w:t>
            </w: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(1,647)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(10,010)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and other liabilities</w:t>
            </w: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52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22,237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Purchases of property, plant, and equipment</w:t>
            </w: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(32,114)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(11,316)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(32,114)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(11,316)</w:t>
            </w:r>
          </w:p>
        </w:tc>
        <w:tc>
          <w:tcPr>
            <w:tcW w:w="0" w:type="dxa"/>
            <w:vAlign w:val="bottom"/>
          </w:tcPr>
          <w:p>
            <w:pPr>
              <w:spacing w:after="0"/>
              <w:rPr>
                <w:sz w:val="1"/>
                <w:szCs w:val="1"/>
                <w:color w:val="auto"/>
              </w:rPr>
            </w:pPr>
          </w:p>
        </w:tc>
      </w:tr>
      <w:tr>
        <w:trPr>
          <w:trHeight w:val="222"/>
        </w:trPr>
        <w:tc>
          <w:tcPr>
            <w:tcW w:w="95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financial-institution debt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(70,750)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Borrowings on financial-institution debt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81,000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vendor-financed debt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Tax withholdings for equity compensation</w:t>
            </w: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(736)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520" w:type="dxa"/>
            <w:vAlign w:val="bottom"/>
            <w:gridSpan w:val="2"/>
          </w:tcPr>
          <w:p>
            <w:pPr>
              <w:spacing w:after="0"/>
              <w:rPr>
                <w:sz w:val="20"/>
                <w:szCs w:val="20"/>
                <w:color w:val="auto"/>
              </w:rPr>
            </w:pPr>
            <w:r>
              <w:rPr>
                <w:rFonts w:ascii="Arial" w:cs="Arial" w:eastAsia="Arial" w:hAnsi="Arial"/>
                <w:sz w:val="18"/>
                <w:szCs w:val="18"/>
                <w:color w:val="auto"/>
              </w:rPr>
              <w:t>Net cash provided by (used in) financing activities</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9,448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9520" w:type="dxa"/>
            <w:vAlign w:val="bottom"/>
            <w:gridSpan w:val="2"/>
            <w:vMerge w:val="restart"/>
          </w:tcPr>
          <w:p>
            <w:pPr>
              <w:spacing w:after="0"/>
              <w:rPr>
                <w:sz w:val="20"/>
                <w:szCs w:val="20"/>
                <w:color w:val="auto"/>
              </w:rPr>
            </w:pPr>
            <w:r>
              <w:rPr>
                <w:rFonts w:ascii="Arial" w:cs="Arial" w:eastAsia="Arial" w:hAnsi="Arial"/>
                <w:sz w:val="18"/>
                <w:szCs w:val="18"/>
                <w:color w:val="auto"/>
              </w:rPr>
              <w:t>Net decrease in cash and cash equivalents</w:t>
            </w: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5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(454)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(5,611)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52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4,468</w:t>
            </w:r>
          </w:p>
        </w:tc>
        <w:tc>
          <w:tcPr>
            <w:tcW w:w="240" w:type="dxa"/>
            <w:vAlign w:val="bottom"/>
          </w:tcPr>
          <w:p>
            <w:pPr>
              <w:spacing w:after="0"/>
              <w:rPr>
                <w:sz w:val="19"/>
                <w:szCs w:val="19"/>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8,342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Company and Basis of Presentation</w:t>
      </w:r>
    </w:p>
    <w:p>
      <w:pPr>
        <w:spacing w:after="0" w:line="96" w:lineRule="exact"/>
        <w:rPr>
          <w:rFonts w:ascii="Arial" w:cs="Arial" w:eastAsia="Arial" w:hAnsi="Arial"/>
          <w:sz w:val="18"/>
          <w:szCs w:val="18"/>
          <w:b w:val="1"/>
          <w:bCs w:val="1"/>
          <w:color w:val="auto"/>
        </w:rPr>
      </w:pPr>
    </w:p>
    <w:p>
      <w:pPr>
        <w:ind w:left="460" w:right="46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Vera Bradley Designs, Inc. is a wholly owned subsidiary of Vera Bradley, Inc. Except where context requires or where otherwise indicated, the terms “Company” and “Vera Bradley” refer to Vera Bradley, Inc. and its subsidiaries, including Vera Bradley Designs, Inc.</w:t>
      </w:r>
    </w:p>
    <w:p>
      <w:pPr>
        <w:spacing w:after="0" w:line="4" w:lineRule="exact"/>
        <w:rPr>
          <w:rFonts w:ascii="Arial" w:cs="Arial" w:eastAsia="Arial" w:hAnsi="Arial"/>
          <w:sz w:val="18"/>
          <w:szCs w:val="18"/>
          <w:b w:val="1"/>
          <w:bCs w:val="1"/>
          <w:color w:val="auto"/>
        </w:rPr>
      </w:pPr>
    </w:p>
    <w:p>
      <w:pPr>
        <w:ind w:left="460" w:right="8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Vera Bradley is a leading designer, producer, marketer, and retailer of stylish, highly functional accessories for women. The Company’s products include a wide offering of handbags, accessories, and travel and leisure items. The Company generates net revenues by selling products through two reportable segments: Direct and Indirect. The Direct business consists of sales of Vera Bradley products through the Company’s full-price and outlet stores in the United States; pop-up stores and permanent shop-in-shops in Japan; its websites, verabradley.com and verabradley.co.jp; and its annual outlet sale in Fort Wayne, Indiana. As of October 27, 2012, the Company operated 64 full-price stores and 11 outlet stores. The Indirect business consists of sales of Vera Bradley products to approximately 3,300 specialty retailers, department stores, and independent e-commerce retailers.</w:t>
      </w:r>
    </w:p>
    <w:p>
      <w:pPr>
        <w:spacing w:after="0" w:line="39" w:lineRule="exact"/>
        <w:rPr>
          <w:rFonts w:ascii="Arial" w:cs="Arial" w:eastAsia="Arial" w:hAnsi="Arial"/>
          <w:sz w:val="18"/>
          <w:szCs w:val="18"/>
          <w:b w:val="1"/>
          <w:bCs w:val="1"/>
          <w:color w:val="auto"/>
        </w:rPr>
      </w:pPr>
    </w:p>
    <w:p>
      <w:pPr>
        <w:ind w:left="460" w:right="16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The accompanying unaudited consolidated financial statements have been prepared in accordance with the rules and regulations of the Securities and Exchange Commission (“SEC”). Accordingly, certain information and footnote disclosures normally included in financial statements prepared in accordance with accounting principles generally accepted in the United States (“GAAP”) have been omitted. These interim consolidated financial statements should be read in conjunction with the audited consolidated financial statements and notes included in the Company’s Annual Report on Form 10-K for the fiscal year ended January 28, 2012, filed with the SEC.</w:t>
      </w:r>
    </w:p>
    <w:p>
      <w:pPr>
        <w:spacing w:after="0" w:line="34"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interim financial statements reflect all adjustments that are, in the opinion of management, necessary to present fairly the results for the interim periods presented. All such adjustments are of a normal, recurring nature. The results of operations for the thirty-nine weeks ended October 27, 2012, are not necessarily indicative of the results to be expected for the full fiscal year.</w:t>
      </w:r>
    </w:p>
    <w:p>
      <w:pPr>
        <w:spacing w:after="0" w:line="21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96" w:lineRule="exact"/>
        <w:rPr>
          <w:rFonts w:ascii="Arial" w:cs="Arial" w:eastAsia="Arial" w:hAnsi="Arial"/>
          <w:sz w:val="18"/>
          <w:szCs w:val="18"/>
          <w:b w:val="1"/>
          <w:bCs w:val="1"/>
          <w:color w:val="auto"/>
        </w:rPr>
      </w:pPr>
    </w:p>
    <w:p>
      <w:pPr>
        <w:ind w:left="460" w:right="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include the accounts of the Company and its wholly owned subsidiaries. The Company has eliminated intercompany balances and transactions in consolidation.</w:t>
      </w:r>
    </w:p>
    <w:p>
      <w:pPr>
        <w:spacing w:after="0" w:line="20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Fiscal Periods</w:t>
      </w:r>
    </w:p>
    <w:p>
      <w:pPr>
        <w:spacing w:after="0" w:line="96" w:lineRule="exact"/>
        <w:rPr>
          <w:rFonts w:ascii="Arial" w:cs="Arial" w:eastAsia="Arial" w:hAnsi="Arial"/>
          <w:sz w:val="18"/>
          <w:szCs w:val="18"/>
          <w:b w:val="1"/>
          <w:bCs w:val="1"/>
          <w:color w:val="auto"/>
        </w:rPr>
      </w:pPr>
    </w:p>
    <w:p>
      <w:pPr>
        <w:ind w:left="460" w:right="3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Company’s fiscal year ends on the Saturday closest to January 31. References to the fiscal quarters ended October 27, 2012, and October 29, 2011, refer to the thirteen-week periods ended on those dates.</w:t>
      </w:r>
    </w:p>
    <w:p>
      <w:pPr>
        <w:spacing w:after="0" w:line="20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Recently Adopted Accounting Pronouncements</w:t>
      </w:r>
    </w:p>
    <w:p>
      <w:pPr>
        <w:spacing w:after="0" w:line="96" w:lineRule="exact"/>
        <w:rPr>
          <w:rFonts w:ascii="Arial" w:cs="Arial" w:eastAsia="Arial" w:hAnsi="Arial"/>
          <w:sz w:val="18"/>
          <w:szCs w:val="18"/>
          <w:b w:val="1"/>
          <w:bCs w:val="1"/>
          <w:color w:val="auto"/>
        </w:rPr>
      </w:pPr>
    </w:p>
    <w:p>
      <w:pPr>
        <w:ind w:left="460" w:right="120"/>
        <w:spacing w:after="0" w:line="312" w:lineRule="auto"/>
        <w:rPr>
          <w:rFonts w:ascii="Arial" w:cs="Arial" w:eastAsia="Arial" w:hAnsi="Arial"/>
          <w:sz w:val="18"/>
          <w:szCs w:val="18"/>
          <w:b w:val="1"/>
          <w:bCs w:val="1"/>
          <w:color w:val="auto"/>
        </w:rPr>
      </w:pPr>
      <w:r>
        <w:rPr>
          <w:rFonts w:ascii="Arial" w:cs="Arial" w:eastAsia="Arial" w:hAnsi="Arial"/>
          <w:sz w:val="15"/>
          <w:szCs w:val="15"/>
          <w:color w:val="auto"/>
        </w:rPr>
        <w:t>In June 2011, the Financial Accounting Standards Board (“FASB”) issued Accounting Standards Update (“ASU”) 2011-05, C</w:t>
      </w:r>
      <w:r>
        <w:rPr>
          <w:rFonts w:ascii="Arial" w:cs="Arial" w:eastAsia="Arial" w:hAnsi="Arial"/>
          <w:sz w:val="15"/>
          <w:szCs w:val="15"/>
          <w:i w:val="1"/>
          <w:iCs w:val="1"/>
          <w:color w:val="auto"/>
        </w:rPr>
        <w:t>omprehensive Income –</w:t>
      </w:r>
      <w:r>
        <w:rPr>
          <w:rFonts w:ascii="Arial" w:cs="Arial" w:eastAsia="Arial" w:hAnsi="Arial"/>
          <w:sz w:val="15"/>
          <w:szCs w:val="15"/>
          <w:color w:val="auto"/>
        </w:rPr>
        <w:t xml:space="preserve"> </w:t>
      </w:r>
      <w:r>
        <w:rPr>
          <w:rFonts w:ascii="Arial" w:cs="Arial" w:eastAsia="Arial" w:hAnsi="Arial"/>
          <w:sz w:val="15"/>
          <w:szCs w:val="15"/>
          <w:i w:val="1"/>
          <w:iCs w:val="1"/>
          <w:color w:val="auto"/>
        </w:rPr>
        <w:t>Presentation of Comprehensive Income</w:t>
      </w:r>
      <w:r>
        <w:rPr>
          <w:rFonts w:ascii="Arial" w:cs="Arial" w:eastAsia="Arial" w:hAnsi="Arial"/>
          <w:sz w:val="15"/>
          <w:szCs w:val="15"/>
          <w:color w:val="auto"/>
        </w:rPr>
        <w:t>. This guidance eliminates the option to present the components of other comprehensive income as part of the</w:t>
      </w:r>
      <w:r>
        <w:rPr>
          <w:rFonts w:ascii="Arial" w:cs="Arial" w:eastAsia="Arial" w:hAnsi="Arial"/>
          <w:sz w:val="15"/>
          <w:szCs w:val="15"/>
          <w:i w:val="1"/>
          <w:iCs w:val="1"/>
          <w:color w:val="auto"/>
        </w:rPr>
        <w:t xml:space="preserve"> </w:t>
      </w:r>
      <w:r>
        <w:rPr>
          <w:rFonts w:ascii="Arial" w:cs="Arial" w:eastAsia="Arial" w:hAnsi="Arial"/>
          <w:sz w:val="15"/>
          <w:szCs w:val="15"/>
          <w:color w:val="auto"/>
        </w:rPr>
        <w:t>Statement of Shareholders’ Equity. Instead, the Company must report comprehensive income in either a single continuous statement of comprehensive income which contains two sections, net income and other comprehensive income, or in two separate but consecutive statements. While the new guidance changes the presentation of comprehensive income, there are no changes to the components that are recognized in net income or other comprehensive income under current accounting guidance. The guidance was effective for fiscal years beginning after December 15, 2011. In accordance with this guidance, we have presented two separate but consecutive statements, which include the components of net income and other comprehensive income.</w:t>
      </w:r>
    </w:p>
    <w:p>
      <w:pPr>
        <w:spacing w:after="0" w:line="24" w:lineRule="exact"/>
        <w:rPr>
          <w:rFonts w:ascii="Arial" w:cs="Arial" w:eastAsia="Arial" w:hAnsi="Arial"/>
          <w:sz w:val="18"/>
          <w:szCs w:val="18"/>
          <w:b w:val="1"/>
          <w:bCs w:val="1"/>
          <w:color w:val="auto"/>
        </w:rPr>
      </w:pPr>
    </w:p>
    <w:p>
      <w:pPr>
        <w:ind w:left="460" w:right="2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 xml:space="preserve">In May 2011, FASB issued ASU 2011-04, </w:t>
      </w:r>
      <w:r>
        <w:rPr>
          <w:rFonts w:ascii="Arial" w:cs="Arial" w:eastAsia="Arial" w:hAnsi="Arial"/>
          <w:sz w:val="18"/>
          <w:szCs w:val="18"/>
          <w:i w:val="1"/>
          <w:iCs w:val="1"/>
          <w:color w:val="auto"/>
        </w:rPr>
        <w:t>Fair Value Measurement – Amendments to Achieve Common Fair Value Measurement and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in U.S. GAAP and IFRS</w:t>
      </w:r>
      <w:r>
        <w:rPr>
          <w:rFonts w:ascii="Arial" w:cs="Arial" w:eastAsia="Arial" w:hAnsi="Arial"/>
          <w:sz w:val="18"/>
          <w:szCs w:val="18"/>
          <w:color w:val="auto"/>
        </w:rPr>
        <w:t>. The guidance requires additional disclosures, including disclosures related to the measurement of Level 3 assets.</w:t>
      </w:r>
      <w:r>
        <w:rPr>
          <w:rFonts w:ascii="Arial" w:cs="Arial" w:eastAsia="Arial" w:hAnsi="Arial"/>
          <w:sz w:val="18"/>
          <w:szCs w:val="18"/>
          <w:i w:val="1"/>
          <w:iCs w:val="1"/>
          <w:color w:val="auto"/>
        </w:rPr>
        <w:t xml:space="preserve"> </w:t>
      </w:r>
      <w:r>
        <w:rPr>
          <w:rFonts w:ascii="Arial" w:cs="Arial" w:eastAsia="Arial" w:hAnsi="Arial"/>
          <w:sz w:val="18"/>
          <w:szCs w:val="18"/>
          <w:color w:val="auto"/>
        </w:rPr>
        <w:t>The guidance was effective for interim and annual periods beginning after December 15, 2011 and is applied prospectively. The adoption of this pronouncement did not have a material impact on our consolidated financial statements.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6" w:lineRule="exact"/>
        <w:rPr>
          <w:rFonts w:ascii="Arial" w:cs="Arial" w:eastAsia="Arial" w:hAnsi="Arial"/>
          <w:sz w:val="18"/>
          <w:szCs w:val="18"/>
          <w:b w:val="1"/>
          <w:bCs w:val="1"/>
          <w:color w:val="auto"/>
        </w:rPr>
      </w:pPr>
    </w:p>
    <w:p>
      <w:pPr>
        <w:ind w:left="46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Basic earnings per share is computed based on the weighted-average number of common shares outstanding during the period. Diluted earnings per share is computed based on the weighted-average number of common shares outstanding, plus the effect of dilutive potential common shares outstanding during the period using the treasury stock method. Dilutive potential common shares represent outstanding restricted stock. The components of basic and diluted earnings per share were as follows (in thousands, except per share amounts):</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5"/>
          </w:tcPr>
          <w:p>
            <w:pPr>
              <w:jc w:val="right"/>
              <w:ind w:right="195"/>
              <w:spacing w:after="0"/>
              <w:rPr>
                <w:sz w:val="20"/>
                <w:szCs w:val="20"/>
                <w:color w:val="auto"/>
              </w:rPr>
            </w:pPr>
            <w:r>
              <w:rPr>
                <w:rFonts w:ascii="Arial" w:cs="Arial" w:eastAsia="Arial" w:hAnsi="Arial"/>
                <w:sz w:val="14"/>
                <w:szCs w:val="14"/>
                <w:b w:val="1"/>
                <w:bCs w:val="1"/>
                <w:color w:val="auto"/>
                <w:w w:val="97"/>
              </w:rPr>
              <w:t>Thirteen Weeks Ended</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5"/>
          </w:tcPr>
          <w:p>
            <w:pPr>
              <w:ind w:left="8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October 27,</w:t>
            </w:r>
          </w:p>
        </w:tc>
        <w:tc>
          <w:tcPr>
            <w:tcW w:w="2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October 29,</w:t>
            </w:r>
          </w:p>
        </w:tc>
        <w:tc>
          <w:tcPr>
            <w:tcW w:w="560" w:type="dxa"/>
            <w:vAlign w:val="bottom"/>
          </w:tcPr>
          <w:p>
            <w:pPr>
              <w:spacing w:after="0"/>
              <w:rPr>
                <w:sz w:val="11"/>
                <w:szCs w:val="11"/>
                <w:color w:val="auto"/>
              </w:rPr>
            </w:pPr>
          </w:p>
        </w:tc>
        <w:tc>
          <w:tcPr>
            <w:tcW w:w="6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October 27,</w:t>
            </w:r>
          </w:p>
        </w:tc>
        <w:tc>
          <w:tcPr>
            <w:tcW w:w="5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October 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2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6"/>
              </w:rPr>
              <w:t>2011</w:t>
            </w: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2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Numerator:</w:t>
            </w: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Net income</w:t>
            </w:r>
          </w:p>
        </w:tc>
        <w:tc>
          <w:tcPr>
            <w:tcW w:w="124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17,742</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12,962</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43,741</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37,819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Denominator:</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Weighted-average number of common shares (basic)</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40,534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40,507</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40,527</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40,507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stock-based awards</w:t>
            </w:r>
          </w:p>
        </w:tc>
        <w:tc>
          <w:tcPr>
            <w:tcW w:w="1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40" w:type="dxa"/>
            <w:vAlign w:val="bottom"/>
            <w:gridSpan w:val="2"/>
          </w:tcPr>
          <w:p>
            <w:pPr>
              <w:spacing w:after="0"/>
              <w:rPr>
                <w:sz w:val="20"/>
                <w:szCs w:val="20"/>
                <w:color w:val="auto"/>
              </w:rPr>
            </w:pPr>
            <w:r>
              <w:rPr>
                <w:rFonts w:ascii="Arial" w:cs="Arial" w:eastAsia="Arial" w:hAnsi="Arial"/>
                <w:sz w:val="18"/>
                <w:szCs w:val="18"/>
                <w:color w:val="auto"/>
              </w:rPr>
              <w:t>Weighted-average number of common shares (diluted)</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40,574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40,540</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40,563</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40,538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Earnings per share:</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Basic</w:t>
            </w:r>
          </w:p>
        </w:tc>
        <w:tc>
          <w:tcPr>
            <w:tcW w:w="124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0.44</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0.32</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1.08</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24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0.44</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right="120"/>
        <w:spacing w:after="0" w:line="259" w:lineRule="auto"/>
        <w:rPr>
          <w:sz w:val="20"/>
          <w:szCs w:val="20"/>
          <w:color w:val="auto"/>
        </w:rPr>
      </w:pPr>
      <w:r>
        <w:rPr>
          <w:rFonts w:ascii="Arial" w:cs="Arial" w:eastAsia="Arial" w:hAnsi="Arial"/>
          <w:sz w:val="18"/>
          <w:szCs w:val="18"/>
          <w:color w:val="auto"/>
        </w:rPr>
        <w:t>As of October 27, 2012, there was an aggregate of 0.1 million additional shares issuable upon the vesting of restricted stock units that were excluded from the diluted share calculations because they were anti-dilutive. As of October 29, 2011, there were no additional shares issuable upon the vesting of restricted stock units that were excluded from the diluted share calculations.</w:t>
      </w:r>
    </w:p>
    <w:p>
      <w:pPr>
        <w:spacing w:after="0" w:line="256"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96" w:lineRule="exact"/>
        <w:rPr>
          <w:rFonts w:ascii="Arial" w:cs="Arial" w:eastAsia="Arial" w:hAnsi="Arial"/>
          <w:sz w:val="18"/>
          <w:szCs w:val="18"/>
          <w:b w:val="1"/>
          <w:bCs w:val="1"/>
          <w:color w:val="auto"/>
        </w:rPr>
      </w:pPr>
    </w:p>
    <w:p>
      <w:pPr>
        <w:ind w:left="46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59" w:lineRule="exact"/>
        <w:rPr>
          <w:rFonts w:ascii="Arial" w:cs="Arial" w:eastAsia="Arial" w:hAnsi="Arial"/>
          <w:sz w:val="18"/>
          <w:szCs w:val="18"/>
          <w:b w:val="1"/>
          <w:bCs w:val="1"/>
          <w:color w:val="auto"/>
        </w:rPr>
      </w:pPr>
    </w:p>
    <w:p>
      <w:pPr>
        <w:ind w:left="900" w:hanging="446"/>
        <w:spacing w:after="0"/>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Level 2 – Inputs, other than the quoted prices in active markets, that are observable either directly or indirectly.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Level 3 – Unobservable inputs based on the Company’s own 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classification of fair value measurements within the hierarchy is based upon the lowest level of input that is significant to the measurement.</w:t>
      </w:r>
    </w:p>
    <w:p>
      <w:pPr>
        <w:spacing w:after="0" w:line="113" w:lineRule="exact"/>
        <w:rPr>
          <w:sz w:val="20"/>
          <w:szCs w:val="20"/>
          <w:color w:val="auto"/>
        </w:rPr>
      </w:pPr>
    </w:p>
    <w:p>
      <w:pPr>
        <w:ind w:left="460" w:right="480"/>
        <w:spacing w:after="0" w:line="268" w:lineRule="auto"/>
        <w:rPr>
          <w:sz w:val="20"/>
          <w:szCs w:val="20"/>
          <w:color w:val="auto"/>
        </w:rPr>
      </w:pPr>
      <w:r>
        <w:rPr>
          <w:rFonts w:ascii="Arial" w:cs="Arial" w:eastAsia="Arial" w:hAnsi="Arial"/>
          <w:sz w:val="18"/>
          <w:szCs w:val="18"/>
          <w:color w:val="auto"/>
        </w:rPr>
        <w:t>The carrying amounts reflected on the Consolidated Balance Sheet for cash and cash equivalents, receivables, and payables approximate fair value at October 27, 2012, because of their short-term nature.</w:t>
      </w:r>
    </w:p>
    <w:p>
      <w:pPr>
        <w:spacing w:after="0" w:line="51" w:lineRule="exact"/>
        <w:rPr>
          <w:sz w:val="20"/>
          <w:szCs w:val="20"/>
          <w:color w:val="auto"/>
        </w:rPr>
      </w:pPr>
    </w:p>
    <w:p>
      <w:pPr>
        <w:ind w:left="460" w:right="180"/>
        <w:spacing w:after="0" w:line="268" w:lineRule="auto"/>
        <w:rPr>
          <w:sz w:val="20"/>
          <w:szCs w:val="20"/>
          <w:color w:val="auto"/>
        </w:rPr>
      </w:pPr>
      <w:r>
        <w:rPr>
          <w:rFonts w:ascii="Arial" w:cs="Arial" w:eastAsia="Arial" w:hAnsi="Arial"/>
          <w:sz w:val="18"/>
          <w:szCs w:val="18"/>
          <w:color w:val="auto"/>
        </w:rPr>
        <w:t>The carrying amount for the amended and restated credit agreement (“credit agreement”) approximates fair value at October 27, 2012 as the interest rates of these borrowings fluctuate with the market. The credit agreement falls within Level 2 of the fair value hierarchy.</w:t>
      </w:r>
    </w:p>
    <w:p>
      <w:pPr>
        <w:spacing w:after="0" w:line="248"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inventories were as follows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4420" w:type="dxa"/>
            <w:vAlign w:val="bottom"/>
            <w:gridSpan w:val="3"/>
          </w:tcPr>
          <w:p>
            <w:pPr>
              <w:ind w:left="3740"/>
              <w:spacing w:after="0"/>
              <w:rPr>
                <w:sz w:val="20"/>
                <w:szCs w:val="20"/>
                <w:color w:val="auto"/>
              </w:rPr>
            </w:pPr>
            <w:r>
              <w:rPr>
                <w:rFonts w:ascii="Arial" w:cs="Arial" w:eastAsia="Arial" w:hAnsi="Arial"/>
                <w:sz w:val="14"/>
                <w:szCs w:val="14"/>
                <w:b w:val="1"/>
                <w:bCs w:val="1"/>
                <w:color w:val="auto"/>
                <w:w w:val="85"/>
              </w:rPr>
              <w:t>October 27,</w:t>
            </w:r>
          </w:p>
        </w:tc>
        <w:tc>
          <w:tcPr>
            <w:tcW w:w="1300" w:type="dxa"/>
            <w:vAlign w:val="bottom"/>
            <w:gridSpan w:val="4"/>
          </w:tcPr>
          <w:p>
            <w:pPr>
              <w:ind w:left="500"/>
              <w:spacing w:after="0"/>
              <w:rPr>
                <w:sz w:val="20"/>
                <w:szCs w:val="20"/>
                <w:color w:val="auto"/>
              </w:rPr>
            </w:pPr>
            <w:r>
              <w:rPr>
                <w:rFonts w:ascii="Arial" w:cs="Arial" w:eastAsia="Arial" w:hAnsi="Arial"/>
                <w:sz w:val="14"/>
                <w:szCs w:val="14"/>
                <w:b w:val="1"/>
                <w:bCs w:val="1"/>
                <w:color w:val="auto"/>
              </w:rPr>
              <w:t>January 28,</w:t>
            </w:r>
          </w:p>
        </w:tc>
        <w:tc>
          <w:tcPr>
            <w:tcW w:w="0" w:type="dxa"/>
            <w:vAlign w:val="bottom"/>
          </w:tcPr>
          <w:p>
            <w:pPr>
              <w:spacing w:after="0"/>
              <w:rPr>
                <w:sz w:val="1"/>
                <w:szCs w:val="1"/>
                <w:color w:val="auto"/>
              </w:rPr>
            </w:pPr>
          </w:p>
        </w:tc>
      </w:tr>
      <w:tr>
        <w:trPr>
          <w:trHeight w:val="161"/>
        </w:trPr>
        <w:tc>
          <w:tcPr>
            <w:tcW w:w="2960" w:type="dxa"/>
            <w:vAlign w:val="bottom"/>
            <w:tcBorders>
              <w:bottom w:val="single" w:sz="8" w:color="CCEEFF"/>
            </w:tcBorders>
          </w:tcPr>
          <w:p>
            <w:pPr>
              <w:spacing w:after="0"/>
              <w:rPr>
                <w:sz w:val="14"/>
                <w:szCs w:val="14"/>
                <w:color w:val="auto"/>
              </w:rPr>
            </w:pPr>
          </w:p>
        </w:tc>
        <w:tc>
          <w:tcPr>
            <w:tcW w:w="37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Raw materials</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25,877</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Work in process</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1,009</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108,425</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960" w:type="dxa"/>
            <w:vAlign w:val="bottom"/>
          </w:tcPr>
          <w:p>
            <w:pPr>
              <w:ind w:left="440"/>
              <w:spacing w:after="0"/>
              <w:rPr>
                <w:sz w:val="20"/>
                <w:szCs w:val="20"/>
                <w:color w:val="auto"/>
              </w:rPr>
            </w:pPr>
            <w:r>
              <w:rPr>
                <w:rFonts w:ascii="Arial" w:cs="Arial" w:eastAsia="Arial" w:hAnsi="Arial"/>
                <w:sz w:val="18"/>
                <w:szCs w:val="18"/>
                <w:color w:val="auto"/>
              </w:rPr>
              <w:t>Total inventories</w:t>
            </w:r>
          </w:p>
        </w:tc>
        <w:tc>
          <w:tcPr>
            <w:tcW w:w="3840" w:type="dxa"/>
            <w:vAlign w:val="bottom"/>
            <w:gridSpan w:val="2"/>
          </w:tcPr>
          <w:p>
            <w:pPr>
              <w:ind w:left="37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135,311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106,967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3740" w:type="dxa"/>
            <w:vAlign w:val="bottom"/>
            <w:vMerge w:val="restart"/>
          </w:tcPr>
          <w:p>
            <w:pPr>
              <w:jc w:val="right"/>
              <w:ind w:right="2239"/>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96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Long-term debt consisted of the following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3120" w:type="dxa"/>
            <w:vAlign w:val="bottom"/>
            <w:gridSpan w:val="3"/>
          </w:tcPr>
          <w:p>
            <w:pPr>
              <w:jc w:val="right"/>
              <w:spacing w:after="0"/>
              <w:rPr>
                <w:sz w:val="20"/>
                <w:szCs w:val="20"/>
                <w:color w:val="auto"/>
              </w:rPr>
            </w:pPr>
            <w:r>
              <w:rPr>
                <w:rFonts w:ascii="Arial" w:cs="Arial" w:eastAsia="Arial" w:hAnsi="Arial"/>
                <w:sz w:val="14"/>
                <w:szCs w:val="14"/>
                <w:b w:val="1"/>
                <w:bCs w:val="1"/>
                <w:color w:val="auto"/>
              </w:rPr>
              <w:t>October 27,</w:t>
            </w:r>
          </w:p>
        </w:tc>
        <w:tc>
          <w:tcPr>
            <w:tcW w:w="1360" w:type="dxa"/>
            <w:vAlign w:val="bottom"/>
            <w:gridSpan w:val="4"/>
          </w:tcPr>
          <w:p>
            <w:pPr>
              <w:ind w:left="560"/>
              <w:spacing w:after="0"/>
              <w:rPr>
                <w:sz w:val="20"/>
                <w:szCs w:val="20"/>
                <w:color w:val="auto"/>
              </w:rPr>
            </w:pPr>
            <w:r>
              <w:rPr>
                <w:rFonts w:ascii="Arial" w:cs="Arial" w:eastAsia="Arial" w:hAnsi="Arial"/>
                <w:sz w:val="14"/>
                <w:szCs w:val="14"/>
                <w:b w:val="1"/>
                <w:bCs w:val="1"/>
                <w:color w:val="auto"/>
              </w:rPr>
              <w:t>January 28,</w:t>
            </w:r>
          </w:p>
        </w:tc>
      </w:tr>
      <w:tr>
        <w:trPr>
          <w:trHeight w:val="161"/>
        </w:trPr>
        <w:tc>
          <w:tcPr>
            <w:tcW w:w="4200" w:type="dxa"/>
            <w:vAlign w:val="bottom"/>
            <w:tcBorders>
              <w:bottom w:val="single" w:sz="8" w:color="CCEEFF"/>
            </w:tcBorders>
          </w:tcPr>
          <w:p>
            <w:pPr>
              <w:spacing w:after="0"/>
              <w:rPr>
                <w:sz w:val="14"/>
                <w:szCs w:val="14"/>
                <w:color w:val="auto"/>
              </w:rPr>
            </w:pPr>
          </w:p>
        </w:tc>
        <w:tc>
          <w:tcPr>
            <w:tcW w:w="24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6"/>
              </w:rPr>
              <w:t>2012</w:t>
            </w:r>
          </w:p>
        </w:tc>
        <w:tc>
          <w:tcPr>
            <w:tcW w:w="5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Financial-institution debt</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35,250</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25,000</w:t>
            </w:r>
          </w:p>
        </w:tc>
        <w:tc>
          <w:tcPr>
            <w:tcW w:w="100" w:type="dxa"/>
            <w:vAlign w:val="bottom"/>
            <w:shd w:val="clear" w:color="auto" w:fill="CCEEFF"/>
          </w:tcPr>
          <w:p>
            <w:pPr>
              <w:spacing w:after="0"/>
              <w:rPr>
                <w:sz w:val="18"/>
                <w:szCs w:val="18"/>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Other borrowings</w:t>
            </w:r>
          </w:p>
        </w:tc>
        <w:tc>
          <w:tcPr>
            <w:tcW w:w="2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r>
      <w:tr>
        <w:trPr>
          <w:trHeight w:val="216"/>
        </w:trPr>
        <w:tc>
          <w:tcPr>
            <w:tcW w:w="42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35,367</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25,184</w:t>
            </w:r>
          </w:p>
        </w:tc>
        <w:tc>
          <w:tcPr>
            <w:tcW w:w="100" w:type="dxa"/>
            <w:vAlign w:val="bottom"/>
            <w:shd w:val="clear" w:color="auto" w:fill="CCEEFF"/>
          </w:tcPr>
          <w:p>
            <w:pPr>
              <w:spacing w:after="0"/>
              <w:rPr>
                <w:sz w:val="18"/>
                <w:szCs w:val="18"/>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2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r>
      <w:tr>
        <w:trPr>
          <w:trHeight w:val="216"/>
        </w:trPr>
        <w:tc>
          <w:tcPr>
            <w:tcW w:w="420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35,294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25,095</w:t>
            </w:r>
          </w:p>
        </w:tc>
        <w:tc>
          <w:tcPr>
            <w:tcW w:w="100" w:type="dxa"/>
            <w:vAlign w:val="bottom"/>
            <w:shd w:val="clear" w:color="auto" w:fill="CCEEFF"/>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color w:val="auto"/>
        </w:rPr>
        <w:t>At October 27, 2012, the interest rate on outstanding borrowings under the Company’s $125.0 million credit agreement was 1.3%, and the Company had borrowing availability of $89.8 million under the agreement.</w:t>
      </w:r>
    </w:p>
    <w:p>
      <w:pPr>
        <w:spacing w:after="0" w:line="51"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On June 1, 2012, Vera Bradley Designs, Inc. entered into an amendment to the credit agreement. The amendment extends the maturity date from October 3, 2015 to June 1, 2017. Certain permitted indebtedness covenants were also amended.</w:t>
      </w:r>
    </w:p>
    <w:p>
      <w:pPr>
        <w:spacing w:after="0" w:line="248"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rFonts w:ascii="Arial" w:cs="Arial" w:eastAsia="Arial" w:hAnsi="Arial"/>
          <w:sz w:val="18"/>
          <w:szCs w:val="18"/>
          <w:b w:val="1"/>
          <w:bCs w:val="1"/>
          <w:color w:val="auto"/>
        </w:rPr>
      </w:pPr>
    </w:p>
    <w:p>
      <w:pPr>
        <w:ind w:left="460" w:right="20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The provision for income taxes for interim periods is based on an estimate of the annual effective tax rate adjusted to reflect the impact of discrete items. Significant management judgment is required in projecting ordinary income (loss) to estimate the Company’s annual effective tax rate.</w:t>
      </w:r>
    </w:p>
    <w:p>
      <w:pPr>
        <w:spacing w:after="0" w:line="4" w:lineRule="exact"/>
        <w:rPr>
          <w:rFonts w:ascii="Arial" w:cs="Arial" w:eastAsia="Arial" w:hAnsi="Arial"/>
          <w:sz w:val="18"/>
          <w:szCs w:val="18"/>
          <w:b w:val="1"/>
          <w:bCs w:val="1"/>
          <w:color w:val="auto"/>
        </w:rPr>
      </w:pPr>
    </w:p>
    <w:p>
      <w:pPr>
        <w:ind w:left="46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effective tax rate for the thirteen weeks ended October 27, 2012 was 35.2%, compared to 38.9% for the thirteen weeks ended October 29, 2011. The effective tax rate reduction was primarily related to state income tax credits received and discrete items recorded during the thirteen week period. The impact of these items to the effective tax rate was approximately 4% for the quarter.</w:t>
      </w:r>
    </w:p>
    <w:p>
      <w:pPr>
        <w:spacing w:after="0" w:line="59" w:lineRule="exact"/>
        <w:rPr>
          <w:rFonts w:ascii="Arial" w:cs="Arial" w:eastAsia="Arial" w:hAnsi="Arial"/>
          <w:sz w:val="18"/>
          <w:szCs w:val="18"/>
          <w:b w:val="1"/>
          <w:bCs w:val="1"/>
          <w:color w:val="auto"/>
        </w:rPr>
      </w:pPr>
    </w:p>
    <w:p>
      <w:pPr>
        <w:ind w:left="4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effective tax rate for the thirty-nine weeks ended October 27, 2012, was 37.2%, compared to 39.6% for the thirty-nine weeks ended October 29, 2011. The effective tax rate reduction was primarily related to state income tax credits received and discrete items recorded during the third quarter. The impact of these items to the effective tax rate was approximately 1.5% for the thirty-nine weeks ended October 27, 2012. The valuation allowance recorded against the deferred tax asset arising from the net operating loss of the Company’s Japanese subsidiary decreased the effective tax rate by approximately 0.4% for the thirty-nine weeks ended October 27, 2012, when compared to the thirty-nine weeks ended October 29, 2011 due to a lower net operating loss for the thirty-nine weeks ended October 27, 2012.</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96" w:lineRule="exact"/>
        <w:rPr>
          <w:rFonts w:ascii="Arial" w:cs="Arial" w:eastAsia="Arial" w:hAnsi="Arial"/>
          <w:sz w:val="18"/>
          <w:szCs w:val="18"/>
          <w:b w:val="1"/>
          <w:bCs w:val="1"/>
          <w:color w:val="auto"/>
        </w:rPr>
      </w:pPr>
    </w:p>
    <w:p>
      <w:pPr>
        <w:ind w:left="460" w:right="1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 xml:space="preserve">The Company accounts for stock-based compensation under the fair-value recognition provisions of ASC 718, </w:t>
      </w:r>
      <w:r>
        <w:rPr>
          <w:rFonts w:ascii="Arial" w:cs="Arial" w:eastAsia="Arial" w:hAnsi="Arial"/>
          <w:sz w:val="18"/>
          <w:szCs w:val="18"/>
          <w:i w:val="1"/>
          <w:iCs w:val="1"/>
          <w:color w:val="auto"/>
        </w:rPr>
        <w:t>Stock Compensation</w:t>
      </w:r>
      <w:r>
        <w:rPr>
          <w:rFonts w:ascii="Arial" w:cs="Arial" w:eastAsia="Arial" w:hAnsi="Arial"/>
          <w:sz w:val="18"/>
          <w:szCs w:val="18"/>
          <w:color w:val="auto"/>
        </w:rPr>
        <w:t>. Under these provisions, for its awards of restricted stock and restricted stock units, the Company recognizes share-based compensation expense in an amount equal to the fair market value of the underlying stock on the grant date of the respective award.</w:t>
      </w:r>
    </w:p>
    <w:p>
      <w:pPr>
        <w:spacing w:after="0" w:line="59" w:lineRule="exact"/>
        <w:rPr>
          <w:rFonts w:ascii="Arial" w:cs="Arial" w:eastAsia="Arial" w:hAnsi="Arial"/>
          <w:sz w:val="18"/>
          <w:szCs w:val="18"/>
          <w:b w:val="1"/>
          <w:bCs w:val="1"/>
          <w:color w:val="auto"/>
        </w:rPr>
      </w:pPr>
    </w:p>
    <w:p>
      <w:pPr>
        <w:ind w:left="460" w:right="2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 reserved 6,076,001 shares of common stock for issuance or transfer under the 2010 Equity and Incentive Plan, which allows for grants of restricted stock units as well as other equity awards.</w:t>
      </w:r>
    </w:p>
    <w:p>
      <w:pPr>
        <w:spacing w:after="0" w:line="21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Awards of Restricted Stock Units</w:t>
      </w:r>
    </w:p>
    <w:p>
      <w:pPr>
        <w:spacing w:after="0" w:line="90" w:lineRule="exact"/>
        <w:rPr>
          <w:rFonts w:ascii="Arial" w:cs="Arial" w:eastAsia="Arial" w:hAnsi="Arial"/>
          <w:sz w:val="18"/>
          <w:szCs w:val="18"/>
          <w:b w:val="1"/>
          <w:bCs w:val="1"/>
          <w:color w:val="auto"/>
        </w:rPr>
      </w:pPr>
    </w:p>
    <w:p>
      <w:pPr>
        <w:jc w:val="both"/>
        <w:ind w:left="46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During the thirteen weeks ended October 27, 2012, the Company granted a total of 2,353 time-based restricted stock units with an aggregate fair value of $0.1 million to certain employees under the 2010 Equity and Incentive Plan compared to a total of 841 time-based restricted stock units with an aggregate fair value of $0.1 million granted in the same period of the prior year.</w:t>
      </w:r>
    </w:p>
    <w:p>
      <w:pPr>
        <w:spacing w:after="0" w:line="59" w:lineRule="exact"/>
        <w:rPr>
          <w:rFonts w:ascii="Arial" w:cs="Arial" w:eastAsia="Arial" w:hAnsi="Arial"/>
          <w:sz w:val="18"/>
          <w:szCs w:val="18"/>
          <w:b w:val="1"/>
          <w:bCs w:val="1"/>
          <w:color w:val="auto"/>
        </w:rPr>
      </w:pPr>
    </w:p>
    <w:p>
      <w:pPr>
        <w:ind w:left="460" w:right="2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During the thirty-nine weeks ended October 27, 2012, the Company granted a total of 179,865 time-based and performance-based restricted stock units with an aggregate fair value of $5.3 million to certain employees and non-employee directors under the 2010 Equity and Incentive Plan compared to a total of 110,943 time-based restricted stock units with an aggregate fair value of $4.6 million granted in the same period of the prior year. The Company determined the fair value of the awards based on the closing price of the Company’s common stock on the grant date.</w:t>
      </w:r>
    </w:p>
    <w:p>
      <w:pPr>
        <w:spacing w:after="0" w:line="31" w:lineRule="exact"/>
        <w:rPr>
          <w:rFonts w:ascii="Arial" w:cs="Arial" w:eastAsia="Arial" w:hAnsi="Arial"/>
          <w:sz w:val="18"/>
          <w:szCs w:val="18"/>
          <w:b w:val="1"/>
          <w:bCs w:val="1"/>
          <w:color w:val="auto"/>
        </w:rPr>
      </w:pPr>
    </w:p>
    <w:p>
      <w:pPr>
        <w:ind w:left="4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time-based restricted stock units vest and settle in shares of the Company’s common stock, on a one-for-one basis, in equal installments on each of the first three anniversaries of the grant date. The Company is recognizing the expense relating to these awards, net of estimated forfeitures, on a straight-line basis over three years.</w:t>
      </w:r>
    </w:p>
    <w:p>
      <w:pPr>
        <w:spacing w:after="0" w:line="59" w:lineRule="exact"/>
        <w:rPr>
          <w:rFonts w:ascii="Arial" w:cs="Arial" w:eastAsia="Arial" w:hAnsi="Arial"/>
          <w:sz w:val="18"/>
          <w:szCs w:val="18"/>
          <w:b w:val="1"/>
          <w:bCs w:val="1"/>
          <w:color w:val="auto"/>
        </w:rPr>
      </w:pPr>
    </w:p>
    <w:p>
      <w:pPr>
        <w:ind w:left="4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Performance-based restricted stock units vest upon the completion of a three-year period of time (cliff vesting), subject to the employee’s continuing employment throughout the three-year performance period and the Company’s achievement of annual net income targets during the three-year performance period. The Company is recognizing the expense relating to these awards, net of estimated forfeitures and based on the probable outcome of achievement of the net income targets, on a straight-line basis over three years.</w:t>
      </w:r>
    </w:p>
    <w:p>
      <w:pPr>
        <w:spacing w:after="0" w:line="6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following table sets forth a summary of restricted stock unit activity for the thirty-nine week period ended October 27, 2012 (units in thousands):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gridSpan w:val="4"/>
          </w:tcPr>
          <w:p>
            <w:pPr>
              <w:jc w:val="center"/>
              <w:ind w:left="404"/>
              <w:spacing w:after="0"/>
              <w:rPr>
                <w:sz w:val="20"/>
                <w:szCs w:val="20"/>
                <w:color w:val="auto"/>
              </w:rPr>
            </w:pPr>
            <w:r>
              <w:rPr>
                <w:rFonts w:ascii="Arial" w:cs="Arial" w:eastAsia="Arial" w:hAnsi="Arial"/>
                <w:sz w:val="14"/>
                <w:szCs w:val="14"/>
                <w:b w:val="1"/>
                <w:bCs w:val="1"/>
                <w:color w:val="auto"/>
                <w:w w:val="87"/>
              </w:rPr>
              <w:t>Time-based</w:t>
            </w: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94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5"/>
              </w:rPr>
              <w:t>Performance-based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460" w:type="dxa"/>
            <w:vAlign w:val="bottom"/>
            <w:gridSpan w:val="6"/>
          </w:tcPr>
          <w:p>
            <w:pPr>
              <w:jc w:val="center"/>
              <w:ind w:right="620"/>
              <w:spacing w:after="0"/>
              <w:rPr>
                <w:sz w:val="20"/>
                <w:szCs w:val="20"/>
                <w:color w:val="auto"/>
              </w:rPr>
            </w:pPr>
            <w:r>
              <w:rPr>
                <w:rFonts w:ascii="Arial" w:cs="Arial" w:eastAsia="Arial" w:hAnsi="Arial"/>
                <w:sz w:val="14"/>
                <w:szCs w:val="14"/>
                <w:b w:val="1"/>
                <w:bCs w:val="1"/>
                <w:color w:val="auto"/>
                <w:w w:val="85"/>
              </w:rPr>
              <w:t>Restricted Stock Units</w:t>
            </w:r>
          </w:p>
        </w:tc>
        <w:tc>
          <w:tcPr>
            <w:tcW w:w="194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5"/>
              </w:rPr>
              <w:t>Restricted Stock Units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2"/>
              </w:rPr>
              <w:t>Weighted-</w:t>
            </w:r>
          </w:p>
        </w:tc>
        <w:tc>
          <w:tcPr>
            <w:tcW w:w="6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3"/>
              </w:rPr>
              <w:t>Average</w:t>
            </w: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Grant</w:t>
            </w: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3"/>
          </w:tcPr>
          <w:p>
            <w:pPr>
              <w:jc w:val="right"/>
              <w:ind w:right="640"/>
              <w:spacing w:after="0" w:line="149" w:lineRule="exact"/>
              <w:rPr>
                <w:sz w:val="20"/>
                <w:szCs w:val="20"/>
                <w:color w:val="auto"/>
              </w:rPr>
            </w:pPr>
            <w:r>
              <w:rPr>
                <w:rFonts w:ascii="Arial" w:cs="Arial" w:eastAsia="Arial" w:hAnsi="Arial"/>
                <w:sz w:val="14"/>
                <w:szCs w:val="14"/>
                <w:b w:val="1"/>
                <w:bCs w:val="1"/>
                <w:color w:val="auto"/>
                <w:w w:val="90"/>
              </w:rPr>
              <w:t>Date Fair</w:t>
            </w: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Date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85"/>
              </w:rPr>
              <w:t>Number of</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Value</w:t>
            </w:r>
          </w:p>
        </w:tc>
        <w:tc>
          <w:tcPr>
            <w:tcW w:w="9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85"/>
              </w:rPr>
              <w:t>Number of</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Units</w:t>
            </w:r>
          </w:p>
        </w:tc>
        <w:tc>
          <w:tcPr>
            <w:tcW w:w="280" w:type="dxa"/>
            <w:vAlign w:val="bottom"/>
          </w:tcPr>
          <w:p>
            <w:pPr>
              <w:spacing w:after="0"/>
              <w:rPr>
                <w:sz w:val="14"/>
                <w:szCs w:val="14"/>
                <w:color w:val="auto"/>
              </w:rPr>
            </w:pPr>
          </w:p>
        </w:tc>
        <w:tc>
          <w:tcPr>
            <w:tcW w:w="12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88"/>
              </w:rPr>
              <w:t>(per unit)</w:t>
            </w:r>
          </w:p>
        </w:tc>
        <w:tc>
          <w:tcPr>
            <w:tcW w:w="9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Units</w:t>
            </w:r>
          </w:p>
        </w:tc>
        <w:tc>
          <w:tcPr>
            <w:tcW w:w="280" w:type="dxa"/>
            <w:vAlign w:val="bottom"/>
          </w:tcPr>
          <w:p>
            <w:pPr>
              <w:spacing w:after="0"/>
              <w:rPr>
                <w:sz w:val="14"/>
                <w:szCs w:val="14"/>
                <w:color w:val="auto"/>
              </w:rPr>
            </w:pPr>
          </w:p>
        </w:tc>
        <w:tc>
          <w:tcPr>
            <w:tcW w:w="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(per unit)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Nonvested units outstanding at January 28, 2012</w:t>
            </w:r>
          </w:p>
        </w:tc>
        <w:tc>
          <w:tcPr>
            <w:tcW w:w="18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33.49</w:t>
            </w:r>
          </w:p>
        </w:tc>
        <w:tc>
          <w:tcPr>
            <w:tcW w:w="6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Granted</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29.76</w:t>
            </w:r>
          </w:p>
        </w:tc>
        <w:tc>
          <w:tcPr>
            <w:tcW w:w="6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7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Forfeited</w:t>
            </w:r>
          </w:p>
        </w:tc>
        <w:tc>
          <w:tcPr>
            <w:tcW w:w="180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29.67</w:t>
            </w:r>
          </w:p>
        </w:tc>
        <w:tc>
          <w:tcPr>
            <w:tcW w:w="62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Nonvested units outstanding at October 27, 2012</w:t>
            </w:r>
          </w:p>
        </w:tc>
        <w:tc>
          <w:tcPr>
            <w:tcW w:w="180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w:t>
            </w:r>
          </w:p>
        </w:tc>
        <w:tc>
          <w:tcPr>
            <w:tcW w:w="62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800" w:type="dxa"/>
            <w:vAlign w:val="bottom"/>
            <w:vMerge w:val="restart"/>
          </w:tcPr>
          <w:p>
            <w:pPr>
              <w:jc w:val="right"/>
              <w:ind w:right="672"/>
              <w:spacing w:after="0"/>
              <w:rPr>
                <w:sz w:val="20"/>
                <w:szCs w:val="20"/>
                <w:color w:val="auto"/>
              </w:rPr>
            </w:pPr>
            <w:r>
              <w:rPr>
                <w:rFonts w:ascii="Arial" w:cs="Arial" w:eastAsia="Arial" w:hAnsi="Arial"/>
                <w:sz w:val="18"/>
                <w:szCs w:val="18"/>
                <w:color w:val="auto"/>
              </w:rPr>
              <w:t>11</w:t>
            </w: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is subject to various claims and contingencies arising in the normal course of business, including those relating to product liability, litigation, employee benefits, environmental, and other matters. Management believes that it is not reasonably possible that any of these claims will have a material adverse effect on the Company’s financial condition, results of operations, or cash flows.</w:t>
      </w:r>
    </w:p>
    <w:p>
      <w:pPr>
        <w:spacing w:after="0" w:line="255" w:lineRule="exact"/>
        <w:rPr>
          <w:rFonts w:ascii="Arial" w:cs="Arial" w:eastAsia="Arial" w:hAnsi="Arial"/>
          <w:sz w:val="18"/>
          <w:szCs w:val="18"/>
          <w:b w:val="1"/>
          <w:bCs w:val="1"/>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96" w:lineRule="exact"/>
        <w:rPr>
          <w:rFonts w:ascii="Arial" w:cs="Arial" w:eastAsia="Arial" w:hAnsi="Arial"/>
          <w:sz w:val="18"/>
          <w:szCs w:val="18"/>
          <w:b w:val="1"/>
          <w:bCs w:val="1"/>
          <w:color w:val="auto"/>
        </w:rPr>
      </w:pPr>
    </w:p>
    <w:p>
      <w:pPr>
        <w:ind w:left="460" w:right="26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The Company has two operating segments, which are also its reportable segments: Direct and Indirect. These operating segments are components of the Company for which separate financial information is available and for which operating results are evaluated on a regular basis by the chief operating decision maker in deciding how to allocate resources and in assessing the performance of the segments.</w:t>
      </w:r>
    </w:p>
    <w:p>
      <w:pPr>
        <w:spacing w:after="0" w:line="25" w:lineRule="exact"/>
        <w:rPr>
          <w:rFonts w:ascii="Arial" w:cs="Arial" w:eastAsia="Arial" w:hAnsi="Arial"/>
          <w:sz w:val="18"/>
          <w:szCs w:val="18"/>
          <w:b w:val="1"/>
          <w:bCs w:val="1"/>
          <w:color w:val="auto"/>
        </w:rPr>
      </w:pPr>
    </w:p>
    <w:p>
      <w:pPr>
        <w:ind w:left="460" w:right="460"/>
        <w:spacing w:after="0" w:line="323" w:lineRule="auto"/>
        <w:rPr>
          <w:rFonts w:ascii="Arial" w:cs="Arial" w:eastAsia="Arial" w:hAnsi="Arial"/>
          <w:sz w:val="18"/>
          <w:szCs w:val="18"/>
          <w:b w:val="1"/>
          <w:bCs w:val="1"/>
          <w:color w:val="auto"/>
        </w:rPr>
      </w:pPr>
      <w:r>
        <w:rPr>
          <w:rFonts w:ascii="Arial" w:cs="Arial" w:eastAsia="Arial" w:hAnsi="Arial"/>
          <w:sz w:val="15"/>
          <w:szCs w:val="15"/>
          <w:color w:val="auto"/>
        </w:rPr>
        <w:t>The Direct segment includes the Company’s full-price and outlet stores in the United States, pop-up stores and permanent shop-in-shops in Japan, e-commerce activity driven by the Company’s websites, and the annual outlet sale. Revenues generated through this segment are driven by the sale of Company-branded products from Vera Bradley to end customers. The Indirect segment represents activity driven by revenues generated through the distribution of Company-branded products to approximately 3,300 specialty retailers, select national retailers, and independent e-commerce retailers.</w:t>
      </w:r>
    </w:p>
    <w:p>
      <w:pPr>
        <w:spacing w:after="0" w:line="16" w:lineRule="exact"/>
        <w:rPr>
          <w:rFonts w:ascii="Arial" w:cs="Arial" w:eastAsia="Arial" w:hAnsi="Arial"/>
          <w:sz w:val="18"/>
          <w:szCs w:val="18"/>
          <w:b w:val="1"/>
          <w:bCs w:val="1"/>
          <w:color w:val="auto"/>
        </w:rPr>
      </w:pPr>
    </w:p>
    <w:p>
      <w:pPr>
        <w:ind w:left="46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Corporate costs represent the Company’s administrative expenses, which include, but are not limited to: executive management, merchandising, human resources, legal, finance, IT, and various other corporate-level-activity-related expenses. All intercompany-related activities are eliminated in consolidation and are excluded from the segment reporting.</w:t>
      </w:r>
    </w:p>
    <w:p>
      <w:pPr>
        <w:spacing w:after="0" w:line="59" w:lineRule="exact"/>
        <w:rPr>
          <w:rFonts w:ascii="Arial" w:cs="Arial" w:eastAsia="Arial" w:hAnsi="Arial"/>
          <w:sz w:val="18"/>
          <w:szCs w:val="18"/>
          <w:b w:val="1"/>
          <w:bCs w:val="1"/>
          <w:color w:val="auto"/>
        </w:rPr>
      </w:pPr>
    </w:p>
    <w:p>
      <w:pPr>
        <w:ind w:left="460" w:right="2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chief operating decision maker evaluates segment operating results based on several indicators. The primary or key performance indicators for each segment are net revenues and operating income. The table below represents key financial information for each of the Company’s reportable segments: Direct and Indirect (in thousands):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w w:val="98"/>
              </w:rPr>
              <w:t>Thirteen Weeks Ended</w:t>
            </w:r>
          </w:p>
        </w:tc>
        <w:tc>
          <w:tcPr>
            <w:tcW w:w="100" w:type="dxa"/>
            <w:vAlign w:val="bottom"/>
          </w:tcPr>
          <w:p>
            <w:pPr>
              <w:spacing w:after="0"/>
              <w:rPr>
                <w:sz w:val="14"/>
                <w:szCs w:val="14"/>
                <w:color w:val="auto"/>
              </w:rPr>
            </w:pPr>
          </w:p>
        </w:tc>
        <w:tc>
          <w:tcPr>
            <w:tcW w:w="186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3"/>
              </w:rPr>
              <w:t>Thirty-nine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1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October 27,</w:t>
            </w:r>
          </w:p>
        </w:tc>
        <w:tc>
          <w:tcPr>
            <w:tcW w:w="6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October 29,</w:t>
            </w:r>
          </w:p>
        </w:tc>
        <w:tc>
          <w:tcPr>
            <w:tcW w:w="500" w:type="dxa"/>
            <w:vAlign w:val="bottom"/>
          </w:tcPr>
          <w:p>
            <w:pPr>
              <w:spacing w:after="0"/>
              <w:rPr>
                <w:sz w:val="11"/>
                <w:szCs w:val="11"/>
                <w:color w:val="auto"/>
              </w:rPr>
            </w:pPr>
          </w:p>
        </w:tc>
        <w:tc>
          <w:tcPr>
            <w:tcW w:w="9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October 27,</w:t>
            </w:r>
          </w:p>
        </w:tc>
        <w:tc>
          <w:tcPr>
            <w:tcW w:w="2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October 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00" w:type="dxa"/>
            <w:vAlign w:val="bottom"/>
            <w:tcBorders>
              <w:bottom w:val="single" w:sz="8" w:color="CCEEFF"/>
            </w:tcBorders>
          </w:tcPr>
          <w:p>
            <w:pPr>
              <w:spacing w:after="0"/>
              <w:rPr>
                <w:sz w:val="14"/>
                <w:szCs w:val="14"/>
                <w:color w:val="auto"/>
              </w:rPr>
            </w:pPr>
          </w:p>
        </w:tc>
        <w:tc>
          <w:tcPr>
            <w:tcW w:w="22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2011</w:t>
            </w: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Segment net revenues:</w:t>
            </w:r>
          </w:p>
        </w:tc>
        <w:tc>
          <w:tcPr>
            <w:tcW w:w="2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420"/>
              <w:spacing w:after="0"/>
              <w:rPr>
                <w:sz w:val="20"/>
                <w:szCs w:val="20"/>
                <w:color w:val="auto"/>
              </w:rPr>
            </w:pPr>
            <w:r>
              <w:rPr>
                <w:rFonts w:ascii="Arial" w:cs="Arial" w:eastAsia="Arial" w:hAnsi="Arial"/>
                <w:sz w:val="18"/>
                <w:szCs w:val="18"/>
                <w:color w:val="auto"/>
              </w:rPr>
              <w:t>Direct</w:t>
            </w:r>
          </w:p>
        </w:tc>
        <w:tc>
          <w:tcPr>
            <w:tcW w:w="2360" w:type="dxa"/>
            <w:vAlign w:val="bottom"/>
            <w:gridSpan w:val="2"/>
          </w:tcPr>
          <w:p>
            <w:pPr>
              <w:ind w:left="228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64,318</w:t>
            </w:r>
          </w:p>
        </w:tc>
        <w:tc>
          <w:tcPr>
            <w:tcW w:w="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52,026</w:t>
            </w:r>
          </w:p>
        </w:tc>
        <w:tc>
          <w:tcPr>
            <w:tcW w:w="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189,234</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144,038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Indirect</w:t>
            </w:r>
          </w:p>
        </w:tc>
        <w:tc>
          <w:tcPr>
            <w:tcW w:w="2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74,028</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69,123</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189,350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182,290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00" w:type="dxa"/>
            <w:vAlign w:val="bottom"/>
          </w:tcPr>
          <w:p>
            <w:pPr>
              <w:ind w:left="860"/>
              <w:spacing w:after="0"/>
              <w:rPr>
                <w:sz w:val="20"/>
                <w:szCs w:val="20"/>
                <w:color w:val="auto"/>
              </w:rPr>
            </w:pPr>
            <w:r>
              <w:rPr>
                <w:rFonts w:ascii="Arial" w:cs="Arial" w:eastAsia="Arial" w:hAnsi="Arial"/>
                <w:sz w:val="18"/>
                <w:szCs w:val="18"/>
                <w:color w:val="auto"/>
              </w:rPr>
              <w:t>Total</w:t>
            </w:r>
          </w:p>
        </w:tc>
        <w:tc>
          <w:tcPr>
            <w:tcW w:w="2360" w:type="dxa"/>
            <w:vAlign w:val="bottom"/>
            <w:gridSpan w:val="2"/>
          </w:tcPr>
          <w:p>
            <w:pPr>
              <w:ind w:left="2280"/>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138,346</w:t>
            </w:r>
          </w:p>
        </w:tc>
        <w:tc>
          <w:tcPr>
            <w:tcW w:w="5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121,149</w:t>
            </w:r>
          </w:p>
        </w:tc>
        <w:tc>
          <w:tcPr>
            <w:tcW w:w="5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378,584</w:t>
            </w:r>
          </w:p>
        </w:tc>
        <w:tc>
          <w:tcPr>
            <w:tcW w:w="320" w:type="dxa"/>
            <w:vAlign w:val="bottom"/>
            <w:gridSpan w:val="2"/>
          </w:tcPr>
          <w:p>
            <w:pPr>
              <w:ind w:left="220"/>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326,328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income:</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420"/>
              <w:spacing w:after="0"/>
              <w:rPr>
                <w:sz w:val="20"/>
                <w:szCs w:val="20"/>
                <w:color w:val="auto"/>
              </w:rPr>
            </w:pPr>
            <w:r>
              <w:rPr>
                <w:rFonts w:ascii="Arial" w:cs="Arial" w:eastAsia="Arial" w:hAnsi="Arial"/>
                <w:sz w:val="18"/>
                <w:szCs w:val="18"/>
                <w:color w:val="auto"/>
              </w:rPr>
              <w:t>Direct</w:t>
            </w:r>
          </w:p>
        </w:tc>
        <w:tc>
          <w:tcPr>
            <w:tcW w:w="2360" w:type="dxa"/>
            <w:vAlign w:val="bottom"/>
            <w:gridSpan w:val="2"/>
          </w:tcPr>
          <w:p>
            <w:pPr>
              <w:ind w:left="228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17,745</w:t>
            </w:r>
          </w:p>
        </w:tc>
        <w:tc>
          <w:tcPr>
            <w:tcW w:w="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13,490</w:t>
            </w:r>
          </w:p>
        </w:tc>
        <w:tc>
          <w:tcPr>
            <w:tcW w:w="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49,376</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38,895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Indirect</w:t>
            </w:r>
          </w:p>
        </w:tc>
        <w:tc>
          <w:tcPr>
            <w:tcW w:w="2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30,301</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26,690</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76,403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00" w:type="dxa"/>
            <w:vAlign w:val="bottom"/>
          </w:tcPr>
          <w:p>
            <w:pPr>
              <w:ind w:left="860"/>
              <w:spacing w:after="0"/>
              <w:rPr>
                <w:sz w:val="20"/>
                <w:szCs w:val="20"/>
                <w:color w:val="auto"/>
              </w:rPr>
            </w:pPr>
            <w:r>
              <w:rPr>
                <w:rFonts w:ascii="Arial" w:cs="Arial" w:eastAsia="Arial" w:hAnsi="Arial"/>
                <w:sz w:val="18"/>
                <w:szCs w:val="18"/>
                <w:color w:val="auto"/>
              </w:rPr>
              <w:t>Total</w:t>
            </w:r>
          </w:p>
        </w:tc>
        <w:tc>
          <w:tcPr>
            <w:tcW w:w="2360" w:type="dxa"/>
            <w:vAlign w:val="bottom"/>
            <w:gridSpan w:val="2"/>
          </w:tcPr>
          <w:p>
            <w:pPr>
              <w:ind w:left="228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48,046</w:t>
            </w:r>
          </w:p>
        </w:tc>
        <w:tc>
          <w:tcPr>
            <w:tcW w:w="5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40,180</w:t>
            </w:r>
          </w:p>
        </w:tc>
        <w:tc>
          <w:tcPr>
            <w:tcW w:w="5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125,779</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111,373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Reconciliation:</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420"/>
              <w:spacing w:after="0"/>
              <w:rPr>
                <w:sz w:val="20"/>
                <w:szCs w:val="20"/>
                <w:color w:val="auto"/>
              </w:rPr>
            </w:pPr>
            <w:r>
              <w:rPr>
                <w:rFonts w:ascii="Arial" w:cs="Arial" w:eastAsia="Arial" w:hAnsi="Arial"/>
                <w:sz w:val="18"/>
                <w:szCs w:val="18"/>
                <w:color w:val="auto"/>
              </w:rPr>
              <w:t>Segment operating income</w:t>
            </w:r>
          </w:p>
        </w:tc>
        <w:tc>
          <w:tcPr>
            <w:tcW w:w="2360" w:type="dxa"/>
            <w:vAlign w:val="bottom"/>
            <w:gridSpan w:val="2"/>
          </w:tcPr>
          <w:p>
            <w:pPr>
              <w:ind w:left="228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48,046</w:t>
            </w:r>
          </w:p>
        </w:tc>
        <w:tc>
          <w:tcPr>
            <w:tcW w:w="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40,180</w:t>
            </w:r>
          </w:p>
        </w:tc>
        <w:tc>
          <w:tcPr>
            <w:tcW w:w="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125,779</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111,373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420"/>
              <w:spacing w:after="0"/>
              <w:rPr>
                <w:sz w:val="20"/>
                <w:szCs w:val="20"/>
                <w:color w:val="auto"/>
              </w:rPr>
            </w:pPr>
            <w:r>
              <w:rPr>
                <w:rFonts w:ascii="Arial" w:cs="Arial" w:eastAsia="Arial" w:hAnsi="Arial"/>
                <w:sz w:val="18"/>
                <w:szCs w:val="18"/>
                <w:color w:val="auto"/>
              </w:rPr>
              <w:t>Unallocated corporate expenses</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(20,475)</w:t>
            </w: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(18,661)</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(55,599)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(47,868)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360" w:type="dxa"/>
            <w:vAlign w:val="bottom"/>
            <w:gridSpan w:val="2"/>
            <w:shd w:val="clear" w:color="auto" w:fill="CCEEFF"/>
          </w:tcPr>
          <w:p>
            <w:pPr>
              <w:ind w:left="228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70,180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280" w:type="dxa"/>
            <w:vAlign w:val="bottom"/>
            <w:vMerge w:val="restart"/>
          </w:tcPr>
          <w:p>
            <w:pPr>
              <w:ind w:left="1240"/>
              <w:spacing w:after="0"/>
              <w:rPr>
                <w:sz w:val="20"/>
                <w:szCs w:val="20"/>
                <w:color w:val="auto"/>
              </w:rPr>
            </w:pPr>
            <w:r>
              <w:rPr>
                <w:rFonts w:ascii="Arial" w:cs="Arial" w:eastAsia="Arial" w:hAnsi="Arial"/>
                <w:sz w:val="18"/>
                <w:szCs w:val="18"/>
                <w:color w:val="auto"/>
              </w:rPr>
              <w:t>12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9"/>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7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following discussion summarizes the significant factors affecting the consolidated operating results, financial condition, liquidity, and cash flows of our Company as of and for the thirteen and thirty-nine weeks ended October 27, 2012, and October 29, 2011. The following discussion should be read in conjunction with our Annual Report on Form 10-K for the fiscal year ended January 28, 2012, and our unaudited consolidated financial statements and the related notes included in Item 1 of this Quarterly Report.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Vera Bradley is a leading designer, producer, marketer, and retailer of stylish and highly functional accessories for women. Our products include a wide offering of handbags, accessories, luggage, eyewear, travel items, and gifts. Over our 30-year history, Vera Bradley has become a true lifestyle brand that appeals to a broad range of consumers. Our brand vision is accessible luxury that inspires a casual, fun, and family-oriented lifestyle. We have positioned our brand to highlight the high quality, distinctive and vibrant styling, and functional design of our products. Frequent releases of new designs help keep the brand fresh and our customers continually engaged.</w:t>
      </w:r>
    </w:p>
    <w:p>
      <w:pPr>
        <w:spacing w:after="0" w:line="14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generate revenues by selling products through two reportable segments: Direct and Indirect. As of October 27, 2012, our Direct business consisted of sales of Vera Bradley products through our full-price and outlet stores in the United States; pop-up stores and permanent shop-in-shops in Japan; our websites, verabradley.com and verabradley.co.jp; and our annual outlet sale in Fort Wayne, Indiana. In the United States we operated 64 full-price and 11 outlet stores as of October 27, 2012, compared to 47 full-price stores and eight outlet stores as of October 29, 2011. As of October 27, 2012, our Indirect business consisted of sales of Vera Bradley products to approximately 3,300 specialty retailers, substantially all of which are located in the United States, and to department stores and independent e-commerce retailers.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 assessing the performance of our business, we consider a variety of performance and financial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9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Net revenues reflect revenues from the sale of our merchandise and from shipping and handling fees, less returns and discounts. Revenues for the Direct segment reflect sales through our full-price and outlet stores in the United States; pop-up stores and permanent shop-in-shops in Japan; our websites, verabradley.com and verabradley.co.jp; and our annual outlet sale in Fort Wayne, Indiana. Revenues for the Indirect segment reflect sales to specialty retailers, department stores, and independent e-commerce retailers.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Comparable-Store Sales</w:t>
      </w:r>
    </w:p>
    <w:p>
      <w:pPr>
        <w:spacing w:after="0" w:line="90"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Comparable-store sales are calculated based upon our stores that have been open at least 12 full fiscal months as of the end of the reporting period. Remodeled stores are included in comparable-store sales unless the store was closed for a portion of the current or comparable prior period or the remodel resulted in a significant change in square footage. Some of our competitors and other retailers calculate comparable or “same store” sales differently than we do. As a result, data in this report regarding our comparable-store sales may not be comparable to similar data made available by other companies. Non-comparable store sales include sales from stores not included in comparable-store sales.</w:t>
      </w:r>
    </w:p>
    <w:p>
      <w:pPr>
        <w:spacing w:after="0" w:line="1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Measuring the change in year-over-year comparable-store sales allows us to evaluate how our store base is performing. Various factors affect our comparable-store sales, including:</w:t>
      </w:r>
    </w:p>
    <w:p>
      <w:pPr>
        <w:spacing w:after="0" w:line="51"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Overall economic trends;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Consumer preferences and fashion trends;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our releases of new patterns and collections;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our product mix;</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Pricing;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Store traffic;</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of customer service that we provide in stores;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source and distribute products efficiently;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stores we open and close in any period;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and success of promotional and advertising efforts.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Gross profit is equal to our net revenues less our cost of sales. Cost of sales includes the direct cost of purchased and manufactured merchandise, distribution center costs, operations overhead, duty, and all inbound freight costs incurred. The components of our reported cost of sales may not be comparable to those of other retail and wholesale companies.</w:t>
      </w:r>
    </w:p>
    <w:p>
      <w:pPr>
        <w:spacing w:after="0" w:line="140"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Gross profit can be impacted by changes in volume, operational efficiencies, such as leveraging of fixed costs, promotional activities, such as free shipping, commodity prices such as cotton, and fluctuations in pricing structures.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(SG&amp;A) Expenses</w:t>
      </w:r>
    </w:p>
    <w:p>
      <w:pPr>
        <w:spacing w:after="0" w:line="9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SG&amp;A expenses include selling; advertising, marketing, merchandising, and product development; and administrative. Selling expenses include Direct business expenses such as store expenses, employee compensation, and store occupancy and supply costs, as well as Indirect business expenses consisting primarily of employee compensation and other expenses associated with sales to Indirect retailers. Advertising, marketing, merchandising, and product development expenses include employee compensation, media costs, creative production expenses, marketing agency fees, new product design costs, public relations expenses, and market research expenses. A portion of our advertising expenses may be reimbursed by Indirect retailers, and such amount is classified as other income. Administrative expenses include compensation costs for corporate functions, corporate headquarters occupancy costs, consulting and software expenses, and charitable donations. SG&amp;A expenses increase as the number of stores increase.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support many of our Indirect retailers’ marketing efforts by distributing certain catalogs and promotional mailers to current and prospective customers. Our Indirect retailers reimburse us for a portion of the cost to produce these materials. Reimbursement received is recorded as other income. The related cost to design, produce, and distribute the catalogs and mailers is recorded as SG&amp;A expense. Other income also includes proceeds from the sales of tickets to our annual outlet sale and the gain on the sale of certain life insurance policies.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 equals gross profit less SG&amp;A expenses plus other income. Operating income excludes interest income, interest expense, and income taxes.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provisions for income taxes for interim reporting periods are based on an estimate of the effective tax rate for each of the periods presented. The computation of the effective tax rate includes a forecast of our estimated ordinary income, which is the annual income from operations before income tax, excluding unusual or infrequently occurring (or discrete) items.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tables summarize key components of our consolidated results of operations for the periods indicated, both in dollars and as a percentage of our net revenues (dollars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Thirteen Weeks Ended</w:t>
            </w:r>
          </w:p>
        </w:tc>
        <w:tc>
          <w:tcPr>
            <w:tcW w:w="80" w:type="dxa"/>
            <w:vAlign w:val="bottom"/>
          </w:tcPr>
          <w:p>
            <w:pPr>
              <w:spacing w:after="0"/>
              <w:rPr>
                <w:sz w:val="14"/>
                <w:szCs w:val="14"/>
                <w:color w:val="auto"/>
              </w:rPr>
            </w:pPr>
          </w:p>
        </w:tc>
        <w:tc>
          <w:tcPr>
            <w:tcW w:w="21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6"/>
              </w:rPr>
              <w:t>Thirty-nine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3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October 27,</w:t>
            </w:r>
          </w:p>
        </w:tc>
        <w:tc>
          <w:tcPr>
            <w:tcW w:w="6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October 29,</w:t>
            </w:r>
          </w:p>
        </w:tc>
        <w:tc>
          <w:tcPr>
            <w:tcW w:w="640" w:type="dxa"/>
            <w:vAlign w:val="bottom"/>
          </w:tcPr>
          <w:p>
            <w:pPr>
              <w:spacing w:after="0"/>
              <w:rPr>
                <w:sz w:val="11"/>
                <w:szCs w:val="11"/>
                <w:color w:val="auto"/>
              </w:rPr>
            </w:pPr>
          </w:p>
        </w:tc>
        <w:tc>
          <w:tcPr>
            <w:tcW w:w="13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October 27,</w:t>
            </w:r>
          </w:p>
        </w:tc>
        <w:tc>
          <w:tcPr>
            <w:tcW w:w="6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October 29,</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0"/>
              </w:rPr>
              <w:t>(unaudited)</w:t>
            </w:r>
          </w:p>
        </w:tc>
        <w:tc>
          <w:tcPr>
            <w:tcW w:w="62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0"/>
              </w:rPr>
              <w:t>(unaudited)</w:t>
            </w:r>
          </w:p>
        </w:tc>
        <w:tc>
          <w:tcPr>
            <w:tcW w:w="640" w:type="dxa"/>
            <w:vAlign w:val="bottom"/>
          </w:tcPr>
          <w:p>
            <w:pPr>
              <w:spacing w:after="0"/>
              <w:rPr>
                <w:sz w:val="12"/>
                <w:szCs w:val="12"/>
                <w:color w:val="auto"/>
              </w:rPr>
            </w:pPr>
          </w:p>
        </w:tc>
        <w:tc>
          <w:tcPr>
            <w:tcW w:w="660" w:type="dxa"/>
            <w:vAlign w:val="bottom"/>
            <w:gridSpan w:val="2"/>
          </w:tcPr>
          <w:p>
            <w:pPr>
              <w:ind w:left="20"/>
              <w:spacing w:after="0" w:line="142" w:lineRule="exact"/>
              <w:rPr>
                <w:sz w:val="20"/>
                <w:szCs w:val="20"/>
                <w:color w:val="auto"/>
              </w:rPr>
            </w:pPr>
            <w:r>
              <w:rPr>
                <w:rFonts w:ascii="Arial" w:cs="Arial" w:eastAsia="Arial" w:hAnsi="Arial"/>
                <w:sz w:val="14"/>
                <w:szCs w:val="14"/>
                <w:color w:val="auto"/>
                <w:w w:val="87"/>
              </w:rPr>
              <w:t>(unaudited)</w:t>
            </w:r>
          </w:p>
        </w:tc>
        <w:tc>
          <w:tcPr>
            <w:tcW w:w="64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0"/>
              </w:rPr>
              <w:t>(unaudited)</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Income Data:</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Net revenues</w:t>
            </w:r>
          </w:p>
        </w:tc>
        <w:tc>
          <w:tcPr>
            <w:tcW w:w="1620" w:type="dxa"/>
            <w:vAlign w:val="bottom"/>
            <w:gridSpan w:val="2"/>
          </w:tcPr>
          <w:p>
            <w:pPr>
              <w:ind w:left="15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138,346</w:t>
            </w:r>
          </w:p>
        </w:tc>
        <w:tc>
          <w:tcPr>
            <w:tcW w:w="6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w w:val="86"/>
              </w:rPr>
              <w:t>121,149</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w w:val="86"/>
              </w:rPr>
              <w:t>378,584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326,328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58,118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55,471</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6"/>
              </w:rPr>
              <w:t>164,442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144,578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Gross profit</w:t>
            </w:r>
          </w:p>
        </w:tc>
        <w:tc>
          <w:tcPr>
            <w:tcW w:w="1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80" w:type="dxa"/>
            <w:vAlign w:val="bottom"/>
            <w:gridSpan w:val="2"/>
            <w:vMerge w:val="continue"/>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80,228</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65,678</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w w:val="86"/>
              </w:rPr>
              <w:t>214,142</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181,750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53,598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45,365</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6"/>
              </w:rPr>
              <w:t>148,622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124,474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 income</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941</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1,206</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4,660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6,229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21,519</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70,180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63,505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Interest expense, net</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172</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288</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27,399</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21,231</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69,665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62,572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Income tax expense</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9,657</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8,269</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25,924</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24,753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12,962</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43,741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37,819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Percentage of Net Revenues:</w:t>
            </w:r>
          </w:p>
        </w:tc>
        <w:tc>
          <w:tcPr>
            <w:tcW w:w="1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180" w:type="dxa"/>
            <w:vAlign w:val="bottom"/>
            <w:gridSpan w:val="2"/>
            <w:vMerge w:val="continue"/>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Cost of sales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45.8%</w:t>
            </w:r>
          </w:p>
        </w:tc>
        <w:tc>
          <w:tcPr>
            <w:tcW w:w="8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54.2%</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37.5%</w:t>
            </w:r>
          </w:p>
        </w:tc>
        <w:tc>
          <w:tcPr>
            <w:tcW w:w="8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1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80" w:type="dxa"/>
            <w:vAlign w:val="bottom"/>
            <w:gridSpan w:val="2"/>
            <w:vMerge w:val="continue"/>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17.8%</w:t>
            </w:r>
          </w:p>
        </w:tc>
        <w:tc>
          <w:tcPr>
            <w:tcW w:w="80" w:type="dxa"/>
            <w:vAlign w:val="bottom"/>
          </w:tcPr>
          <w:p>
            <w:pPr>
              <w:spacing w:after="0"/>
              <w:rPr>
                <w:sz w:val="19"/>
                <w:szCs w:val="19"/>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1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80" w:type="dxa"/>
            <w:vAlign w:val="bottom"/>
            <w:gridSpan w:val="2"/>
            <w:vMerge w:val="continue"/>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19"/>
                <w:szCs w:val="19"/>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80" w:type="dxa"/>
            <w:vAlign w:val="bottom"/>
            <w:gridSpan w:val="2"/>
            <w:vMerge w:val="continue"/>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9"/>
                <w:szCs w:val="19"/>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520" w:type="dxa"/>
            <w:vAlign w:val="bottom"/>
            <w:vMerge w:val="restart"/>
          </w:tcPr>
          <w:p>
            <w:pPr>
              <w:jc w:val="right"/>
              <w:ind w:right="272"/>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following tables present net revenues and operating income by operating segment, both in dollars and as a percentage of our net revenues, and store data for the periods indicated (in thousands, except as otherwise indicated):</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7"/>
          </w:tcPr>
          <w:p>
            <w:pPr>
              <w:jc w:val="right"/>
              <w:ind w:right="980"/>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4"/>
                <w:szCs w:val="14"/>
                <w:color w:val="auto"/>
              </w:rPr>
            </w:pPr>
          </w:p>
        </w:tc>
        <w:tc>
          <w:tcPr>
            <w:tcW w:w="192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88"/>
              </w:rPr>
              <w:t>Thirty-Nine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tcBorders>
              <w:top w:val="single" w:sz="8" w:color="auto"/>
            </w:tcBorders>
            <w:gridSpan w:val="4"/>
          </w:tcPr>
          <w:p>
            <w:pPr>
              <w:spacing w:after="0" w:line="129" w:lineRule="exact"/>
              <w:rPr>
                <w:sz w:val="20"/>
                <w:szCs w:val="20"/>
                <w:color w:val="auto"/>
              </w:rPr>
            </w:pPr>
            <w:r>
              <w:rPr>
                <w:rFonts w:ascii="Arial" w:cs="Arial" w:eastAsia="Arial" w:hAnsi="Arial"/>
                <w:sz w:val="14"/>
                <w:szCs w:val="14"/>
                <w:b w:val="1"/>
                <w:bCs w:val="1"/>
                <w:color w:val="auto"/>
              </w:rPr>
              <w:t>October 27,</w:t>
            </w:r>
          </w:p>
        </w:tc>
        <w:tc>
          <w:tcPr>
            <w:tcW w:w="2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October 29,</w:t>
            </w:r>
          </w:p>
        </w:tc>
        <w:tc>
          <w:tcPr>
            <w:tcW w:w="660" w:type="dxa"/>
            <w:vAlign w:val="bottom"/>
          </w:tcPr>
          <w:p>
            <w:pPr>
              <w:spacing w:after="0"/>
              <w:rPr>
                <w:sz w:val="11"/>
                <w:szCs w:val="11"/>
                <w:color w:val="auto"/>
              </w:rPr>
            </w:pPr>
          </w:p>
        </w:tc>
        <w:tc>
          <w:tcPr>
            <w:tcW w:w="9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October 27,</w:t>
            </w: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October 29,</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2012</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2011</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90"/>
              </w:rPr>
              <w:t>(unaudited)</w:t>
            </w:r>
          </w:p>
        </w:tc>
        <w:tc>
          <w:tcPr>
            <w:tcW w:w="380" w:type="dxa"/>
            <w:vAlign w:val="bottom"/>
            <w:gridSpan w:val="2"/>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gridSpan w:val="2"/>
          </w:tcPr>
          <w:p>
            <w:pPr>
              <w:ind w:left="20"/>
              <w:spacing w:after="0" w:line="142" w:lineRule="exact"/>
              <w:rPr>
                <w:sz w:val="20"/>
                <w:szCs w:val="20"/>
                <w:color w:val="auto"/>
              </w:rPr>
            </w:pPr>
            <w:r>
              <w:rPr>
                <w:rFonts w:ascii="Arial" w:cs="Arial" w:eastAsia="Arial" w:hAnsi="Arial"/>
                <w:sz w:val="14"/>
                <w:szCs w:val="14"/>
                <w:color w:val="auto"/>
                <w:w w:val="87"/>
              </w:rPr>
              <w:t>(unaudited)</w:t>
            </w:r>
          </w:p>
        </w:tc>
        <w:tc>
          <w:tcPr>
            <w:tcW w:w="660" w:type="dxa"/>
            <w:vAlign w:val="bottom"/>
          </w:tcPr>
          <w:p>
            <w:pPr>
              <w:spacing w:after="0"/>
              <w:rPr>
                <w:sz w:val="12"/>
                <w:szCs w:val="12"/>
                <w:color w:val="auto"/>
              </w:rPr>
            </w:pPr>
          </w:p>
        </w:tc>
        <w:tc>
          <w:tcPr>
            <w:tcW w:w="680" w:type="dxa"/>
            <w:vAlign w:val="bottom"/>
            <w:gridSpan w:val="2"/>
          </w:tcPr>
          <w:p>
            <w:pPr>
              <w:ind w:left="20"/>
              <w:spacing w:after="0" w:line="142" w:lineRule="exact"/>
              <w:rPr>
                <w:sz w:val="20"/>
                <w:szCs w:val="20"/>
                <w:color w:val="auto"/>
              </w:rPr>
            </w:pPr>
            <w:r>
              <w:rPr>
                <w:rFonts w:ascii="Arial" w:cs="Arial" w:eastAsia="Arial" w:hAnsi="Arial"/>
                <w:sz w:val="14"/>
                <w:szCs w:val="14"/>
                <w:color w:val="auto"/>
                <w:w w:val="90"/>
              </w:rPr>
              <w:t>(unaudited)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87"/>
              </w:rPr>
              <w:t>(unaudited)</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 by Segment: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Direct</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64,318</w:t>
            </w:r>
          </w:p>
        </w:tc>
        <w:tc>
          <w:tcPr>
            <w:tcW w:w="36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w w:val="98"/>
              </w:rPr>
              <w:t>52,026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$189,234</w:t>
            </w:r>
          </w:p>
        </w:tc>
        <w:tc>
          <w:tcPr>
            <w:tcW w:w="26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$144,038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Indirect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74,028</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69,123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189,350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182,290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52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20" w:type="dxa"/>
            <w:vAlign w:val="bottom"/>
            <w:gridSpan w:val="2"/>
            <w:vMerge w:val="continue"/>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138,346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80" w:type="dxa"/>
            <w:vAlign w:val="bottom"/>
            <w:gridSpan w:val="4"/>
          </w:tcPr>
          <w:p>
            <w:pPr>
              <w:jc w:val="right"/>
              <w:ind w:right="6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121,149</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378,584</w:t>
            </w:r>
          </w:p>
        </w:tc>
        <w:tc>
          <w:tcPr>
            <w:tcW w:w="26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326,328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7"/>
          </w:tcPr>
          <w:p>
            <w:pPr>
              <w:jc w:val="right"/>
              <w:ind w:right="980"/>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24"/>
                <w:szCs w:val="24"/>
                <w:color w:val="auto"/>
              </w:rPr>
            </w:pPr>
          </w:p>
        </w:tc>
        <w:tc>
          <w:tcPr>
            <w:tcW w:w="192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88"/>
              </w:rPr>
              <w:t>Thirty-Nine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tcBorders>
              <w:top w:val="single" w:sz="8" w:color="auto"/>
            </w:tcBorders>
            <w:gridSpan w:val="4"/>
          </w:tcPr>
          <w:p>
            <w:pPr>
              <w:jc w:val="center"/>
              <w:ind w:right="380"/>
              <w:spacing w:after="0" w:line="129" w:lineRule="exact"/>
              <w:rPr>
                <w:sz w:val="20"/>
                <w:szCs w:val="20"/>
                <w:color w:val="auto"/>
              </w:rPr>
            </w:pPr>
            <w:r>
              <w:rPr>
                <w:rFonts w:ascii="Arial" w:cs="Arial" w:eastAsia="Arial" w:hAnsi="Arial"/>
                <w:sz w:val="14"/>
                <w:szCs w:val="14"/>
                <w:b w:val="1"/>
                <w:bCs w:val="1"/>
                <w:color w:val="auto"/>
                <w:w w:val="88"/>
              </w:rPr>
              <w:t>October 27,</w:t>
            </w:r>
          </w:p>
        </w:tc>
        <w:tc>
          <w:tcPr>
            <w:tcW w:w="2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October 29,</w:t>
            </w:r>
          </w:p>
        </w:tc>
        <w:tc>
          <w:tcPr>
            <w:tcW w:w="660" w:type="dxa"/>
            <w:vAlign w:val="bottom"/>
          </w:tcPr>
          <w:p>
            <w:pPr>
              <w:spacing w:after="0"/>
              <w:rPr>
                <w:sz w:val="11"/>
                <w:szCs w:val="11"/>
                <w:color w:val="auto"/>
              </w:rPr>
            </w:pPr>
          </w:p>
        </w:tc>
        <w:tc>
          <w:tcPr>
            <w:tcW w:w="9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October 27,</w:t>
            </w: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October 29,</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2012</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2011</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90"/>
              </w:rPr>
              <w:t>(unaudited)</w:t>
            </w:r>
          </w:p>
        </w:tc>
        <w:tc>
          <w:tcPr>
            <w:tcW w:w="380" w:type="dxa"/>
            <w:vAlign w:val="bottom"/>
            <w:gridSpan w:val="2"/>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gridSpan w:val="2"/>
          </w:tcPr>
          <w:p>
            <w:pPr>
              <w:ind w:left="20"/>
              <w:spacing w:after="0" w:line="142" w:lineRule="exact"/>
              <w:rPr>
                <w:sz w:val="20"/>
                <w:szCs w:val="20"/>
                <w:color w:val="auto"/>
              </w:rPr>
            </w:pPr>
            <w:r>
              <w:rPr>
                <w:rFonts w:ascii="Arial" w:cs="Arial" w:eastAsia="Arial" w:hAnsi="Arial"/>
                <w:sz w:val="14"/>
                <w:szCs w:val="14"/>
                <w:color w:val="auto"/>
                <w:w w:val="87"/>
              </w:rPr>
              <w:t>(unaudited)</w:t>
            </w:r>
          </w:p>
        </w:tc>
        <w:tc>
          <w:tcPr>
            <w:tcW w:w="660" w:type="dxa"/>
            <w:vAlign w:val="bottom"/>
          </w:tcPr>
          <w:p>
            <w:pPr>
              <w:spacing w:after="0"/>
              <w:rPr>
                <w:sz w:val="12"/>
                <w:szCs w:val="12"/>
                <w:color w:val="auto"/>
              </w:rPr>
            </w:pPr>
          </w:p>
        </w:tc>
        <w:tc>
          <w:tcPr>
            <w:tcW w:w="680" w:type="dxa"/>
            <w:vAlign w:val="bottom"/>
            <w:gridSpan w:val="2"/>
          </w:tcPr>
          <w:p>
            <w:pPr>
              <w:ind w:left="20"/>
              <w:spacing w:after="0" w:line="142" w:lineRule="exact"/>
              <w:rPr>
                <w:sz w:val="20"/>
                <w:szCs w:val="20"/>
                <w:color w:val="auto"/>
              </w:rPr>
            </w:pPr>
            <w:r>
              <w:rPr>
                <w:rFonts w:ascii="Arial" w:cs="Arial" w:eastAsia="Arial" w:hAnsi="Arial"/>
                <w:sz w:val="14"/>
                <w:szCs w:val="14"/>
                <w:color w:val="auto"/>
                <w:w w:val="90"/>
              </w:rPr>
              <w:t>(unaudited)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87"/>
              </w:rPr>
              <w:t>(unaudited)</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Percentage of Net Revenue by Segment: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Direct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46.5%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Indirect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53.5%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20" w:type="dxa"/>
            <w:vAlign w:val="bottom"/>
            <w:gridSpan w:val="2"/>
            <w:vMerge w:val="continue"/>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7"/>
          </w:tcPr>
          <w:p>
            <w:pPr>
              <w:jc w:val="right"/>
              <w:ind w:right="980"/>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24"/>
                <w:szCs w:val="24"/>
                <w:color w:val="auto"/>
              </w:rPr>
            </w:pPr>
          </w:p>
        </w:tc>
        <w:tc>
          <w:tcPr>
            <w:tcW w:w="192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88"/>
              </w:rPr>
              <w:t>Thirty-Nine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tcBorders>
              <w:top w:val="single" w:sz="8" w:color="auto"/>
            </w:tcBorders>
            <w:gridSpan w:val="4"/>
          </w:tcPr>
          <w:p>
            <w:pPr>
              <w:jc w:val="center"/>
              <w:ind w:right="380"/>
              <w:spacing w:after="0" w:line="129" w:lineRule="exact"/>
              <w:rPr>
                <w:sz w:val="20"/>
                <w:szCs w:val="20"/>
                <w:color w:val="auto"/>
              </w:rPr>
            </w:pPr>
            <w:r>
              <w:rPr>
                <w:rFonts w:ascii="Arial" w:cs="Arial" w:eastAsia="Arial" w:hAnsi="Arial"/>
                <w:sz w:val="14"/>
                <w:szCs w:val="14"/>
                <w:b w:val="1"/>
                <w:bCs w:val="1"/>
                <w:color w:val="auto"/>
                <w:w w:val="88"/>
              </w:rPr>
              <w:t>October 29,</w:t>
            </w:r>
          </w:p>
        </w:tc>
        <w:tc>
          <w:tcPr>
            <w:tcW w:w="2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October 27,</w:t>
            </w:r>
          </w:p>
        </w:tc>
        <w:tc>
          <w:tcPr>
            <w:tcW w:w="660" w:type="dxa"/>
            <w:vAlign w:val="bottom"/>
          </w:tcPr>
          <w:p>
            <w:pPr>
              <w:spacing w:after="0"/>
              <w:rPr>
                <w:sz w:val="11"/>
                <w:szCs w:val="11"/>
                <w:color w:val="auto"/>
              </w:rPr>
            </w:pPr>
          </w:p>
        </w:tc>
        <w:tc>
          <w:tcPr>
            <w:tcW w:w="9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October 29,</w:t>
            </w: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October 27,</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2011</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2012</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2012</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90"/>
              </w:rPr>
              <w:t>(unaudited)</w:t>
            </w:r>
          </w:p>
        </w:tc>
        <w:tc>
          <w:tcPr>
            <w:tcW w:w="380" w:type="dxa"/>
            <w:vAlign w:val="bottom"/>
            <w:gridSpan w:val="2"/>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gridSpan w:val="2"/>
          </w:tcPr>
          <w:p>
            <w:pPr>
              <w:ind w:left="20"/>
              <w:spacing w:after="0" w:line="142" w:lineRule="exact"/>
              <w:rPr>
                <w:sz w:val="20"/>
                <w:szCs w:val="20"/>
                <w:color w:val="auto"/>
              </w:rPr>
            </w:pPr>
            <w:r>
              <w:rPr>
                <w:rFonts w:ascii="Arial" w:cs="Arial" w:eastAsia="Arial" w:hAnsi="Arial"/>
                <w:sz w:val="14"/>
                <w:szCs w:val="14"/>
                <w:color w:val="auto"/>
                <w:w w:val="87"/>
              </w:rPr>
              <w:t>(unaudited)</w:t>
            </w:r>
          </w:p>
        </w:tc>
        <w:tc>
          <w:tcPr>
            <w:tcW w:w="660" w:type="dxa"/>
            <w:vAlign w:val="bottom"/>
          </w:tcPr>
          <w:p>
            <w:pPr>
              <w:spacing w:after="0"/>
              <w:rPr>
                <w:sz w:val="12"/>
                <w:szCs w:val="12"/>
                <w:color w:val="auto"/>
              </w:rPr>
            </w:pPr>
          </w:p>
        </w:tc>
        <w:tc>
          <w:tcPr>
            <w:tcW w:w="680" w:type="dxa"/>
            <w:vAlign w:val="bottom"/>
            <w:gridSpan w:val="2"/>
          </w:tcPr>
          <w:p>
            <w:pPr>
              <w:ind w:left="20"/>
              <w:spacing w:after="0" w:line="142" w:lineRule="exact"/>
              <w:rPr>
                <w:sz w:val="20"/>
                <w:szCs w:val="20"/>
                <w:color w:val="auto"/>
              </w:rPr>
            </w:pPr>
            <w:r>
              <w:rPr>
                <w:rFonts w:ascii="Arial" w:cs="Arial" w:eastAsia="Arial" w:hAnsi="Arial"/>
                <w:sz w:val="14"/>
                <w:szCs w:val="14"/>
                <w:color w:val="auto"/>
                <w:w w:val="90"/>
              </w:rPr>
              <w:t>(unaudited)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87"/>
              </w:rPr>
              <w:t>(unaudited)</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by Segment: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Direct</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17,745</w:t>
            </w:r>
          </w:p>
        </w:tc>
        <w:tc>
          <w:tcPr>
            <w:tcW w:w="36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w w:val="98"/>
              </w:rPr>
              <w:t>13,490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49,376</w:t>
            </w:r>
          </w:p>
        </w:tc>
        <w:tc>
          <w:tcPr>
            <w:tcW w:w="26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38,895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Indirect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30,301</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26,690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76,403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72,478</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20" w:type="dxa"/>
            <w:vAlign w:val="bottom"/>
            <w:gridSpan w:val="2"/>
            <w:vMerge w:val="continue"/>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48,046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w w:val="98"/>
              </w:rPr>
              <w:t>40,180</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125,779</w:t>
            </w:r>
          </w:p>
        </w:tc>
        <w:tc>
          <w:tcPr>
            <w:tcW w:w="260" w:type="dxa"/>
            <w:vAlign w:val="bottom"/>
          </w:tcPr>
          <w:p>
            <w:pPr>
              <w:spacing w:after="0"/>
              <w:rPr>
                <w:sz w:val="19"/>
                <w:szCs w:val="19"/>
                <w:color w:val="auto"/>
              </w:rPr>
            </w:pPr>
          </w:p>
        </w:tc>
        <w:tc>
          <w:tcPr>
            <w:tcW w:w="1080" w:type="dxa"/>
            <w:vAlign w:val="bottom"/>
            <w:gridSpan w:val="4"/>
          </w:tcPr>
          <w:p>
            <w:pPr>
              <w:jc w:val="right"/>
              <w:ind w:right="300"/>
              <w:spacing w:after="0"/>
              <w:rPr>
                <w:sz w:val="20"/>
                <w:szCs w:val="20"/>
                <w:color w:val="auto"/>
              </w:rPr>
            </w:pPr>
            <w:r>
              <w:rPr>
                <w:rFonts w:ascii="Arial" w:cs="Arial" w:eastAsia="Arial" w:hAnsi="Arial"/>
                <w:sz w:val="18"/>
                <w:szCs w:val="18"/>
                <w:color w:val="auto"/>
                <w:w w:val="94"/>
              </w:rPr>
              <w:t>$ 111,373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Corporate unallocated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w w:val="92"/>
              </w:rPr>
              <w:t>(20,475)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(18,661)</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(55,599)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(47,868)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27,571</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21,519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70,180</w:t>
            </w: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63,505</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7"/>
          </w:tcPr>
          <w:p>
            <w:pPr>
              <w:jc w:val="right"/>
              <w:ind w:right="980"/>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24"/>
                <w:szCs w:val="24"/>
                <w:color w:val="auto"/>
              </w:rPr>
            </w:pPr>
          </w:p>
        </w:tc>
        <w:tc>
          <w:tcPr>
            <w:tcW w:w="192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88"/>
              </w:rPr>
              <w:t>Thirty-Nine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tcBorders>
              <w:top w:val="single" w:sz="8" w:color="auto"/>
            </w:tcBorders>
            <w:gridSpan w:val="4"/>
          </w:tcPr>
          <w:p>
            <w:pPr>
              <w:jc w:val="center"/>
              <w:ind w:right="380"/>
              <w:spacing w:after="0" w:line="129" w:lineRule="exact"/>
              <w:rPr>
                <w:sz w:val="20"/>
                <w:szCs w:val="20"/>
                <w:color w:val="auto"/>
              </w:rPr>
            </w:pPr>
            <w:r>
              <w:rPr>
                <w:rFonts w:ascii="Arial" w:cs="Arial" w:eastAsia="Arial" w:hAnsi="Arial"/>
                <w:sz w:val="14"/>
                <w:szCs w:val="14"/>
                <w:b w:val="1"/>
                <w:bCs w:val="1"/>
                <w:color w:val="auto"/>
                <w:w w:val="88"/>
              </w:rPr>
              <w:t>October 27,</w:t>
            </w:r>
          </w:p>
        </w:tc>
        <w:tc>
          <w:tcPr>
            <w:tcW w:w="92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October 29,</w:t>
            </w:r>
          </w:p>
        </w:tc>
        <w:tc>
          <w:tcPr>
            <w:tcW w:w="660" w:type="dxa"/>
            <w:vAlign w:val="bottom"/>
          </w:tcPr>
          <w:p>
            <w:pPr>
              <w:spacing w:after="0"/>
              <w:rPr>
                <w:sz w:val="11"/>
                <w:szCs w:val="11"/>
                <w:color w:val="auto"/>
              </w:rPr>
            </w:pPr>
          </w:p>
        </w:tc>
        <w:tc>
          <w:tcPr>
            <w:tcW w:w="9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October 27,</w:t>
            </w:r>
          </w:p>
        </w:tc>
        <w:tc>
          <w:tcPr>
            <w:tcW w:w="780" w:type="dxa"/>
            <w:vAlign w:val="bottom"/>
            <w:tcBorders>
              <w:top w:val="single" w:sz="8" w:color="auto"/>
            </w:tcBorders>
            <w:gridSpan w:val="3"/>
          </w:tcPr>
          <w:p>
            <w:pPr>
              <w:ind w:left="100"/>
              <w:spacing w:after="0" w:line="129" w:lineRule="exact"/>
              <w:rPr>
                <w:sz w:val="20"/>
                <w:szCs w:val="20"/>
                <w:color w:val="auto"/>
              </w:rPr>
            </w:pPr>
            <w:r>
              <w:rPr>
                <w:rFonts w:ascii="Arial" w:cs="Arial" w:eastAsia="Arial" w:hAnsi="Arial"/>
                <w:sz w:val="14"/>
                <w:szCs w:val="14"/>
                <w:b w:val="1"/>
                <w:bCs w:val="1"/>
                <w:color w:val="auto"/>
                <w:w w:val="85"/>
              </w:rPr>
              <w:t>October 29,</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2012</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2011</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90"/>
              </w:rPr>
              <w:t>(unaudited)</w:t>
            </w:r>
          </w:p>
        </w:tc>
        <w:tc>
          <w:tcPr>
            <w:tcW w:w="380" w:type="dxa"/>
            <w:vAlign w:val="bottom"/>
            <w:gridSpan w:val="2"/>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gridSpan w:val="2"/>
          </w:tcPr>
          <w:p>
            <w:pPr>
              <w:ind w:left="20"/>
              <w:spacing w:after="0" w:line="142" w:lineRule="exact"/>
              <w:rPr>
                <w:sz w:val="20"/>
                <w:szCs w:val="20"/>
                <w:color w:val="auto"/>
              </w:rPr>
            </w:pPr>
            <w:r>
              <w:rPr>
                <w:rFonts w:ascii="Arial" w:cs="Arial" w:eastAsia="Arial" w:hAnsi="Arial"/>
                <w:sz w:val="14"/>
                <w:szCs w:val="14"/>
                <w:color w:val="auto"/>
                <w:w w:val="87"/>
              </w:rPr>
              <w:t>(unaudited)</w:t>
            </w:r>
          </w:p>
        </w:tc>
        <w:tc>
          <w:tcPr>
            <w:tcW w:w="660" w:type="dxa"/>
            <w:vAlign w:val="bottom"/>
          </w:tcPr>
          <w:p>
            <w:pPr>
              <w:spacing w:after="0"/>
              <w:rPr>
                <w:sz w:val="12"/>
                <w:szCs w:val="12"/>
                <w:color w:val="auto"/>
              </w:rPr>
            </w:pPr>
          </w:p>
        </w:tc>
        <w:tc>
          <w:tcPr>
            <w:tcW w:w="680" w:type="dxa"/>
            <w:vAlign w:val="bottom"/>
            <w:gridSpan w:val="2"/>
          </w:tcPr>
          <w:p>
            <w:pPr>
              <w:ind w:left="20"/>
              <w:spacing w:after="0" w:line="142" w:lineRule="exact"/>
              <w:rPr>
                <w:sz w:val="20"/>
                <w:szCs w:val="20"/>
                <w:color w:val="auto"/>
              </w:rPr>
            </w:pPr>
            <w:r>
              <w:rPr>
                <w:rFonts w:ascii="Arial" w:cs="Arial" w:eastAsia="Arial" w:hAnsi="Arial"/>
                <w:sz w:val="14"/>
                <w:szCs w:val="14"/>
                <w:color w:val="auto"/>
                <w:w w:val="90"/>
              </w:rPr>
              <w:t>(unaudited)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87"/>
              </w:rPr>
              <w:t>(unaudited)</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Operating Income as a Percentage of Net Revenues by Segment: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Direct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27.6%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Indirect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40.9%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322"/>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Store Data: (1)</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 stores open at end of period</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Comparable-store sales increase (2)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 gross square footage at end of period</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153,515</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2"/>
              </w:rPr>
              <w:t>111,235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153,515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111,235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Average net revenues per gross square foot (3)</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248</w:t>
            </w:r>
          </w:p>
        </w:tc>
        <w:tc>
          <w:tcPr>
            <w:tcW w:w="360" w:type="dxa"/>
            <w:vAlign w:val="bottom"/>
          </w:tcPr>
          <w:p>
            <w:pPr>
              <w:spacing w:after="0"/>
              <w:rPr>
                <w:sz w:val="19"/>
                <w:szCs w:val="19"/>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750</w:t>
            </w:r>
          </w:p>
        </w:tc>
        <w:tc>
          <w:tcPr>
            <w:tcW w:w="260" w:type="dxa"/>
            <w:vAlign w:val="bottom"/>
          </w:tcPr>
          <w:p>
            <w:pPr>
              <w:spacing w:after="0"/>
              <w:rPr>
                <w:sz w:val="19"/>
                <w:szCs w:val="19"/>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703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only our full-price and outlet stores. Our first full-price store opened in mid-September 2007 and our first outlet store opened in November 2009.</w:t>
      </w:r>
    </w:p>
    <w:p>
      <w:pPr>
        <w:spacing w:after="0" w:line="38" w:lineRule="exact"/>
        <w:rPr>
          <w:rFonts w:ascii="Arial" w:cs="Arial" w:eastAsia="Arial" w:hAnsi="Arial"/>
          <w:sz w:val="16"/>
          <w:szCs w:val="16"/>
          <w:color w:val="auto"/>
        </w:rPr>
      </w:pPr>
    </w:p>
    <w:p>
      <w:pPr>
        <w:ind w:left="46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Comparable-store sales represent the net revenues of our stores that have been open at least 12 full fiscal months as of the end of the period. Increase or decrease is reported as a percentage of the comparable-store sales for the same period in the prior fiscal year. Remodeled stores are included in comparable-store sales unless the store was closed for a portion of the current or comparable prior period or the remodel resulted in a significant change in square footage.</w:t>
      </w:r>
    </w:p>
    <w:p>
      <w:pPr>
        <w:spacing w:after="0" w:line="1" w:lineRule="exact"/>
        <w:rPr>
          <w:rFonts w:ascii="Arial" w:cs="Arial" w:eastAsia="Arial" w:hAnsi="Arial"/>
          <w:sz w:val="18"/>
          <w:szCs w:val="18"/>
          <w:color w:val="auto"/>
        </w:rPr>
      </w:pPr>
    </w:p>
    <w:p>
      <w:pPr>
        <w:ind w:left="460" w:right="20" w:hanging="452"/>
        <w:spacing w:after="0" w:line="255"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Dollars not in thousands. Average net revenues per gross square foot are calculated by dividing total net revenues for our stores that have been open at least 12 full fiscal months as of the end of the period by total gross square footage for those stores. Remodeled stores are included in average net revenues per gross square foot unless the store was closed for a portion of the period.</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40"/>
        <w:spacing w:after="0" w:line="347" w:lineRule="auto"/>
        <w:rPr>
          <w:sz w:val="20"/>
          <w:szCs w:val="20"/>
          <w:color w:val="auto"/>
        </w:rPr>
      </w:pPr>
      <w:r>
        <w:rPr>
          <w:rFonts w:ascii="Arial" w:cs="Arial" w:eastAsia="Arial" w:hAnsi="Arial"/>
          <w:sz w:val="18"/>
          <w:szCs w:val="18"/>
          <w:b w:val="1"/>
          <w:bCs w:val="1"/>
          <w:color w:val="auto"/>
        </w:rPr>
        <w:t xml:space="preserve">Thirteen Weeks Ended October 27, 2012, Compared to Thirteen Weeks Ended October 29, 2011 </w:t>
      </w:r>
      <w:r>
        <w:rPr>
          <w:rFonts w:ascii="Arial" w:cs="Arial" w:eastAsia="Arial" w:hAnsi="Arial"/>
          <w:sz w:val="18"/>
          <w:szCs w:val="18"/>
          <w:i w:val="1"/>
          <w:iCs w:val="1"/>
          <w:color w:val="auto"/>
        </w:rPr>
        <w:t>Net Revenues</w:t>
      </w:r>
    </w:p>
    <w:p>
      <w:pPr>
        <w:spacing w:after="0" w:line="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For the thirteen weeks ended October 27, 2012, net revenues increased $17.2 million, or 14.2%, to $138.3 million, from $121.1 million in the comparable prior-year period.</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Direct</w:t>
      </w:r>
      <w:r>
        <w:rPr>
          <w:rFonts w:ascii="Arial" w:cs="Arial" w:eastAsia="Arial" w:hAnsi="Arial"/>
          <w:sz w:val="16"/>
          <w:szCs w:val="16"/>
          <w:color w:val="auto"/>
        </w:rPr>
        <w:t>. For the thirteen weeks ended October 27, 2012, net revenues in the Direct segment increased $12.3 million, or 23.6%, to $64.3 million, from $52.0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in the comparable prior-year period. This growth resulted primarily from a $10.6 million increase in revenues related to additional full-price and outlet stores, including a comparable-store sales increase of $1.6 million, or 7.1%, primarily driven by the improved performance of current product assortment and the expansion of traffic-driving events related to the timing of our seasonal releases, and a $0.3 million increase in e-commerce revenues. The aggregate number of our full-price and outlet stores grew from 55 at October 29, 2011, to 75 at October 27, 2012.</w:t>
      </w:r>
    </w:p>
    <w:p>
      <w:pPr>
        <w:spacing w:after="0" w:line="11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i w:val="1"/>
          <w:iCs w:val="1"/>
          <w:color w:val="auto"/>
        </w:rPr>
        <w:t>Indirect</w:t>
      </w:r>
      <w:r>
        <w:rPr>
          <w:rFonts w:ascii="Arial" w:cs="Arial" w:eastAsia="Arial" w:hAnsi="Arial"/>
          <w:sz w:val="18"/>
          <w:szCs w:val="18"/>
          <w:color w:val="auto"/>
        </w:rPr>
        <w:t>. For the thirteen weeks ended October 27, 2012, net revenues in the Indirect segment increased $4.9 million, or 7.1%, to $74.0 million, from $69.1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comparable prior-year period, driven by the improved performance of current product assortment and growth in the number of department store locations.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For the thirteen weeks ended October 27, 2012, gross profit increased $14.5 million, or 22.2%, to $80.2 million, from $65.7 million in the comparable prior-year period. As a percentage of net revenues, gross profit increased to 58.0% for the thirteen weeks ended October 27, 2012, from 54.2% in the comparable prior-year period. The increase as a percentage of net revenues was due to operational efficiencies primarily from less freight expense, prior year opportunistic sale of retired inventory, and lower cost of cotton, partially offset by a $1.2 million charge, related to damaged inventory written off during the quarter.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For the thirteen weeks ended October 27, 2012, SG&amp;A expenses increased $8.2 million, or 18.1%, to $53.6 million, from $45.4 million in the comparable prior-year period. As a percentage of net revenues, SG&amp;A expenses were 38.7% and 37.4% for the thirteen weeks ended October 27, 2012, and October 29, 2011, respectively. The increase in SG&amp;A expenses as a percentage of net revenues was due primarily to annualizing fiscal 2012 infrastructure investments made in the second half of last year and increased marketing expenses, some of which were incurred to support the future launch of the baby product line.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For the thirteen weeks ended October 27, 2012, other income decreased $0.3 million, or 22.0%, to $0.9 million, from $1.2 million in the comparable prior-year period. The decrease in other income was in line with a decrease in associated advertising costs related to mailers for our specialty retailers.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the thirteen weeks ended October 27, 2012, operating income increased $6.1 million, or 28.1%, to $27.6 million, from $21.5 million in the comparable prior-year period. As a percentage of net revenues, operating income was 19.9% and 17.8% for the thirteen weeks ended October 27, 2012, and October 29, 2011, respectively.</w:t>
      </w:r>
    </w:p>
    <w:p>
      <w:pPr>
        <w:spacing w:after="0" w:line="14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Direct</w:t>
      </w:r>
      <w:r>
        <w:rPr>
          <w:rFonts w:ascii="Arial" w:cs="Arial" w:eastAsia="Arial" w:hAnsi="Arial"/>
          <w:sz w:val="18"/>
          <w:szCs w:val="18"/>
          <w:color w:val="auto"/>
        </w:rPr>
        <w:t>. For the thirteen weeks ended October 27, 2012, operating income in the Direct segment increased $4.3 million, or 31.5%. As a percentage of Direct</w:t>
      </w:r>
      <w:r>
        <w:rPr>
          <w:rFonts w:ascii="Arial" w:cs="Arial" w:eastAsia="Arial" w:hAnsi="Arial"/>
          <w:sz w:val="18"/>
          <w:szCs w:val="18"/>
          <w:i w:val="1"/>
          <w:iCs w:val="1"/>
          <w:color w:val="auto"/>
        </w:rPr>
        <w:t xml:space="preserve"> </w:t>
      </w:r>
      <w:r>
        <w:rPr>
          <w:rFonts w:ascii="Arial" w:cs="Arial" w:eastAsia="Arial" w:hAnsi="Arial"/>
          <w:sz w:val="18"/>
          <w:szCs w:val="18"/>
          <w:color w:val="auto"/>
        </w:rPr>
        <w:t>segment net revenues, operating income in the Direct segment was 27.6% and 25.9% for the thirteen weeks ended October 27, 2012, and October 29, 2011, respectively. This increase as a percentage of net revenues in the Direct segment was due primarily to improved gross margin, as a result of freight savings within our e-commerce channel.</w:t>
      </w:r>
    </w:p>
    <w:p>
      <w:pPr>
        <w:spacing w:after="0" w:line="143"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i w:val="1"/>
          <w:iCs w:val="1"/>
          <w:color w:val="auto"/>
        </w:rPr>
        <w:t>Indirect</w:t>
      </w:r>
      <w:r>
        <w:rPr>
          <w:rFonts w:ascii="Arial" w:cs="Arial" w:eastAsia="Arial" w:hAnsi="Arial"/>
          <w:sz w:val="15"/>
          <w:szCs w:val="15"/>
          <w:color w:val="auto"/>
        </w:rPr>
        <w:t>. For the thirteen weeks ended October 27, 2012, operating income in the Indirect segment increased $3.6 million, or 13.5%. As a percentage of Indirect</w:t>
      </w:r>
      <w:r>
        <w:rPr>
          <w:rFonts w:ascii="Arial" w:cs="Arial" w:eastAsia="Arial" w:hAnsi="Arial"/>
          <w:sz w:val="15"/>
          <w:szCs w:val="15"/>
          <w:i w:val="1"/>
          <w:iCs w:val="1"/>
          <w:color w:val="auto"/>
        </w:rPr>
        <w:t xml:space="preserve"> </w:t>
      </w:r>
      <w:r>
        <w:rPr>
          <w:rFonts w:ascii="Arial" w:cs="Arial" w:eastAsia="Arial" w:hAnsi="Arial"/>
          <w:sz w:val="15"/>
          <w:szCs w:val="15"/>
          <w:color w:val="auto"/>
        </w:rPr>
        <w:t>segment net revenues, operating income in the Indirect segment was 40.9% and 38.6% for the thirteen weeks ended October 27, 2012, and October 29, 2011, respectively. This increase as a percentage of net revenues in the Indirect segment resulted from both sales-driven leverage of SG&amp;A and improved gross margin.</w:t>
      </w:r>
    </w:p>
    <w:p>
      <w:pPr>
        <w:spacing w:after="0" w:line="8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i w:val="1"/>
          <w:iCs w:val="1"/>
          <w:color w:val="auto"/>
        </w:rPr>
        <w:t>Corporate Unallocated</w:t>
      </w:r>
      <w:r>
        <w:rPr>
          <w:rFonts w:ascii="Arial" w:cs="Arial" w:eastAsia="Arial" w:hAnsi="Arial"/>
          <w:sz w:val="18"/>
          <w:szCs w:val="18"/>
          <w:color w:val="auto"/>
        </w:rPr>
        <w:t>. For the thirteen weeks ended October 27, 2012, unallocated expenses increased $1.8 million, or 9.7%, primarily as a result of higher</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personnel costs.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90"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For the thirteen weeks ended October 27, 2012, net interest expense decreased $0.1 million, or 40.3%, to $0.2 million, from $0.3 million in the comparable prior-year period. The decrease was due primarily to lower average borrowing levels in the thirteen weeks ended October 27, 2012.</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effective tax rate for the thirteen weeks ended October 27, 2012 was 35.2%, compared to 38.9% for the thirteen weeks ended October 29, 2011. The effective tax rate reduction was primarily related to state income tax credits received and discrete items recorded during the thirteen week period. The impact of these items to the effective tax rate was approximately 4% for the quarter.</w:t>
      </w:r>
    </w:p>
    <w:p>
      <w:pPr>
        <w:spacing w:after="0" w:line="215" w:lineRule="exact"/>
        <w:rPr>
          <w:sz w:val="20"/>
          <w:szCs w:val="20"/>
          <w:color w:val="auto"/>
        </w:rPr>
      </w:pPr>
    </w:p>
    <w:p>
      <w:pPr>
        <w:ind w:right="3800"/>
        <w:spacing w:after="0" w:line="347" w:lineRule="auto"/>
        <w:rPr>
          <w:sz w:val="20"/>
          <w:szCs w:val="20"/>
          <w:color w:val="auto"/>
        </w:rPr>
      </w:pPr>
      <w:r>
        <w:rPr>
          <w:rFonts w:ascii="Arial" w:cs="Arial" w:eastAsia="Arial" w:hAnsi="Arial"/>
          <w:sz w:val="18"/>
          <w:szCs w:val="18"/>
          <w:b w:val="1"/>
          <w:bCs w:val="1"/>
          <w:color w:val="auto"/>
        </w:rPr>
        <w:t xml:space="preserve">Thirty-nine Weeks Ended October 27, 2012, Compared to Thirty-nine Weeks Ended October 29, 2011 </w:t>
      </w:r>
      <w:r>
        <w:rPr>
          <w:rFonts w:ascii="Arial" w:cs="Arial" w:eastAsia="Arial" w:hAnsi="Arial"/>
          <w:sz w:val="18"/>
          <w:szCs w:val="18"/>
          <w:i w:val="1"/>
          <w:iCs w:val="1"/>
          <w:color w:val="auto"/>
        </w:rPr>
        <w:t>Net Revenues</w:t>
      </w:r>
    </w:p>
    <w:p>
      <w:pPr>
        <w:spacing w:after="0" w:line="2"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For the thirty-nine weeks ended October 27, 2012, net revenues increased $52.3 million, or 16.0%, to $378.6 million, from $326.3 million in the comparable prior-year period.</w:t>
      </w:r>
    </w:p>
    <w:p>
      <w:pPr>
        <w:spacing w:after="0" w:line="13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i w:val="1"/>
          <w:iCs w:val="1"/>
          <w:color w:val="auto"/>
        </w:rPr>
        <w:t>Direct</w:t>
      </w:r>
      <w:r>
        <w:rPr>
          <w:rFonts w:ascii="Arial" w:cs="Arial" w:eastAsia="Arial" w:hAnsi="Arial"/>
          <w:sz w:val="18"/>
          <w:szCs w:val="18"/>
          <w:color w:val="auto"/>
        </w:rPr>
        <w:t>. For the thirty-nine weeks ended October 27, 2012, net revenues in the Direct segment increased $45.2 million, or 31.4%, to $189.2 million, from $144.0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comparable prior-year period. This growth resulted primarily from a $32.9 million increase in revenues related to full-price and outlet stores, including a comparable-store sales increase of $3.6 million, or 5.7%, a $9.6 million increase in e-commerce revenues due primarily to greater traffic resulting from marketing initiatives, and an increase of $0.1 million in outlet-sale revenues. The aggregate number of our full-price and outlet stores grew from 55 at October 29, 2011 to 75 at October 27, 2012.</w:t>
      </w:r>
    </w:p>
    <w:p>
      <w:pPr>
        <w:spacing w:after="0" w:line="14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i w:val="1"/>
          <w:iCs w:val="1"/>
          <w:color w:val="auto"/>
        </w:rPr>
        <w:t>Indirect</w:t>
      </w:r>
      <w:r>
        <w:rPr>
          <w:rFonts w:ascii="Arial" w:cs="Arial" w:eastAsia="Arial" w:hAnsi="Arial"/>
          <w:sz w:val="18"/>
          <w:szCs w:val="18"/>
          <w:color w:val="auto"/>
        </w:rPr>
        <w:t>. For the thirty-nine weeks ended October 27, 2012, net revenues in the Indirect segment increased $7.1 million, or 3.9%, to $189.4 million, from $182.3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comparable prior-year period, due primarily to the timing change of pattern releases.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For the thirty-nine weeks ended October 27, 2012, gross profit increased $32.3 million, or 17.8%, to $214.1 million, from $181.8 million in the comparable prior-year period. As a percentage of net revenues, gross profit increased to 56.6% for the thirty-nine weeks ended October 27, 2012, from 55.7% in the comparable prior-year period. The increase as a percentage of net revenues was due to operational efficiencies primarily from less freight expense, and positive channel mix, partially offset by increased promotional activity.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For the thirty-nine weeks ended October 27, 2012, SG&amp;A expenses increased $24.2 million, or 19.4%, to $148.6 million, from $124.4 million in the comparable prior-year period. As a percentage of net revenues, SG&amp;A expenses were 39.3% and 38.1% for the thirty-nine weeks ended October 27, 2012, and October 29, 2011, respectively. The increase in SG&amp;A expenses as a percentage of net revenues was due primarily to annualizing fiscal 2012 infrastructure investments made in the second half of last year and marketing expenses.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For the thirty-nine weeks ended October 27, 2012, other income decreased $1.5 million, or 25.2%, to $4.7 million, from $6.2 million in the comparable prior-year period. The decrease in other income was in line with a decrease in associated advertising costs related to mailers for our specialty retailers.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71"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For the thirty-nine weeks ended October 27, 2012, operating income increased $6.7 million, or 10.5%, to $70.2 million, from $63.5 million in the comparable prior-year period. As a percentage of net revenues, operating income was 18.5% and 19.5% for the thirty-nine weeks ended October 27, 2012, and October 29, 2011, respectively.</w:t>
      </w:r>
    </w:p>
    <w:p>
      <w:pPr>
        <w:spacing w:after="0" w:line="14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i w:val="1"/>
          <w:iCs w:val="1"/>
          <w:color w:val="auto"/>
        </w:rPr>
        <w:t>Direct</w:t>
      </w:r>
      <w:r>
        <w:rPr>
          <w:rFonts w:ascii="Arial" w:cs="Arial" w:eastAsia="Arial" w:hAnsi="Arial"/>
          <w:sz w:val="18"/>
          <w:szCs w:val="18"/>
          <w:color w:val="auto"/>
        </w:rPr>
        <w:t>. For the thirty-nine weeks ended October 27, 2012, operating income in the Direct segment increased $10.5 million, or 26.9%. As a percentage of Direct</w:t>
      </w:r>
      <w:r>
        <w:rPr>
          <w:rFonts w:ascii="Arial" w:cs="Arial" w:eastAsia="Arial" w:hAnsi="Arial"/>
          <w:sz w:val="18"/>
          <w:szCs w:val="18"/>
          <w:i w:val="1"/>
          <w:iCs w:val="1"/>
          <w:color w:val="auto"/>
        </w:rPr>
        <w:t xml:space="preserve"> </w:t>
      </w:r>
      <w:r>
        <w:rPr>
          <w:rFonts w:ascii="Arial" w:cs="Arial" w:eastAsia="Arial" w:hAnsi="Arial"/>
          <w:sz w:val="18"/>
          <w:szCs w:val="18"/>
          <w:color w:val="auto"/>
        </w:rPr>
        <w:t>segment net revenues, operating income in the Direct segment was 26.1% and 27.0% for the thirty-nine weeks ended October 27, 2012, and October 29, 2011, respectively. This decrease as a percentage of net revenues in the Direct segment was due primarily to increased promotional activity, offset in part by a positive channel mix and operational efficiencies.</w:t>
      </w:r>
    </w:p>
    <w:p>
      <w:pPr>
        <w:spacing w:after="0" w:line="143"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i w:val="1"/>
          <w:iCs w:val="1"/>
          <w:color w:val="auto"/>
        </w:rPr>
        <w:t>Indirect</w:t>
      </w:r>
      <w:r>
        <w:rPr>
          <w:rFonts w:ascii="Arial" w:cs="Arial" w:eastAsia="Arial" w:hAnsi="Arial"/>
          <w:sz w:val="16"/>
          <w:szCs w:val="16"/>
          <w:color w:val="auto"/>
        </w:rPr>
        <w:t>. For the thirty-nine weeks ended October 27, 2012, operating income in the Indirect segment increased $3.9 million, or 5.4%. As a percentage of Indirect</w:t>
      </w:r>
      <w:r>
        <w:rPr>
          <w:rFonts w:ascii="Arial" w:cs="Arial" w:eastAsia="Arial" w:hAnsi="Arial"/>
          <w:sz w:val="16"/>
          <w:szCs w:val="16"/>
          <w:i w:val="1"/>
          <w:iCs w:val="1"/>
          <w:color w:val="auto"/>
        </w:rPr>
        <w:t xml:space="preserve"> </w:t>
      </w:r>
      <w:r>
        <w:rPr>
          <w:rFonts w:ascii="Arial" w:cs="Arial" w:eastAsia="Arial" w:hAnsi="Arial"/>
          <w:sz w:val="16"/>
          <w:szCs w:val="16"/>
          <w:color w:val="auto"/>
        </w:rPr>
        <w:t>segment net revenues, operating income in the Indirect segment was 40.4% and 39.8% for the thirty-nine weeks ended October 27, 2012, and October 29, 2011, respectively. This increase as a percentage of net revenues in the Indirect segment resulted primarily from sales-driven leverage of SG&amp;A.</w:t>
      </w:r>
    </w:p>
    <w:p>
      <w:pPr>
        <w:spacing w:after="0" w:line="10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i w:val="1"/>
          <w:iCs w:val="1"/>
          <w:color w:val="auto"/>
        </w:rPr>
        <w:t>Corporate Unallocated</w:t>
      </w:r>
      <w:r>
        <w:rPr>
          <w:rFonts w:ascii="Arial" w:cs="Arial" w:eastAsia="Arial" w:hAnsi="Arial"/>
          <w:sz w:val="18"/>
          <w:szCs w:val="18"/>
          <w:color w:val="auto"/>
        </w:rPr>
        <w:t>. For the thirty-nine weeks ended October 27, 2012, unallocated expenses increased $7.7 million, or 16.2%, primarily as a result of higher</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personnel and marketing costs.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90"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For the thirty-nine weeks ended October 27, 2012, net interest expense decreased $0.4 million, or 44.8%, to $0.5 million, from $0.9 million in the comparable prior-year period. The decrease was due to lower average borrowing levels in the thirty-nine weeks ended October 27,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The effective tax rate for the thirty-nine weeks ended October 27, 2012 was 37.2%, compared to 39.6% for the thirty-nine weeks ended October 29, 2011. The effective tax rate reduction was primarily related to state income tax incentive received and discrete items recorded during the thirty-nine week period. The impact of these projects on the effective tax rate was approximately 1.5% for the thirty-nine weeks ended October 27, 2012.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Our primary source of liquidity is cash flow from operations. We also have access to additional liquidity, if needed, through borrowings under our $125.0 million credit agreement. Historically, our primary cash needs have been for inventories, payroll, store rent, capital expenditures associated with opening new stores, debt repayments, operational equipment, and information technology. The most significant components of our working capital are cash and cash equivalents, inventories, accounts receivable, accounts payable, and other current liabilities. We do not believe that the expansion of our Direct business will materially alter the nature and levels of our accounts receivable and inventories, or require materially increased borrowings under our credit agreement, in the near term.</w:t>
      </w:r>
    </w:p>
    <w:p>
      <w:pPr>
        <w:spacing w:after="0" w:line="116"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We believe that cash flows from operating activities and the availability of borrowings under our credit agreement or other financing arrangements will be sufficient to meet working capital requirements, anticipated capital expenditures, and debt payments for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Analysis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investing, and financing activities is shown in the following table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Thirty-nine Weeks Ended</w:t>
            </w:r>
          </w:p>
        </w:tc>
      </w:tr>
      <w:tr>
        <w:trPr>
          <w:trHeight w:val="129"/>
        </w:trPr>
        <w:tc>
          <w:tcPr>
            <w:tcW w:w="50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80" w:type="dxa"/>
            <w:vAlign w:val="bottom"/>
            <w:tcBorders>
              <w:top w:val="single" w:sz="8" w:color="auto"/>
            </w:tcBorders>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8"/>
              </w:rPr>
              <w:t>October 27,</w:t>
            </w:r>
          </w:p>
        </w:tc>
        <w:tc>
          <w:tcPr>
            <w:tcW w:w="3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October 29,</w:t>
            </w:r>
          </w:p>
        </w:tc>
        <w:tc>
          <w:tcPr>
            <w:tcW w:w="120" w:type="dxa"/>
            <w:vAlign w:val="bottom"/>
          </w:tcPr>
          <w:p>
            <w:pPr>
              <w:spacing w:after="0"/>
              <w:rPr>
                <w:sz w:val="11"/>
                <w:szCs w:val="11"/>
                <w:color w:val="auto"/>
              </w:rPr>
            </w:pPr>
          </w:p>
        </w:tc>
      </w:tr>
      <w:tr>
        <w:trPr>
          <w:trHeight w:val="161"/>
        </w:trPr>
        <w:tc>
          <w:tcPr>
            <w:tcW w:w="5000" w:type="dxa"/>
            <w:vAlign w:val="bottom"/>
          </w:tcPr>
          <w:p>
            <w:pPr>
              <w:spacing w:after="0"/>
              <w:rPr>
                <w:sz w:val="14"/>
                <w:szCs w:val="14"/>
                <w:color w:val="auto"/>
              </w:rPr>
            </w:pPr>
          </w:p>
        </w:tc>
        <w:tc>
          <w:tcPr>
            <w:tcW w:w="2140" w:type="dxa"/>
            <w:vAlign w:val="bottom"/>
            <w:gridSpan w:val="2"/>
          </w:tcPr>
          <w:p>
            <w:pPr>
              <w:jc w:val="center"/>
              <w:ind w:left="1377"/>
              <w:spacing w:after="0"/>
              <w:rPr>
                <w:sz w:val="20"/>
                <w:szCs w:val="20"/>
                <w:color w:val="auto"/>
              </w:rPr>
            </w:pPr>
            <w:r>
              <w:rPr>
                <w:rFonts w:ascii="Arial" w:cs="Arial" w:eastAsia="Arial" w:hAnsi="Arial"/>
                <w:sz w:val="14"/>
                <w:szCs w:val="14"/>
                <w:b w:val="1"/>
                <w:bCs w:val="1"/>
                <w:color w:val="auto"/>
                <w:w w:val="89"/>
              </w:rPr>
              <w:t>2012</w:t>
            </w:r>
          </w:p>
        </w:tc>
        <w:tc>
          <w:tcPr>
            <w:tcW w:w="400" w:type="dxa"/>
            <w:vAlign w:val="bottom"/>
          </w:tcPr>
          <w:p>
            <w:pPr>
              <w:spacing w:after="0"/>
              <w:rPr>
                <w:sz w:val="14"/>
                <w:szCs w:val="14"/>
                <w:color w:val="auto"/>
              </w:rPr>
            </w:pPr>
          </w:p>
        </w:tc>
        <w:tc>
          <w:tcPr>
            <w:tcW w:w="1020" w:type="dxa"/>
            <w:vAlign w:val="bottom"/>
            <w:gridSpan w:val="2"/>
          </w:tcPr>
          <w:p>
            <w:pPr>
              <w:jc w:val="center"/>
              <w:ind w:left="237"/>
              <w:spacing w:after="0"/>
              <w:rPr>
                <w:sz w:val="20"/>
                <w:szCs w:val="20"/>
                <w:color w:val="auto"/>
              </w:rPr>
            </w:pPr>
            <w:r>
              <w:rPr>
                <w:rFonts w:ascii="Arial" w:cs="Arial" w:eastAsia="Arial" w:hAnsi="Arial"/>
                <w:sz w:val="14"/>
                <w:szCs w:val="14"/>
                <w:b w:val="1"/>
                <w:bCs w:val="1"/>
                <w:color w:val="auto"/>
                <w:w w:val="83"/>
              </w:rPr>
              <w:t>2011</w:t>
            </w:r>
          </w:p>
        </w:tc>
        <w:tc>
          <w:tcPr>
            <w:tcW w:w="120" w:type="dxa"/>
            <w:vAlign w:val="bottom"/>
          </w:tcPr>
          <w:p>
            <w:pPr>
              <w:spacing w:after="0"/>
              <w:rPr>
                <w:sz w:val="14"/>
                <w:szCs w:val="14"/>
                <w:color w:val="auto"/>
              </w:rPr>
            </w:pPr>
          </w:p>
        </w:tc>
      </w:tr>
      <w:tr>
        <w:trPr>
          <w:trHeight w:val="142"/>
        </w:trPr>
        <w:tc>
          <w:tcPr>
            <w:tcW w:w="50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120" w:type="dxa"/>
            <w:vAlign w:val="bottom"/>
          </w:tcPr>
          <w:p>
            <w:pPr>
              <w:spacing w:after="0"/>
              <w:rPr>
                <w:sz w:val="12"/>
                <w:szCs w:val="12"/>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22,237</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6,869</w:t>
            </w:r>
          </w:p>
        </w:tc>
        <w:tc>
          <w:tcPr>
            <w:tcW w:w="12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540" w:type="dxa"/>
            <w:vAlign w:val="bottom"/>
            <w:gridSpan w:val="3"/>
          </w:tcPr>
          <w:p>
            <w:pPr>
              <w:jc w:val="right"/>
              <w:ind w:right="340"/>
              <w:spacing w:after="0"/>
              <w:rPr>
                <w:sz w:val="20"/>
                <w:szCs w:val="20"/>
                <w:color w:val="auto"/>
              </w:rPr>
            </w:pPr>
            <w:r>
              <w:rPr>
                <w:rFonts w:ascii="Arial" w:cs="Arial" w:eastAsia="Arial" w:hAnsi="Arial"/>
                <w:sz w:val="18"/>
                <w:szCs w:val="18"/>
                <w:color w:val="auto"/>
              </w:rPr>
              <w:t>(32,114)</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(11,316)</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9,448</w:t>
            </w:r>
          </w:p>
        </w:tc>
        <w:tc>
          <w:tcPr>
            <w:tcW w:w="4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(1,285)</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9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Net cash provided by operating activities consists primarily of net income adjusted for non-cash items, including depreciation, amortization, deferred taxes, stock-based compensation, the effect of changes in assets and liabilities, and tenant-improvement allowances received from landlords under our store leases.</w:t>
      </w:r>
    </w:p>
    <w:p>
      <w:pPr>
        <w:spacing w:after="0" w:line="85" w:lineRule="exact"/>
        <w:rPr>
          <w:sz w:val="20"/>
          <w:szCs w:val="20"/>
          <w:color w:val="auto"/>
        </w:rPr>
      </w:pPr>
    </w:p>
    <w:p>
      <w:pPr>
        <w:ind w:right="700"/>
        <w:spacing w:after="0" w:line="332" w:lineRule="auto"/>
        <w:rPr>
          <w:sz w:val="20"/>
          <w:szCs w:val="20"/>
          <w:color w:val="auto"/>
        </w:rPr>
      </w:pPr>
      <w:r>
        <w:rPr>
          <w:rFonts w:ascii="Arial" w:cs="Arial" w:eastAsia="Arial" w:hAnsi="Arial"/>
          <w:sz w:val="16"/>
          <w:szCs w:val="16"/>
          <w:color w:val="auto"/>
        </w:rPr>
        <w:t>Net cash provided by operating activities was $22.2 million and $6.9 million for the thirty-nine weeks ended October 27, 2012, and October 29, 2011, respectively. The $15.3 million increase in cash provided by operating activities was due primarily to higher net income and the timing of tax payments.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9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Investing activities consist primarily of capital expenditures for growth related to new store openings, distribution center expansion, operational equipment, and information technology investments.</w:t>
      </w:r>
    </w:p>
    <w:p>
      <w:pPr>
        <w:spacing w:after="0" w:line="132"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Net cash used in investing activities was $32.1 million and $11.3 million for the thirty-nine weeks ended October 27, 2012, and October 29, 2011, respectively. The $20.8 million increase in capital expenditures was due primarily to the expansion of the distribution facility and the increased investment in new stores, including the opening of 19 stores during the thirty-nine weeks ended October 27, 2012, compared to 16 stores during the thirty-nine weeks ended October 29, 2011.</w:t>
      </w:r>
    </w:p>
    <w:p>
      <w:pPr>
        <w:spacing w:after="0" w:line="143"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Capital expenditures for fiscal year 2013 are expected to be approximately $36 million, which includes approximately $18 million related to the distribution center expansion.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Provided by Financing Activities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Financing activities consist primarily of borrowings and repayments under our credit agreement.</w:t>
      </w:r>
    </w:p>
    <w:p>
      <w:pPr>
        <w:spacing w:after="0" w:line="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Net cash provided by financing activities was $9.4 million for the thirty-nine weeks ended October 27, 2012, resulting primarily from $10.3 million of net borrowings under our amended and restated credit agreement. Net cash used in financing activities was $1.3 million for the thirty-nine weeks ended October 29, 2011.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October 4, 2010, Vera Bradley Designs, Inc. entered into a credit agreement with JPMorgan Chase Bank, as administrative agent, and certain other lenders. The credit agreement provides for a revolving credit commitment of $125.0 million. All borrowings under the credit agreement are collateralized by substantially all of the Company’s assets. The credit agreement is also guaranteed by Vera Bradley, Inc. and its subsidiaries (other than Vera Bradley Designs, Inc.). The credit agreement requires the Company to comply with various financial covenants, including a fixed charge coverage ratio of not less than 1.20 to 1.00 and a leverage ratio of not more than 3.50 to 1.00. The agreement also contains various other covenants, including restrictions on the incurrence of certain indebtedness, liens, investments, acquisitions, and asset sales. The Company was in compliance with these covenants as of October 27, 2012.</w:t>
      </w:r>
    </w:p>
    <w:p>
      <w:pPr>
        <w:spacing w:after="0" w:line="12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Borrowings under the credit agreement bear interest at either LIBOR plus the applicable margin (ranging from 1.05% to 2.05%) or the alternate base rate (as defined in the agreement) plus the applicable margin (ranging from 0.05% to 1.05%). The applicable margin is tied to the Company’s leverage ratio. In addition, the Company is required to pay a quarterly facility fee (as defined in the agreement) ranging from 0.20% to 0.45% of the revolving credit commitment. At October 27, 2012, the interest rate on outstanding borrowings under the credit agreement was 1.3%. The Company had borrowing availability of $89.8 million under the agreement as of October 27, 2012.</w:t>
      </w:r>
    </w:p>
    <w:p>
      <w:pPr>
        <w:spacing w:after="0" w:line="14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On June 1, 2012, Vera Bradley Designs Inc., entered into an amendment to the credit agreement. The amendment extends the maturity date from October 3, 2015 to June 1, 2017. Certain permitted indebtedness covenants were also amended.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off-balance-sheet financing or unconsolidated special-purpose entities.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preparation of financial statements in accordance with accounting principles generally accepted in the United States requires management to make estimates and assumptions that affect the reported amounts of assets, liabilities, revenues, and expenses, as well as the related disclosures of contingent assets and liabilities at the date of the financial statements. A summary of the Company’s significant accounting policies is included in Note 2 to the Company’s consolidated financial statements in the Company’s Annual Report on Form 10-K for the fiscal year ended January 28, 2012.</w:t>
      </w:r>
    </w:p>
    <w:p>
      <w:pPr>
        <w:spacing w:after="0" w:line="11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Certain of the Company’s accounting policies and estimates are considered critical, as these policies and estimates are the most important to the depiction of the Company’s consolidated financial statements and require significant, difficult, or complex judgments, often about the effect of matters that are inherently uncertain. Such policies are summarized in the “Management’s Discussion and Analysis of Financial Condition and Results of Operations” in the Company’s Annual Report on Form 10-K for the fiscal year ended January 28, 2012. There was no significant change to any of the critical accounting policies and estimates described in the Annual Report.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June 2011, FASB issued ASU 2011-05, C</w:t>
      </w:r>
      <w:r>
        <w:rPr>
          <w:rFonts w:ascii="Arial" w:cs="Arial" w:eastAsia="Arial" w:hAnsi="Arial"/>
          <w:sz w:val="18"/>
          <w:szCs w:val="18"/>
          <w:i w:val="1"/>
          <w:iCs w:val="1"/>
          <w:color w:val="auto"/>
        </w:rPr>
        <w:t>omprehensive Income – Presentation of Comprehensive Income</w:t>
      </w:r>
      <w:r>
        <w:rPr>
          <w:rFonts w:ascii="Arial" w:cs="Arial" w:eastAsia="Arial" w:hAnsi="Arial"/>
          <w:sz w:val="18"/>
          <w:szCs w:val="18"/>
          <w:color w:val="auto"/>
        </w:rPr>
        <w:t>. This guidance eliminates the option to present the components of other comprehensive income as part of the Statement of Shareholders’ Equity. Instead, the Company must report comprehensive income in either a single continuous statement of comprehensive income which contains two sections, net income and other comprehensive income, or in two separate but consecutive statements. While the new guidance changes the presentation of comprehensive income, there are no changes to the components that are recognized in net income or other comprehensive income under current accounting guidance. The guidance is effective for fiscal years beginning after December 15, 2011. In accordance with this guidance, we have presented two separate but consecutive statements which include the components of net income and other comprehensive income.</w:t>
      </w:r>
    </w:p>
    <w:p>
      <w:pPr>
        <w:spacing w:after="0" w:line="14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In May 2011, FASB issued ASU 2011-04, </w:t>
      </w:r>
      <w:r>
        <w:rPr>
          <w:rFonts w:ascii="Arial" w:cs="Arial" w:eastAsia="Arial" w:hAnsi="Arial"/>
          <w:sz w:val="18"/>
          <w:szCs w:val="18"/>
          <w:i w:val="1"/>
          <w:iCs w:val="1"/>
          <w:color w:val="auto"/>
        </w:rPr>
        <w:t>Fair Value Measurement – Amendments to Achieve Common Fair Value Measurement and Disclosure Requirements in</w:t>
      </w:r>
      <w:r>
        <w:rPr>
          <w:rFonts w:ascii="Arial" w:cs="Arial" w:eastAsia="Arial" w:hAnsi="Arial"/>
          <w:sz w:val="18"/>
          <w:szCs w:val="18"/>
          <w:color w:val="auto"/>
        </w:rPr>
        <w:t xml:space="preserve"> </w:t>
      </w:r>
      <w:r>
        <w:rPr>
          <w:rFonts w:ascii="Arial" w:cs="Arial" w:eastAsia="Arial" w:hAnsi="Arial"/>
          <w:sz w:val="18"/>
          <w:szCs w:val="18"/>
          <w:i w:val="1"/>
          <w:iCs w:val="1"/>
          <w:color w:val="auto"/>
        </w:rPr>
        <w:t>U.S. GAAP and IFRS</w:t>
      </w:r>
      <w:r>
        <w:rPr>
          <w:rFonts w:ascii="Arial" w:cs="Arial" w:eastAsia="Arial" w:hAnsi="Arial"/>
          <w:sz w:val="18"/>
          <w:szCs w:val="18"/>
          <w:color w:val="auto"/>
        </w:rPr>
        <w:t>. The guidance requires additional disclosures, including disclosures related to the measurement of Level 3 assets. The guidance is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for interim and annual periods beginning after December 15, 2011 and is applied prospectively. The adoption of this pronouncement did not have a material impact on our consolidated financial statements.</w:t>
      </w:r>
    </w:p>
    <w:p>
      <w:pPr>
        <w:spacing w:after="0" w:line="25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As of October 27, 2012, there was no material change in the market risks described in “Quantitative and Qualitative Disclosures About Market Risks” in the Company’s Annual Report on Form 10-K for the fiscal year ended January 28, 2012.</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At the end of the period covered by this Quarterly Report on Form 10-Q, the Company carried out an evaluation, under the supervision and with the participation of the Company’s Disclosure Committee and management, including the Chief Executive Officer and the Chief Financial and Administrative Officer, of the effectiveness of the design and operation of the Company’s disclosure controls and procedures pursuant to Rule 13a-15 of the Securities Exchange Act of 1934. Based on that evaluation, the Chief Executive Officer and Chief Financial and Administrative Officer concluded that the Company’s disclosure controls and procedures were effective as of October 27, 2012.</w:t>
      </w:r>
    </w:p>
    <w:p>
      <w:pPr>
        <w:spacing w:after="0" w:line="14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during the most recent fiscal quarter that has materially affected, or that is reasonably likely to materially affect, our internal control over financial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There has been no material change to our risk factors as previously set forth in the Company’s Annual Report on Form 10-K for the fiscal year ended January 28, 2012.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240" w:type="dxa"/>
            <w:vAlign w:val="bottom"/>
          </w:tcPr>
          <w:p>
            <w:pPr>
              <w:spacing w:after="0"/>
              <w:rPr>
                <w:sz w:val="19"/>
                <w:szCs w:val="19"/>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EXHIBITS</w:t>
            </w:r>
          </w:p>
        </w:tc>
      </w:tr>
      <w:tr>
        <w:trPr>
          <w:trHeight w:val="297"/>
        </w:trPr>
        <w:tc>
          <w:tcPr>
            <w:tcW w:w="780" w:type="dxa"/>
            <w:vAlign w:val="bottom"/>
            <w:gridSpan w:val="2"/>
          </w:tcPr>
          <w:p>
            <w:pPr>
              <w:ind w:left="460"/>
              <w:spacing w:after="0"/>
              <w:rPr>
                <w:sz w:val="20"/>
                <w:szCs w:val="20"/>
                <w:color w:val="auto"/>
              </w:rPr>
            </w:pPr>
            <w:r>
              <w:rPr>
                <w:rFonts w:ascii="Arial" w:cs="Arial" w:eastAsia="Arial" w:hAnsi="Arial"/>
                <w:sz w:val="18"/>
                <w:szCs w:val="18"/>
                <w:color w:val="auto"/>
              </w:rPr>
              <w:t>a.</w:t>
            </w:r>
          </w:p>
        </w:tc>
        <w:tc>
          <w:tcPr>
            <w:tcW w:w="2400" w:type="dxa"/>
            <w:vAlign w:val="bottom"/>
            <w:gridSpan w:val="3"/>
          </w:tcPr>
          <w:p>
            <w:pPr>
              <w:ind w:left="120"/>
              <w:spacing w:after="0"/>
              <w:rPr>
                <w:sz w:val="20"/>
                <w:szCs w:val="20"/>
                <w:color w:val="auto"/>
              </w:rPr>
            </w:pPr>
            <w:r>
              <w:rPr>
                <w:rFonts w:ascii="Arial" w:cs="Arial" w:eastAsia="Arial" w:hAnsi="Arial"/>
                <w:sz w:val="18"/>
                <w:szCs w:val="18"/>
                <w:color w:val="auto"/>
              </w:rPr>
              <w:t>Exhibits</w:t>
            </w:r>
          </w:p>
        </w:tc>
      </w:tr>
      <w:tr>
        <w:trPr>
          <w:trHeight w:val="340"/>
        </w:trPr>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Exhibit</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1"/>
        </w:trPr>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1460" w:type="dxa"/>
            <w:vAlign w:val="bottom"/>
          </w:tcPr>
          <w:p>
            <w:pPr>
              <w:spacing w:after="0"/>
              <w:rPr>
                <w:sz w:val="14"/>
                <w:szCs w:val="14"/>
                <w:color w:val="auto"/>
              </w:rPr>
            </w:pPr>
          </w:p>
        </w:tc>
      </w:tr>
      <w:tr>
        <w:trPr>
          <w:trHeight w:val="316"/>
        </w:trPr>
        <w:tc>
          <w:tcPr>
            <w:tcW w:w="4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w w:val="89"/>
              </w:rPr>
              <w:t>CEO Section 302 Certification</w:t>
            </w:r>
          </w:p>
        </w:tc>
      </w:tr>
      <w:tr>
        <w:trPr>
          <w:trHeight w:val="324"/>
        </w:trPr>
        <w:tc>
          <w:tcPr>
            <w:tcW w:w="4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w w:val="89"/>
              </w:rPr>
              <w:t>CFO Section 302 Certification</w:t>
            </w:r>
          </w:p>
        </w:tc>
      </w:tr>
      <w:tr>
        <w:trPr>
          <w:trHeight w:val="324"/>
        </w:trPr>
        <w:tc>
          <w:tcPr>
            <w:tcW w:w="4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Section 906 Certifications*</w:t>
            </w:r>
          </w:p>
        </w:tc>
      </w:tr>
    </w:tbl>
    <w:p>
      <w:pPr>
        <w:spacing w:after="0" w:line="102" w:lineRule="exact"/>
        <w:rPr>
          <w:sz w:val="20"/>
          <w:szCs w:val="20"/>
          <w:color w:val="auto"/>
        </w:rPr>
      </w:pPr>
    </w:p>
    <w:p>
      <w:pPr>
        <w:ind w:left="1020" w:hanging="914"/>
        <w:spacing w:after="0" w:line="284" w:lineRule="auto"/>
        <w:tabs>
          <w:tab w:leader="none" w:pos="10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following materials from the Vera Bradley, Inc.’s Quarterly Report on Form 10-Q for the quarter ended October 27, 2012 formatted in Extensible Business Reporting Language (XBRL): (i) Consolidated Statements of Income and Comprehensive Income for the Thirteen and Thirty-nine Weeks ended October 27, 2012 and October 29, 2011; (ii) Consolidated Balance Sheets at October 27, 2012 and January 28, 2012;</w:t>
      </w:r>
    </w:p>
    <w:p>
      <w:pPr>
        <w:spacing w:after="0" w:line="1" w:lineRule="exact"/>
        <w:rPr>
          <w:rFonts w:ascii="Arial" w:cs="Arial" w:eastAsia="Arial" w:hAnsi="Arial"/>
          <w:sz w:val="16"/>
          <w:szCs w:val="16"/>
          <w:color w:val="auto"/>
        </w:rPr>
      </w:pPr>
    </w:p>
    <w:p>
      <w:pPr>
        <w:ind w:left="1020" w:right="760"/>
        <w:spacing w:after="0" w:line="261" w:lineRule="auto"/>
        <w:rPr>
          <w:rFonts w:ascii="Arial" w:cs="Arial" w:eastAsia="Arial" w:hAnsi="Arial"/>
          <w:sz w:val="16"/>
          <w:szCs w:val="16"/>
          <w:color w:val="auto"/>
        </w:rPr>
      </w:pPr>
      <w:r>
        <w:rPr>
          <w:rFonts w:ascii="Arial" w:cs="Arial" w:eastAsia="Arial" w:hAnsi="Arial"/>
          <w:sz w:val="18"/>
          <w:szCs w:val="18"/>
          <w:color w:val="auto"/>
        </w:rPr>
        <w:t>(iii) Consolidated Statements of Cash Flows for the Thirty-nine Weeks Ended October 27, 2012 and October 29, 2011, and (iv) Notes to Consolidated Financial Statements. **</w:t>
      </w:r>
    </w:p>
    <w:p>
      <w:pPr>
        <w:spacing w:after="0" w:line="12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Furnished, not filed.</w:t>
      </w:r>
    </w:p>
    <w:p>
      <w:pPr>
        <w:spacing w:after="0" w:line="15" w:lineRule="exact"/>
        <w:rPr>
          <w:rFonts w:ascii="Arial" w:cs="Arial" w:eastAsia="Arial" w:hAnsi="Arial"/>
          <w:sz w:val="16"/>
          <w:szCs w:val="16"/>
          <w:color w:val="auto"/>
        </w:rPr>
      </w:pPr>
    </w:p>
    <w:p>
      <w:pPr>
        <w:ind w:left="460" w:hanging="452"/>
        <w:spacing w:after="0" w:line="302"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Pursuant to Rule 406T of SEC Regulation S-T, the Interactive Data Files included as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these Sections.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-601980</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459" w:right="3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Vera Bradley, Inc.</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(Registrant)</w:t>
      </w:r>
    </w:p>
    <w:p>
      <w:pPr>
        <w:spacing w:after="0" w:line="232"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December 6, 2012</w:t>
      </w:r>
      <w:r>
        <w:rPr>
          <w:sz w:val="20"/>
          <w:szCs w:val="20"/>
          <w:color w:val="auto"/>
        </w:rPr>
        <w:tab/>
      </w:r>
      <w:r>
        <w:rPr>
          <w:rFonts w:ascii="Arial" w:cs="Arial" w:eastAsia="Arial" w:hAnsi="Arial"/>
          <w:sz w:val="16"/>
          <w:szCs w:val="16"/>
          <w:color w:val="auto"/>
        </w:rPr>
        <w:t>/s/ Jeffrey A. Blade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Jeffrey A. Blade</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Executive Vice President – Chief Financial and Administrative</w:t>
      </w:r>
    </w:p>
    <w:p>
      <w:pPr>
        <w:spacing w:after="0" w:line="32"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Officer (duly authorized officer and principal financial officer)</w:t>
      </w:r>
    </w:p>
    <w:p>
      <w:pPr>
        <w:spacing w:after="0" w:line="18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0"/>
          </w:cols>
          <w:pgMar w:left="240" w:top="459" w:right="7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560" w:type="dxa"/>
            <w:vAlign w:val="bottom"/>
          </w:tcPr>
          <w:p>
            <w:pPr>
              <w:spacing w:after="0"/>
              <w:rPr>
                <w:sz w:val="14"/>
                <w:szCs w:val="14"/>
                <w:color w:val="auto"/>
              </w:rPr>
            </w:pPr>
          </w:p>
        </w:tc>
        <w:tc>
          <w:tcPr>
            <w:tcW w:w="10400" w:type="dxa"/>
            <w:vAlign w:val="bottom"/>
          </w:tcPr>
          <w:p>
            <w:pPr>
              <w:spacing w:after="0"/>
              <w:rPr>
                <w:sz w:val="14"/>
                <w:szCs w:val="14"/>
                <w:color w:val="auto"/>
              </w:rPr>
            </w:pPr>
          </w:p>
        </w:tc>
      </w:tr>
      <w:tr>
        <w:trPr>
          <w:trHeight w:val="168"/>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10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09"/>
        </w:trPr>
        <w:tc>
          <w:tcPr>
            <w:tcW w:w="460" w:type="dxa"/>
            <w:vAlign w:val="bottom"/>
          </w:tcPr>
          <w:p>
            <w:pPr>
              <w:spacing w:after="0"/>
              <w:rPr>
                <w:sz w:val="20"/>
                <w:szCs w:val="20"/>
                <w:color w:val="auto"/>
              </w:rPr>
            </w:pPr>
            <w:r>
              <w:rPr>
                <w:rFonts w:ascii="Arial" w:cs="Arial" w:eastAsia="Arial" w:hAnsi="Arial"/>
                <w:sz w:val="18"/>
                <w:szCs w:val="18"/>
                <w:color w:val="auto"/>
              </w:rPr>
              <w:t>31.1</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CEO Section 302 Certification</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31.2</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CFO Section 302 Certification</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32.1</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Section 906 Certifications*</w:t>
            </w:r>
          </w:p>
        </w:tc>
      </w:tr>
    </w:tbl>
    <w:p>
      <w:pPr>
        <w:spacing w:after="0" w:line="102" w:lineRule="exact"/>
        <w:rPr>
          <w:sz w:val="20"/>
          <w:szCs w:val="20"/>
          <w:color w:val="auto"/>
        </w:rPr>
      </w:pPr>
    </w:p>
    <w:p>
      <w:pPr>
        <w:ind w:left="1020" w:right="80" w:hanging="1012"/>
        <w:spacing w:after="0" w:line="284"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following materials from the Vera Bradley, Inc.’s Quarterly Report on Form 10-Q for the quarter ended October 27, 2012 formatted in Extensible Business Reporting Language (XBRL): (i) Consolidated Statements of Income and Comprehensive Income for the Thirteen and Thirty-nine Weeks ended October 27, 2012 and October 29, 2011; (ii) Consolidated Balance Sheets at October 27, 2012 and January 28, 2012;</w:t>
      </w:r>
    </w:p>
    <w:p>
      <w:pPr>
        <w:spacing w:after="0" w:line="1" w:lineRule="exact"/>
        <w:rPr>
          <w:rFonts w:ascii="Arial" w:cs="Arial" w:eastAsia="Arial" w:hAnsi="Arial"/>
          <w:sz w:val="16"/>
          <w:szCs w:val="16"/>
          <w:color w:val="auto"/>
        </w:rPr>
      </w:pPr>
    </w:p>
    <w:p>
      <w:pPr>
        <w:ind w:left="1020" w:right="840"/>
        <w:spacing w:after="0" w:line="261" w:lineRule="auto"/>
        <w:rPr>
          <w:rFonts w:ascii="Arial" w:cs="Arial" w:eastAsia="Arial" w:hAnsi="Arial"/>
          <w:sz w:val="16"/>
          <w:szCs w:val="16"/>
          <w:color w:val="auto"/>
        </w:rPr>
      </w:pPr>
      <w:r>
        <w:rPr>
          <w:rFonts w:ascii="Arial" w:cs="Arial" w:eastAsia="Arial" w:hAnsi="Arial"/>
          <w:sz w:val="18"/>
          <w:szCs w:val="18"/>
          <w:color w:val="auto"/>
        </w:rPr>
        <w:t>(iii) Consolidated Statements of Cash Flows for the Thirty-nine Weeks Ended October 27, 2012 and October 29, 2011, and (iv) Notes to Consolidated Financial Statements.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8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4"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Furnished, not filed.</w:t>
      </w:r>
    </w:p>
    <w:p>
      <w:pPr>
        <w:spacing w:after="0" w:line="15" w:lineRule="exact"/>
        <w:rPr>
          <w:sz w:val="20"/>
          <w:szCs w:val="20"/>
          <w:color w:val="auto"/>
        </w:rPr>
      </w:pPr>
    </w:p>
    <w:p>
      <w:pPr>
        <w:ind w:left="460" w:right="80" w:hanging="452"/>
        <w:spacing w:after="0" w:line="302"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Pursuant to Rule 406T of SEC Regulation S-T, the Interactive Data Files included as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these Sections.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Michael C. Ray, certify that:</w:t>
      </w:r>
    </w:p>
    <w:p>
      <w:pPr>
        <w:spacing w:after="0" w:line="90"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 Bradley,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December 6,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C.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Michael C. Ray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125"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Jeffrey A. Blade, certify that:</w:t>
      </w:r>
    </w:p>
    <w:p>
      <w:pPr>
        <w:spacing w:after="0" w:line="90"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 Bradley,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Date: December 6, 2012</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Jeffrey A. Blade</w:t>
            </w:r>
          </w:p>
        </w:tc>
      </w:tr>
      <w:tr>
        <w:trPr>
          <w:trHeight w:val="202"/>
        </w:trPr>
        <w:tc>
          <w:tcPr>
            <w:tcW w:w="608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Jeffrey A. Blade</w:t>
            </w:r>
          </w:p>
        </w:tc>
      </w:tr>
      <w:tr>
        <w:trPr>
          <w:trHeight w:val="222"/>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i w:val="1"/>
                <w:iCs w:val="1"/>
                <w:color w:val="auto"/>
                <w:w w:val="95"/>
              </w:rPr>
              <w:t>Executive Vice President—Chief Financial and Administrative Officer</w:t>
            </w:r>
          </w:p>
        </w:tc>
      </w:tr>
    </w:tbl>
    <w:p>
      <w:pPr>
        <w:sectPr>
          <w:pgSz w:w="11900" w:h="16838" w:orient="portrait"/>
          <w:cols w:equalWidth="0" w:num="1">
            <w:col w:w="11420"/>
          </w:cols>
          <w:pgMar w:left="240" w:top="125"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 Michael C. Ray, the Chief Executive Officer of Vera Bradley, Inc., certify that (i) the quarterly report on Form 10-Q for the fiscal quarter ended October 27, 2012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18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C.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Michael C. Ray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 Officer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December 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 Jeffrey A. Blade, the Executive Vice President—Chief Financial and Administrative Officer of Vera Bradley, Inc., certify that (i) the quarterly report on Form 10-Q for the fiscal quarter ended October 27, 2012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18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Jeffrey A. Blade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Jeffrey A. Blade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i w:val="1"/>
          <w:iCs w:val="1"/>
          <w:color w:val="auto"/>
        </w:rPr>
        <w:t>Executive Vice President—Chief Financial and Administrative</w:t>
      </w:r>
    </w:p>
    <w:p>
      <w:pPr>
        <w:spacing w:after="0" w:line="32" w:lineRule="exact"/>
        <w:rPr>
          <w:sz w:val="20"/>
          <w:szCs w:val="20"/>
          <w:color w:val="auto"/>
        </w:rPr>
      </w:pPr>
    </w:p>
    <w:p>
      <w:pPr>
        <w:ind w:left="7080"/>
        <w:spacing w:after="0"/>
        <w:rPr>
          <w:sz w:val="20"/>
          <w:szCs w:val="20"/>
          <w:color w:val="auto"/>
        </w:rPr>
      </w:pPr>
      <w:r>
        <w:rPr>
          <w:rFonts w:ascii="Arial" w:cs="Arial" w:eastAsia="Arial" w:hAnsi="Arial"/>
          <w:sz w:val="18"/>
          <w:szCs w:val="18"/>
          <w:i w:val="1"/>
          <w:iCs w:val="1"/>
          <w:color w:val="auto"/>
        </w:rPr>
        <w:t>Officer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December 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2"/>
    </w:lvl>
  </w:abstractNum>
  <w:abstractNum w:abstractNumId="5">
    <w:nsid w:val="3352255A"/>
    <w:multiLevelType w:val="hybridMultilevel"/>
    <w:lvl w:ilvl="0">
      <w:lvlJc w:val="left"/>
      <w:lvlText w:val="%1."/>
      <w:numFmt w:val="decimal"/>
      <w:start w:val="3"/>
    </w:lvl>
    <w:lvl w:ilvl="1">
      <w:lvlJc w:val="left"/>
      <w:lvlText w:val="•"/>
      <w:numFmt w:val="bullet"/>
      <w:start w:val="1"/>
    </w:lvl>
  </w:abstractNum>
  <w:abstractNum w:abstractNumId="6">
    <w:nsid w:val="109CF92E"/>
    <w:multiLevelType w:val="hybridMultilevel"/>
    <w:lvl w:ilvl="0">
      <w:lvlJc w:val="left"/>
      <w:lvlText w:val="%1."/>
      <w:numFmt w:val="decimal"/>
      <w:start w:val="4"/>
    </w:lvl>
  </w:abstractNum>
  <w:abstractNum w:abstractNumId="7">
    <w:nsid w:val="DED7263"/>
    <w:multiLevelType w:val="hybridMultilevel"/>
    <w:lvl w:ilvl="0">
      <w:lvlJc w:val="left"/>
      <w:lvlText w:val="%1."/>
      <w:numFmt w:val="decimal"/>
      <w:start w:val="5"/>
    </w:lvl>
  </w:abstractNum>
  <w:abstractNum w:abstractNumId="8">
    <w:nsid w:val="7FDCC233"/>
    <w:multiLevelType w:val="hybridMultilevel"/>
    <w:lvl w:ilvl="0">
      <w:lvlJc w:val="left"/>
      <w:lvlText w:val="%1."/>
      <w:numFmt w:val="decimal"/>
      <w:start w:val="6"/>
    </w:lvl>
  </w:abstractNum>
  <w:abstractNum w:abstractNumId="9">
    <w:nsid w:val="1BEFD79F"/>
    <w:multiLevelType w:val="hybridMultilevel"/>
    <w:lvl w:ilvl="0">
      <w:lvlJc w:val="left"/>
      <w:lvlText w:val="%1."/>
      <w:numFmt w:val="decimal"/>
      <w:start w:val="7"/>
    </w:lvl>
  </w:abstractNum>
  <w:abstractNum w:abstractNumId="10">
    <w:nsid w:val="41A7C4C9"/>
    <w:multiLevelType w:val="hybridMultilevel"/>
    <w:lvl w:ilvl="0">
      <w:lvlJc w:val="left"/>
      <w:lvlText w:val="%1."/>
      <w:numFmt w:val="decimal"/>
      <w:start w:val="8"/>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
      <w:numFmt w:val="bullet"/>
      <w:start w:val="1"/>
    </w:lvl>
    <w:lvl w:ilvl="1">
      <w:lvlJc w:val="left"/>
      <w:lvlText w:val="%2"/>
      <w:numFmt w:val="decimal"/>
      <w:start w:val="101"/>
    </w:lvl>
  </w:abstractNum>
  <w:abstractNum w:abstractNumId="14">
    <w:nsid w:val="519B500D"/>
    <w:multiLevelType w:val="hybridMultilevel"/>
    <w:lvl w:ilvl="0">
      <w:lvlJc w:val="left"/>
      <w:lvlText w:val="**"/>
      <w:numFmt w:val="bullet"/>
      <w:start w:val="1"/>
    </w:lvl>
    <w:lvl w:ilvl="1">
      <w:lvlJc w:val="left"/>
      <w:lvlText w:val="%2"/>
      <w:numFmt w:val="decimal"/>
      <w:start w:val="1"/>
    </w:lvl>
  </w:abstractNum>
  <w:abstractNum w:abstractNumId="15">
    <w:nsid w:val="431BD7B7"/>
    <w:multiLevelType w:val="hybridMultilevel"/>
    <w:lvl w:ilvl="0">
      <w:lvlJc w:val="left"/>
      <w:lvlText w:val="%1"/>
      <w:numFmt w:val="decimal"/>
      <w:start w:val="10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2019-12-09T19:40:34Z</dcterms:created>
  <dcterms:modified xsi:type="dcterms:W3CDTF">2019-12-09T19:40:34Z</dcterms:modified>
</cp:coreProperties>
</file>