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688975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7"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06"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200" w:lineRule="exact"/>
        <w:rPr>
          <w:sz w:val="24"/>
          <w:szCs w:val="24"/>
          <w:color w:val="auto"/>
        </w:rPr>
      </w:pPr>
    </w:p>
    <w:p>
      <w:pPr>
        <w:spacing w:after="0" w:line="224" w:lineRule="exact"/>
        <w:rPr>
          <w:sz w:val="24"/>
          <w:szCs w:val="24"/>
          <w:color w:val="auto"/>
        </w:rPr>
      </w:pPr>
    </w:p>
    <w:p>
      <w:pPr>
        <w:ind w:left="3940" w:right="1760" w:hanging="3914"/>
        <w:spacing w:after="0" w:line="352" w:lineRule="auto"/>
        <w:tabs>
          <w:tab w:leader="none" w:pos="67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January 31, 2026</w:t>
      </w: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144"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720"/>
        <w:spacing w:after="0"/>
        <w:tabs>
          <w:tab w:leader="none" w:pos="67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001-34918</w:t>
      </w:r>
    </w:p>
    <w:p>
      <w:pPr>
        <w:spacing w:after="0" w:line="94"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60325</wp:posOffset>
            </wp:positionV>
            <wp:extent cx="1285875" cy="128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5875" cy="128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VERA BRADLEY, INC.</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0" w:lineRule="exact"/>
        <w:rPr>
          <w:sz w:val="24"/>
          <w:szCs w:val="24"/>
          <w:color w:val="auto"/>
        </w:rPr>
      </w:pPr>
    </w:p>
    <w:tbl>
      <w:tblPr>
        <w:tblLayout w:type="fixed"/>
        <w:tblInd w:w="1580" w:type="dxa"/>
        <w:tblCellMar>
          <w:top w:w="0" w:type="dxa"/>
          <w:left w:w="0" w:type="dxa"/>
          <w:bottom w:w="0" w:type="dxa"/>
          <w:right w:w="0" w:type="dxa"/>
        </w:tblCellMar>
      </w:tblPr>
      <w:tr>
        <w:trPr>
          <w:trHeight w:val="234"/>
        </w:trPr>
        <w:tc>
          <w:tcPr>
            <w:tcW w:w="61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_____________________________________________</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6180" w:type="dxa"/>
            <w:vAlign w:val="bottom"/>
          </w:tcPr>
          <w:p>
            <w:pPr>
              <w:jc w:val="center"/>
              <w:ind w:right="3697"/>
              <w:spacing w:after="0"/>
              <w:rPr>
                <w:sz w:val="20"/>
                <w:szCs w:val="20"/>
                <w:color w:val="auto"/>
              </w:rPr>
            </w:pPr>
            <w:r>
              <w:rPr>
                <w:rFonts w:ascii="Times New Roman" w:cs="Times New Roman" w:eastAsia="Times New Roman" w:hAnsi="Times New Roman"/>
                <w:sz w:val="18"/>
                <w:szCs w:val="18"/>
                <w:b w:val="1"/>
                <w:bCs w:val="1"/>
                <w:color w:val="auto"/>
                <w:w w:val="99"/>
              </w:rPr>
              <w:t>Indiana</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27-2935063</w:t>
            </w:r>
          </w:p>
        </w:tc>
        <w:tc>
          <w:tcPr>
            <w:tcW w:w="0" w:type="dxa"/>
            <w:vAlign w:val="bottom"/>
          </w:tcPr>
          <w:p>
            <w:pPr>
              <w:spacing w:after="0"/>
              <w:rPr>
                <w:sz w:val="1"/>
                <w:szCs w:val="1"/>
                <w:color w:val="auto"/>
              </w:rPr>
            </w:pPr>
          </w:p>
        </w:tc>
      </w:tr>
      <w:tr>
        <w:trPr>
          <w:trHeight w:val="148"/>
        </w:trPr>
        <w:tc>
          <w:tcPr>
            <w:tcW w:w="6180" w:type="dxa"/>
            <w:vAlign w:val="bottom"/>
          </w:tcPr>
          <w:p>
            <w:pPr>
              <w:jc w:val="center"/>
              <w:ind w:right="3697"/>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40" w:type="dxa"/>
            <w:vAlign w:val="bottom"/>
          </w:tcPr>
          <w:p>
            <w:pPr>
              <w:jc w:val="center"/>
              <w:ind w:left="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6180" w:type="dxa"/>
            <w:vAlign w:val="bottom"/>
          </w:tcPr>
          <w:p>
            <w:pPr>
              <w:jc w:val="center"/>
              <w:ind w:right="369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40" w:type="dxa"/>
            <w:vAlign w:val="bottom"/>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460"/>
        </w:trPr>
        <w:tc>
          <w:tcPr>
            <w:tcW w:w="6180" w:type="dxa"/>
            <w:vAlign w:val="bottom"/>
          </w:tcPr>
          <w:p>
            <w:pPr>
              <w:jc w:val="center"/>
              <w:ind w:right="3697"/>
              <w:spacing w:after="0"/>
              <w:rPr>
                <w:sz w:val="20"/>
                <w:szCs w:val="20"/>
                <w:color w:val="auto"/>
              </w:rPr>
            </w:pPr>
            <w:r>
              <w:rPr>
                <w:rFonts w:ascii="Times New Roman" w:cs="Times New Roman" w:eastAsia="Times New Roman" w:hAnsi="Times New Roman"/>
                <w:sz w:val="18"/>
                <w:szCs w:val="18"/>
                <w:b w:val="1"/>
                <w:bCs w:val="1"/>
                <w:color w:val="auto"/>
                <w:w w:val="99"/>
              </w:rPr>
              <w:t>12420 Stonebridge Road,</w:t>
            </w:r>
          </w:p>
        </w:tc>
        <w:tc>
          <w:tcPr>
            <w:tcW w:w="1240" w:type="dxa"/>
            <w:vAlign w:val="bottom"/>
            <w:vMerge w:val="restart"/>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46783</w:t>
            </w:r>
          </w:p>
        </w:tc>
        <w:tc>
          <w:tcPr>
            <w:tcW w:w="0" w:type="dxa"/>
            <w:vAlign w:val="bottom"/>
          </w:tcPr>
          <w:p>
            <w:pPr>
              <w:spacing w:after="0"/>
              <w:rPr>
                <w:sz w:val="1"/>
                <w:szCs w:val="1"/>
                <w:color w:val="auto"/>
              </w:rPr>
            </w:pPr>
          </w:p>
        </w:tc>
      </w:tr>
      <w:tr>
        <w:trPr>
          <w:trHeight w:val="227"/>
        </w:trPr>
        <w:tc>
          <w:tcPr>
            <w:tcW w:w="6180" w:type="dxa"/>
            <w:vAlign w:val="bottom"/>
          </w:tcPr>
          <w:p>
            <w:pPr>
              <w:jc w:val="center"/>
              <w:ind w:right="3697"/>
              <w:spacing w:after="0"/>
              <w:rPr>
                <w:sz w:val="20"/>
                <w:szCs w:val="20"/>
                <w:color w:val="auto"/>
              </w:rPr>
            </w:pPr>
            <w:r>
              <w:rPr>
                <w:rFonts w:ascii="Times New Roman" w:cs="Times New Roman" w:eastAsia="Times New Roman" w:hAnsi="Times New Roman"/>
                <w:sz w:val="18"/>
                <w:szCs w:val="18"/>
                <w:b w:val="1"/>
                <w:bCs w:val="1"/>
                <w:color w:val="auto"/>
                <w:w w:val="99"/>
              </w:rPr>
              <w:t>Roanoke, Indiana</w:t>
            </w: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180" w:type="dxa"/>
            <w:vAlign w:val="bottom"/>
          </w:tcPr>
          <w:p>
            <w:pPr>
              <w:jc w:val="center"/>
              <w:ind w:right="371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40" w:type="dxa"/>
            <w:vAlign w:val="bottom"/>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309"/>
        </w:trPr>
        <w:tc>
          <w:tcPr>
            <w:tcW w:w="6180" w:type="dxa"/>
            <w:vAlign w:val="bottom"/>
          </w:tcPr>
          <w:p>
            <w:pPr>
              <w:jc w:val="right"/>
              <w:ind w:right="1497"/>
              <w:spacing w:after="0"/>
              <w:rPr>
                <w:sz w:val="20"/>
                <w:szCs w:val="20"/>
                <w:color w:val="auto"/>
              </w:rPr>
            </w:pPr>
            <w:r>
              <w:rPr>
                <w:rFonts w:ascii="Times New Roman" w:cs="Times New Roman" w:eastAsia="Times New Roman" w:hAnsi="Times New Roman"/>
                <w:sz w:val="18"/>
                <w:szCs w:val="18"/>
                <w:b w:val="1"/>
                <w:bCs w:val="1"/>
                <w:color w:val="auto"/>
              </w:rPr>
              <w:t>(877) 708-8372</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18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618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_____________________________________________</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3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280" w:type="dxa"/>
            <w:vAlign w:val="bottom"/>
            <w:tcBorders>
              <w:top w:val="single" w:sz="8" w:color="auto"/>
              <w:left w:val="single" w:sz="8" w:color="auto"/>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520" w:type="dxa"/>
            <w:vAlign w:val="bottom"/>
            <w:tcBorders>
              <w:top w:val="single" w:sz="8" w:color="auto"/>
              <w:bottom w:val="single" w:sz="8" w:color="auto"/>
              <w:right w:val="single" w:sz="8" w:color="auto"/>
            </w:tcBorders>
          </w:tcPr>
          <w:p>
            <w:pPr>
              <w:spacing w:after="0"/>
              <w:rPr>
                <w:sz w:val="21"/>
                <w:szCs w:val="21"/>
                <w:color w:val="auto"/>
              </w:rPr>
            </w:pPr>
          </w:p>
        </w:tc>
        <w:tc>
          <w:tcPr>
            <w:tcW w:w="1620" w:type="dxa"/>
            <w:vAlign w:val="bottom"/>
            <w:tcBorders>
              <w:top w:val="single" w:sz="8" w:color="auto"/>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60" w:type="dxa"/>
            <w:vAlign w:val="bottom"/>
            <w:tcBorders>
              <w:top w:val="single" w:sz="8" w:color="auto"/>
              <w:bottom w:val="single" w:sz="8" w:color="auto"/>
              <w:right w:val="single" w:sz="8" w:color="auto"/>
            </w:tcBorders>
          </w:tcPr>
          <w:p>
            <w:pPr>
              <w:spacing w:after="0"/>
              <w:rPr>
                <w:sz w:val="21"/>
                <w:szCs w:val="21"/>
                <w:color w:val="auto"/>
              </w:rPr>
            </w:pPr>
          </w:p>
        </w:tc>
        <w:tc>
          <w:tcPr>
            <w:tcW w:w="5560" w:type="dxa"/>
            <w:vAlign w:val="bottom"/>
            <w:tcBorders>
              <w:top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280" w:type="dxa"/>
            <w:vAlign w:val="bottom"/>
            <w:tcBorders>
              <w:left w:val="single" w:sz="8" w:color="auto"/>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rPr>
              <w:t>Common Stock, without par value</w:t>
            </w:r>
          </w:p>
        </w:tc>
        <w:tc>
          <w:tcPr>
            <w:tcW w:w="52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VRA</w:t>
            </w:r>
          </w:p>
        </w:tc>
        <w:tc>
          <w:tcPr>
            <w:tcW w:w="260" w:type="dxa"/>
            <w:vAlign w:val="bottom"/>
            <w:tcBorders>
              <w:bottom w:val="single" w:sz="8" w:color="auto"/>
              <w:right w:val="single" w:sz="8" w:color="auto"/>
            </w:tcBorders>
          </w:tcPr>
          <w:p>
            <w:pPr>
              <w:spacing w:after="0"/>
              <w:rPr>
                <w:sz w:val="19"/>
                <w:szCs w:val="19"/>
                <w:color w:val="auto"/>
              </w:rPr>
            </w:pPr>
          </w:p>
        </w:tc>
        <w:tc>
          <w:tcPr>
            <w:tcW w:w="556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68"/>
        </w:trPr>
        <w:tc>
          <w:tcPr>
            <w:tcW w:w="3280" w:type="dxa"/>
            <w:vAlign w:val="bottom"/>
          </w:tcPr>
          <w:p>
            <w:pPr>
              <w:spacing w:after="0"/>
              <w:rPr>
                <w:sz w:val="23"/>
                <w:szCs w:val="23"/>
                <w:color w:val="auto"/>
              </w:rPr>
            </w:pPr>
          </w:p>
        </w:tc>
        <w:tc>
          <w:tcPr>
            <w:tcW w:w="5340" w:type="dxa"/>
            <w:vAlign w:val="bottom"/>
            <w:gridSpan w:val="4"/>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70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38"/>
        </w:trPr>
        <w:tc>
          <w:tcPr>
            <w:tcW w:w="3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0" w:type="dxa"/>
            <w:vAlign w:val="bottom"/>
            <w:gridSpan w:val="2"/>
          </w:tcPr>
          <w:p>
            <w:pPr>
              <w:jc w:val="center"/>
              <w:ind w:right="271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7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97"/>
        </w:trPr>
        <w:tc>
          <w:tcPr>
            <w:tcW w:w="3280" w:type="dxa"/>
            <w:vAlign w:val="bottom"/>
          </w:tcPr>
          <w:p>
            <w:pPr>
              <w:spacing w:after="0"/>
              <w:rPr>
                <w:sz w:val="24"/>
                <w:szCs w:val="24"/>
                <w:color w:val="auto"/>
              </w:rPr>
            </w:pPr>
          </w:p>
        </w:tc>
        <w:tc>
          <w:tcPr>
            <w:tcW w:w="5340" w:type="dxa"/>
            <w:vAlign w:val="bottom"/>
            <w:gridSpan w:val="4"/>
          </w:tcPr>
          <w:p>
            <w:pPr>
              <w:jc w:val="center"/>
              <w:ind w:right="570"/>
              <w:spacing w:after="0"/>
              <w:rPr>
                <w:sz w:val="20"/>
                <w:szCs w:val="20"/>
                <w:color w:val="auto"/>
              </w:rPr>
            </w:pPr>
            <w:r>
              <w:rPr>
                <w:rFonts w:ascii="Times New Roman" w:cs="Times New Roman" w:eastAsia="Times New Roman" w:hAnsi="Times New Roman"/>
                <w:sz w:val="18"/>
                <w:szCs w:val="18"/>
                <w:color w:val="auto"/>
                <w:w w:val="99"/>
              </w:rPr>
              <w:t>_____________________________________________</w:t>
            </w:r>
          </w:p>
        </w:tc>
        <w:tc>
          <w:tcPr>
            <w:tcW w:w="7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25"/>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7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19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311"/>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w w:val="98"/>
              </w:rPr>
              <w:t xml:space="preserve">Yes </w:t>
            </w:r>
            <w:r>
              <w:rPr>
                <w:rFonts w:ascii="MS PGothic" w:cs="MS PGothic" w:eastAsia="MS PGothic" w:hAnsi="MS PGothic"/>
                <w:sz w:val="18"/>
                <w:szCs w:val="18"/>
                <w:color w:val="auto"/>
                <w:w w:val="98"/>
              </w:rPr>
              <w:t>☐</w:t>
            </w:r>
          </w:p>
        </w:tc>
        <w:tc>
          <w:tcPr>
            <w:tcW w:w="192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bl>
    <w:p>
      <w:pPr>
        <w:spacing w:after="0" w:line="35" w:lineRule="exact"/>
        <w:rPr>
          <w:sz w:val="24"/>
          <w:szCs w:val="24"/>
          <w:color w:val="auto"/>
        </w:rPr>
      </w:pPr>
    </w:p>
    <w:p>
      <w:pPr>
        <w:ind w:right="2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3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1199" w:right="359" w:bottom="317"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303"/>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2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94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3" w:lineRule="exact"/>
        <w:rPr>
          <w:sz w:val="20"/>
          <w:szCs w:val="20"/>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9" w:lineRule="exact"/>
        <w:rPr>
          <w:sz w:val="20"/>
          <w:szCs w:val="20"/>
          <w:color w:val="auto"/>
        </w:rPr>
      </w:pPr>
    </w:p>
    <w:p>
      <w:pPr>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49" w:lineRule="exact"/>
        <w:rPr>
          <w:sz w:val="20"/>
          <w:szCs w:val="20"/>
          <w:color w:val="auto"/>
        </w:rPr>
      </w:pPr>
    </w:p>
    <w:p>
      <w:pPr>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35" w:lineRule="exact"/>
        <w:rPr>
          <w:sz w:val="20"/>
          <w:szCs w:val="20"/>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8" w:lineRule="exact"/>
        <w:rPr>
          <w:sz w:val="20"/>
          <w:szCs w:val="20"/>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market value of the registrant’s voting common stock held by non-affiliates of the registrant as of August 2, 2025 was $39,554,468.</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27,965,338 shares of its common stock outstanding as of March 20, 2026.</w:t>
      </w:r>
    </w:p>
    <w:p>
      <w:pPr>
        <w:spacing w:after="0" w:line="9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 INCORPORATED BY REFERENCE:</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the 2026 Annual Meeting of Shareholders are incorporated by reference into Part III of this Annual Report on Form 10-K. Vera Bradley, Inc. intends to file such proxy statement with the Securities and Exchange Commission pursuant to Regulation 14A not later than 120 days after its fiscal year ended January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882015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114935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80645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are subject to risks and uncertainties. All statements other than statements of historical or current fact included in this report are forward-looking statements. Forward-looking statements include references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7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implement our long-term strategic plans, including Project Sunshine;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declines in our comparable sales;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maintain and enhance our brands;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failure of our multi-channel distribution model;</w:t>
      </w:r>
    </w:p>
    <w:p>
      <w:pPr>
        <w:spacing w:after="0" w:line="90"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changes in general economic conditions and their impact on consumer confidence and consumer spending, including political unrest, social unrest, acts of war and terrorism, impacts related to pandemics or other public health matters;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predict and respond in a timely manner to changes in consumer demand;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open new stores and/or operate current stores as planned;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loss of key management or design associates or inability to attract and retain the talent required for our business;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data security or privacy breaches or disruptions in our computer systems or website;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disruptions in our supply chain;</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new or increased tariffs and/or import prohibitions on our products and continued increases in inbound and outbound freight expense that could lead to increased product costs and lower profit margins;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pandemics, and actions to contain pandemics by governmental or other actors.</w:t>
      </w:r>
    </w:p>
    <w:p>
      <w:pPr>
        <w:spacing w:after="0" w:line="17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a discussion of the above-described risks and other risks and uncertainties that could cause actual results to differ materially from those contained in our forward-looking statements, please refer to “Risk Factors” in Item 1A of this report.</w:t>
      </w:r>
    </w:p>
    <w:p>
      <w:pPr>
        <w:spacing w:after="0" w:line="1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740" w:type="dxa"/>
            <w:vAlign w:val="bottom"/>
            <w:gridSpan w:val="9"/>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40" w:type="dxa"/>
            <w:vAlign w:val="bottom"/>
          </w:tcPr>
          <w:p>
            <w:pPr>
              <w:spacing w:after="0"/>
              <w:rPr>
                <w:sz w:val="20"/>
                <w:szCs w:val="20"/>
                <w:color w:val="auto"/>
              </w:rPr>
            </w:pPr>
          </w:p>
        </w:tc>
      </w:tr>
      <w:tr>
        <w:trPr>
          <w:trHeight w:val="499"/>
        </w:trPr>
        <w:tc>
          <w:tcPr>
            <w:tcW w:w="20" w:type="dxa"/>
            <w:vAlign w:val="bottom"/>
          </w:tcPr>
          <w:p>
            <w:pPr>
              <w:spacing w:after="0"/>
              <w:rPr>
                <w:sz w:val="24"/>
                <w:szCs w:val="24"/>
                <w:color w:val="auto"/>
              </w:rPr>
            </w:pP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28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420" w:type="dxa"/>
            <w:vAlign w:val="bottom"/>
            <w:gridSpan w:val="21"/>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160" w:type="dxa"/>
            <w:vAlign w:val="bottom"/>
            <w:gridSpan w:val="19"/>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7020" w:type="dxa"/>
            <w:vAlign w:val="bottom"/>
            <w:gridSpan w:val="12"/>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71"/>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1C.</w:t>
            </w:r>
          </w:p>
        </w:tc>
        <w:tc>
          <w:tcPr>
            <w:tcW w:w="10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6"/>
              </w:rPr>
              <w:t>Cybersecurity</w:t>
            </w:r>
          </w:p>
        </w:tc>
        <w:tc>
          <w:tcPr>
            <w:tcW w:w="8060" w:type="dxa"/>
            <w:vAlign w:val="bottom"/>
            <w:gridSpan w:val="18"/>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71"/>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2.</w:t>
            </w:r>
          </w:p>
        </w:tc>
        <w:tc>
          <w:tcPr>
            <w:tcW w:w="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Properties</w:t>
            </w:r>
          </w:p>
        </w:tc>
        <w:tc>
          <w:tcPr>
            <w:tcW w:w="8340" w:type="dxa"/>
            <w:vAlign w:val="bottom"/>
            <w:gridSpan w:val="20"/>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3.</w:t>
            </w: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4.</w:t>
            </w: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72"/>
        </w:trPr>
        <w:tc>
          <w:tcPr>
            <w:tcW w:w="20" w:type="dxa"/>
            <w:vAlign w:val="bottom"/>
          </w:tcPr>
          <w:p>
            <w:pPr>
              <w:spacing w:after="0"/>
              <w:rPr>
                <w:sz w:val="24"/>
                <w:szCs w:val="24"/>
                <w:color w:val="auto"/>
              </w:rPr>
            </w:pPr>
          </w:p>
        </w:tc>
        <w:tc>
          <w:tcPr>
            <w:tcW w:w="7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220" w:type="dxa"/>
            <w:vAlign w:val="bottom"/>
            <w:gridSpan w:val="3"/>
          </w:tcPr>
          <w:p>
            <w:pPr>
              <w:spacing w:after="0"/>
              <w:rPr>
                <w:sz w:val="24"/>
                <w:szCs w:val="24"/>
                <w:color w:val="auto"/>
              </w:rPr>
            </w:pP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71"/>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w:t>
            </w:r>
          </w:p>
        </w:tc>
        <w:tc>
          <w:tcPr>
            <w:tcW w:w="806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7A.</w:t>
            </w:r>
          </w:p>
        </w:tc>
        <w:tc>
          <w:tcPr>
            <w:tcW w:w="64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620" w:type="dxa"/>
            <w:vAlign w:val="bottom"/>
            <w:gridSpan w:val="4"/>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71"/>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8.</w:t>
            </w:r>
          </w:p>
        </w:tc>
        <w:tc>
          <w:tcPr>
            <w:tcW w:w="332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2"/>
          </w:tcPr>
          <w:p>
            <w:pPr>
              <w:spacing w:after="0"/>
              <w:rPr>
                <w:sz w:val="24"/>
                <w:szCs w:val="24"/>
                <w:color w:val="auto"/>
              </w:rPr>
            </w:pPr>
          </w:p>
        </w:tc>
        <w:tc>
          <w:tcPr>
            <w:tcW w:w="4720" w:type="dxa"/>
            <w:vAlign w:val="bottom"/>
            <w:gridSpan w:val="7"/>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w:t>
            </w: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9A.</w:t>
            </w:r>
          </w:p>
        </w:tc>
        <w:tc>
          <w:tcPr>
            <w:tcW w:w="17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4700" w:type="dxa"/>
            <w:vAlign w:val="bottom"/>
            <w:tcBorders>
              <w:top w:val="single" w:sz="8" w:color="0000FF"/>
            </w:tcBorders>
            <w:gridSpan w:val="11"/>
          </w:tcPr>
          <w:p>
            <w:pPr>
              <w:spacing w:after="0"/>
              <w:rPr>
                <w:sz w:val="24"/>
                <w:szCs w:val="24"/>
                <w:color w:val="auto"/>
              </w:rPr>
            </w:pPr>
          </w:p>
        </w:tc>
        <w:tc>
          <w:tcPr>
            <w:tcW w:w="2600" w:type="dxa"/>
            <w:vAlign w:val="bottom"/>
            <w:gridSpan w:val="3"/>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371"/>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9B.</w:t>
            </w: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9C.</w:t>
            </w: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371"/>
        </w:trPr>
        <w:tc>
          <w:tcPr>
            <w:tcW w:w="20" w:type="dxa"/>
            <w:vAlign w:val="bottom"/>
          </w:tcPr>
          <w:p>
            <w:pPr>
              <w:spacing w:after="0"/>
              <w:rPr>
                <w:sz w:val="24"/>
                <w:szCs w:val="24"/>
                <w:color w:val="auto"/>
              </w:rPr>
            </w:pPr>
          </w:p>
        </w:tc>
        <w:tc>
          <w:tcPr>
            <w:tcW w:w="7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1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10.</w:t>
            </w: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tcBorders>
              <w:top w:val="single" w:sz="8" w:color="0000FF"/>
            </w:tcBorders>
            <w:gridSpan w:val="5"/>
          </w:tcPr>
          <w:p>
            <w:pPr>
              <w:spacing w:after="0"/>
              <w:rPr>
                <w:sz w:val="24"/>
                <w:szCs w:val="24"/>
                <w:color w:val="auto"/>
              </w:rPr>
            </w:pPr>
          </w:p>
        </w:tc>
        <w:tc>
          <w:tcPr>
            <w:tcW w:w="4980" w:type="dxa"/>
            <w:vAlign w:val="bottom"/>
            <w:gridSpan w:val="8"/>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71"/>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12.</w:t>
            </w: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780" w:type="dxa"/>
            <w:vAlign w:val="bottom"/>
            <w:gridSpan w:val="2"/>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71"/>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3620" w:type="dxa"/>
            <w:vAlign w:val="bottom"/>
            <w:gridSpan w:val="5"/>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72"/>
        </w:trPr>
        <w:tc>
          <w:tcPr>
            <w:tcW w:w="20" w:type="dxa"/>
            <w:vAlign w:val="bottom"/>
          </w:tcPr>
          <w:p>
            <w:pPr>
              <w:spacing w:after="0"/>
              <w:rPr>
                <w:sz w:val="24"/>
                <w:szCs w:val="24"/>
                <w:color w:val="auto"/>
              </w:rPr>
            </w:pPr>
          </w:p>
        </w:tc>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2"/>
              </w:rPr>
              <w:t>PART IV.</w:t>
            </w:r>
          </w:p>
        </w:tc>
        <w:tc>
          <w:tcPr>
            <w:tcW w:w="180" w:type="dxa"/>
            <w:vAlign w:val="bottom"/>
            <w:gridSpan w:val="2"/>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71"/>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15.</w:t>
            </w: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16.</w:t>
            </w:r>
          </w:p>
        </w:tc>
        <w:tc>
          <w:tcPr>
            <w:tcW w:w="15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Form 10-K Summary</w:t>
            </w:r>
          </w:p>
        </w:tc>
        <w:tc>
          <w:tcPr>
            <w:tcW w:w="1340" w:type="dxa"/>
            <w:vAlign w:val="bottom"/>
            <w:tcBorders>
              <w:top w:val="single" w:sz="8" w:color="0000FF"/>
            </w:tcBorders>
            <w:gridSpan w:val="6"/>
          </w:tcPr>
          <w:p>
            <w:pPr>
              <w:spacing w:after="0"/>
              <w:rPr>
                <w:sz w:val="24"/>
                <w:szCs w:val="24"/>
                <w:color w:val="auto"/>
              </w:rPr>
            </w:pPr>
          </w:p>
        </w:tc>
        <w:tc>
          <w:tcPr>
            <w:tcW w:w="6180" w:type="dxa"/>
            <w:vAlign w:val="bottom"/>
            <w:gridSpan w:val="10"/>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88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80" w:type="dxa"/>
            <w:vAlign w:val="bottom"/>
            <w:gridSpan w:val="16"/>
          </w:tcPr>
          <w:p>
            <w:pPr>
              <w:ind w:left="4640"/>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i w:val="1"/>
          <w:iCs w:val="1"/>
          <w:color w:val="auto"/>
        </w:rPr>
        <w:t>In this Form 10-K, references to “Vera Bradley, Inc.” or the “Company” refer to Vera Bradley, Inc. and its wholly-owned subsidiaries, including Vera Bradley Designs, Inc., except where the context requires otherwise or where otherwise indicated. The Company utilizes a 52-53 week fiscal year ending on the Saturday closest to January 31. The fiscal years ending January 31, 2026 (“fiscal 2026”) and February 1, 2025 (“fiscal 2025”) were 52-week periods. The fiscal year ending February 3, 2024 (“fiscal 2024”) was a 53-week period. The fiscal year ending January 30, 2027 (“fiscal 2027”) will be a 52-week period.</w:t>
      </w:r>
    </w:p>
    <w:p>
      <w:pPr>
        <w:spacing w:after="0" w:line="19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Vera Bradley is a leading designer of women’s handbags, luggage and travel items, fashion and home accessories, and unique gifts. Founded in 1982 by friends Barbara Bradley Baekgaard and Patricia R. Miller, the brand is known for its innovative designs, iconic patterns, and brilliant colors that inspire and connect women.</w:t>
      </w:r>
    </w:p>
    <w:p>
      <w:pPr>
        <w:spacing w:after="0" w:line="3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On March 11, 2025, the Company entered into an Interest Purchase Agreement (the “Agreement”) to sell one hundred percent (100%) of Creative Genius, Inc., (“Creative Genius”) which operates under the name Pura Vida Bracelets. The sale consummated on March 31, 2025. As a result, the operations of Pura Vida have been classified as discontinued operations in the consolidated financial statements in accordance with ASC 205-20, Discontinued Operations. Prior period amounts have been retrospectively adjusted to conform to the current period presentation. Unless otherwise specified, disclosures in these consolidated financial statements reflect continuing operations only. Certain prior period data, primarily related to discontinued operations, have been reclassified in the Consolidated Financial Statements and accompanying notes to conform to the current period presentation.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sale, Pura Vida is no longer included in the Company’s consolidated financial results. Refer to Note 16 for additional information.</w:t>
      </w:r>
    </w:p>
    <w:p>
      <w:pPr>
        <w:spacing w:after="0" w:line="10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has two reportable segments: Vera Bradley Direct (“VB Direct”) and Vera Bradley Indirect (“VB Indirect”). For financial information about our reportable segments, refer to Note 15 of the Notes to Consolidated Financial Statements set forth in Part II, “Item 8. Financial Statements and Supplementary Data,” of this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Brand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reportable segments within the Vera Bradley brand are VB Direct and VB Indirect.</w:t>
      </w:r>
    </w:p>
    <w:p>
      <w:pPr>
        <w:spacing w:after="0" w:line="102"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The VB Direct business consists of sales of Vera Bradley products through Vera Bradley full-line and outlet stores in the United States; e-commerce sites (verabradley.com, outlet.verabradley.com, and international.verabradley.com); direct to consumer marketplaces; and typically the Vera Bradley annual outlet sale in Fort Wayne, Indiana. As of January 31, 2026, the Company operated 29 full-line stores and 86 outlet stores.</w:t>
      </w:r>
    </w:p>
    <w:p>
      <w:pPr>
        <w:spacing w:after="0" w:line="52"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The VB Indirect business consists of sales of Vera Bradley products to approximately 1,000 specialty retail locations, substantially all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located in the United States; sales to department stores, national accounts, and third-party inventory liquidators; and royalties recognized through licensing agreements related to the Vera Bradley brand.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When they were traveling together in 1982, Fort Wayne, Indiana friends Barbara Bradley Baekgaard and Patricia Miller realized there was a lack of stylish travel accessories in the market. Within weeks, the friends created Vera Bradley, named after Ms. Bradley Baekgaard’s mother, and began manufacturing and marketing their distinctive products. The founders, together with past and present members of the executive management team, have been instrumental in our growth and success.</w:t>
      </w:r>
    </w:p>
    <w:p>
      <w:pPr>
        <w:spacing w:after="0" w:line="12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passion for design and customer service established by our founders has driven our Company for over 40 years and remains the cornerstone of Vera Bradley, Inc. today. Ms. Baekgaard retired from Vera Bradley operations in 2017 and retired from the Board of Directors in March 2025 but continues to serve in a Director Emeritus role and as a brand ambassador. Ms. Miller retired as our National Spokesperson in October 2012 and from the Board of Directors in August 2019.</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Enterprise Vision and Growth Strategies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long term, we are committed to driving long-term growth, generating strong cash flow, and returning capital to shareholders.</w:t>
      </w:r>
    </w:p>
    <w:p>
      <w:pPr>
        <w:spacing w:after="0" w:line="17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fiscal 2026, we began execution of Project Sunshine, a comprehensive strategy to strengthen our market position by tapping into our brand’s strong emotional connection with consumers. We are simplifying decision-making, removing organizational complexity, and focusing resources on high-impact initiatives. This operational focus, paired with prudent cost management, will allow us to invest in the brand, innovation, and customer experiences, all while driving shareholder value. These improvements are about agility — building a responsive organization to fully leverage our unique brand position.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the five pillars outlined below, Project Sunshine will reclaim Vera Bradley's joyful optimism while fueling operational success.</w:t>
      </w:r>
    </w:p>
    <w:p>
      <w:pPr>
        <w:spacing w:after="0" w:line="156"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i w:val="1"/>
          <w:iCs w:val="1"/>
          <w:color w:val="auto"/>
        </w:rPr>
        <w:t>Sharpening Brand Focus</w:t>
      </w:r>
      <w:r>
        <w:rPr>
          <w:rFonts w:ascii="Times New Roman" w:cs="Times New Roman" w:eastAsia="Times New Roman" w:hAnsi="Times New Roman"/>
          <w:sz w:val="18"/>
          <w:szCs w:val="18"/>
          <w:color w:val="auto"/>
        </w:rPr>
        <w:t>: We are refining our brand strategy to ensure consistent, resonant messaging across all consumer touchpoints. We are revisiting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assortment and style, reintroducing innovation to our core DNA, and emphasizing our heritage in occasion-based bags. At the same time, we are leaning into our cotton heritage, increasing the penetration of cotton across the assortment and reinforcing the material authenticity that defines our brand.</w:t>
      </w:r>
    </w:p>
    <w:p>
      <w:pPr>
        <w:spacing w:after="0" w:line="134"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i w:val="1"/>
          <w:iCs w:val="1"/>
          <w:color w:val="auto"/>
        </w:rPr>
        <w:t>Rewiring our digital ecosystem</w:t>
      </w:r>
      <w:r>
        <w:rPr>
          <w:rFonts w:ascii="Times New Roman" w:cs="Times New Roman" w:eastAsia="Times New Roman" w:hAnsi="Times New Roman"/>
          <w:sz w:val="18"/>
          <w:szCs w:val="18"/>
          <w:color w:val="auto"/>
        </w:rPr>
        <w:t>: We are aligning all consumer touchpoints with a cohesive omnichannel experience, ensuring clear brand identity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channel roles supported by cohesive storytelling for customer acquisition and retention.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Outlet 2.0</w:t>
      </w:r>
      <w:r>
        <w:rPr>
          <w:rFonts w:ascii="Times New Roman" w:cs="Times New Roman" w:eastAsia="Times New Roman" w:hAnsi="Times New Roman"/>
          <w:sz w:val="18"/>
          <w:szCs w:val="18"/>
          <w:color w:val="auto"/>
        </w:rPr>
        <w:t>: We are redefining our outlet strategy by enhancing the customer experience with curated assortments, optimized visuals, and labor efficiency.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transformation will elevate brand engagement and drive profitability, positioning outlets as key drivers of our brand evolution.</w:t>
      </w:r>
    </w:p>
    <w:p>
      <w:pPr>
        <w:spacing w:after="0" w:line="151"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Resetting our go-to-market</w:t>
      </w:r>
      <w:r>
        <w:rPr>
          <w:rFonts w:ascii="Times New Roman" w:cs="Times New Roman" w:eastAsia="Times New Roman" w:hAnsi="Times New Roman"/>
          <w:sz w:val="18"/>
          <w:szCs w:val="18"/>
          <w:color w:val="auto"/>
        </w:rPr>
        <w:t>: We are scrutinizing every aspect of our operating processes including product development, store labor, promotional strategies,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more to improve efficiency. This holistic review will sharpen focus on high-impact initiatives and retail KPIs across all channels.</w:t>
      </w:r>
    </w:p>
    <w:p>
      <w:pPr>
        <w:spacing w:after="0" w:line="104"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Reimagining How We Work</w:t>
      </w:r>
      <w:r>
        <w:rPr>
          <w:rFonts w:ascii="Times New Roman" w:cs="Times New Roman" w:eastAsia="Times New Roman" w:hAnsi="Times New Roman"/>
          <w:sz w:val="18"/>
          <w:szCs w:val="18"/>
          <w:color w:val="auto"/>
        </w:rPr>
        <w:t>: We are restructuring our organization to foster collaboration, creativity, and efficiency. As we align our talent and leadership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key growth areas, we are redesigning our structure to drive transformation and streamline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Release Strategy</w:t>
      </w:r>
    </w:p>
    <w:p>
      <w:pPr>
        <w:spacing w:after="0" w:line="162"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On average, we typically introduce new collections monthly. Each launch typically consists of one to three signature cotton-quilted prints, as well as other fabrications including Featherweight, Leather, Performance Twill, and nylon, some of which are also available in solid colors. These collections of prints and solids are incorporated into the designs of a wide range of products, including bags, accessories, and travel items. These collections typically include classic styles, updates to existing designs, and new product introductions.</w:t>
      </w:r>
    </w:p>
    <w:p>
      <w:pPr>
        <w:spacing w:after="0" w:line="12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To keep our assortment current and fresh, and to focus our inventory investments on our best performers, we discontinue prints and fabrications as necessary. We sell our remaining inventory of retired products primarily through our websites (including our online outlet site), outlet stores, third-party liquidators, and historically our annual outlet sale.</w:t>
      </w:r>
    </w:p>
    <w:p>
      <w:pPr>
        <w:spacing w:after="0" w:line="203"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following chart presents net revenues generated by each of the Company’s product categories and other revenues as a percentage of our total net revenues for fiscal years 2026, 2025, and 2024.</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540" w:type="dxa"/>
            <w:vAlign w:val="bottom"/>
          </w:tcPr>
          <w:p>
            <w:pPr>
              <w:spacing w:after="0"/>
              <w:rPr>
                <w:sz w:val="16"/>
                <w:szCs w:val="16"/>
                <w:color w:val="auto"/>
              </w:rPr>
            </w:pPr>
          </w:p>
        </w:tc>
      </w:tr>
      <w:tr>
        <w:trPr>
          <w:trHeight w:val="23"/>
        </w:trPr>
        <w:tc>
          <w:tcPr>
            <w:tcW w:w="642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28"/>
        </w:trPr>
        <w:tc>
          <w:tcPr>
            <w:tcW w:w="6420" w:type="dxa"/>
            <w:vAlign w:val="bottom"/>
          </w:tcPr>
          <w:p>
            <w:pPr>
              <w:spacing w:after="0"/>
              <w:rPr>
                <w:sz w:val="11"/>
                <w:szCs w:val="11"/>
                <w:color w:val="auto"/>
              </w:rPr>
            </w:pPr>
          </w:p>
        </w:tc>
        <w:tc>
          <w:tcPr>
            <w:tcW w:w="1640" w:type="dxa"/>
            <w:vAlign w:val="bottom"/>
            <w:gridSpan w:val="2"/>
          </w:tcPr>
          <w:p>
            <w:pPr>
              <w:ind w:left="400"/>
              <w:spacing w:after="0" w:line="12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62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1540" w:type="dxa"/>
            <w:vAlign w:val="bottom"/>
          </w:tcPr>
          <w:p>
            <w:pPr>
              <w:jc w:val="right"/>
              <w:ind w:right="314"/>
              <w:spacing w:after="0" w:line="129" w:lineRule="exact"/>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6"/>
        </w:trPr>
        <w:tc>
          <w:tcPr>
            <w:tcW w:w="6420" w:type="dxa"/>
            <w:vAlign w:val="bottom"/>
          </w:tcPr>
          <w:p>
            <w:pPr>
              <w:spacing w:after="0"/>
              <w:rPr>
                <w:sz w:val="17"/>
                <w:szCs w:val="17"/>
                <w:color w:val="auto"/>
              </w:rPr>
            </w:pPr>
          </w:p>
        </w:tc>
        <w:tc>
          <w:tcPr>
            <w:tcW w:w="15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45.2 %</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44.0 %</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41.5 %</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23.7 %</w:t>
            </w: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Apparel/Footwear</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64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48"/>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560" w:hanging="552"/>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primarily stationery, licensing, freight, merchandising, and gift card breakage revenue.</w:t>
      </w:r>
    </w:p>
    <w:p>
      <w:pPr>
        <w:spacing w:after="0" w:line="16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Bags. </w:t>
      </w:r>
      <w:r>
        <w:rPr>
          <w:rFonts w:ascii="Times New Roman" w:cs="Times New Roman" w:eastAsia="Times New Roman" w:hAnsi="Times New Roman"/>
          <w:sz w:val="18"/>
          <w:szCs w:val="18"/>
          <w:color w:val="auto"/>
        </w:rPr>
        <w:t>Bags are a core part of our product offerings and are the primary component of every seasonal assortment. The category consists of classic and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styles developed by our product development team. Our bag product category includes items such as backpacks, totes, crossbodies, lunch bags, satchels, clutches, and baby bags. Bags play a prominent role in our visual merchandising, and we showcase the different fabrications, patterns, colors, and features of each bag.</w:t>
      </w:r>
    </w:p>
    <w:p>
      <w:pPr>
        <w:spacing w:after="0" w:line="126"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Travel. </w:t>
      </w:r>
      <w:r>
        <w:rPr>
          <w:rFonts w:ascii="Times New Roman" w:cs="Times New Roman" w:eastAsia="Times New Roman" w:hAnsi="Times New Roman"/>
          <w:sz w:val="18"/>
          <w:szCs w:val="18"/>
          <w:color w:val="auto"/>
        </w:rPr>
        <w:t>Our travel product category includes rolling luggage, cosmetics, travel and packing accessories, and travel bags which include our iconic duffel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weekend bags. The first Vera Bradley product offering included duffel bags, which have</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consistently been strong performers. We believe their popularity, as well as the appeal of our other travel items, results from our vibrant designs, functional styles, and lightweight fabrications.</w:t>
      </w:r>
    </w:p>
    <w:p>
      <w:pPr>
        <w:spacing w:after="0" w:line="106"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Accessories. </w:t>
      </w:r>
      <w:r>
        <w:rPr>
          <w:rFonts w:ascii="Times New Roman" w:cs="Times New Roman" w:eastAsia="Times New Roman" w:hAnsi="Times New Roman"/>
          <w:sz w:val="18"/>
          <w:szCs w:val="18"/>
          <w:color w:val="auto"/>
        </w:rPr>
        <w:t>Accessories include Vera Bradley-branded fashion accessories such as ID holders, lanyards, wallets, wristlets, eyewear, various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accessories, and bag charms. We believe our accessories are attractively priced and allow the consumer to include some color in her wardrobe. Our product development teams consistently update the accessories assortment based on consumer demand and fashion trends.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Home. </w:t>
      </w:r>
      <w:r>
        <w:rPr>
          <w:rFonts w:ascii="Times New Roman" w:cs="Times New Roman" w:eastAsia="Times New Roman" w:hAnsi="Times New Roman"/>
          <w:sz w:val="18"/>
          <w:szCs w:val="18"/>
          <w:color w:val="auto"/>
        </w:rPr>
        <w:t>Our home category includes textiles, including throw blankets and beach towels, as well as items such as mugs and tumblers.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Apparel/Footwear</w:t>
      </w:r>
      <w:r>
        <w:rPr>
          <w:rFonts w:ascii="Times New Roman" w:cs="Times New Roman" w:eastAsia="Times New Roman" w:hAnsi="Times New Roman"/>
          <w:sz w:val="18"/>
          <w:szCs w:val="18"/>
          <w:color w:val="auto"/>
        </w:rPr>
        <w:t>. Our apparel and footwear category includes, among other items, Vera Bradley sleepwear, outerwear, slippers, and socks.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94"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We have implemented a fully-integrated and cross-functional product development process that aligns design, trend and market research, merchandising, planning, sales, marketing, and sourcing. We believe product development is a core capability that makes our products unique and that our designs and aesthetics set our products apart and drive customer loyalty. Our design and product development teams combine an understanding of the desires of our target customers, with knowledge of upcoming color, material, consumer, and fashion trends to design new collections, as well as new product categories.</w:t>
      </w:r>
    </w:p>
    <w:p>
      <w:pPr>
        <w:spacing w:after="0" w:line="11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typically begin the development stage of our products in the Vera Bradley portfolio twelve to eighteen months in advance of their release. The development of each new pattern includes the design of a primary print and sometimes a secondary coordinating print. All print development is managed by our internal print design team. Once developed, we generally copyright our patterns as appropriate. We believe that great design is not only central to our products, but also is a fundamental part of our brand development and growth strategies.</w:t>
      </w:r>
    </w:p>
    <w:p>
      <w:pPr>
        <w:spacing w:after="0" w:line="12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Our design team works to ensure that new collections contain an assortment of products and styles that are in line with both trends and customer desires and regularly updates classic styles to enhance functionality. Our team monitors fashion trends and customer needs by typically attending trend and industry shows, subscribing to trend monitoring services, and engaging in comparison shopping.</w:t>
      </w:r>
    </w:p>
    <w:p>
      <w:pPr>
        <w:spacing w:after="0" w:line="5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Our product development team works closely with our marketing and merchandising teams to gather consumer insights through a variety of methodologies, including seasonal market research, in-store testing, scheduled interviews, and online and in-person surveys conducted by our internal team. Our work is also informed in part by market data analysis provided through our membership in industry services and organizations. The design and product development teams work to ensure that we offer products that are constructed to meet our design, function, construction, and quality standards in a cost-effective manner. We believe that, with our cross-functional, collaborative approach, we are able to introduce and market our products in a way that clearly communicates the Vera Bradley brand.</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to products developed in-house, we also pursue brand extensions through strategic partnerships, licensing agreements, and brand collaborations. We currently have licenses in place for eyewear; bedding and bath textiles; sleep and loungewear; and stationery/drinkware. We also have licensing agreements with NFL, Disney Consumer Products, Peanuts Worldwide, NBC Universal, Warner Brothers, and NCAA (collegiate). We will continue to look for the right strategic partners and licensees that can augment the brand and provide established distribution networks for certain categories of business. Additional arrangements will be launched in fiscal 2027.</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9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believe that the growth of our brand and our business is influenced by our ability to introduce and sell our merchandise in a way that clearly conveys the Vera Bradley brand personality. We use marketing as a critical tool in our efforts to promote our brand.</w:t>
      </w:r>
    </w:p>
    <w:p>
      <w:pPr>
        <w:spacing w:after="0" w:line="4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continually focused on looking for new ways to creatively engage and retain our customers, grow brand awareness, and introduce new customers to our brand in a cost-effective manner.</w:t>
      </w:r>
    </w:p>
    <w:p>
      <w:pPr>
        <w:spacing w:after="0" w:line="4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marketing platform will continue to be a blend of digital and more traditional channels, such as email, paid digital, social media, quality media placements, public relations, and direct mail. Our marketing efforts are increasingly reflective of our ongoing commitment to diversity and inclusion. The goal of our 360-brand marketing program is to drive brand awareness and desirability, as well as connect with consumers where they are.</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will continue to drive social media engagement by amplifying user-generated content, growing our influencer and content creation programs, further enhancing social storytelling and social selling, expanding TikTok, Instagram, YouTube, and Facebook engagement.</w:t>
      </w:r>
    </w:p>
    <w:p>
      <w:pPr>
        <w:spacing w:after="0" w:line="119"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Retention Advertising. </w:t>
      </w:r>
      <w:r>
        <w:rPr>
          <w:rFonts w:ascii="Times New Roman" w:cs="Times New Roman" w:eastAsia="Times New Roman" w:hAnsi="Times New Roman"/>
          <w:sz w:val="18"/>
          <w:szCs w:val="18"/>
          <w:color w:val="auto"/>
        </w:rPr>
        <w:t>We communicate with our established customers consistently throughout the year with regular e-mails, social media, and SMS,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seasonal direct mail related to the Vera Bradley brand. Our retention advertising is geared to keeping Vera Bradley top of mind with our customers, rewarding our customers, and providing them with news of our seasonal launches, new product introductions, and VB Foundation initiatives.</w:t>
      </w:r>
    </w:p>
    <w:p>
      <w:pPr>
        <w:spacing w:after="0" w:line="119"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New Customer Acquisition Advertising. </w:t>
      </w:r>
      <w:r>
        <w:rPr>
          <w:rFonts w:ascii="Times New Roman" w:cs="Times New Roman" w:eastAsia="Times New Roman" w:hAnsi="Times New Roman"/>
          <w:sz w:val="18"/>
          <w:szCs w:val="18"/>
          <w:color w:val="auto"/>
        </w:rPr>
        <w:t>We primarily employ digital (i.e., paid social media, paid search, affiliate) and direct mail (catalog, postcards)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to increase overall brand awareness and attract new customers.</w:t>
      </w:r>
    </w:p>
    <w:p>
      <w:pPr>
        <w:spacing w:after="0" w:line="104"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Public Relations and Product Placement. </w:t>
      </w:r>
      <w:r>
        <w:rPr>
          <w:rFonts w:ascii="Times New Roman" w:cs="Times New Roman" w:eastAsia="Times New Roman" w:hAnsi="Times New Roman"/>
          <w:sz w:val="18"/>
          <w:szCs w:val="18"/>
          <w:color w:val="auto"/>
        </w:rPr>
        <w:t>Vera Bradley has received considerable editorial exposure in the press, with mentions in</w:t>
      </w:r>
      <w:r>
        <w:rPr>
          <w:rFonts w:ascii="Times New Roman" w:cs="Times New Roman" w:eastAsia="Times New Roman" w:hAnsi="Times New Roman"/>
          <w:sz w:val="18"/>
          <w:szCs w:val="18"/>
          <w:i w:val="1"/>
          <w:iCs w:val="1"/>
          <w:color w:val="auto"/>
        </w:rPr>
        <w:t xml:space="preserve"> Travel &amp; Leisure, People, Real Simple, Today, US Weekly, Good Morning America, Refinery 29, Southern Living, Glamour, Seventeen, Elle, Women's Wear Daily, Pop Sugar, and Good Housekeeping. </w:t>
      </w:r>
      <w:r>
        <w:rPr>
          <w:rFonts w:ascii="Times New Roman" w:cs="Times New Roman" w:eastAsia="Times New Roman" w:hAnsi="Times New Roman"/>
          <w:sz w:val="18"/>
          <w:szCs w:val="18"/>
          <w:color w:val="auto"/>
        </w:rPr>
        <w:t>In addition, we have expanded our public relations efforts to reach popular online influencers and content creators.</w:t>
      </w:r>
    </w:p>
    <w:p>
      <w:pPr>
        <w:spacing w:after="0" w:line="119"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Partnerships. </w:t>
      </w:r>
      <w:r>
        <w:rPr>
          <w:rFonts w:ascii="Times New Roman" w:cs="Times New Roman" w:eastAsia="Times New Roman" w:hAnsi="Times New Roman"/>
          <w:sz w:val="18"/>
          <w:szCs w:val="18"/>
          <w:color w:val="auto"/>
        </w:rPr>
        <w:t>During fiscal 2026, we reinforced our position as a company empowering women by aligning our efforts to support the Vera Bradley Breast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Cancer Foundation.</w:t>
      </w:r>
    </w:p>
    <w:p>
      <w:pPr>
        <w:spacing w:after="0" w:line="10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Social Media and Online Marketing. </w:t>
      </w:r>
      <w:r>
        <w:rPr>
          <w:rFonts w:ascii="Times New Roman" w:cs="Times New Roman" w:eastAsia="Times New Roman" w:hAnsi="Times New Roman"/>
          <w:sz w:val="18"/>
          <w:szCs w:val="18"/>
          <w:color w:val="auto"/>
        </w:rPr>
        <w:t>We use online marketing and social networking sites as tools to increase brand awareness and drive traffic to our e-commerce sites (verabradley.com, outlet.verabradley.com, and international.verabradley.com) and to our Vera Bradley stores. Vera Bradley can be found on Facebook, Instagram, TikTok, X, Pinterest, and YouTube.</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captured approximately 2.6 million active subscribed customer e-mail addresses in our online customer file, with many of these customers providing age, occupation, and location data. This information provides us with deeper insight into the products and categories that are of the highest interest to our customers and allows us to better target our customers with appropriate messages. As of January 31, 2026, we had approximately 1.9 million Facebook followers, and nearly 100,000 TikTok followers. Our Instagram has grown to approximately 660,000 followers and is our most highly engaged social medium. In addition, we often partner with brand-right influencers to promote our products.</w:t>
      </w:r>
    </w:p>
    <w:p>
      <w:pPr>
        <w:spacing w:after="0" w:line="1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i w:val="1"/>
          <w:iCs w:val="1"/>
          <w:color w:val="auto"/>
        </w:rPr>
        <w:t>Mall Advertising</w:t>
      </w:r>
      <w:r>
        <w:rPr>
          <w:rFonts w:ascii="Arial" w:cs="Arial" w:eastAsia="Arial" w:hAnsi="Arial"/>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had representation in key markets with mall partner participation. Collaborations and holiday promotions were the primary focus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retail store locations. The outlet channel participated in center marketing throughout the year highlighting key seasonal moments, such as: Spring Break, Back to School, Labor Day, and Holiday.</w:t>
      </w:r>
    </w:p>
    <w:p>
      <w:pPr>
        <w:spacing w:after="0" w:line="121" w:lineRule="exact"/>
        <w:rPr>
          <w:sz w:val="20"/>
          <w:szCs w:val="20"/>
          <w:color w:val="auto"/>
        </w:rPr>
      </w:pPr>
    </w:p>
    <w:p>
      <w:pPr>
        <w:jc w:val="both"/>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Direct Mail. </w:t>
      </w:r>
      <w:r>
        <w:rPr>
          <w:rFonts w:ascii="Times New Roman" w:cs="Times New Roman" w:eastAsia="Times New Roman" w:hAnsi="Times New Roman"/>
          <w:sz w:val="18"/>
          <w:szCs w:val="18"/>
          <w:color w:val="auto"/>
        </w:rPr>
        <w:t>Vera Bradley mailers are a vehicle for promoting the Vera Bradley brand and product portfolio. Each mailer is sent to a targeted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mailing list. We believe our direct mail medium generates excitement and awareness about the Vera Bradley brand and allows us to reach both new and loyal customers in their homes. We use direct mail for prospecting, customer retention, and reactivation.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Because Vera Bradley products are frequently given as gifts, we have historically realized, and expect to continue to realize, higher sales and operating income in the fourth quarter of our fiscal year, which includes the holiday months of November and December. In addition, our products are popular during back-to-school periods of August and September. Fluctuations in sales and operating income in any fiscal quarter are affected by the timing of seasonal wholesale shipments, licensing agreement product launches, and other events affecting retail sales.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Channels of Distribution</w:t>
      </w:r>
    </w:p>
    <w:p>
      <w:pPr>
        <w:spacing w:after="0" w:line="1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distribute our Vera Bradley products through our VB Direct (including e-commerce and retail stores) and VB Indirect segments primarily through e-commerce, wholesale retailers, and retail stores. This multi-channel distribution model is designed to enable operational flexibility and maximizes the methods by which we can access potential customers.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Vera Bradley Direct Segment</w:t>
      </w:r>
    </w:p>
    <w:p>
      <w:pPr>
        <w:spacing w:after="0" w:line="9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Full-Line Stores. </w:t>
      </w:r>
      <w:r>
        <w:rPr>
          <w:rFonts w:ascii="Times New Roman" w:cs="Times New Roman" w:eastAsia="Times New Roman" w:hAnsi="Times New Roman"/>
          <w:sz w:val="18"/>
          <w:szCs w:val="18"/>
          <w:color w:val="auto"/>
        </w:rPr>
        <w:t>We have developed a retail presence through our full-line stores, all located in the United States, which provides us with a format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showcase our brand and the full array of Vera Bradley products. As of January 31, 2026, we operated 29 full-line stores averaging approximately 2,000 square feet per store. Our sales associates are passionate about our products and customer service, which we believe translates into a superior shopping experience.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Outlet Stores</w:t>
      </w:r>
      <w:r>
        <w:rPr>
          <w:rFonts w:ascii="Times New Roman" w:cs="Times New Roman" w:eastAsia="Times New Roman" w:hAnsi="Times New Roman"/>
          <w:sz w:val="18"/>
          <w:szCs w:val="18"/>
          <w:color w:val="auto"/>
        </w:rPr>
        <w:t>. Our outlet stores are a vehicle for selling styles made specifically for our outlet channel, as well as retired merchandise at discounted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while maintaining brand integrity. Typically, approximately 97% of the merchandise found in our outlet stores consists of exclusive styles. Outlet stores are an integral part of our distribution strategy, as this format provides an additional channel of distribution for our products and enables us to better target value-oriented customers. Our outlet stores average approximately 3,500 square feet per store. As of January 31, 2026, we operated 86 outlet stores, all located in the United States.</w:t>
      </w:r>
    </w:p>
    <w:p>
      <w:pPr>
        <w:spacing w:after="0" w:line="129"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Store Location Selection Strategy. </w:t>
      </w:r>
      <w:r>
        <w:rPr>
          <w:rFonts w:ascii="Times New Roman" w:cs="Times New Roman" w:eastAsia="Times New Roman" w:hAnsi="Times New Roman"/>
          <w:sz w:val="18"/>
          <w:szCs w:val="18"/>
          <w:color w:val="auto"/>
        </w:rPr>
        <w:t>Our store location decisions for both full-line and outlet stores are made based upon our comprehensive retail strategy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includes actual and planned penetration in both Indirect and Direct segments, as well as existing e-commerce demand. While we forecast that we will close additional underperforming full-line stores, we believe that long-term expansion of our store base is necessary to increase brand awareness and reinforce our brand image by contributing to our omni-channel retail strategy. In addition to analyzing store economics, we pay particular attention to the location within the shopping center, the size and shape of the space, and co-tenancies. Along with seeking co-tenants that we believe share our target customer, we seek a balanced mix of moderate and high-end retailers to encourage high levels of traffic.</w:t>
      </w:r>
    </w:p>
    <w:p>
      <w:pPr>
        <w:spacing w:after="0" w:line="12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Store Operations. </w:t>
      </w:r>
      <w:r>
        <w:rPr>
          <w:rFonts w:ascii="Times New Roman" w:cs="Times New Roman" w:eastAsia="Times New Roman" w:hAnsi="Times New Roman"/>
          <w:sz w:val="18"/>
          <w:szCs w:val="18"/>
          <w:color w:val="auto"/>
        </w:rPr>
        <w:t>The focus of our store operations is providing consumers with a comfortable and memorable shopping experience. We strive to make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interactive through special store events. Our customer service philosophy emphasizes friendly service, merchandise knowledge, and passion for the brand. Consequently, an essential requirement for the success of our stores is our ability to attract, train, and retain talented, highly motivated district managers, store managers, and sales associates.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E-Commerce</w:t>
      </w:r>
      <w:r>
        <w:rPr>
          <w:rFonts w:ascii="Times New Roman" w:cs="Times New Roman" w:eastAsia="Times New Roman" w:hAnsi="Times New Roman"/>
          <w:sz w:val="18"/>
          <w:szCs w:val="18"/>
          <w:color w:val="auto"/>
        </w:rPr>
        <w:t>. We sell our products through the Vera Bradley websites (verabradley.com, international.verabradley.com, and outlet.verabradley.com)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direct to consumer marketplaces. The objective of these websites is to provide both a mechanism for marketing directly to consumers and a storefront where consumers can find the entire full-line Vera Bradley collection. In November 2023, we transformed the online outlet from a flash-sale model to an everyday extension of our outlet stores. This brought new customers to the brand and helped offset weakness in the outlet store channel. We had over 57 million visits to verabradley.com and outlet.verabradley.com during fiscal 2026.</w:t>
      </w:r>
    </w:p>
    <w:p>
      <w:pPr>
        <w:spacing w:after="0" w:line="1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Annual Outlet Sale. </w:t>
      </w:r>
      <w:r>
        <w:rPr>
          <w:rFonts w:ascii="Times New Roman" w:cs="Times New Roman" w:eastAsia="Times New Roman" w:hAnsi="Times New Roman"/>
          <w:sz w:val="18"/>
          <w:szCs w:val="18"/>
          <w:color w:val="auto"/>
        </w:rPr>
        <w:t>Our annual outlet sale is typically held in the Allen County War Memorial Coliseum Exposition Center in Fort Wayne, Indiana.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outlet sale is an important tradition for Vera Bradley, has many loyal followers, and is an opportunity for us to sell our retired merchandise at discounted prices in a brand-right fashion. We will not be holding our annual outlet sale in fiscal 2027, as we focus on inventory for our stores and look to elevate the overall customer and brand experience of this event and will evaluate its return in future years.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Vera Bradley Indirect Segment</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January 31, 2026, we sold our products in approximately 1,000 specialty retail locations, as well as department stores, national accounts, and third-party inventory liquidators, as well as through licensing agreements. We currently sell our products in approximately 270 department store locations as well as Amazon.com and other third party marketplaces.</w:t>
      </w:r>
    </w:p>
    <w:p>
      <w:pPr>
        <w:spacing w:after="0" w:line="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top 25% of our specialty retailers account for approximately 81% of total specialty retailer revenue. No single Indirect retailer represented more than 5% of consolidated net revenues in fiscal 2026, with the top ten Indirect retailers representing in the aggregate, approximately 75% of total Indirect segment net revenues. The majority of our Indirect retailers have been customers for over five years.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Indirect Sales Force</w:t>
      </w:r>
    </w:p>
    <w:p>
      <w:pPr>
        <w:spacing w:after="0" w:line="9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believe that having a combination of an in-house sales force and a third-party agency, covering certain geographies, results in a more consistent brand presentation and messaging, enhanced support for our Indirect customers, and a more predictable, scalable, and cost-efficient business model.</w:t>
      </w:r>
    </w:p>
    <w:p>
      <w:pPr>
        <w:spacing w:after="0" w:line="10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addition to acquiring new and growing existing accounts, our sales team serves as a support center for our Indirect customers by assisting and educating them in areas such as merchandising and visual presentation, marketing the brand, product selection, and inventory management. Our visual merchandising program provides our sales consultants with a framework to guide our Indirect customers regarding optimal product placement and display that is intended to reinforce the message that our brand is distinctive.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 Chain Model</w:t>
      </w:r>
    </w:p>
    <w:p>
      <w:pPr>
        <w:spacing w:after="0" w:line="9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Our multi-country manufacturing and supply chain model is designed to achieve efficient, timely, and accurate order fulfillment while maintaining appropriate levels of inventory.</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manufacturing and sourcing strategy is part of the larger cross-functional product development process. The overall objective for our sourcing team is to build and sustain collaborative partnerships throughout our supply chain, with a focus on identifying appropriate countries and partners to manufacture our products while maintaining and focusing on flexibility. Our sourcing team leverages its expertise in negotiation, relationship management, flexibility, and change management to maintain a strong, diverse global supply chain. Our sourcing team also focuses on achieving the right balance of production sites and countries of origin to mitigate the risk of concentrated production, including potential incremental tariffs.</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strive to maintain the appropriate balance of inventory to enable us to provide a high level of service to our customers, including prompt and accurate delivery of our products at a reasonable cost. We believe that we have an active and nimble sales and operations planning process that helps us balance the supply and demand issues that we encounter in our business, optimize our inventory levels, and anticipate inventory needs. We have also integrated our Vera Bradley planning, forecasting, and segmentation processes under one function called Merchandise Planning and Allocation.</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Approximately 53% of Vera Bradley product sales are derived from cotton-based materials. Our remaining fabrics and materials including leather, fleece, polyester, nylon, and microfiber. We work with fabric mill partners across Asia and work with leather tannery partners in South Korea and Europe. Most of our non-cotton fabrics are sourced in China and South Korea. The majority of our cotton-based products are sourced from Cambodia, Indonesia, and Vietnam.</w:t>
      </w:r>
    </w:p>
    <w:p>
      <w:pPr>
        <w:spacing w:after="0" w:line="12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global sourcing team identifies, evaluates, and selects suppliers to fulfill the sourcing strategy. Conducting market analysis and supplier assessment to identify potential partners are integral to maintaining a competitive edge and driving profitability. The global sourcing team collaborates with carefully selected and screened suppliers to negotiate contracts and agreements, balance cost, lead time, quality, and reliability across our supplier network and maximize operational efficiency. Developing a long-term and mutually beneficial relations with suppliers and to foster collaboration and innovation is an important part of our sourcing matrix. The global sourcing team ensures a diversified supplier base to minimize single source dependency and is also monitoring geopolitical factors and market trends to anticipate and mitigate supply chain risks.</w:t>
      </w:r>
    </w:p>
    <w:p>
      <w:pPr>
        <w:spacing w:after="0" w:line="201" w:lineRule="exact"/>
        <w:rPr>
          <w:sz w:val="20"/>
          <w:szCs w:val="20"/>
          <w:color w:val="auto"/>
        </w:rPr>
      </w:pPr>
    </w:p>
    <w:p>
      <w:pPr>
        <w:ind w:right="160"/>
        <w:spacing w:after="0" w:line="232" w:lineRule="auto"/>
        <w:rPr>
          <w:sz w:val="20"/>
          <w:szCs w:val="20"/>
          <w:color w:val="auto"/>
        </w:rPr>
      </w:pPr>
      <w:r>
        <w:rPr>
          <w:rFonts w:ascii="Times New Roman" w:cs="Times New Roman" w:eastAsia="Times New Roman" w:hAnsi="Times New Roman"/>
          <w:sz w:val="18"/>
          <w:szCs w:val="18"/>
          <w:color w:val="auto"/>
        </w:rPr>
        <w:t>We proactively manage raw materials cost fluctuations through securing early bookings at strategically favorable times. All of our suppliers must comply with our quality standards, and we use only a limited number of pre-approved suppliers who have demonstrated a commitment to delivering the highest quality products. We are continually updating our factory audit process and building a better compliance program to ensure our vendor code of conduct is met.</w:t>
      </w:r>
    </w:p>
    <w:p>
      <w:pPr>
        <w:spacing w:after="0" w:line="199"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We partner with BetterWork to conduct our factory audits. BetterWork brings diverse groups together (governments, global brands, factory owners, unions, and workers) to improve working conditions in the garment industry and make the sector more competitive. These audits encompass the Vera Bradley brand as they relate to our purchases in Cambodia.</w:t>
      </w:r>
    </w:p>
    <w:p>
      <w:pPr>
        <w:spacing w:after="0" w:line="199" w:lineRule="exact"/>
        <w:rPr>
          <w:sz w:val="20"/>
          <w:szCs w:val="20"/>
          <w:color w:val="auto"/>
        </w:rPr>
      </w:pPr>
    </w:p>
    <w:p>
      <w:pPr>
        <w:ind w:right="440"/>
        <w:spacing w:after="0" w:line="250" w:lineRule="auto"/>
        <w:rPr>
          <w:sz w:val="20"/>
          <w:szCs w:val="20"/>
          <w:color w:val="auto"/>
        </w:rPr>
      </w:pPr>
      <w:r>
        <w:rPr>
          <w:rFonts w:ascii="Times New Roman" w:cs="Times New Roman" w:eastAsia="Times New Roman" w:hAnsi="Times New Roman"/>
          <w:sz w:val="18"/>
          <w:szCs w:val="18"/>
          <w:color w:val="auto"/>
        </w:rPr>
        <w:t>The Company has implemented a formal forced labor compliance program consisting of vendor due diligence procedures, supply chain mapping, and cotton fiber verification utilizing third-party isotope testing services.</w:t>
      </w:r>
    </w:p>
    <w:p>
      <w:pPr>
        <w:spacing w:after="0" w:line="19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7"/>
          <w:szCs w:val="17"/>
          <w:color w:val="auto"/>
        </w:rPr>
        <w:t>The majority of our Vera Bradley finished goods, not sourced through licenses or strategic partners, are manufactured by a variety of global manufacturers located primarily in Cambodia, Vietnam, Indonesia, China, and the Philippines. With the oversight of our office in Hong Kong and our independent contractors, we believe financial benefits have been realized without sacrificing the level of quality inherent in our products or service to our customers.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Centers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Vera Bradley owns a 428,500 square-foot distribution center in Roanoke, Indiana. This facility allows Vera Bradley employees to receive information directly from the order-collection center and quickly identify the products and quantities necessary to fulfill a particular order. The facility’s technology enables us to accurately process and pack orders, as well as track shipments and inventory. We believe that our systems for the processing and shipment of orders from our distribution center have enabled us to improve our overall customer service through enhanced order accuracy and reduced turnaround time; however, we continue to make technology and automation enhancements to our distribution center processes to promote optimal output.</w:t>
      </w:r>
    </w:p>
    <w:p>
      <w:pPr>
        <w:spacing w:after="0" w:line="129"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Vera Bradley products are shipped primarily via third-party common carriers to our stores, our Indirect retailers, and directly to our customers who purchase through our website. We believe we are positioned well to support the order fulfillment requirements of our business, including business generated through our website.</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Information Systems</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believe that high levels of automation and technology are essential to maintain our competitive position. We maintain computer hardware, applications, and networks to enhance and accelerate the design process, to support the sale and distribution of our products to our customers, and to improve the integration and efficiency of our operations. Our information systems are designed to provide, among other things, enterprise class business management, comprehensive order processing for all commerce channels, production, accounting, and management information and analytics for the product development, retail, sales, marketing, distribution, finance, and human resources functions of our business. Our ERP, POS, Business Intelligence, and Order Management systems are on cloud-based platforms, streamlining and simplifying our work and providing for additional capabilities such as multi-company operations on the same platform. We continue to assess our on-premise and cloud-based technology solutions in an effort to ensure we have the optimal solutions for our business.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face strong competition in each of the product lines and markets in which we compete. We believe that all of our products are in similar competitive positions with respect to the number of competitors they face and the level of competition within each product line. Due to the number of different products we offer, it is not practicable for us to quantify the number of competitors we face. Our products compete with other branded products within their product categories and with private label products sold by retailers. Moreover, the general availability of contract manufacturing allows new entrants to relatively easily access the markets in which we compete, which may increase the number of competitors and adversely affect our competitive position and our business. We compete against other independent retailers, department stores, catalog retailers, gift retailers, and Internet businesses that engage in the retail sale of similar products.</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market for handbags and accessories, in particular, is highly competitive. Our competitors include not only established companies that are expanding their production and marketing of handbags and accessories, but also frequent new entrants to the market. We directly compete with wholesalers and direct sellers of branded handbags and accessories.</w:t>
      </w:r>
    </w:p>
    <w:p>
      <w:pPr>
        <w:spacing w:after="0" w:line="12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varying degrees, depending on the product category involved, we compete on the basis of design (aesthetic appeal), quality (construction), function, price point, distribution, and brand positioning. We believe that our primary competitive advantages are consumer recognition of our brands, customer loyalty and engagement, product development expertise, and our widespread presence through our multi-channel distribution model. Some of our competitors have achieved significant recognition for their brand names or have substantially greater financial, distribution, marketing, and other resources than we do. Further, we may face new competitors and increased competition from existing competitors as we expand into new markets and increase our presence in existing markets.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Copyrights and Trademarks</w:t>
      </w:r>
    </w:p>
    <w:p>
      <w:pPr>
        <w:spacing w:after="0" w:line="10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For Vera Bradley, the development of new patterns includes the design of primary and secondary prints. Once developed, we generally copyright our patterns as appropriate. We currently have approximately 1,450 copyrights related to the Vera Bradley business.</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also own the material trademark rights used in connection with the production, marketing, and distribution of all of our products, both in the United States and in the other countries in which our products are principally sold. Our trademarks include “Vera Bradley.” We aggressively police our trademarks and copyrights and pursue infringers and counterfeiters both domestically and internationally. Our trademarks will remain in existence for as long as we continue to use and renew them in advance of their expiration dates. We have no material patents.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9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Equal employment opportunities are available to all persons at Vera Bradley, Inc. without regard to race, sex, sexual orientation, gender, gender identity, gender expression, marital status, age, color, religion, creed, national origin, ancestry, mental or physical disability, medical condition, genetic information, military or veteran status or any other category protected under applicable federal, state, or local law. We put this standard into practice through our hiring, training, and an annual affirmative action program.</w:t>
      </w:r>
    </w:p>
    <w:p>
      <w:pPr>
        <w:spacing w:after="0" w:line="19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7"/>
          <w:szCs w:val="17"/>
          <w:color w:val="auto"/>
        </w:rPr>
        <w:t>As of January 31, 2026, we had approximately 1,360 employees. Of the total, approximately 985 were engaged in retail selling positions; approximately 210 were engaged in distribution, sourcing and quality functions; approximately 15 were engaged in product design; and approximately 150 were engaged in corporate support and administrative functions. None of our employees are represented by a union. We believe that our relations with our employees are good, and we have never encountered a significant work stoppage other than as related to temporary stoppages necessitated by the COVID-19 pandemic.</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i w:val="1"/>
          <w:iCs w:val="1"/>
          <w:color w:val="auto"/>
        </w:rPr>
        <w:t>Project Quilt</w:t>
      </w:r>
      <w:r>
        <w:rPr>
          <w:rFonts w:ascii="Times New Roman" w:cs="Times New Roman" w:eastAsia="Times New Roman" w:hAnsi="Times New Roman"/>
          <w:sz w:val="18"/>
          <w:szCs w:val="18"/>
          <w:color w:val="auto"/>
        </w:rPr>
        <w:t>. Our Company-wide diversity and inclusion initiative, Project Quilt, continues to enhance diversity, equality, and inclusion, focusing on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key areas – the Associate Experience, the Customer Experience, and the Community Experience. The goal of the program is to make all associates feel welcome and a part of the Vera Bradley community.</w:t>
      </w:r>
    </w:p>
    <w:p>
      <w:pPr>
        <w:spacing w:after="0" w:line="195"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8"/>
          <w:szCs w:val="18"/>
          <w:i w:val="1"/>
          <w:iCs w:val="1"/>
          <w:color w:val="auto"/>
        </w:rPr>
        <w:t>Engagement</w:t>
      </w:r>
      <w:r>
        <w:rPr>
          <w:rFonts w:ascii="Times New Roman" w:cs="Times New Roman" w:eastAsia="Times New Roman" w:hAnsi="Times New Roman"/>
          <w:sz w:val="18"/>
          <w:szCs w:val="18"/>
          <w:color w:val="auto"/>
        </w:rPr>
        <w:t>. Vera Bradley believes it is critical to engage its different stakeholders in order to understand their views, values, and ideas and to design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responsible environment for all involved. This stakeholder group includes associates. The Company engages its associates through surveys, town halls, and focus groups. Collectively, the Company's success is based upon the unique value of each person's contributions. Our long-term success depends on talented and engaged associates. Typically, we conduct an associate engagement survey each year in order to better understand our associates’ insights into our Company’s strengths and opportunities. The feedback gave us insight into improvement opportunities and is instrumental in decisions we make to shape, strengthen, and improve our Company. As a result of the survey feedback, over the last several years we have made meaningful improvements to benefits, career development, compensation, mental health and wellness programs, and our facilities. We believe listening to our associates’ feedback provided through the annual engagement survey continually strengthens our corporate culture.</w:t>
      </w:r>
    </w:p>
    <w:p>
      <w:pPr>
        <w:spacing w:after="0" w:line="56"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18"/>
          <w:szCs w:val="18"/>
          <w:color w:val="auto"/>
        </w:rPr>
        <w:t>In addition to the annual engagement survey, the Company facilitates ongoing dialogue with associates through internal focus groups such as the Sunshine Collective. This group meets regularly with members of middle management and serves as a forum to share information from leadership across business areas and to gather feedback from representatives regarding their respective teams and functions. The Sunshine Collective helps management better understand associate sentiment, identify potential areas of concern or opportunity, and maintain an ongoing pulse on employee engagement across the organization.</w:t>
      </w:r>
    </w:p>
    <w:p>
      <w:pPr>
        <w:spacing w:after="0" w:line="199" w:lineRule="exact"/>
        <w:rPr>
          <w:sz w:val="20"/>
          <w:szCs w:val="20"/>
          <w:color w:val="auto"/>
        </w:rPr>
      </w:pPr>
    </w:p>
    <w:p>
      <w:pPr>
        <w:ind w:right="440"/>
        <w:spacing w:after="0" w:line="253" w:lineRule="auto"/>
        <w:rPr>
          <w:sz w:val="20"/>
          <w:szCs w:val="20"/>
          <w:color w:val="auto"/>
        </w:rPr>
      </w:pPr>
      <w:r>
        <w:rPr>
          <w:rFonts w:ascii="Times New Roman" w:cs="Times New Roman" w:eastAsia="Times New Roman" w:hAnsi="Times New Roman"/>
          <w:sz w:val="18"/>
          <w:szCs w:val="18"/>
          <w:i w:val="1"/>
          <w:iCs w:val="1"/>
          <w:color w:val="auto"/>
        </w:rPr>
        <w:t>Pay and Benefits</w:t>
      </w:r>
      <w:r>
        <w:rPr>
          <w:rFonts w:ascii="Times New Roman" w:cs="Times New Roman" w:eastAsia="Times New Roman" w:hAnsi="Times New Roman"/>
          <w:sz w:val="18"/>
          <w:szCs w:val="18"/>
          <w:color w:val="auto"/>
        </w:rPr>
        <w:t>. The Company offers competitive pay packages that include market-competitive base and hourly compensation, healthcare, a 401(k)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savings plan that includes a Company contribution match, paid time off (including for volunteerism), and an Employee Assistance Program.</w:t>
      </w:r>
    </w:p>
    <w:p>
      <w:pPr>
        <w:spacing w:after="0" w:line="185"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i w:val="1"/>
          <w:iCs w:val="1"/>
          <w:color w:val="auto"/>
        </w:rPr>
        <w:t>Leadership Programs</w:t>
      </w:r>
      <w:r>
        <w:rPr>
          <w:rFonts w:ascii="Times New Roman" w:cs="Times New Roman" w:eastAsia="Times New Roman" w:hAnsi="Times New Roman"/>
          <w:sz w:val="18"/>
          <w:szCs w:val="18"/>
          <w:color w:val="auto"/>
        </w:rPr>
        <w:t>. Our associates are our biggest asset and when they win, we all win. We recognize everyone in the Company has the ability to lead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example and influence others in a positive way that ultimately provides meaningful value and will make us stronger. Our long-term initiative, Leaders by Design, encourages our associates to grow as leaders through new associate orientation and onboarding, formal training programs, mentorship programs, job shadowing and career-pathing programs and development, including THE LEADERSHIP CHALLENGE®, a globally recognized, research-based leadership development program designed to enhance leadership effectiveness.</w:t>
      </w:r>
    </w:p>
    <w:p>
      <w:pPr>
        <w:spacing w:after="0" w:line="197"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i w:val="1"/>
          <w:iCs w:val="1"/>
          <w:color w:val="auto"/>
        </w:rPr>
        <w:t>Associate Safety</w:t>
      </w:r>
      <w:r>
        <w:rPr>
          <w:rFonts w:ascii="Times New Roman" w:cs="Times New Roman" w:eastAsia="Times New Roman" w:hAnsi="Times New Roman"/>
          <w:sz w:val="18"/>
          <w:szCs w:val="18"/>
          <w:color w:val="auto"/>
        </w:rPr>
        <w:t>. Associate safety and well-being is of paramount importance to our Company. We have a comprehensive employee safety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WorkWISE Wellness, that focuses on overall employee health and safety. The WorkWISE Wellness program emphasizes our high standard of safety throughout all operations of the organization. The program and its materials, including a comprehensive Safety Manual, addresses a variety of topics including reporting injuries, OSHA compliance, and emergency procedures (related to workplace violence, active shooters, severe weather and blood-borne pathogens, among others). Policies are routinely communicated, and training is provided to associates as appropriate.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9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Many of our imported products are subject to existing or potential duties or tariffs that may limit the quantity of products that we may import into the United States and other countries or impact the cost of such products. Customs duties have not comprised a material portion of the total cost of a majority of our products. In addition, we are subject to foreign governmental regulation and trade restrictions, including U.S. retaliation against prohibited foreign practices, with respect to our product sourcing and international sales operations.</w:t>
      </w:r>
    </w:p>
    <w:p>
      <w:pPr>
        <w:spacing w:after="0" w:line="12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subject to federal, state, local, and foreign laws and regulations governing environmental matters, including the handling, transportation, and disposal of our products and our non-hazardous and hazardous substances and wastes, as well as emissions and discharges into the environment, including discharges to air, surface water, and groundwater. Failure to comply with such laws and regulations could result in costs for corrective action, penalties, or the imposition of other liabilities. Compliance with environmental laws and regulations has not had a material effect upon our capital expenditures, earnings, or competitive position. If we violate any laws or regulations, however, it could have a material adverse effect on our business or financial performance.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each of our executive officers: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6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3"/>
        </w:trPr>
        <w:tc>
          <w:tcPr>
            <w:tcW w:w="3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r>
      <w:tr>
        <w:trPr>
          <w:trHeight w:val="218"/>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Ian Bickley</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20" w:type="dxa"/>
            <w:vAlign w:val="bottom"/>
          </w:tcPr>
          <w:p>
            <w:pPr>
              <w:spacing w:after="0"/>
              <w:rPr>
                <w:sz w:val="18"/>
                <w:szCs w:val="18"/>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&amp; Chairman, Vera Bradley, Inc.</w:t>
            </w:r>
          </w:p>
        </w:tc>
      </w:tr>
      <w:tr>
        <w:trPr>
          <w:trHeight w:val="229"/>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Martin Layding</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20" w:type="dxa"/>
            <w:vAlign w:val="bottom"/>
          </w:tcPr>
          <w:p>
            <w:pPr>
              <w:spacing w:after="0"/>
              <w:rPr>
                <w:sz w:val="19"/>
                <w:szCs w:val="19"/>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&amp; Financial Officer, Vera Bradley, Inc.</w:t>
            </w:r>
          </w:p>
        </w:tc>
      </w:tr>
      <w:tr>
        <w:trPr>
          <w:trHeight w:val="229"/>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 C. Dely</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20" w:type="dxa"/>
            <w:vAlign w:val="bottom"/>
          </w:tcPr>
          <w:p>
            <w:pPr>
              <w:spacing w:after="0"/>
              <w:rPr>
                <w:sz w:val="19"/>
                <w:szCs w:val="19"/>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Administrative &amp; Legal Officer and Corporate Secretary, Vera Bradley, Inc.</w:t>
            </w:r>
          </w:p>
        </w:tc>
      </w:tr>
      <w:tr>
        <w:trPr>
          <w:trHeight w:val="234"/>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Melinda Paraie</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20" w:type="dxa"/>
            <w:vAlign w:val="bottom"/>
          </w:tcPr>
          <w:p>
            <w:pPr>
              <w:spacing w:after="0"/>
              <w:rPr>
                <w:sz w:val="20"/>
                <w:szCs w:val="20"/>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Brand Officer, Vera Bradley, Inc.</w:t>
            </w:r>
          </w:p>
        </w:tc>
      </w:tr>
    </w:tbl>
    <w:p>
      <w:pPr>
        <w:spacing w:after="0" w:line="200" w:lineRule="exact"/>
        <w:rPr>
          <w:sz w:val="20"/>
          <w:szCs w:val="20"/>
          <w:color w:val="auto"/>
        </w:rPr>
      </w:pPr>
    </w:p>
    <w:p>
      <w:pPr>
        <w:spacing w:after="0" w:line="279"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Ian Bickley </w:t>
      </w:r>
      <w:r>
        <w:rPr>
          <w:rFonts w:ascii="Times New Roman" w:cs="Times New Roman" w:eastAsia="Times New Roman" w:hAnsi="Times New Roman"/>
          <w:sz w:val="18"/>
          <w:szCs w:val="18"/>
          <w:color w:val="auto"/>
        </w:rPr>
        <w:t>serves as our Executive Chairman and Chief Executive Officer. Mr. Bickley was appointed permanent Chief Executive Officer in March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serving as our Interim Chief Executive Officer since July 2025. Mr. Bickley has been a member of our Board of Directors since November 2024. Mr. Bickley previously held numerous leadership roles during his nearly 25-year tenure with Coach, including serving for more than 10 years as President of the company’s International Group. Earlier in his career, he served as President and Chief Executive Officer of Coach Japan. Mr. Bickley also served as Interim Chief Executive Officer of The Body Shop and President of Global Business Development at Tapestry. He currently serves on the Board of Directors of Crocs and Brilliant Earth.</w:t>
      </w:r>
    </w:p>
    <w:p>
      <w:pPr>
        <w:spacing w:after="0" w:line="12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Martin Layding </w:t>
      </w:r>
      <w:r>
        <w:rPr>
          <w:rFonts w:ascii="Times New Roman" w:cs="Times New Roman" w:eastAsia="Times New Roman" w:hAnsi="Times New Roman"/>
          <w:sz w:val="18"/>
          <w:szCs w:val="18"/>
          <w:color w:val="auto"/>
        </w:rPr>
        <w:t>was named Chief Financial Officer in June 2025 and was promoted to also serve as the Chief Operating Officer in March 2026.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joining the Company, Mr. Layding served in Chief Financial Officer roles across several organizations. Most recently, he served as Chief Financial Officer of Noodle Partners. Previously, he served as Chief Financial Officer at Rohrer Corporation, Function of Beauty, and several private equity backed firms, including for the Supreme Brand. Earlier in his career, Mr. Layding held finance leadership roles at Tapestry, including as divisional Chief Financial Officer for the Coach brand. He began his career in finance roles at Procter &amp; Gamble.</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Mark C. Dely </w:t>
      </w:r>
      <w:r>
        <w:rPr>
          <w:rFonts w:ascii="Times New Roman" w:cs="Times New Roman" w:eastAsia="Times New Roman" w:hAnsi="Times New Roman"/>
          <w:sz w:val="18"/>
          <w:szCs w:val="18"/>
          <w:color w:val="auto"/>
        </w:rPr>
        <w:t>joined the Company in August 2016 as our Vice President, Chief Legal Officer and Corporate Secretary and was promoted to also serve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Chief Administrative Officer in September 2017. Prior to joining the Company, Mr. Dely served as Senior Vice President, Chief Legal Officer, General Counsel and Secretary of Fred’s, Inc.. Earlier in his career, he served as Vice President and Divisional General Counsel of the Franchise Services Group for The ServiceMaster Company, where he led the legal function for the company’s global franchise businesses. Mr. Dely previously served as the first in-house counsel for Delta &amp; Pine Land Company and began his legal career at Fried Frank.</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Melinda Paraie </w:t>
      </w:r>
      <w:r>
        <w:rPr>
          <w:rFonts w:ascii="Times New Roman" w:cs="Times New Roman" w:eastAsia="Times New Roman" w:hAnsi="Times New Roman"/>
          <w:sz w:val="18"/>
          <w:szCs w:val="18"/>
          <w:color w:val="auto"/>
        </w:rPr>
        <w:t>joined the Company in November 2025 as Chief Brand Officer. From 2018 to 2023, Ms. Paraie served as Chief Executive Officer of Cath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Kidston, where she led the brand through a digital transformation, navigated the company through challenging business environment during the COVID-19 pandemic, and oversaw its eventual sale. Prior to that, she spent more than ten years at Tapestry (formerly Coach, Inc.), most recently serving as Senior Vice President of Merchandising for North America and previously for the APAC region. Ms. Paraie also served as Chief Merchandising Officer of John Hardy and, most recently, served as a strategic advisor to several brands, including The Body Shop and Adolfo Domínguez.</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these reports filed or furnished pursuant to Section 13(a) or 15(d) of the Securities Exchange Act of 1934 are available free of charge on our website, www.verabradley.com, as soon as reasonably practicable after they are filed with or furnished to the Securities and Exchange Commission (“SEC”). No information contained on our website is intended to be included as part of, or incorporated by reference into, this Annual Report on Form 10-K.</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0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all of the information in this report, including the following factors, which could materially affect our business, financial condition, and results of operations in future periods. The risks described below are not the only risks that we face. Additional risks not currently known to us, or that we currently deem to be immaterial, also may materially adversely affect our business, financial condition, and results of operations in future periods.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Operations and Industry</w:t>
      </w:r>
    </w:p>
    <w:p>
      <w:pPr>
        <w:spacing w:after="0" w:line="10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implement our long-term strategic plans and growth strategies, including Project Sunshine, our future operating results could suffer.</w:t>
      </w:r>
    </w:p>
    <w:p>
      <w:pPr>
        <w:spacing w:after="0" w:line="3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success of our long-term strategic plan and growth strategies, including Project Sunshine, alone or collectively, will depend on various factors, including the appeal of our product designs, retail presentation to consumers, effectiveness of our marketing initiatives, realignment of our digital platforms and strategies, expense-saving initiatives, competitive conditions, and economic conditions. Project Sunshine represents our comprehensive strategy to strengthen our market position by tapping into our brand’s strong emotional connection with consumers. There is no assurance that we will be able to successfully implement our strategic plan and growth strategies. If we are unsuccessful in implementing some or all of our strategies or initiatives, our future operating results could be adversely impacted.</w:t>
      </w:r>
    </w:p>
    <w:p>
      <w:pPr>
        <w:spacing w:after="0" w:line="4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general economic conditions and political uncertainty, including policies related to global trade and tariffs, and their impact on consumer confidence and consumer spending, could negatively impact our profitability and net revenues, which could force us to delay or slow the implementation of our growth strategies and adversely impact our results of operations.</w:t>
      </w:r>
    </w:p>
    <w:p>
      <w:pPr>
        <w:spacing w:after="0" w:line="5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performance is subject to general economic conditions and political uncertainty and their impact on levels of consumer confidence and consumer spending. Consumer confidence and consumer spending may be influenced by levels of inflation, fluctuating interest rates and credit availability (including possible exposure to bank failures), changing fuel and other energy costs, fluctuating commodity prices, levels of unemployment and consumer debt levels, tariffs, trade barriers or other measures that create barriers to or increase the costs associated with international trade, changes in net worth based on market conditions, general uncertainty regarding the overall future economic environment, political turmoil and uncertainty, pandemics or other public health matters, and weather and weather-related phenomena.</w:t>
      </w:r>
    </w:p>
    <w:p>
      <w:pPr>
        <w:spacing w:after="0" w:line="6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Consumer purchases of discretionary items, including our merchandise, generally decline during periods when disposable income is adversely affected or there is economic or political uncertainty. This includes rising geopolitical tensions and U.S. policies related to global trade and tariffs. The deterioration of economic relations between countries, such as changes in or terminations of existing trade agreements, or the imposition of tariffs (including recent U.S. tariffs imposed or threatened to be imposed on Canada, Mexico, China, and other countries, and any retaliatory actions taken by such countries) or otherwise, could impact our profitability or otherwise have an adverse effect on our business.</w:t>
      </w:r>
    </w:p>
    <w:p>
      <w:pPr>
        <w:spacing w:after="0" w:line="4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in the event of a downturn in the U.S. economy, or if there is a decline in consumer-spending levels or other unfavorable conditions, including inflationary pressure, we could experience lower than expected net revenues, which could force us to delay or slow the implementation of our growth strategies and adversely impact our results of operations.</w:t>
      </w:r>
    </w:p>
    <w:p>
      <w:pPr>
        <w:spacing w:after="0" w:line="5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predict and respond in a timely manner to changes in consumer demand, our net revenues and results of operations could be adversely affected.</w:t>
      </w:r>
    </w:p>
    <w:p>
      <w:pPr>
        <w:spacing w:after="0" w:line="3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success depends on our ability to gauge the fashion tastes of our customers and to provide merchandise that satisfies consumer demand in a timely manner. Our products must appeal to a broad range of consumers whose preferences cannot be predicted with certainty and are subject to rapid change. We cannot assure that we will be able to develop appealing patterns, styles, and collections or meet changing consumer demands in the future. If we misjudge the market for our products, we may be faced with significant excess inventories for some products and missed opportunities for other products. In addition, changes to our product assortment and to our available fabrications, as well as the availability and breadth of pattern assortment may not gain consumer acceptance. Merchandise misjudgments could adversely impact our net revenues and results of operations.</w:t>
      </w:r>
    </w:p>
    <w:p>
      <w:pPr>
        <w:spacing w:after="0" w:line="48"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effectively manage inventory levels, product assortment, and promotional activity across channels, our gross margins, brand perception, and results of operations could be adversely affected.</w:t>
      </w:r>
    </w:p>
    <w:p>
      <w:pPr>
        <w:spacing w:after="0" w:line="3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business requires us to forecast consumer demand and to manage inventory purchases, allocations, and replenishment decisions across Vera Bradley Direct, Vera Bradley Indirect, and our other channels, including sales through the Vera Bradley websites and marketplaces. Forecasting errors, changes in consumer preferences, delays in product flow, or shifts in channel mix may result in excess or aged inventory, higher markdowns, increased product returns, the need to increase promotional activity, and the write-off of inventory that cannot be sold at or above cost. Promotional activity by us or by our Vera Bradley Indirect partners or marketplace operators may also reduce realized pricing, compress gross margins, and adversely impact</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brand positioning. In addition, efforts to reduce promotions or optimize pricing may negatively impact traffic and conversion, and pricing inconsistencies across channels may harm customer trust or strain key Vera Bradley Indirect relationships.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declines in comparable sales which could negatively affect the price of our common stock.</w:t>
      </w:r>
    </w:p>
    <w:p>
      <w:pPr>
        <w:spacing w:after="0" w:line="1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may not be able to regain the levels of comparable sales that we have experienced in the past, and comparable sales may also further deteriorate. If our future comparable sales fail to meet market expectations, then the price of our common stock could decline. Also, the aggregate results of operations of our stores have fluctuated in the past and will fluctuate in the future. Numerous factors influence comparable sales, including fashion trends, competition, national and regional economic conditions, pricing, inflation, the timing of the release of new merchandise and promotional events, changes in our merchandise mix, marketing programs, changes in consumer shopping trends, site selection strategies, public health matters, and weather conditions. These factors may cause our comparable sales results to be lower in the future than in recent periods or lower than expectations, either of which could result in a decline in the price of our common stock.</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multi-channel distribution model is not successful, our business and results of operations may suffer.</w:t>
      </w:r>
    </w:p>
    <w:p>
      <w:pPr>
        <w:spacing w:after="0" w:line="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currently sell our Vera Bradley-branded products into two segments: Direct to consumers through Vera Bradley full-line and outlet stores in the United States, the Vera Bradley websites (verabradley.com, international.verabradley.com, and outlet.verabradley.com), typically the Vera Bradley annual outlet sale in Fort Wayne, Indiana as well as direct to consumer marketplaces; and through our Vera Bradley Indirect wholesale business which consists of sales to specialty retail locations, department stores, national accounts, third-party inventory liquidators, as well as royalties recognized through licensing agreements related to the Vera Bradley brand. These channels are sometimes in direct competition and sales through these channels may not be incremental to total sales. If our omni-channel distribution model is unsuccessful, our business, financial condition, and results of operations could be materially adversely affected.</w:t>
      </w:r>
    </w:p>
    <w:p>
      <w:pPr>
        <w:spacing w:after="0" w:line="6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open new stores and/or operate new and current stores as planned, which could adversely impact our results of operations.</w:t>
      </w:r>
    </w:p>
    <w:p>
      <w:pPr>
        <w:spacing w:after="0" w:line="3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long-term future growth prospects include our ability to successfully open new stores and operate new and current Vera Bradley stores. In recent years, however, Vera Bradley comparable store sales have declined. Consequently, the rate at which we have opened new stores has slowed. We have closed a total of 91 underperforming full-line stores and five underperforming outlet stores since the beginning of fiscal 2015 and forecast that we will close additional underperforming full-line stores. We will opportunistically evaluate new store locations if we can obtain favorable locations and rental agreements. We will continue to evaluate our plans for store openings in future years in light of demand and store performance.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successfully open and operate stores depends on many factors, including our ability to:</w:t>
      </w:r>
    </w:p>
    <w:p>
      <w:pPr>
        <w:spacing w:after="0" w:line="10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suitable store locations, the availability of which may be uncertain;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acceptable lease terms, including desired tenant improvement allowances;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retain store personnel and management;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assimilate new store personnel and management into our corporate culture;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and manufacture inventory;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integrate new stores into our existing operations and information technology systems.</w:t>
      </w:r>
    </w:p>
    <w:p>
      <w:pPr>
        <w:spacing w:after="0" w:line="10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success of new store openings may also be affected by our ability to initiate marketing efforts in advance of opening our first store in a particular region. Additionally, we will incur pre-opening costs and we may encounter initial losses while new stores commence operations, which could strain our resources and adversely impact our results of operations.</w:t>
      </w:r>
    </w:p>
    <w:p>
      <w:pPr>
        <w:spacing w:after="0" w:line="5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a strong brand. If we are unable to execute our marketing strategies, intended to enhance our brand, then revenues and our results of operations could be adversely impacted.</w:t>
      </w:r>
    </w:p>
    <w:p>
      <w:pPr>
        <w:spacing w:after="0" w:line="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that the brand images that we have developed have contributed significantly to the success of our business. We also believe that enhancing the Vera Bradley brand through our marketing strategies is critical to maintaining and expanding our customer base. Enhancing our brand and implementing our marketing strategies may require us to make substantial investments in areas such as product design, store operations, store design, community relations, and marketing. These investments might not succeed. If we are unable to successfully execute our brand strategies, our results of operations could be adversely impacted.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Closing stores could result in significant costs to us.</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closed a total of 91 underperforming full-line stores and five underperforming outlet stores since the beginning of fiscal 2015 and forecast that we will close additional underperforming stores. We could, in the future, decide to close additional stores beyond those currently forecasted that are producing losses or that are not as profitable as we expect. If we decide to close any stores before the expiration of their lease terms, we may incur payments to landlords to terminate or “buy out” the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remaining term of the lease. We also may incur costs related to the employees at such stores, whether or not we terminate the leases early. Upon any such closure, the closing costs, including fixed assets and inventory write-downs, could adversely affect our results of operations and our cash on hand.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attract customers to our stores depends heavily on the success of the shopping centers in which many of our stores are located.</w:t>
      </w:r>
    </w:p>
    <w:p>
      <w:pPr>
        <w:spacing w:after="0" w:line="10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Substantially all of our Vera Bradley Direct stores are located in regional mall shopping centers, and many of our Vera Bradley Indirect customers are also located in regional mall shopping centers. Factors beyond our control impact mall traffic, including general economic conditions, consumer spending levels, and pandemics or other public health matters. Consumer spending and mall traffic have been depressed in recent years. As a result, mall operators have faced increasing operational and financial difficulties. The increasing inability of mall “anchor” tenants and other area attractions to generate consumer traffic around our stores, the increasing inability of mall operators to attract “anchor” tenants and maintain viable operations, and the increasing departures of existing “anchor” and other mall tenants due to declines in the sales volume and in the popularity of certain malls as shopping destinations, have reduced and may continue to reduce our sales volume and, consequently, adversely affect our financial condition, results of operations, and cash flows.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leasing substantial amounts of space, including future increases in occupancy costs.</w:t>
      </w:r>
    </w:p>
    <w:p>
      <w:pPr>
        <w:spacing w:after="0" w:line="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lease all of our store locations. We typically occupy our stores under operating leases with terms of ten years. We have been able to negotiate favorable rental rates in recent years due in part to the state of the economy and high vacancy rates within some shopping centers, but there is no assurance that we will be able to continue to negotiate such favorable terms. Some of our leases have early cancellation clauses, which permit the lease to be terminated by us or the landlord if certain sales levels are not met in specific periods or if the shopping center does not meet specified occupancy standards. In addition to requiring future minimum lease payments, some of our store leases provide for the payment of common area maintenance charges, real property insurance, and real estate taxes. Many of our lease agreements have escalating rent provisions over the initial term and any extensions. If we expand our store base, our lease expense and our cash outlays for rent under lease agreements will increase. Our substantial operating lease obligations could have significant negative consequences, including:</w:t>
      </w:r>
    </w:p>
    <w:p>
      <w:pPr>
        <w:spacing w:after="0" w:line="7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that a substantial portion of our available cash be applied to pay our rental obligations, thus reducing cash available for other purposes;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or industry;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1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Any of these consequences could place us at a disadvantage with respect to our competitors. We depend on cash flow from operating activities to pay our lease expenses and to fulfill our other cash needs. If our business does not generate sufficient cash flow from operating activities to fund these expenses and needs, we may not be able to service our lease expenses, grow our business, respond to competitive challenges, or fund our other liquidity and capital needs, which would harm our business.</w:t>
      </w:r>
    </w:p>
    <w:p>
      <w:pPr>
        <w:spacing w:after="0" w:line="4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Additional sites that we lease may be subject to long-term non-cancelable leases if we are unable to negotiate our current standard lease terms. If an existing or future store is not profitable, and we decide to close it, we may nonetheless be committed to perform our obligations under the applicable lease, including paying the base rent for the balance of the lease term. Moreover, even if a lease has an early cancellation clause, we may not satisfy the contractual requirements for early cancellation under the lease. Our inability to enter new leases or renew existing leases on acceptable terms or be released from our obligations under leases for stores that we close would, in any such case, affect us adversely.</w:t>
      </w:r>
    </w:p>
    <w:p>
      <w:pPr>
        <w:spacing w:after="0" w:line="5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compete with other retailers for sales could have a material adverse effect on our financial condition, results of operations, and cash flows.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for bags, accessories, travel items and our other products is increasingly competitive. Our competitive challenges include:</w:t>
      </w:r>
    </w:p>
    <w:p>
      <w:pPr>
        <w:spacing w:after="0" w:line="9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customer traffic;</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and manufacturing merchandise efficiently;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competitively pricing our products and achieving customer perception of value;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favorable brand recognition and effectively marketing our products to consumers in diverse market segments;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designs that appeal to a broad range of demographic and age segments;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high-quality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attractive promotional incentives while maintaining profit margins; and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good working relationships with our wholesale retailers.</w:t>
      </w:r>
    </w:p>
    <w:p>
      <w:pPr>
        <w:spacing w:after="0" w:line="9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our Vera Bradley Indirect business, we compete with numerous manufacturers, importers, and distributors of handbags, accessories, and other products for the limited space available for the display of such products to the consumer. In our Vera Bradley Direct business, we compete against other gift and specialty retailers, department stores, catalog retailers, and Internet businesses that engage in the retail sale of similar products. Moreover, the general availability of contract manufacturing allows new entrants easy access to the markets in which we compete, which may increase the number of competitors and adversely affect our competitive position and our business.</w:t>
      </w:r>
    </w:p>
    <w:p>
      <w:pPr>
        <w:spacing w:after="0" w:line="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addition, in light of a continued difficult consumer environment, pricing is a significant driver of consumer choice in our industry and we regularly engage in price competition, particularly through our promotional programs, which impacts our margins. To the extent that we decrease our promotional activity or are otherwise unable to effectively compete on pricing, our ability to maintain sales levels may be adversely impacted.</w:t>
      </w:r>
    </w:p>
    <w:p>
      <w:pPr>
        <w:spacing w:after="0" w:line="5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wholesale business could suffer as a result of decisions by our wholesale retailers to decrease or eliminate the amount of merchandise purchased from us.</w:t>
      </w:r>
    </w:p>
    <w:p>
      <w:pPr>
        <w:spacing w:after="0" w:line="2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do not enter into long-term agreements with any of our wholesale retailers. Instead, we enter into a number of purchase order commitments with our customers for each of our lines every season. A decision by a significant number of wholesale retailers, whether motivated by competitive conditions, operational or financial difficulties, reduced access to capital, or otherwise, to decrease or eliminate the amount of merchandise purchased from us or to change their manner of doing business with us could adversely impact our results of operations. Although we recommend retail sale prices for our products to our wholesale retailers, we typically do not provide dealer allowances or other economic incentives to support those prices. Possible promotional pricing or discounting by wholesale retailers in response to softening retail demand could have a negative effect on our brand image and prestige, which might be difficult to counteract.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Bankruptcies or other operational or financial difficulties of our wholesale retailers could adversely impact our business.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sell our wholesale merchandise primarily to specialty retail and department stores across the United States and extend trade credit based on an evaluation of each wholesale retailer’s financial condition, usually without requiring collateral. Perceived or actual financial difficulties of a customer could cause us to curtail or eliminate business with that customer or could decrease demand for our products by that customer. Pending the resolution of a relationship with a financially troubled wholesale retailer, we might assume credit risk that we would otherwise avoid relating to our receivables from that customer. Inability to collect on accounts receivable from our wholesale retailers would adversely impact our results of operations and financial position.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Global Sourcing and Distribution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various contract manufacturers to produce all of our products and generally do not have long-term contracts with our manufacturers.</w:t>
      </w:r>
    </w:p>
    <w:p>
      <w:pPr>
        <w:spacing w:after="0" w:line="94"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Our various contract manufacturers produce all of our products. We generally do not enter into long-term formal written agreements with our manufacturers and instead transact business with each of them on an order-by-order basis. In the event of a disruption in our contract manufacturers’ production systems, we may be unable to locate alternative manufacturers of comparable quality at an acceptable price or in a timely manner, or at all. Identifying a suitable manufacturer is an involved process that requires us to become satisfied with the prospective manufacturer’s quality control, responsiveness and service, financial stability, labor practices, and environmental compliance. Any delay, interruption, or increased cost in the manufactured products that might occur for any reason, such as the lack of long-term contracts or regulatory requirements and the loss of certifications, power interruptions, fires, hurricanes, war, pandemics or other public health matters, tariff-related cost increases, or threats of terrorism, could affect our ability to meet customer demand for our products, adversely affect our net revenues, increase our cost of sales, and hurt our results of operations. In addition, manufacturing disruption could injure our reputation and customer relationships, thereby harming our business.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various suppliers to supply a significant majority of our raw materials.</w:t>
      </w:r>
    </w:p>
    <w:p>
      <w:pPr>
        <w:spacing w:after="0" w:line="10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generally do not enter into long-term formal written agreements with our suppliers and typically transact business with each of them on an order-by-order basis. In the event of a significant disruption in the supply of fabrics or raw materials from our current sources, we may not be able to locate alternative suppliers of materials of comparable quality at an acceptable price or in a timely manner, or at all. In such a case, we could have difficulty meeting consumer demand and net revenues could be adversely impacted.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a limited number of distribution facilities for the products we sell.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operations currently concentrated in a single, company-owned distribution center in Roanoke, Indiana.</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Any significant disruption in the operation of these facilities due to natural disaster or severe weather, or events such as fire, accidents, power outages, system failures, or other unforeseen causes, could devalue or damage a significant portion of our inventory and could adversely affect our product distribution and sales until such time as we could secure alternative facilities. In addition to the aforementioned events, pandemics or other public health matters could cause disruptions in our distribution operations if we were to temporarily suspend operations, or if we are unable to obtain the staffing levels required to effectively operate the facilities. If we encounter difficulties with our distribution facilities or other problems or disasters arise, we cannot ensure that critical systems and operations will be restored in a timely manner or at all, and this would have a material adverse effect on our business. In addition, if our distribution facilities are unable to sufficiently meet the capacity needs for the future growth of our business and products, we could be required to further expand our current facilities, which could affect us adversely in ways that we cannot predict.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cost of raw materials could increase our cost of sales and cause our results of operations to suffer.</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Fluctuations in the price, availability, and quality of fabrics or other raw materials used to manufacture our products, as well as increases in the price for labor, marketing, and transportation, could have adverse impacts on our cost of sales and our ability to meet our customers’ demands. In particular, increases in the price of cotton, our primary raw material, could have an adverse impact on our cost of sales. In addition, because synthetic components of our products are petroleum-based, the cost of oil affects the cost of our products. Upward movements in the price of oil in the global oil markets would also likely result in rising fuel and freight prices, which could increase our shipping costs. In the future, we may not be able to pass all or a portion of such higher costs on to our customers.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inherent in global sourcing and manufacturing activities.</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source our raw materials primarily from various suppliers in Asia, with the majority of non-cotton based products coming from China and South Korea. Our cotton-based products are sourced from areas outside of China. We outsource the production of a significant majority of our products to companies in Asia. We are subject to the risks inherent in global sourcing and manufacturing, including, but not limited to:</w:t>
      </w:r>
    </w:p>
    <w:p>
      <w:pPr>
        <w:spacing w:after="0" w:line="5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and trends;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raw materials;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labor laws and other foreign governmental regulations;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compliance with U.S. import and export laws and regulations including the </w:t>
      </w:r>
      <w:r>
        <w:rPr>
          <w:rFonts w:ascii="Times New Roman" w:cs="Times New Roman" w:eastAsia="Times New Roman" w:hAnsi="Times New Roman"/>
          <w:sz w:val="18"/>
          <w:szCs w:val="18"/>
          <w:color w:val="080808"/>
        </w:rPr>
        <w:t>Uyghur Forced Labor Prevention Act (“UFLPA”) as described below</w:t>
      </w:r>
      <w:r>
        <w:rPr>
          <w:rFonts w:ascii="Times New Roman" w:cs="Times New Roman" w:eastAsia="Times New Roman" w:hAnsi="Times New Roman"/>
          <w:sz w:val="18"/>
          <w:szCs w:val="18"/>
          <w:color w:val="auto"/>
        </w:rPr>
        <w: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or delays in shipments;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impairment of key manufacturing sites;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issues;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w:t>
      </w:r>
    </w:p>
    <w:p>
      <w:pPr>
        <w:spacing w:after="0" w:line="90"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acts of war and terrorism, changing macroeconomic trends, pandemics or other public health matters, and other external factors over which we have no control;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quotas, duties, tariffs, or other trade restrictions or regulations.</w:t>
      </w:r>
    </w:p>
    <w:p>
      <w:pPr>
        <w:spacing w:after="0" w:line="104"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UFLPA went into effect on June 21, 2022. The act establishes a rebuttable presumption that the importation into the United States of any goods manufactured in whole or partially in Xinjiang Uyghur Autonomous Region of China, or produced by certain entities, is prohibited entry. The Commissioner of U.S. Customs and Border Protection employs a risk-based approach that prioritizes the highest-risk goods based on current data and intelligence available to them at the time of entry.</w:t>
      </w:r>
    </w:p>
    <w:p>
      <w:pPr>
        <w:spacing w:after="0" w:line="4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Significant disruption of manufacturing for any of the above reasons could interrupt product supply and, if not remedied in a timely manner, could have an adverse impact on our results of operations. Additionally, we do not have complete oversight over our contract manufacturers. Violations of labor or other laws by those manufacturers, or the divergence of a contract manufacturer’s labor or other practices from those generally accepted as ethical in the United States or in other markets in which we may in the future do business, could also draw negative publicity for us and our brands, diminishing the value of our brands and reducing demand for our products.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source our products at favorable prices, or at all, could be harmed, with adverse effects on our results of operations, if new trade restrictions are imposed, existing trade restrictions become more burdensome, or increased tariffs are implemented.</w:t>
      </w:r>
    </w:p>
    <w:p>
      <w:pPr>
        <w:spacing w:after="0" w:line="2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significant majority of our products are currently manufactured for us in Asia. The United States and the countries in which our products are produced have imposed and may impose additional quotas, duties, tariffs, or other restrictions or regulations or may adversely adjust prevailing quotas, duties, or tariffs. Countries impose, modify, and remove tariffs and other trade restrictions in response to a diverse array of factors, including global and national economic and political conditions, which make it impossible for us to predict future developments regarding tariffs and other trade restrictions. Trade restrictions, which include embargoes, safeguards, and customs restrictions, could increase the cost or reduce the supply of products available to us or could require us to modify our supply chain organization or other current business practices, any of which could harm our results of operations.</w:t>
      </w:r>
    </w:p>
    <w:p>
      <w:pPr>
        <w:spacing w:after="0" w:line="6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the current U.S. presidential administration has implemented tariffs and has signaled that it may implement additional or increased tariffs, other trade restrictions, or may alter trade agreements between the U.S. and Canada, China, the European Union and Mexico, among others. Such actions include limiting trade and/or imposing tariffs on imports from such countries. Tariffs have the potential to significantly raise the cost of our merchandise. In such a case, there can be no assurance that we will be able to shift manufacturing and supply agreements to non-impacted countries to reduce the effects of tariffs. As a result, we may suffer margin erosion or be required to raise our prices, which may result in the loss of customers and negatively impact our results of operations.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independent transportation providers for substantially all of our product shipments.</w:t>
      </w:r>
    </w:p>
    <w:p>
      <w:pPr>
        <w:spacing w:after="0" w:line="9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currently rely on independent transportation service providers for substantially all of our product shipments. Our utilization of these delivery services, or those of any other shipping companies that we may elect to use, is subject to risks, including increases in fuel prices, which would increase our shipping costs, employee strikes, labor shortages, health emergencies, and inclement weather, which may impact a shipping company’s ability to provide delivery services sufficient to meet our shipping needs.</w:t>
      </w:r>
    </w:p>
    <w:p>
      <w:pPr>
        <w:spacing w:after="0" w:line="58"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If for any reason we were to change shipping companies, we could face logistical difficulties that might adversely affect deliveries, and we would incur costs and expend resources in the course of making the change. Moreover, we might not be able to obtain terms as favorable as those received from the service providers that we currently use, which in turn would increase our costs. We also would face shipping and distribution risks and uncertainties associated with any expansion of our distribution facilities and related systems.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or disruptions associated with our distribution systems could have a material adverse effect on our business and operations.</w:t>
      </w:r>
    </w:p>
    <w:p>
      <w:pPr>
        <w:spacing w:after="0" w:line="94"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Our operating results depend on the orderly operation of our receiving and distribution functions, which also depends on our vendors' adherence to our shipping and receiving schedules. We may not anticipate all of the changing demands that our operating activities may impose on our receiving and distribution functions. There may also be events that are beyond our control that could cause delays in these functions, including but not limited to, changing macroeconomic trends, pandemics or other public health matters, and general disruptions or delays in shipping and receiving.</w:t>
      </w:r>
    </w:p>
    <w:p>
      <w:pPr>
        <w:spacing w:after="0" w:line="5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we rely on the flow of our goods through worldwide ports on a consistent basis. Disruption at the ports, such as labor work stoppages, could create significant risks to our business, particularly if the occurrence is during a peak import time. If we experience significant delays in our receipt of product, we may experience an increase in freight costs, unanticipated inventory shortages, and missed sales opportunities which could adversely affect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Information Technology and Security</w:t>
      </w:r>
    </w:p>
    <w:p>
      <w:pPr>
        <w:spacing w:after="0" w:line="9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data security or privacy breach could damage our reputation and our relationships with our customers, expose us to litigation risk and adversely affect our business.</w:t>
      </w:r>
    </w:p>
    <w:p>
      <w:pPr>
        <w:spacing w:after="0" w:line="3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remain dependent on information technology systems and networks, including the Internet, for a significant portion of our sales, primarily through our e-commerce operations and credit card transaction authorization and processing. We are also responsible for storing data relating to our customers and employees and rely on third parties for the operation of our e-commerce websites and for the various social media tools and websites we use as part of our marketing strategy. As part of our normal course of business, we often collect, retain, and transmit certain sensitive and confidential customer information, including the transmission of credit card information, over public networks. There is a significant concern by consumers and employees over the security of personal information transmitted over the Internet, consumer identity theft, and user privacy. Despite the security measures we currently have in place, our facilities and systems and those of our third-party service providers may be vulnerable to security breaches, acts of vandalism, computer viruses, misplaced or lost data, programming and/or human errors, ransomware, or other similar events. The rapid evolution and increased adoption of artificial intelligence technologies by attackers may intensify our cybersecurity risks. Any electronic or physical security breach involving the misappropriation, loss or other unauthorized disclosure of confidential or personally identifiable information, including penetration of our network security, whether by us or by a third-party, could disrupt our business, severely damage our reputation and our relationships with our customers, expose us to risks of litigation and liability, and adversely affect our business and results of operations. We do not control third-party service providers and cannot guarantee that electronic or physical computer break-ins and security breaches will not occur in the future. Any perceived or actual unauthorized disclosure of personally identifiable information regarding our customers or website visitors could harm our reputation and credibility, reduce our e-commerce net sales, impair our ability to attract website visitors, and reduce our ability to attract and retain customers. We may also incur significant costs in complying with the various applicable state, federal, and foreign laws regarding unauthorized disclosure of personal information.</w:t>
      </w:r>
    </w:p>
    <w:p>
      <w:pPr>
        <w:spacing w:after="0" w:line="6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privacy laws, regulations, and platform policies could increase our compliance costs and limit our ability to acquire customers effectively, which could adversely affect our business.</w:t>
      </w:r>
    </w:p>
    <w:p>
      <w:pPr>
        <w:spacing w:after="0" w:line="24"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We are subject to a rapidly evolving set of privacy, data protection, marketing, and consumer disclosure laws and regulations in the United States and internationally. Compliance may require changes to our data practices, notices, consent mechanisms, vendor management, and recordkeeping, and may increase costs related to personnel, systems, monitoring, and audits. In addition, changes in browser, mobile operating system, and advertising platform policies may limit the availability of data signals used for measurement and targeting, which could reduce the effectiveness of our marketing spend, increase customer acquisition costs, and adversely affect our ability to grow sales through the Vera Bradley websites and marketplaces.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suffer if our computer systems and websites are disrupted or cease to operate effectively.</w:t>
      </w:r>
    </w:p>
    <w:p>
      <w:pPr>
        <w:spacing w:after="0" w:line="10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are dependent on our computer systems to record and process transactions and manage and operate our business, including in designing, marketing, manufacturing, importing, tracking and distributing our products, processing payments, and accounting for and reporting results. We also utilize an automated replenishment system to facilitate the processing of basic replenishment orders, the movement of goods through distribution channels, and the collection of information for planning and forecasting. In addition, we have U.S. and international e-commerce websites. Given the complexity of our business and the significant number of transactions that we engage in, it is imperative that we maintain constant operation of our computer hardware and software systems. Despite our preventive efforts, including back-up systems, our systems are vulnerable from time to time to damage or interruption from, among other things, security breaches, computer viruses or power outages. Any material disruptions in our information technology systems could have a material adverse effect on our business, financial condition, and results of operations.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business risks as a result of our e-commerce operations.</w:t>
      </w:r>
    </w:p>
    <w:p>
      <w:pPr>
        <w:spacing w:after="0" w:line="9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We operate e-commerce stores at www.verabradley.com, outlet.verabradley.com, and international.verabradley.com. Expanding our e-commerce business is one of the key objectives of our business strategy. Our e-commerce operations are subject to numerous risks, including unanticipated operating problems, reliance on third-party computer hardware and software providers, system failures, and the need to invest in additional computer systems. Specific risks include: (i) diversion of sales from our stores; (ii) rapid technological change; (iii) liability for e-commerce content; and (iv) risks related to the failure of the computer systems that operate the websites and their related support systems, including from computer viruses, telecommunication failures, and electronic break-ins and similar disruptions. Internet operations involve risks which may be beyond our control that could have a direct material adverse effect on our operating results, including: (i) price competition involving the items we intend to sell; (ii) the level of merchandise returns we experience;</w:t>
      </w:r>
    </w:p>
    <w:p>
      <w:pPr>
        <w:spacing w:after="0" w:line="5" w:lineRule="exact"/>
        <w:rPr>
          <w:sz w:val="20"/>
          <w:szCs w:val="20"/>
          <w:color w:val="auto"/>
        </w:rPr>
      </w:pPr>
    </w:p>
    <w:p>
      <w:pPr>
        <w:ind w:right="60" w:firstLine="8"/>
        <w:spacing w:after="0" w:line="238" w:lineRule="auto"/>
        <w:tabs>
          <w:tab w:leader="none" w:pos="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 (iv) e-commerce security breaches involving unauthorized access to our systems and/or customer information; (v) credit card fraud; (vi) adverse changes in the terms, policies, algorithms, fees, or service levels of marketplaces or other third-party digital platforms on which we sell or advertise; and (vii) competition and general economic conditions specific to the Internet, e-commerce, and the accessories industry. If we are unable to effectively address these risks and any other risks that we face in</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80"/>
        <w:spacing w:after="0" w:line="352" w:lineRule="auto"/>
        <w:rPr>
          <w:sz w:val="20"/>
          <w:szCs w:val="20"/>
          <w:color w:val="auto"/>
        </w:rPr>
      </w:pPr>
      <w:r>
        <w:rPr>
          <w:rFonts w:ascii="Times New Roman" w:cs="Times New Roman" w:eastAsia="Times New Roman" w:hAnsi="Times New Roman"/>
          <w:sz w:val="18"/>
          <w:szCs w:val="18"/>
          <w:color w:val="auto"/>
        </w:rPr>
        <w:t xml:space="preserve">connection with our Internet operations, our business, financial condition, results of operations, and/or cash flows could be materially adversely affected. </w:t>
      </w:r>
      <w:r>
        <w:rPr>
          <w:rFonts w:ascii="Times New Roman" w:cs="Times New Roman" w:eastAsia="Times New Roman" w:hAnsi="Times New Roman"/>
          <w:sz w:val="18"/>
          <w:szCs w:val="18"/>
          <w:b w:val="1"/>
          <w:bCs w:val="1"/>
          <w:i w:val="1"/>
          <w:iCs w:val="1"/>
          <w:color w:val="auto"/>
        </w:rPr>
        <w:t>The use of or failure to adopt artificial intelligence technologies may impact our business</w:t>
      </w: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use of artificial intelligence (“AI”) technologies could expose us to operational, legal, regulatory, cybersecurity, and reputational risks, and the use of AI by third parties could increase fraud, misinformation, data privacy concerns, and other risks to our business. AI technologies may produce inaccurate, biased, or unreliable outputs, and our reliance on such technologies, whether internally developed or obtained from third parties, could result in errors in decision-making, regulatory scrutiny, customer dissatisfaction, or damage to our reputation.</w:t>
      </w:r>
    </w:p>
    <w:p>
      <w:pPr>
        <w:spacing w:after="0" w:line="58"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In addition, our business increasingly depends on technology and digital capabilities, and the thoughtful development, integration, and oversight of AI technologies may be important to our long-term competitiveness. Implementing or integrating AI technologies may require significant investments in infrastructure, data management, governance, and talent, and may involve complex implementation efforts and operational risks. If we are unable to develop, acquire, implement, or manage AI technologies effectively, in a cost-efficient or timely manner, or if such technologies do not perform as intended, our operations, financial condition, and results of operations could be adversely affected.</w:t>
      </w:r>
    </w:p>
    <w:p>
      <w:pPr>
        <w:spacing w:after="0" w:line="48"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Further, the competitive landscape may evolve rapidly as companies invest in and deploy AI-enabled products, services, and processes. We may not be successful in identifying, developing, or adopting AI capabilities that meet the needs of our customers or keep pace with technological advances. Competitors or new market entrants may develop or deploy AI technologies more effectively than we do, which could erode our competitive position. Conversely, if we fail to adopt AI technologies thoughtfully and strategically, or fail to appropriately govern their use, we could miss opportunities to improve efficiency, innovation, and customer experience, which could materially adversely affect our business, results of operations, and long-term competitiveness.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Tax and Valuation Matters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tax obligations and effective tax rate may result in volatility of our operating results and stock price.</w:t>
      </w:r>
    </w:p>
    <w:p>
      <w:pPr>
        <w:spacing w:after="0" w:line="9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many U.S. and certain foreign jurisdictions. We record tax expense based on our estimates of future payments, which includes reserves for uncertain tax positions in multiple tax jurisdictions. At any one time, many tax years are subject to audit by various taxing jurisdictions. Further, possible changes in federal, state, local, and non-U.S. tax laws bearing upon our revenues, income, property, or other aspects of our operations or business would, if enacted, affect our results of operations in ways and to a degree that we cannot currently predict.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recorded long-lived asset impairment charges in the past and we may record material long-lived asset impairment charges in the future.</w:t>
      </w:r>
    </w:p>
    <w:p>
      <w:pPr>
        <w:spacing w:after="0" w:line="9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Quarterly, we assess whether events or changes in circumstances have occurred that indicate the carrying value of long-lived asset groups may not be recoverable. If we determine that the carrying value of long-lived asset groups are not recoverable, we will be required to record impairment charges relating to those assets. For example, our assessments during fiscal years 2026 and 2025 indicated that operating losses or insufficient operating income existed at certain retail stores, with a projection that the operating losses or insufficient operating income for those locations would continue. As such, we recorded non-cash charges of $1.0 million and $2.4 million during fiscal years 2026 and 2025, respectively, within selling, general, and administrative expenses in the consolidated statements of operations to write down the carrying values of these stores' long-lived asset groups to their estimated fair values. We recorded no long-lived asset impairments in fiscal 2024.</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quarterly evaluation of store assets includes consideration of current and historical performance and projections of future profitability. The profitability projections rely upon estimates made by us, including store-level sales, gross margins, and direct expenses, and, by their nature, include judgments about how current strategic initiatives will impact future performance. If we are not able to achieve projected key financial metrics for any reason, including if any of the strategic initiatives we implement do not result in significant improvements in our current financial performance trend, this would indicate that the value of our long-lived assets was not recoverable and we would incur additional impairment of assets in the future.</w:t>
      </w:r>
    </w:p>
    <w:p>
      <w:pPr>
        <w:spacing w:after="0" w:line="62" w:lineRule="exact"/>
        <w:rPr>
          <w:sz w:val="20"/>
          <w:szCs w:val="20"/>
          <w:color w:val="auto"/>
        </w:rPr>
      </w:pPr>
    </w:p>
    <w:p>
      <w:pPr>
        <w:ind w:right="600"/>
        <w:spacing w:after="0" w:line="404" w:lineRule="auto"/>
        <w:rPr>
          <w:sz w:val="20"/>
          <w:szCs w:val="20"/>
          <w:color w:val="auto"/>
        </w:rPr>
      </w:pPr>
      <w:r>
        <w:rPr>
          <w:rFonts w:ascii="Times New Roman" w:cs="Times New Roman" w:eastAsia="Times New Roman" w:hAnsi="Times New Roman"/>
          <w:sz w:val="18"/>
          <w:szCs w:val="18"/>
          <w:color w:val="auto"/>
        </w:rPr>
        <w:t xml:space="preserve">In the event we record additional impairment charges, this could have a material adverse effect on our results of operations and financial condition. </w:t>
      </w:r>
      <w:r>
        <w:rPr>
          <w:rFonts w:ascii="Times New Roman" w:cs="Times New Roman" w:eastAsia="Times New Roman" w:hAnsi="Times New Roman"/>
          <w:sz w:val="18"/>
          <w:szCs w:val="18"/>
          <w:b w:val="1"/>
          <w:bCs w:val="1"/>
          <w:u w:val="single" w:color="auto"/>
          <w:color w:val="auto"/>
        </w:rPr>
        <w:t>Risks Related to Legal and Regulatory Matters</w:t>
      </w:r>
    </w:p>
    <w:p>
      <w:pPr>
        <w:spacing w:after="0" w:line="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claims made against us from time to time that can result in litigation or regulatory proceedings, which could distract management from our business activities and result in significant liability or damage to the images associated with our brands.</w:t>
      </w:r>
    </w:p>
    <w:p>
      <w:pPr>
        <w:spacing w:after="0" w:line="2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increasingly face the risk of litigation and other claims against us. Litigation and other claims may arise in the ordinary course of our business and include employee claims, custom and duty claims, commercial disputes, intellectual property issues, marketing and solicitation claims, product-oriented allegations, and slip and fall claims. These cases often raise complex factual</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and legal issues, which are subject to risks and uncertainties and which could divert significant financial and management resources. Litigation and other claims against us could result in unexpected expenses and liability, as well as materially adversely affect our operations and our reputation.</w:t>
      </w:r>
    </w:p>
    <w:p>
      <w:pPr>
        <w:spacing w:after="0" w:line="2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or failure to protect our intellectual property or our infringement of other’s intellectual property could have a negative impact on our operating results.</w:t>
      </w:r>
    </w:p>
    <w:p>
      <w:pPr>
        <w:spacing w:after="0" w:line="3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that our registered copyrights, registered and common law trademarks, and other proprietary rights have significant value and are critical to our ability to create and sustain demand for our products. The actions taken by us to establish and protect our proprietary rights may not be adequate to prevent imitation of our products or infringement of our rights by others. The legal regimes of some foreign countries, particularly China, may not protect proprietary rights to the same extent as the laws of the United States, and it may be more difficult for us to successfully challenge the use of our proprietary rights by others in these countries. The inability to protect our copyrights, trademarks, and other proprietary rights could adversely impact our results of operations. Any litigation regarding our proprietary rights could be time consuming and costly and could consume significant amounts of management's time that would otherwise be spent operating and growing our business.</w:t>
      </w:r>
    </w:p>
    <w:p>
      <w:pPr>
        <w:spacing w:after="0" w:line="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also subject to the risk that claims will be brought against us for infringement of the intellectual property rights of third parties, seeking to block the sale of our products claimed to violate their intellectual property rights or to receive payment of monetary amounts related thereto. Although we have not been inhibited from selling our products in connection with intellectual property disputes, intellectual property-related obstacles may arise as we expand our product lines and extend our brands as well as the geographic scope of our sales and marketing. In particular, we may be subject to copyright infringement claims for which we may not be entitled to indemnification from our suppliers. In addition, in recent years, companies in the retail industry, including us, have been subject to patent infringement claims from non-practicing entities, or “patent trolls.” Any infringement or other intellectual property claim made against us, whether or not it has merit, could be time-consuming and result in costly litigation. As a result, any such claim, or the combination of multiple claims, could have a material adverse effect on our operating results. If we are required to stop using any of our registered or nonregistered trademarks, our brands could be negatively affected, our sales could decline and, consequently, our business and results of operations could be adversely affected.</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Environmental, Social, and Governance (“ESG”) actions may impact the value of our brands.</w:t>
      </w:r>
    </w:p>
    <w:p>
      <w:pPr>
        <w:spacing w:after="0" w:line="9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There has been increasing stakeholder and regulatory focus on ESG matters affecting public companies. Expectations regarding ESG disclosures, setting and executing ESG-related goals, and achieving measurable progress in a timely manner could expose us to market, operational, and execution costs or risks. We expect that stakeholder expectations, as well as laws, rules and regulations, in these areas will continue to evolve quickly, which may result in the need for increased resources for ESG monitoring and reporting and adjustments to our operations may be necessary as a result. We could face scrutiny with respect to the accuracy, adequacy, or completeness of our ESG-related disclosures. Additionally, disclosures about our ESG-related initiatives or goals, and progress towards those goals, may be based on standards for measuring progress that are still developing, internal controls and processes that continue to evolve, and assumptions or third-party information that we believe to be reasonable but are subject to change in the future. We could also be subject to scrutiny with respect to the scope or nature of our ESG-related initiatives or goals, or for any revisions to those goals. Some stakeholders and customers</w:t>
      </w:r>
    </w:p>
    <w:p>
      <w:pPr>
        <w:spacing w:after="0" w:line="5"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may react negatively to the Company’s disclosure of ESG compliance efforts. Furthermore, if our ESG-related data, processes, and reporting are incomplete or inaccurate, or if we fail to achieve progress with respect to these initiatives or goals on a timely basis, or at all, our reputation and the value of our brands could be adversely affected. Any harm to our reputation resulting from a failure or perceived failure to meet ESG-related goals, metrics, or disclosures could adversely affect our business, financial performance, and growth.</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Securities Markets and Ownership of Our Common Stock</w:t>
      </w:r>
    </w:p>
    <w:p>
      <w:pPr>
        <w:spacing w:after="0" w:line="10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may be volatile or may decline regardless of our operating performance, and you may not be able to resell shares at or above the price at which you purchase them.</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of our common stock may fluctuate significantly in response to a number of factors, most of which we cannot control, including:</w:t>
      </w:r>
    </w:p>
    <w:p>
      <w:pPr>
        <w:spacing w:after="0" w:line="90"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other shopping mall or lifestyle center tenants;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particularly during the holiday shopping period;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departures of key executives;</w:t>
      </w:r>
    </w:p>
    <w:p>
      <w:pPr>
        <w:spacing w:after="0" w:line="90"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projections that we may choose to provide to the public, any changes in these projections or our failure for any reason to meet these projections;</w:t>
      </w:r>
    </w:p>
    <w:p>
      <w:pPr>
        <w:spacing w:after="0" w:line="40"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others, including our filings with the SEC and announcements relating to litigation and other matters;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about our business in the press or the investment community;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our significant shareholders, officers, and directors;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the Company's treasury stock, or the issuance of new shares to raise capital for the business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entry into new markets;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wars, hostilities, riots, social unrest or acts of terrorism on trading markets;</w:t>
      </w:r>
    </w:p>
    <w:p>
      <w:pPr>
        <w:spacing w:after="0" w:line="103"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broader market volatility that may affect the trading price of our common stock regardless of our operating performance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that impact the retail industry, including the imposition or increase in the rate of tariffs or trade sanctions;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 such as acquisitions or restructurings;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of pandemics or other public health matters and the resulting adverse impact on the capital markets;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and other factors may result in a lower market price of our common stock, regardless of our actual operating performance.</w:t>
      </w:r>
    </w:p>
    <w:p>
      <w:pPr>
        <w:spacing w:after="0" w:line="10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the stock markets, including The NASDAQ Global Select Market, have experienced extreme price and volume fluctuations that have affected and continue to affect the market prices of equity securities of many retail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54"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limited number of shareholders control a significant percentage of the voting power of our common stock, and therefore investors may have diminished ability to determine the outcome of shareholder votes.</w:t>
      </w:r>
    </w:p>
    <w:p>
      <w:pPr>
        <w:spacing w:after="0" w:line="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Robert Hall, Barbara Bradley Baekgaard, Joan Hall (Mr. Hall’s wife and Ms. Bradley Baekgaard’s daughter), Patricia R. Miller, and P. Michael Miller, directly or indirectly, beneficially own and have the ability to exercise voting control over, in the aggregate, 21.1% of our outstanding shares of common stock as of January 31, 2026. As a result, these shareholders are able to exercise significant influence over all matters requiring shareholder approval, including the election of directors, any amendments to our second amended and restated articles of incorporation, and significant corporate transactions. This concentrated ownership of outstanding common stock may diminish an investor's ability to influence corporate matters, and the interests of these shareholders may not coincide with our interests or interests of investors. As a result, we may take actions that investors do not believe to be in our interests or their interests and that could depress our stock price. In addition, this significant concentration of stock ownership may adversely affect the trading price of our common stock should investors perceive disadvantages in owning shares of common stock in a company that has such concentrated ownership.</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as a result of the actions of activist shareholders.</w:t>
      </w:r>
    </w:p>
    <w:p>
      <w:pPr>
        <w:spacing w:after="0" w:line="108"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We have been subject to shareholder activism and may be subject to such activism in the future, which could result in substantial costs and divert management’s and our Board of Directors’ (“Board”) attention and resources from our business.</w:t>
      </w:r>
    </w:p>
    <w:p>
      <w:pPr>
        <w:spacing w:after="0" w:line="4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the future, we could become engaged in a consent solicitation, or proxy contest, or experience other shareholder activism. Activist shareholders may advocate for certain governance and strategic changes at our company. In the event of shareholder activism, particularly with respect to matters which our Board, in exercising their fiduciary duties, disagree with or have determined not to pursue, our business could be adversely affected because responding to actions by activist shareholders can be costly and time-consuming, disrupting our operations and diverting the attention of management, and perceived uncertainties as to our future direction may result in the loss of potential business opportunities and may make it more difficult to attract and retain qualified personnel, business partners, and customers.</w:t>
      </w:r>
    </w:p>
    <w:p>
      <w:pPr>
        <w:spacing w:after="0" w:line="3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addition, if faced with a consent solicitation or proxy contest, we may not be able to respond successfully to the contest or dispute, which would be disruptive to our business. If individuals are elected to our Board with a differing agenda, our ability to effectively and timely implement our strategic plans and create additional value for our shareholders may be adversely affected.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actual operating results may differ significantly from our guidance, which could cause incongruous fluctuation in our stock price.</w:t>
      </w:r>
    </w:p>
    <w:p>
      <w:pPr>
        <w:spacing w:after="0" w:line="9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From time to time, we provide guidance regarding our future performance that represents our management’s estimates as of the date of release. This guidance, which consists of forward-looking statements, is prepared by our management and is qualified by, and subject to, the assumptions and the other information contained or referred to in such release. Our guidance is not prepared with a view toward compliance with published guidelines of the American Institute of Certified Public Accountants, and neither our independent registered public accounting firm nor any other independent expert or outside party compiles or examines our guidance and no such person expresses any opinion or any other form of assurance with respect thereto.</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Guidance is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generally state possible outcomes as high and low ranges which are intended to provide a sensitivity analysis as variables are changed, but such statements are not intended to represent that actual results could not fall outside of the suggested ranges. The principal reason that we release this data is to provide a basis for our management to discuss our business outlook with analysts and investors. We do not accept any responsibility for any projections or reports published by any such persons.</w:t>
      </w:r>
    </w:p>
    <w:p>
      <w:pPr>
        <w:spacing w:after="0" w:line="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Guidance is necessarily speculative in nature, and it can be expected that some or all of the assumptions of the guidance furnished by us will not materialize or will vary significantly from actual results. Accordingly, our guidance is only an estimate of what management believes is realizable as of the date of release. Actual results will vary from the guidance and the variations may be material. Investors should also recognize that the reliability of any forecasted financial data diminishes the further into the future that the data are forecast.</w:t>
      </w:r>
    </w:p>
    <w:p>
      <w:pPr>
        <w:spacing w:after="0" w:line="5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light of the foregoing, if investors, analysts, and others fail to review our guidance within the proper context or place undue reliance on our guidance, deviations from such guidance may result in incongruous fluctuation in our stock price.</w:t>
      </w:r>
    </w:p>
    <w:p>
      <w:pPr>
        <w:spacing w:after="0" w:line="36"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Indiana law may discourage or prevent a change in control, even if a sale of the Company would be beneficial to our shareholders, which could cause our stock price to decline and prevent attempts by shareholders to replace or remove our current management.</w:t>
      </w:r>
    </w:p>
    <w:p>
      <w:pPr>
        <w:spacing w:after="0" w:line="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second amended and restated articles of incorporation and amended and restated bylaws contain provisions that may delay or prevent a change in control, discourage bids at a premium over the market price of our common stock, harm the market price of our common stock, and diminish the voting and other rights of the holders of our common stock. These provisions include:</w:t>
      </w:r>
    </w:p>
    <w:p>
      <w:pPr>
        <w:spacing w:after="0" w:line="54"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our Board to issue preferred stock and additional shares of our common stock without shareholder approval;</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shareholder action by written consent;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our shareholders from calling a special meeting of shareholders;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for raising business matters or nominating directors at shareholders’ meetings.</w:t>
      </w:r>
    </w:p>
    <w:p>
      <w:pPr>
        <w:spacing w:after="0" w:line="10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As permitted by our second amended and restated articles of incorporation and amended and restated bylaws, our Board has adopted a shareholder rights agreement, sometimes called a “poison pill,” providing for the issuance of a new series of preferred stock to holders of common stock. In the event of a takeover attempt, this preferred stock would give rights to holders of common stock (other than the potential acquirer) to buy additional shares of our common stock at a discount, leading to the dilution of the potential acquirer’s stake. The adoption of a poison pill, can have negative effects such as those described above.</w:t>
      </w:r>
    </w:p>
    <w:p>
      <w:pPr>
        <w:spacing w:after="0" w:line="4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an Indiana corporation, we are governed by the Indiana Business Corporation Law (as amended from time to time, the “IBCL”). Under specified circumstances, certain provisions of the IBCL related to control share acquisitions, business combinations, and constituent interests may delay, prevent, or make more difficult unsolicited acquisitions or changes of control of us. These provisions also may have the effect of preventing changes in our management. It is possible that these provisions could make it more difficult to accomplish transactions that shareholders might deem to be in their best interest.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Pandemics</w:t>
      </w:r>
    </w:p>
    <w:p>
      <w:pPr>
        <w:spacing w:after="0" w:line="9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outbreak of pandemics, or events related thereto, may cause significant disruptions in our revenue streams, operations, global supply chain and other facets of our business, which may continue to adversely impact our results of operations, financial condition, and share price.</w:t>
      </w:r>
    </w:p>
    <w:p>
      <w:pPr>
        <w:spacing w:after="0" w:line="3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 pandemic (COVID-19) in the past resulted in travel restrictions both domestically and internationally, community and self-quarantines, certain factory closures or reduced operations, as well as mall closures and reduced mall operating hours. This could happen in the future as well. Due to the past pandemic we experienced significantly reduced traffic, demand, and sales. This could recur in the future. Future pandemic-related mandates from governments and public health officials may necessitate additional closures to some, or all, of our retail stores, the stores of our Indirect segment partners, or otherwise detrimentally impact aspects of our operations, as COVID-19 did in the past. Pandemics may reduce consumers' willingness and ability to travel to major cities and vacation destinations in which some of our stores are located.</w:t>
      </w:r>
    </w:p>
    <w:p>
      <w:pPr>
        <w:spacing w:after="0" w:line="6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recent fiscal years, the COVID-19 pandemic led to temporary factory closures and production and logistics constraints due to workforce availability, as well as global supply chain challenges such as vessel and container shortages and port congestion. As a result of the aforementioned restrictions, or other related factors, we have experienced and may experience in the future delayed shipments and increased shipping costs for some of our merchandise. We may also be adversely impacted should a pandemic compromise operations at our corporate headquarters and distribution center located in Roanoke, Indiana.</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The extent of a pandemic’s impact on our results of operations, financial condition, and share price will likely depend on the nature and seventy of the pandemic, future developments, including as may be related to the spread of new virus variants; mitigation activities undertaken by governments and the general public; the overall economic impacts of quarantines and business closures; and current, and potentially long-term, changes in consumer behavior.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above-mentioned factors, the Company’s liquidity, results of operations, and financial condition could be adversely impacted.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10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could suffer if we lose key management or design associates or are unable to attract and retain the talent required for our business.</w:t>
      </w:r>
    </w:p>
    <w:p>
      <w:pPr>
        <w:spacing w:after="0" w:line="2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performance depends largely on the efforts and abilities of our senior management and product development teams. These executives and design associates have substantial experience in our business and have made significant contributions to our growth and success. Although we have entered into an employment agreement with our Chief Executive Officer, we may not be able to retain his services or those of other key individuals in the future. The unexpected loss of services of key employees could have adverse impacts on our business and results of operations. We may also need to attract and retain additional qualified employees and develop, train, and manage an increasing number of management-level, sales, and other employees. Competition for qualified employees is intense. We may not be able to attract and retain employees as needed in the future.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could suffer if we are unable to attract and retain retail and distribution center employees required for our business.</w:t>
      </w:r>
    </w:p>
    <w:p>
      <w:pPr>
        <w:spacing w:after="0" w:line="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must attract, motivate, and retain a sufficient number of qualified retail and distribution center employees. Historically, competition for talent in these positions has been intense and turnover is generally high. If we are unable to attract and retain such employees with the necessary skills and experience, we may not achieve our objectives and our financial condition, results of operations, and cash flows could be adversely impacted.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are subject to quarterly fluctuations, which could adversely affect the market price of our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quarterly results of operations may fluctuate significantly as a result of a variety of factors, including, among other things:</w:t>
      </w:r>
    </w:p>
    <w:p>
      <w:pPr>
        <w:spacing w:after="0" w:line="90"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new store openings and store closings;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and profits contributed by new stores;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store traffic and comparable sales;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the timing of holidays, particularly in the United States and China;</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merchandise mix;</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marketing campaigns or promotions;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sales to Vera Bradley wholesale retailers;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new pattern and collection releases and new product introductions.</w:t>
      </w:r>
    </w:p>
    <w:p>
      <w:pPr>
        <w:spacing w:after="0" w:line="9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Any quarterly fluctuations that we report in the future may not match the expectations of market analysts and investors. This could cause the trading price of our common stock to fluctuate significantly.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unionization, work stoppages, slowdowns, or increased labor costs.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Currently, none of our employees are represented by a union. Nevertheless, our employees have the right at any time under the National Labor Relations Act to organize or affiliate with a union. If some or all of our workforce were to become unionized, our business could be exposed to increased risk of work stoppages and slowdowns. In addition, if the terms of a collective bargaining agreement were to be significantly more favorable to union workers than our current pay-and-benefits arrangements, our costs would increase and our results of operations would suffer.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suffer negative publicity and our business may be harmed if we need to recall any products we sell.</w:t>
      </w:r>
    </w:p>
    <w:p>
      <w:pPr>
        <w:spacing w:after="0" w:line="10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have in the past needed to, and may in the future need to, recall products that we determine may present safety issues. If products we sell have safety problems of which we are not aware, or if we or the Consumer Product Safety Commission recall a product sold in our stores, we may suffer negative publicity and, potentially, product liability lawsuits, which could have a material adverse impact on our reputation, financial condition and results of operations or cash flows.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Cyber Risk Management and Strategy</w:t>
      </w:r>
    </w:p>
    <w:p>
      <w:pPr>
        <w:spacing w:after="0" w:line="10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Cybersecurity is an important part of the Company’s overall approach to managing the Company’s risks. We utilize recognized experts and leading third party cybersecurity firms to assist us in designing and operating our cybersecurity risk management. Our cybersecurity programs include physical, administrative, and technical safeguards designed to help us detect and prevent cybersecurity threats and incidents. Additionally, we have a cyber security incident response plan that outlines the structure, roles, responsibilities and operating procedures to utilize during potentially significant events that could negatively impact the Company. Our cybersecurity incident response plan provides a documented framework for handling high severity security incidents and includes facilitated coordination across multiple functions of the Company. Our incident response plan also includes identifying and responding to material risks from cybersecurity threats associated with our use of third-party service providers.</w:t>
      </w:r>
    </w:p>
    <w:p>
      <w:pPr>
        <w:spacing w:after="0" w:line="54"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We invest in threat intelligence and are active participants in industry and government forums to strive to improve our overall capabilities with respect to cybersecurity. We routinely perform reviews of threat intelligence and vulnerability management capabilities, while performing simulations and drills at both technical and management levels. Our formal cybersecurity program is modeled after industry best practice global standards and best practices. We incorporate external expertise in all aspects of our program utilizing best practice guidance from third-party cybersecurity advisors to provide objective assessments of our capabilities. We maintain a cyber liability insurance program, although the coverage may not be sufficient in some circumstances. We also have policies and practices in place to address data privacy regulations. Our cybersecurity program is reviewed and assessed by external information security specialists or by our internal audit group at least annually. Further, we conduct annual cybersecurity awareness training for employees and targeted training for high-risk functions of the Company. We also conduct phishing exercises and correlated education with our employees.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Governance Related to Cybersecurity Risks</w:t>
      </w:r>
    </w:p>
    <w:p>
      <w:pPr>
        <w:spacing w:after="0" w:line="81"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8"/>
          <w:szCs w:val="18"/>
          <w:color w:val="auto"/>
        </w:rPr>
        <w:t>Our audit committee of our board of directors is formally charged with oversight of cyber security risk. This includes reviewing the Company’s cybersecurity and other technology risks, controls and procedures. The Committee also reviews on an on-going basis the threat landscape facing the Company, the Company’s strategy to mitigate cybersecurity risks and any potential data security incidents and the Company’s plans and responses to such incidents. The chair of the Audit Committee provides regular updates to the full board of directors regarding the audit committee meetings and any meaningful cybersecurity updates. Our cybersecurity risk management process is overseen by our Chief Administrative Officer and other professionals in the Company’s enterprise technology team, including a dedicated security specialist who has been with the Company in various security roles since 2018. Our Chief Administrative Officer has overseen the Company’s technology portfolio since 2017 and regularly provides updates and engages in dialogue with the audit committee regarding the Company’s cybersecurity.</w:t>
      </w:r>
    </w:p>
    <w:p>
      <w:pPr>
        <w:spacing w:after="0" w:line="5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fiscal 2026 we did not identify any cybersecurity threats that have materially affected or are reasonably likely to materially affect our business strategy, results of operations or financial condition.</w:t>
      </w:r>
    </w:p>
    <w:p>
      <w:pPr>
        <w:spacing w:after="0" w:line="19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location, use, and size of our distribution, corporate facilities, and showrooms as of January 31, 2026. The leases on the leased properties expire at various times through 2027, subject to renewal options.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5020" w:type="dxa"/>
            <w:vAlign w:val="bottom"/>
            <w:vMerge w:val="restart"/>
          </w:tcPr>
          <w:p>
            <w:pPr>
              <w:ind w:left="2860"/>
              <w:spacing w:after="0"/>
              <w:rPr>
                <w:sz w:val="20"/>
                <w:szCs w:val="20"/>
                <w:color w:val="auto"/>
              </w:rPr>
            </w:pPr>
            <w:r>
              <w:rPr>
                <w:rFonts w:ascii="Times New Roman" w:cs="Times New Roman" w:eastAsia="Times New Roman" w:hAnsi="Times New Roman"/>
                <w:sz w:val="14"/>
                <w:szCs w:val="14"/>
                <w:b w:val="1"/>
                <w:bCs w:val="1"/>
                <w:color w:val="auto"/>
              </w:rPr>
              <w:t>Primary Use</w:t>
            </w:r>
          </w:p>
        </w:tc>
        <w:tc>
          <w:tcPr>
            <w:tcW w:w="2140" w:type="dxa"/>
            <w:vAlign w:val="bottom"/>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Leased/Owned</w:t>
            </w:r>
          </w:p>
        </w:tc>
        <w:tc>
          <w:tcPr>
            <w:tcW w:w="0" w:type="dxa"/>
            <w:vAlign w:val="bottom"/>
          </w:tcPr>
          <w:p>
            <w:pPr>
              <w:spacing w:after="0"/>
              <w:rPr>
                <w:sz w:val="1"/>
                <w:szCs w:val="1"/>
                <w:color w:val="auto"/>
              </w:rPr>
            </w:pPr>
          </w:p>
        </w:tc>
      </w:tr>
      <w:tr>
        <w:trPr>
          <w:trHeight w:val="195"/>
        </w:trPr>
        <w:tc>
          <w:tcPr>
            <w:tcW w:w="2560" w:type="dxa"/>
            <w:vAlign w:val="bottom"/>
            <w:vMerge w:val="continue"/>
          </w:tcPr>
          <w:p>
            <w:pPr>
              <w:spacing w:after="0"/>
              <w:rPr>
                <w:sz w:val="16"/>
                <w:szCs w:val="16"/>
                <w:color w:val="auto"/>
              </w:rPr>
            </w:pPr>
          </w:p>
        </w:tc>
        <w:tc>
          <w:tcPr>
            <w:tcW w:w="5020" w:type="dxa"/>
            <w:vAlign w:val="bottom"/>
            <w:vMerge w:val="continue"/>
          </w:tcPr>
          <w:p>
            <w:pPr>
              <w:spacing w:after="0"/>
              <w:rPr>
                <w:sz w:val="16"/>
                <w:szCs w:val="16"/>
                <w:color w:val="auto"/>
              </w:rPr>
            </w:pPr>
          </w:p>
        </w:tc>
        <w:tc>
          <w:tcPr>
            <w:tcW w:w="2140" w:type="dxa"/>
            <w:vAlign w:val="bottom"/>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Square Footage</w:t>
            </w: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5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Roanoke, Indiana</w:t>
            </w:r>
          </w:p>
        </w:tc>
        <w:tc>
          <w:tcPr>
            <w:tcW w:w="5020" w:type="dxa"/>
            <w:vAlign w:val="bottom"/>
            <w:shd w:val="clear" w:color="auto" w:fill="CCEEFF"/>
          </w:tcPr>
          <w:p>
            <w:pPr>
              <w:ind w:left="980"/>
              <w:spacing w:after="0" w:line="181" w:lineRule="exact"/>
              <w:rPr>
                <w:sz w:val="20"/>
                <w:szCs w:val="20"/>
                <w:color w:val="auto"/>
              </w:rPr>
            </w:pPr>
            <w:r>
              <w:rPr>
                <w:rFonts w:ascii="Times New Roman" w:cs="Times New Roman" w:eastAsia="Times New Roman" w:hAnsi="Times New Roman"/>
                <w:sz w:val="18"/>
                <w:szCs w:val="18"/>
                <w:color w:val="auto"/>
              </w:rPr>
              <w:t>Vera Bradley corporate headquarters, design</w:t>
            </w:r>
          </w:p>
        </w:tc>
        <w:tc>
          <w:tcPr>
            <w:tcW w:w="2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CCEEFF"/>
          </w:tcPr>
          <w:p>
            <w:pPr>
              <w:spacing w:after="0"/>
              <w:rPr>
                <w:sz w:val="21"/>
                <w:szCs w:val="21"/>
                <w:color w:val="auto"/>
              </w:rPr>
            </w:pPr>
          </w:p>
        </w:tc>
        <w:tc>
          <w:tcPr>
            <w:tcW w:w="50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center, and showroom</w:t>
            </w:r>
          </w:p>
        </w:tc>
        <w:tc>
          <w:tcPr>
            <w:tcW w:w="2140" w:type="dxa"/>
            <w:vAlign w:val="bottom"/>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rPr>
              <w:t>188,000</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Roanoke, Indiana</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Vera Bradley warehouse and distribution</w:t>
            </w:r>
          </w:p>
        </w:tc>
        <w:tc>
          <w:tcPr>
            <w:tcW w:w="2140" w:type="dxa"/>
            <w:vAlign w:val="bottom"/>
          </w:tcPr>
          <w:p>
            <w:pPr>
              <w:jc w:val="center"/>
              <w:ind w:left="455"/>
              <w:spacing w:after="0"/>
              <w:rPr>
                <w:sz w:val="20"/>
                <w:szCs w:val="20"/>
                <w:color w:val="auto"/>
              </w:rPr>
            </w:pPr>
            <w:r>
              <w:rPr>
                <w:rFonts w:ascii="Times New Roman" w:cs="Times New Roman" w:eastAsia="Times New Roman" w:hAnsi="Times New Roman"/>
                <w:sz w:val="18"/>
                <w:szCs w:val="18"/>
                <w:color w:val="auto"/>
              </w:rPr>
              <w:t>428,500</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 New York</w:t>
            </w:r>
          </w:p>
        </w:tc>
        <w:tc>
          <w:tcPr>
            <w:tcW w:w="50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Vera Bradley office and showroom</w:t>
            </w:r>
          </w:p>
        </w:tc>
        <w:tc>
          <w:tcPr>
            <w:tcW w:w="2140" w:type="dxa"/>
            <w:vAlign w:val="bottom"/>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w w:val="98"/>
              </w:rPr>
              <w:t>3,700</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Vera Bradley Asia sourcing office</w:t>
            </w:r>
          </w:p>
        </w:tc>
        <w:tc>
          <w:tcPr>
            <w:tcW w:w="2140" w:type="dxa"/>
            <w:vAlign w:val="bottom"/>
          </w:tcPr>
          <w:p>
            <w:pPr>
              <w:jc w:val="center"/>
              <w:ind w:left="455"/>
              <w:spacing w:after="0"/>
              <w:rPr>
                <w:sz w:val="20"/>
                <w:szCs w:val="20"/>
                <w:color w:val="auto"/>
              </w:rPr>
            </w:pPr>
            <w:r>
              <w:rPr>
                <w:rFonts w:ascii="Times New Roman" w:cs="Times New Roman" w:eastAsia="Times New Roman" w:hAnsi="Times New Roman"/>
                <w:sz w:val="18"/>
                <w:szCs w:val="18"/>
                <w:color w:val="auto"/>
                <w:w w:val="98"/>
              </w:rPr>
              <w:t>5,100</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Dallas, Texas</w:t>
            </w:r>
          </w:p>
        </w:tc>
        <w:tc>
          <w:tcPr>
            <w:tcW w:w="50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Vera Bradley showroom</w:t>
            </w:r>
          </w:p>
        </w:tc>
        <w:tc>
          <w:tcPr>
            <w:tcW w:w="2140" w:type="dxa"/>
            <w:vAlign w:val="bottom"/>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w w:val="98"/>
              </w:rPr>
              <w:t>1,800</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January 31, 2026, we also leased 116 store locations, including a former location, in the United States. See below for more information regarding the locations of our open stores as of January 31, 2026.</w:t>
      </w:r>
    </w:p>
    <w:p>
      <w:pPr>
        <w:spacing w:after="0" w:line="4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consider these properties to be in good condition generally and believe that our facilities are adequate for our operations and provide sufficient capacity to meet our anticipated requirements. The properties in the above table are used by both the Vera Bradley Direct segment and Vera Bradley Indirect segment, excluding the standalone showroom which is used exclusively by the Vera Bradley Indirect segment.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Store Locations</w:t>
      </w:r>
    </w:p>
    <w:p>
      <w:pPr>
        <w:spacing w:after="0" w:line="9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full-line stores are located primarily in high-traffic regional malls, lifestyle centers, and mixed-use shopping centers across the United States. The following table shows the number of full-line and outlet stores we operated in each state as of January 31, 2026:</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0" w:type="dxa"/>
            <w:vAlign w:val="bottom"/>
          </w:tcPr>
          <w:p>
            <w:pPr>
              <w:spacing w:after="0"/>
              <w:rPr>
                <w:sz w:val="1"/>
                <w:szCs w:val="1"/>
                <w:color w:val="auto"/>
              </w:rPr>
            </w:pPr>
          </w:p>
        </w:tc>
      </w:tr>
      <w:tr>
        <w:trPr>
          <w:trHeight w:val="148"/>
        </w:trPr>
        <w:tc>
          <w:tcPr>
            <w:tcW w:w="2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Vera Bradley Full-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Vera Bradley Outlet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5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Vera Bradley Full-</w:t>
            </w:r>
          </w:p>
        </w:tc>
        <w:tc>
          <w:tcPr>
            <w:tcW w:w="1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Vera Bradley Outlet</w:t>
            </w:r>
          </w:p>
        </w:tc>
        <w:tc>
          <w:tcPr>
            <w:tcW w:w="0" w:type="dxa"/>
            <w:vAlign w:val="bottom"/>
          </w:tcPr>
          <w:p>
            <w:pPr>
              <w:spacing w:after="0"/>
              <w:rPr>
                <w:sz w:val="1"/>
                <w:szCs w:val="1"/>
                <w:color w:val="auto"/>
              </w:rPr>
            </w:pPr>
          </w:p>
        </w:tc>
      </w:tr>
      <w:tr>
        <w:trPr>
          <w:trHeight w:val="195"/>
        </w:trPr>
        <w:tc>
          <w:tcPr>
            <w:tcW w:w="2580" w:type="dxa"/>
            <w:vAlign w:val="bottom"/>
            <w:gridSpan w:val="2"/>
            <w:vMerge w:val="continue"/>
          </w:tcPr>
          <w:p>
            <w:pPr>
              <w:spacing w:after="0"/>
              <w:rPr>
                <w:sz w:val="16"/>
                <w:szCs w:val="16"/>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Line Stores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2"/>
            <w:vMerge w:val="continue"/>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Line Stores</w:t>
            </w:r>
          </w:p>
        </w:tc>
        <w:tc>
          <w:tcPr>
            <w:tcW w:w="1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0" w:type="dxa"/>
            <w:vAlign w:val="bottom"/>
          </w:tcPr>
          <w:p>
            <w:pPr>
              <w:spacing w:after="0"/>
              <w:rPr>
                <w:sz w:val="1"/>
                <w:szCs w:val="1"/>
                <w:color w:val="auto"/>
              </w:rPr>
            </w:pPr>
          </w:p>
        </w:tc>
      </w:tr>
      <w:tr>
        <w:trPr>
          <w:trHeight w:val="228"/>
        </w:trPr>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Alabama</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Minnesota</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1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Mississippi</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1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Nebraska</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Hampshire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Hawaii</w:t>
            </w:r>
          </w:p>
        </w:tc>
        <w:tc>
          <w:tcPr>
            <w:tcW w:w="1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Indiana</w:t>
            </w:r>
          </w:p>
        </w:tc>
        <w:tc>
          <w:tcPr>
            <w:tcW w:w="1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Iowa</w:t>
            </w: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Oklahoma</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Kansas</w:t>
            </w:r>
          </w:p>
        </w:tc>
        <w:tc>
          <w:tcPr>
            <w:tcW w:w="1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Kentucky</w:t>
            </w: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Carolina</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Louisiana</w:t>
            </w:r>
          </w:p>
        </w:tc>
        <w:tc>
          <w:tcPr>
            <w:tcW w:w="1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1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Wisconsin</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lease all of our stores. Lease terms for our retail stores are generally ten years with options to renew for varying terms. The leases generally provide for a fixed minimum rental plus contingent rent, which is determined as a percentage of sales in excess of specified levels.</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may be involved from time to time, as a plaintiff or a defendant, in various routine legal proceedings incidental to the ordinary course of our business. In the ordinary course, we are involved in the policing of our intellectual property rights. As part of our policing program, from time to time we file lawsuits in the United States and abroad, alleging acts of trademark counterfeiting, trademark infringement, trademark dilution, and ancillary and pendent state and foreign law claims. These actions often result in seizure of counterfeit merchandise and negotiated settlements with defendants. Defendants sometimes raise as affirmative defenses, or as counterclaims, the purported invalidity or unenforceability of our proprietary rights.</w:t>
      </w:r>
    </w:p>
    <w:p>
      <w:pPr>
        <w:spacing w:after="0" w:line="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June of 2025, the Company received a notice from the buyer of Creative Genius requesting a purchase price adjustment of approximately $4.6 million related to the sale of Creative Genius. The demand was based on certain working capital adjustments. The Company has disputed this purchase price adjustment request. On August 27, 2025, the Company filed an action in the Chancery Court of Delaware seeking a judgment declaring that the buyer’s claim for a purchase price adjustment is improper and barred by the purchase Agreement. The Company has filed for summary judgment in that action and is awaiting decision from the Court. At this time, we are not able to estimate a possible loss or range of loss that may result from this matter or to determine whether such loss, if any, would have a material adverse effect on our financial condition or results of operations due to the fact that the Company believes the purchase price adjustment is improper, and is seeking to have it declared as such by a Delaware Court. The Company believes that it has a number of meritorious legal approaches in defending itself against these claims. The Company is also subject to other legal proceedings from time to time in the ordinary course of business but does not believe any of these such claims would have a material adverse impact on the Company at this time.</w:t>
      </w:r>
    </w:p>
    <w:p>
      <w:pPr>
        <w:spacing w:after="0" w:line="2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Mine Safety Disclosure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ind w:right="1760"/>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8"/>
          <w:szCs w:val="18"/>
          <w:color w:val="auto"/>
        </w:rPr>
        <w:t>Our common stock is listed on the NASDAQ Global Select Market under the symbol “VRA”.</w:t>
      </w:r>
    </w:p>
    <w:p>
      <w:pPr>
        <w:spacing w:after="0" w:line="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March 27, 2026, we had approximately 27 registered shareholders of record. The number of shareholders of record is based upon the actual number of shareholders registered at such date and does not include holders of shares in “street name” or persons, partnerships, associations, corporations, or other entities identified in security position listings maintained by depositories.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9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 did not repurchase any shares of its common stock during fiscal 2026. Refer to Note 13 of the Notes to the Consolidated Financial Statements as set forth in Part II, Item 8. of this Annual Report on Form 10-K for additional information regarding our share repurchase programs.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common stock began trading on October 21, 2010, following our initial public offering. Since that time, we have not declared any cash dividends. The payment of dividends is evaluated on a periodic basis.</w:t>
      </w: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graph set forth below compares the cumulative shareholder return on our common stock between January 30, 2021, and January 31, 2026, to the cumulative return of (i) the S&amp;P 500 Index and (ii) the S&amp;P 500 Apparel, Accessories, and Luxury Goods Index over the same period. This graph assumes an initial investment of $100 on January 30, 2021, in our common stock, the S&amp;P 500 Index, and the S&amp;P 500 Apparel, Accessories, and Luxury Goods Index and assumes the reinvestment of dividends, if any.</w:t>
      </w:r>
    </w:p>
    <w:p>
      <w:pPr>
        <w:spacing w:after="0" w:line="12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comparisons shown in the graph below are based on historical data. We caution that the stock price performance presented in the graph below is not necessarily indicative of, nor is it intended to forecast, the potential future performance of our common stock. Information used in the graph was obtained from The NASDAQ Stock Market website. As such, although we believe the information to be accurate, we cannot assure you of its accuracy.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294640</wp:posOffset>
            </wp:positionV>
            <wp:extent cx="5795010" cy="4114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95010"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Company/Market/Peer Group</w:t>
            </w:r>
          </w:p>
        </w:tc>
        <w:tc>
          <w:tcPr>
            <w:tcW w:w="160" w:type="dxa"/>
            <w:vAlign w:val="bottom"/>
          </w:tcPr>
          <w:p>
            <w:pPr>
              <w:spacing w:after="0"/>
              <w:rPr>
                <w:sz w:val="16"/>
                <w:szCs w:val="16"/>
                <w:color w:val="auto"/>
              </w:rPr>
            </w:pP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1/30/2021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1/29/2022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1/28/2023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2/3/2024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2/1/2025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1/31/2026</w:t>
            </w:r>
          </w:p>
        </w:tc>
        <w:tc>
          <w:tcPr>
            <w:tcW w:w="20" w:type="dxa"/>
            <w:vAlign w:val="bottom"/>
          </w:tcPr>
          <w:p>
            <w:pPr>
              <w:spacing w:after="0"/>
              <w:rPr>
                <w:sz w:val="16"/>
                <w:szCs w:val="16"/>
                <w:color w:val="auto"/>
              </w:rPr>
            </w:pPr>
          </w:p>
        </w:tc>
      </w:tr>
      <w:tr>
        <w:trPr>
          <w:trHeight w:val="23"/>
        </w:trPr>
        <w:tc>
          <w:tcPr>
            <w:tcW w:w="47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Vera Bradley, Inc.</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20" w:type="dxa"/>
            <w:vAlign w:val="bottom"/>
          </w:tcPr>
          <w:p>
            <w:pPr>
              <w:spacing w:after="0"/>
              <w:rPr>
                <w:sz w:val="19"/>
                <w:szCs w:val="19"/>
                <w:color w:val="auto"/>
              </w:rPr>
            </w:pPr>
          </w:p>
        </w:tc>
      </w:tr>
      <w:tr>
        <w:trPr>
          <w:trHeight w:val="230"/>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Index</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201.03</w:t>
            </w:r>
          </w:p>
        </w:tc>
        <w:tc>
          <w:tcPr>
            <w:tcW w:w="20" w:type="dxa"/>
            <w:vAlign w:val="bottom"/>
          </w:tcPr>
          <w:p>
            <w:pPr>
              <w:spacing w:after="0"/>
              <w:rPr>
                <w:sz w:val="19"/>
                <w:szCs w:val="19"/>
                <w:color w:val="auto"/>
              </w:rPr>
            </w:pPr>
          </w:p>
        </w:tc>
      </w:tr>
      <w:tr>
        <w:trPr>
          <w:trHeight w:val="230"/>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Apparel, Accessories, and Luxury Goods Index</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20" w:type="dxa"/>
            <w:vAlign w:val="bottom"/>
          </w:tcPr>
          <w:p>
            <w:pPr>
              <w:spacing w:after="0"/>
              <w:rPr>
                <w:sz w:val="19"/>
                <w:szCs w:val="19"/>
                <w:color w:val="auto"/>
              </w:rPr>
            </w:pPr>
          </w:p>
        </w:tc>
      </w:tr>
      <w:tr>
        <w:trPr>
          <w:trHeight w:val="864"/>
        </w:trPr>
        <w:tc>
          <w:tcPr>
            <w:tcW w:w="7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0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0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conjunction with the consolidated financial statements and accompanying notes and the information contained in other sections of this report, particularly under the headings “Risk Factors” and “Business.” This discussion and analysis is based on the beliefs of our management, as well as assumptions made by, and information currently available to, our management. The statements in this discussion and analysis concerning expectations regarding our future performance, liquidity, and capital resources, as well as other non-historical statements in this discussion and analysis, are forward-looking statements. See “Forward-Looking Statements.” These forward-looking statements are subject to numerous risks and uncertainties, including those described under “Risk Factors.” Our actual results could differ materially from those suggested or implied by any forward-looking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our major achievements for fiscal 2026 are as follows:</w:t>
      </w:r>
    </w:p>
    <w:p>
      <w:pPr>
        <w:spacing w:after="0" w:line="252"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We began execution of Project Sunshine, a comprehensive strategy to strengthen our market position by tapping into our brand’s strong emotional connection with consumers. We are simplifying decision-making, removing organizational complexity, and focusing resources on high-impact initiatives. This operational focus, paired with prudent cost management, will allow us to invest in the brand, innovation, and customer experiences, all while driving shareholder value. These improvements are about agility — building a responsive organization to fully leverage our unique brand position.</w:t>
      </w:r>
    </w:p>
    <w:p>
      <w:pPr>
        <w:spacing w:after="0" w:line="191" w:lineRule="exact"/>
        <w:rPr>
          <w:sz w:val="20"/>
          <w:szCs w:val="20"/>
          <w:color w:val="auto"/>
        </w:rPr>
      </w:pPr>
    </w:p>
    <w:p>
      <w:pPr>
        <w:ind w:left="660" w:right="5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segment has seen promising improvement throughout the fiscal year, giving us confidence that Project Sunshine is beginning to resonate with our customers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partnered with Anthropologie for exclusive product collaborations which align with our target customers and expand our customer reach.</w:t>
      </w:r>
    </w:p>
    <w:p>
      <w:pPr>
        <w:spacing w:after="0" w:line="225"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another year of product collaborations with iconic brands such as Disney, Peanuts, Harry Potter, and Gilmore Girls which resonate with our customers.</w:t>
      </w:r>
    </w:p>
    <w:p>
      <w:pPr>
        <w:spacing w:after="0" w:line="203" w:lineRule="exact"/>
        <w:rPr>
          <w:rFonts w:ascii="Times New Roman" w:cs="Times New Roman" w:eastAsia="Times New Roman" w:hAnsi="Times New Roman"/>
          <w:sz w:val="18"/>
          <w:szCs w:val="18"/>
          <w:color w:val="auto"/>
        </w:rPr>
      </w:pPr>
    </w:p>
    <w:p>
      <w:pPr>
        <w:ind w:left="660" w:right="78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implemented Outlet 2.0, one of our pillars of Project Sunshine, which will provide a more brand-enhancing retail experience for our customers.</w:t>
      </w:r>
    </w:p>
    <w:p>
      <w:pPr>
        <w:spacing w:after="0" w:line="18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Better Cotton</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member and continue to increase our procurement of cotton from Better Cotton</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supply chain partners.</w:t>
      </w:r>
    </w:p>
    <w:p>
      <w:pPr>
        <w:spacing w:after="0" w:line="170" w:lineRule="exact"/>
        <w:rPr>
          <w:rFonts w:ascii="Times New Roman" w:cs="Times New Roman" w:eastAsia="Times New Roman" w:hAnsi="Times New Roman"/>
          <w:sz w:val="18"/>
          <w:szCs w:val="18"/>
          <w:color w:val="auto"/>
        </w:rPr>
      </w:pPr>
    </w:p>
    <w:p>
      <w:pPr>
        <w:ind w:left="660" w:hanging="328"/>
        <w:spacing w:after="0" w:line="23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to strengthen and rationalize our store base. We are continuing to look for opportunities to improve the full-line profitability of our full-line store portfolio by re-balancing our existing fleet through select closures along with identifying future market opportunities. In fiscal 2026, we closed twelve underperforming full-line stores and one outlet store, and opened two full-line stores, ending the fiscal year with 29 full-line and 86 outlet locations.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10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Net revenues reflect sales of our merchandise and revenue from distribution and shipping and handling fees, less returns and discounts. Revenues for the VB Direct segment reflect sales through full-line and outlet stores, our websites (verabradley.com, international.verabradley.com, and outlet.verabradley.com), and direct to consumer marketplaces. Revenues for the VB Indirect segment reflect sales to specialty retail partners; department stores; national accounts; and third-party inventory liquidators, as well as royalties recognized through licensing agreements.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Sales</w:t>
      </w:r>
    </w:p>
    <w:p>
      <w:pPr>
        <w:spacing w:after="0" w:line="106"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Typically, comparable sales are calculated based upon our stores that have been open for at least 12 full fiscal months and net revenues from our e-commerce operations. Comparable store sales are calculated based solely upon stores that have been open for at least 12 full fiscal months. Remodeled stores are included in both comparable sales and comparable store sales unless the store was closed for more than one week of the current or comparable prior period, in which case the non-comparable temporary closure periods are not included,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Typically, measuring the change in year-over-year comparable sales allows us and our investors to evaluate how our store base and e-commerce operations are performing. Various factors affect our comparable sales, including:</w:t>
      </w:r>
    </w:p>
    <w:p>
      <w:pPr>
        <w:spacing w:after="0" w:line="2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economic trends;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and fashion trends;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releases of new patterns and collections;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holidays;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mix;</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level of promotions;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store, mall, and e-commerce traffic;</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customer service that we provide in stores and to our on-line customers;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and distribute products efficiently;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stores we open and close in any period;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promotional and marketing efforts.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0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Gross profit is equal to our net revenues less our cost of sales. Cost of sales includes the direct cost of purchased merchandise, distribution center costs, operations overhead, duty, all inbound and outbound freight costs incurred, and inventory adjustments. The components of our reported cost of sales may not be comparable to those of other retail and wholesale companies.</w:t>
      </w:r>
    </w:p>
    <w:p>
      <w:pPr>
        <w:spacing w:after="0" w:line="12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Gross profit can be impacted by changes in volume; fluctuations in sales price; operational efficiencies, such as leveraging of fixed costs; promotional activities, including free shipping; commodity prices, such as for cotton; tariffs; and labor costs.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include selling; advertising, marketing, and product development; and administrative expenses. Selling expenses include: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•VB Direct business expenses, such as store expenses, employee compensation, and store occupancy and supply costs;</w:t>
      </w:r>
    </w:p>
    <w:p>
      <w:pPr>
        <w:spacing w:after="0" w:line="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•VB Indirect business expenses consisting primarily of employee compensation and other expenses associated with sales to Indirect retailers; and</w:t>
      </w:r>
    </w:p>
    <w:p>
      <w:pPr>
        <w:spacing w:after="0" w:line="10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 as well as severance charges and consulting fees associated with cost savings initiatives disclosed in Note 14 to the Notes to the Consolidated Financial Statements herein.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Savings Initiatives and Other Charges</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fiscal 2026, the Company continued targeted cost reductions. Expense savings are being derived across various areas of the Company, including retail store efficiencies, marketing expenses, information technology contracts, professional services, logistics and operational costs, and corporate payroll. Refer to Note 14 to the Notes to the Consolidated Financial Statements herein for additional information regarding charges for cost savings initiatives and remaining liabilities, as well as other charges not comparable with the prior year.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Environment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impacted by broader macroeconomic issues in the U.S. marketplace – and can be affected both positively and negatively over time.</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macroeconomic environment has been challenged by inflationary pressures, including high gas prices, interest rates, and other related factors that have impacted consumer discretionary spending. We have also seen a trend of steeply increasing digital media costs.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To mitigate some of these inflationary and supply chain pressures, we implemented strategic price increases in late fiscal 2022 through fiscal 2024, as well as in fiscal 2026. We will continue to monitor our pricing as it relates to the current macroeconomic trends. In addition, in fiscal 2023 through fiscal 2026, we implemented targeted cost reductions across various areas of the Company, including retail store efficiencies, marketing expenses, information technology contracts, professional services, logistics and operational costs, and corporate payroll. We will continue to review our expense structure in future years for additional cost reduction opportunities.</w:t>
      </w:r>
    </w:p>
    <w:p>
      <w:pPr>
        <w:spacing w:after="0" w:line="21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continue to actively monitor the changing macroeconomic circumstances and take mitigating actions where appropriate. Ongoing macroeconomic pressures could have a material adverse effect on our liquidity, operating results, and financial condition.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tables summarize key components of our consolidated results of operations for the last three fiscal years, both in dollars and as a percentage of our net revenues.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 xml:space="preserve">Fiscal Year Ended </w:t>
            </w:r>
            <w:r>
              <w:rPr>
                <w:rFonts w:ascii="Times New Roman" w:cs="Times New Roman" w:eastAsia="Times New Roman" w:hAnsi="Times New Roman"/>
                <w:sz w:val="23"/>
                <w:szCs w:val="23"/>
                <w:b w:val="1"/>
                <w:bCs w:val="1"/>
                <w:color w:val="auto"/>
                <w:w w:val="97"/>
                <w:vertAlign w:val="superscript"/>
              </w:rPr>
              <w:t>(1)</w:t>
            </w: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20" w:type="dxa"/>
            <w:vAlign w:val="bottom"/>
          </w:tcPr>
          <w:p>
            <w:pPr>
              <w:spacing w:after="0"/>
              <w:rPr>
                <w:sz w:val="11"/>
                <w:szCs w:val="11"/>
                <w:color w:val="auto"/>
              </w:rPr>
            </w:pPr>
          </w:p>
        </w:tc>
        <w:tc>
          <w:tcPr>
            <w:tcW w:w="154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260" w:type="dxa"/>
            <w:vAlign w:val="bottom"/>
          </w:tcPr>
          <w:p>
            <w:pPr>
              <w:spacing w:after="0"/>
              <w:rPr>
                <w:sz w:val="11"/>
                <w:szCs w:val="11"/>
                <w:color w:val="auto"/>
              </w:rPr>
            </w:pPr>
          </w:p>
        </w:tc>
        <w:tc>
          <w:tcPr>
            <w:tcW w:w="1280" w:type="dxa"/>
            <w:vAlign w:val="bottom"/>
          </w:tcPr>
          <w:p>
            <w:pPr>
              <w:jc w:val="right"/>
              <w:ind w:right="331"/>
              <w:spacing w:after="0" w:line="131"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14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(Loss) Income Data:</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269,651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318,795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383,713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144,614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159,957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179,748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125,037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158,838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203,965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Selling, general, and administrative expenses </w:t>
            </w:r>
            <w:r>
              <w:rPr>
                <w:rFonts w:ascii="Times New Roman" w:cs="Times New Roman" w:eastAsia="Times New Roman" w:hAnsi="Times New Roman"/>
                <w:sz w:val="23"/>
                <w:szCs w:val="23"/>
                <w:color w:val="auto"/>
                <w:vertAlign w:val="superscript"/>
              </w:rPr>
              <w:t>(2)</w:t>
            </w: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158,142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188,462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193,247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(loss) income from continuing operations</w:t>
            </w: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(31,912)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(28,792)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11,617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income from continuing operations before income taxes</w:t>
            </w: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(32,374)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(28,040)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12,278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5,339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3,682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(32,677)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(33,379)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8,596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income tax</w:t>
            </w:r>
          </w:p>
        </w:tc>
        <w:tc>
          <w:tcPr>
            <w:tcW w:w="1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(15,163)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(28,809)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(758)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income</w:t>
            </w:r>
          </w:p>
        </w:tc>
        <w:tc>
          <w:tcPr>
            <w:tcW w:w="1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(47,840)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(62,188)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7,838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Net Revenues:</w:t>
            </w:r>
          </w:p>
        </w:tc>
        <w:tc>
          <w:tcPr>
            <w:tcW w:w="1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4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(loss) income from continuing operations</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income from continuing operations before income taxes</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income tax</w:t>
            </w:r>
          </w:p>
        </w:tc>
        <w:tc>
          <w:tcPr>
            <w:tcW w:w="1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income</w:t>
            </w:r>
          </w:p>
        </w:tc>
        <w:tc>
          <w:tcPr>
            <w:tcW w:w="1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124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514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tables present net revenues by operating segment, both in dollars and as a percentage of our net revenues, and Vera Bradley full-line and outlet store data for the last three fiscal years: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3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 xml:space="preserve">Fiscal Year Ended </w:t>
            </w:r>
            <w:r>
              <w:rPr>
                <w:rFonts w:ascii="Times New Roman" w:cs="Times New Roman" w:eastAsia="Times New Roman" w:hAnsi="Times New Roman"/>
                <w:sz w:val="23"/>
                <w:szCs w:val="23"/>
                <w:b w:val="1"/>
                <w:bCs w:val="1"/>
                <w:color w:val="auto"/>
                <w:w w:val="97"/>
                <w:vertAlign w:val="superscript"/>
              </w:rPr>
              <w:t>(1)</w:t>
            </w: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6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as otherwise indicated)</w:t>
            </w:r>
          </w:p>
        </w:tc>
        <w:tc>
          <w:tcPr>
            <w:tcW w:w="260" w:type="dxa"/>
            <w:vAlign w:val="bottom"/>
          </w:tcPr>
          <w:p>
            <w:pPr>
              <w:spacing w:after="0"/>
              <w:rPr>
                <w:sz w:val="11"/>
                <w:szCs w:val="11"/>
                <w:color w:val="auto"/>
              </w:rPr>
            </w:pPr>
          </w:p>
        </w:tc>
        <w:tc>
          <w:tcPr>
            <w:tcW w:w="138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20" w:type="dxa"/>
            <w:vAlign w:val="bottom"/>
          </w:tcPr>
          <w:p>
            <w:pPr>
              <w:spacing w:after="0"/>
              <w:rPr>
                <w:sz w:val="11"/>
                <w:szCs w:val="11"/>
                <w:color w:val="auto"/>
              </w:rPr>
            </w:pPr>
          </w:p>
        </w:tc>
        <w:tc>
          <w:tcPr>
            <w:tcW w:w="154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260" w:type="dxa"/>
            <w:vAlign w:val="bottom"/>
          </w:tcPr>
          <w:p>
            <w:pPr>
              <w:spacing w:after="0"/>
              <w:rPr>
                <w:sz w:val="11"/>
                <w:szCs w:val="11"/>
                <w:color w:val="auto"/>
              </w:rPr>
            </w:pPr>
          </w:p>
        </w:tc>
        <w:tc>
          <w:tcPr>
            <w:tcW w:w="1280" w:type="dxa"/>
            <w:vAlign w:val="bottom"/>
          </w:tcPr>
          <w:p>
            <w:pPr>
              <w:jc w:val="center"/>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95"/>
        </w:trPr>
        <w:tc>
          <w:tcPr>
            <w:tcW w:w="63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4"/>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 by Segment: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227,791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257,609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309,910</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41,860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61,186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73,803</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269,651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318,795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383,713</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Percentage of Net Revenues by Segment:</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80.8 %</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
        </w:trPr>
        <w:tc>
          <w:tcPr>
            <w:tcW w:w="6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6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20" w:type="dxa"/>
            <w:vAlign w:val="bottom"/>
          </w:tcPr>
          <w:p>
            <w:pPr>
              <w:spacing w:after="0"/>
              <w:rPr>
                <w:sz w:val="11"/>
                <w:szCs w:val="11"/>
                <w:color w:val="auto"/>
              </w:rPr>
            </w:pPr>
          </w:p>
        </w:tc>
        <w:tc>
          <w:tcPr>
            <w:tcW w:w="154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260" w:type="dxa"/>
            <w:vAlign w:val="bottom"/>
          </w:tcPr>
          <w:p>
            <w:pPr>
              <w:spacing w:after="0"/>
              <w:rPr>
                <w:sz w:val="11"/>
                <w:szCs w:val="11"/>
                <w:color w:val="auto"/>
              </w:rPr>
            </w:pPr>
          </w:p>
        </w:tc>
        <w:tc>
          <w:tcPr>
            <w:tcW w:w="1280" w:type="dxa"/>
            <w:vAlign w:val="bottom"/>
          </w:tcPr>
          <w:p>
            <w:pPr>
              <w:jc w:val="center"/>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95"/>
        </w:trPr>
        <w:tc>
          <w:tcPr>
            <w:tcW w:w="6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4"/>
        </w:trPr>
        <w:tc>
          <w:tcPr>
            <w:tcW w:w="6380" w:type="dxa"/>
            <w:vAlign w:val="bottom"/>
            <w:shd w:val="clear" w:color="auto" w:fill="CCEEFF"/>
          </w:tcPr>
          <w:p>
            <w:pPr>
              <w:ind w:left="20"/>
              <w:spacing w:after="0" w:line="214" w:lineRule="exact"/>
              <w:rPr>
                <w:sz w:val="20"/>
                <w:szCs w:val="20"/>
                <w:color w:val="auto"/>
              </w:rPr>
            </w:pPr>
            <w:r>
              <w:rPr>
                <w:rFonts w:ascii="Times New Roman" w:cs="Times New Roman" w:eastAsia="Times New Roman" w:hAnsi="Times New Roman"/>
                <w:sz w:val="18"/>
                <w:szCs w:val="18"/>
                <w:b w:val="1"/>
                <w:bCs w:val="1"/>
                <w:color w:val="auto"/>
              </w:rPr>
              <w:t xml:space="preserve">Vera Bradley Store Data </w:t>
            </w:r>
            <w:r>
              <w:rPr>
                <w:rFonts w:ascii="Times New Roman" w:cs="Times New Roman" w:eastAsia="Times New Roman" w:hAnsi="Times New Roman"/>
                <w:sz w:val="23"/>
                <w:szCs w:val="23"/>
                <w:b w:val="1"/>
                <w:bCs w:val="1"/>
                <w:color w:val="auto"/>
                <w:vertAlign w:val="superscript"/>
              </w:rPr>
              <w:t>(3)</w:t>
            </w: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stores opened during period</w:t>
            </w:r>
          </w:p>
        </w:tc>
        <w:tc>
          <w:tcPr>
            <w:tcW w:w="26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stores closed during period</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stores open at end of period</w:t>
            </w:r>
          </w:p>
        </w:tc>
        <w:tc>
          <w:tcPr>
            <w:tcW w:w="26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Comparable sales (including e-commerce) decrease </w:t>
            </w:r>
            <w:r>
              <w:rPr>
                <w:rFonts w:ascii="Times New Roman" w:cs="Times New Roman" w:eastAsia="Times New Roman" w:hAnsi="Times New Roman"/>
                <w:sz w:val="23"/>
                <w:szCs w:val="23"/>
                <w:color w:val="auto"/>
                <w:vertAlign w:val="superscript"/>
              </w:rPr>
              <w:t>(4)</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square footage at end of period</w:t>
            </w:r>
          </w:p>
        </w:tc>
        <w:tc>
          <w:tcPr>
            <w:tcW w:w="26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360,629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387,510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375,198</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Average net revenues per gross square foot </w:t>
            </w:r>
            <w:r>
              <w:rPr>
                <w:rFonts w:ascii="Times New Roman" w:cs="Times New Roman" w:eastAsia="Times New Roman" w:hAnsi="Times New Roman"/>
                <w:sz w:val="23"/>
                <w:szCs w:val="23"/>
                <w:color w:val="auto"/>
                <w:vertAlign w:val="superscript"/>
              </w:rPr>
              <w:t>(5)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80" w:right="120" w:hanging="572"/>
        <w:spacing w:after="0" w:line="255" w:lineRule="auto"/>
        <w:tabs>
          <w:tab w:leader="none" w:pos="57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utilizes a 52-53 week fiscal year ending on the Saturday closest to January 31. Fiscal years 2026 and 2025 consisted of 52 weeks. Fiscal year 2024 consisted of 53 weeks. The extra week in fiscal 2024 contributed approximately $4.9 million in net revenues and added an estimated $0.01 to diluted net income per share in fiscal 2024. By segment, the extra week contributed net revenues of approximately $2.8 million to Direct and $2.1 million to Indirect.</w:t>
      </w:r>
    </w:p>
    <w:p>
      <w:pPr>
        <w:spacing w:after="0" w:line="2" w:lineRule="exact"/>
        <w:rPr>
          <w:rFonts w:ascii="Times New Roman" w:cs="Times New Roman" w:eastAsia="Times New Roman" w:hAnsi="Times New Roman"/>
          <w:sz w:val="18"/>
          <w:szCs w:val="18"/>
          <w:color w:val="auto"/>
        </w:rPr>
      </w:pPr>
    </w:p>
    <w:p>
      <w:pPr>
        <w:ind w:left="580" w:right="240" w:hanging="572"/>
        <w:spacing w:after="0" w:line="250" w:lineRule="auto"/>
        <w:tabs>
          <w:tab w:leader="none" w:pos="57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related primarily to underperforming stores, totaled $1.0 million, and $2.4 million during the fiscal years ended January 31, 2026, and February 1, 2025, respectively. There were no store impairment charges in fiscal 2024.</w:t>
      </w:r>
    </w:p>
    <w:p>
      <w:pPr>
        <w:ind w:left="560" w:hanging="552"/>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Vera Bradley full-line and outlet stores.</w:t>
      </w:r>
    </w:p>
    <w:p>
      <w:pPr>
        <w:spacing w:after="0" w:line="9" w:lineRule="exact"/>
        <w:rPr>
          <w:rFonts w:ascii="Times New Roman" w:cs="Times New Roman" w:eastAsia="Times New Roman" w:hAnsi="Times New Roman"/>
          <w:sz w:val="18"/>
          <w:szCs w:val="18"/>
          <w:color w:val="auto"/>
        </w:rPr>
      </w:pPr>
    </w:p>
    <w:p>
      <w:pPr>
        <w:ind w:left="580" w:right="80" w:hanging="572"/>
        <w:spacing w:after="0" w:line="250" w:lineRule="auto"/>
        <w:tabs>
          <w:tab w:leader="none" w:pos="57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sales are calculated based upon stores that have been open for at least 12 full fiscal months and net revenues from e-commerce operations. Decrease is reported as a percentage of the comparable sales for the same period in the prior fiscal year. Remodeled stores are included in comparable sales unless the store was closed for a portion of the current or comparable prior period, in which case the non-comparable temporary closure periods are not included, or the remodel resulted in a significant change in square footage. Calculation excludes sales for the fifty-third week in fiscal 2024.</w:t>
      </w:r>
    </w:p>
    <w:p>
      <w:pPr>
        <w:spacing w:after="0" w:line="1" w:lineRule="exact"/>
        <w:rPr>
          <w:rFonts w:ascii="Times New Roman" w:cs="Times New Roman" w:eastAsia="Times New Roman" w:hAnsi="Times New Roman"/>
          <w:sz w:val="18"/>
          <w:szCs w:val="18"/>
          <w:color w:val="auto"/>
        </w:rPr>
      </w:pPr>
    </w:p>
    <w:p>
      <w:pPr>
        <w:ind w:left="580" w:hanging="572"/>
        <w:spacing w:after="0" w:line="253" w:lineRule="auto"/>
        <w:tabs>
          <w:tab w:leader="none" w:pos="57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 Calculation excludes sales for the fifty-third week in fiscal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2026 Compared to Fiscal 2025</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2026, net revenues decreased $49.1 million, or 15.4%, to $269.7 million, from $318.8 million for fiscal 2025.</w:t>
      </w:r>
    </w:p>
    <w:p>
      <w:pPr>
        <w:spacing w:after="0" w:line="16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VB Direct. </w:t>
      </w:r>
      <w:r>
        <w:rPr>
          <w:rFonts w:ascii="Times New Roman" w:cs="Times New Roman" w:eastAsia="Times New Roman" w:hAnsi="Times New Roman"/>
          <w:sz w:val="18"/>
          <w:szCs w:val="18"/>
          <w:color w:val="auto"/>
        </w:rPr>
        <w:t>For fiscal 2026, net revenues decreased $29.8 million, or 11.6%, to $227.8 million, from $257.6 million for fiscal 2025. Vera Bradley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sales decreased $28.6 million, or 11.6%, which includes a 20.8% decrease in comparable store sales, partially offset by a 1.2% increase in e-commerce sales. The decrease in comparable sales and comparable store sales was impacted by reduced traffic and conversion primarily in the outlet channel.</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VB Indirect. </w:t>
      </w:r>
      <w:r>
        <w:rPr>
          <w:rFonts w:ascii="Times New Roman" w:cs="Times New Roman" w:eastAsia="Times New Roman" w:hAnsi="Times New Roman"/>
          <w:sz w:val="18"/>
          <w:szCs w:val="18"/>
          <w:color w:val="auto"/>
        </w:rPr>
        <w:t>For fiscal 2026, net revenues decreased $19.3 million, or 31.5%, to $41.9 million, from $61.2 million for fiscal 2025. The decrease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related to a decline in specialty and key account orders as well as a decrease in liquidation sales.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8"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18"/>
          <w:szCs w:val="18"/>
          <w:color w:val="auto"/>
        </w:rPr>
        <w:t>For fiscal 2026, gross profit decreased $33.8 million, or 21.3%, to $125.0 million, from $158.8 million for fiscal 2025. As a percentage of net revenues, gross profit decreased to 46.4% for fiscal 2026, from 49.8% for fiscal 2025. The decrease in consolidated gross profit as a percentage of net revenues for the fiscal year was driven by a $5.2 million inventory write-down related to the Brands' strategic product shift toward cotton and heritage prints, as well as lower margin sales associated with inventory originating from prior strategic initiatives, partially offset by improved product margins across channels driven by more favorable promotional activity and pricing.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10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fiscal 2026, SG&amp;A expenses decreased $30.4 million, or 16.1%, to $158.1 million, from $188.5 million for fiscal 2025. As a percentage of net revenues, SG&amp;A expenses were 58.7% and 59.1% for fiscal 2026 and fiscal 2025, respectively. The decrease in consolidated SG&amp;A expenses for fiscal 2026 was primarily due to a decrease in employee-related expenses of $13.4 million due to a reduction in headcount and incentive compensation; decreased advertising and selling expenses of $15.6 million due to decreased sales, partially offset by a $4.0 million write-off of media credits that were not expected to be fully utilized; a $1.9 million decrease building related expenses; lower impairment charges related to store assets of approximately $1.4 million compared to the prior year; $0.8 million reduction in corporate expenses; a decrease of $0.5 million for software maintenance costs; and $0.8 million in net other expense reductions.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0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fiscal 2026, net other income increased $0.4 million, or 43.4%, to $1.2 million, from $0.8 million in the prior year. The increase in net other income was primarily attributable to income from the Transition Services Agreement ("TSA") resulting from the sale of Creative Genius.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Loss from Continuing Operations</w:t>
      </w:r>
    </w:p>
    <w:p>
      <w:pPr>
        <w:spacing w:after="0" w:line="9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fiscal 2026, operating loss from continuing operations increased $3.1 million, or 10.8%, to $(31.9) million, from $(28.8) million for fiscal 2025. As a percentage of net revenues, operating loss from continuing operations was (11.8)% and (9.0)% for fiscal 2026 and fiscal 2025, respectively. Operating loss from continuing operations decreased due to the factors described above.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additional information about our operating loss from continuing operations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3"/>
        </w:trPr>
        <w:tc>
          <w:tcPr>
            <w:tcW w:w="5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r>
      <w:tr>
        <w:trPr>
          <w:trHeight w:val="156"/>
        </w:trPr>
        <w:tc>
          <w:tcPr>
            <w:tcW w:w="5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220" w:type="dxa"/>
            <w:vAlign w:val="bottom"/>
          </w:tcPr>
          <w:p>
            <w:pPr>
              <w:spacing w:after="0"/>
              <w:rPr>
                <w:sz w:val="13"/>
                <w:szCs w:val="13"/>
                <w:color w:val="auto"/>
              </w:rPr>
            </w:pPr>
          </w:p>
        </w:tc>
        <w:tc>
          <w:tcPr>
            <w:tcW w:w="130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300" w:type="dxa"/>
            <w:vAlign w:val="bottom"/>
          </w:tcPr>
          <w:p>
            <w:pPr>
              <w:spacing w:after="0"/>
              <w:rPr>
                <w:sz w:val="13"/>
                <w:szCs w:val="13"/>
                <w:color w:val="auto"/>
              </w:rPr>
            </w:pPr>
          </w:p>
        </w:tc>
        <w:tc>
          <w:tcPr>
            <w:tcW w:w="1120" w:type="dxa"/>
            <w:vAlign w:val="bottom"/>
          </w:tcPr>
          <w:p>
            <w:pPr>
              <w:ind w:left="38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gridSpan w:val="2"/>
          </w:tcPr>
          <w:p>
            <w:pPr>
              <w:jc w:val="right"/>
              <w:ind w:right="64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 from continuing operations: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center"/>
              <w:ind w:left="476"/>
              <w:spacing w:after="0"/>
              <w:rPr>
                <w:sz w:val="20"/>
                <w:szCs w:val="20"/>
                <w:color w:val="auto"/>
              </w:rPr>
            </w:pPr>
            <w:r>
              <w:rPr>
                <w:rFonts w:ascii="Times New Roman" w:cs="Times New Roman" w:eastAsia="Times New Roman" w:hAnsi="Times New Roman"/>
                <w:sz w:val="18"/>
                <w:szCs w:val="18"/>
                <w:color w:val="auto"/>
                <w:w w:val="96"/>
              </w:rPr>
              <w:t>25,240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(6,918)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476"/>
              <w:spacing w:after="0"/>
              <w:rPr>
                <w:sz w:val="20"/>
                <w:szCs w:val="20"/>
                <w:color w:val="auto"/>
              </w:rPr>
            </w:pPr>
            <w:r>
              <w:rPr>
                <w:rFonts w:ascii="Times New Roman" w:cs="Times New Roman" w:eastAsia="Times New Roman" w:hAnsi="Times New Roman"/>
                <w:sz w:val="18"/>
                <w:szCs w:val="18"/>
                <w:color w:val="auto"/>
                <w:w w:val="96"/>
              </w:rPr>
              <w:t>15,414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(6,832)</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Unallocated corporate expenses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456"/>
              <w:spacing w:after="0"/>
              <w:rPr>
                <w:sz w:val="20"/>
                <w:szCs w:val="20"/>
                <w:color w:val="auto"/>
              </w:rPr>
            </w:pPr>
            <w:r>
              <w:rPr>
                <w:rFonts w:ascii="Times New Roman" w:cs="Times New Roman" w:eastAsia="Times New Roman" w:hAnsi="Times New Roman"/>
                <w:sz w:val="18"/>
                <w:szCs w:val="18"/>
                <w:color w:val="auto"/>
              </w:rPr>
              <w:t>(69,446)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10,630</w:t>
            </w:r>
          </w:p>
        </w:tc>
        <w:tc>
          <w:tcPr>
            <w:tcW w:w="1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15.3 %</w:t>
            </w: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from continuing operations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center"/>
              <w:ind w:left="456"/>
              <w:spacing w:after="0"/>
              <w:rPr>
                <w:sz w:val="20"/>
                <w:szCs w:val="20"/>
                <w:color w:val="auto"/>
              </w:rPr>
            </w:pPr>
            <w:r>
              <w:rPr>
                <w:rFonts w:ascii="Times New Roman" w:cs="Times New Roman" w:eastAsia="Times New Roman" w:hAnsi="Times New Roman"/>
                <w:sz w:val="18"/>
                <w:szCs w:val="18"/>
                <w:color w:val="auto"/>
              </w:rPr>
              <w:t>(28,792)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(3,120)</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fiscal 2026, operating income decreased $6.9 million, or 27.4%. As a percentage of VB Direct segment net revenues, operating income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VB Direct segment was 8.0% and 9.8% for fiscals 2026 and 2025, respectively. The decrease in operating income as a percentage of VB Direct segment net revenues was primarily due to decreased sales, a decrease in gross margin as a percent of net revenues driven by inventory reserve charges, and SG&amp;A expense deleverage associated with decreased sales.</w:t>
      </w:r>
    </w:p>
    <w:p>
      <w:pPr>
        <w:spacing w:after="0" w:line="31"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7"/>
          <w:szCs w:val="17"/>
          <w:i w:val="1"/>
          <w:iCs w:val="1"/>
          <w:color w:val="auto"/>
        </w:rPr>
        <w:t>VB Indirect</w:t>
      </w:r>
      <w:r>
        <w:rPr>
          <w:rFonts w:ascii="Times New Roman" w:cs="Times New Roman" w:eastAsia="Times New Roman" w:hAnsi="Times New Roman"/>
          <w:sz w:val="17"/>
          <w:szCs w:val="17"/>
          <w:color w:val="auto"/>
        </w:rPr>
        <w:t>. For fiscal 2026, operating income decreased $6.8 million, or 44.3%. As a percentage of VB Indirect segment net revenues, operating income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the VB Indirect segment was 20.5% and 25.2% for fiscals 2026 and 2025, respectively. The decrease in operating income as a percentage of VB Indirect segment net revenues was primarily due to reduced margin for indirect liquidations sales and SG&amp;A expense deleverage resulting from decreased sales.</w:t>
      </w:r>
    </w:p>
    <w:p>
      <w:pPr>
        <w:spacing w:after="0" w:line="2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Corporate Unallocated</w:t>
      </w:r>
      <w:r>
        <w:rPr>
          <w:rFonts w:ascii="Times New Roman" w:cs="Times New Roman" w:eastAsia="Times New Roman" w:hAnsi="Times New Roman"/>
          <w:sz w:val="18"/>
          <w:szCs w:val="18"/>
          <w:color w:val="auto"/>
        </w:rPr>
        <w:t>. For fiscal 2026, corporate unallocated expenses decreased $10.6 million, or 15.3% to $58.8 million from $69.4 million in the prior-year period. The decrease in corporate unallocated expenses was primarily due to a $5.5 million decrease in employee related expenses including incentive compensation and salaries resulting from headcount reductions; a decrease of $2.1 million for corporate expenses and professional fees; a reduction in advertising expenses of $5.4 million,</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partially offset by a $4.0 million write-off of media credits that were not expected to be fully utilized; decreased building expenses of $0.8 million; and $0.8 million in net other expense reductions.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Income, Net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2026, there was net interest expense of $(0.5) million, a $1.3 million increase from net interest income of $0.8 million in fiscal 2025.</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92"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For fiscal 2026, we recorded income tax expense of $0.3 million at an effective tax rate of (0.9)%, compared to $5.3 million at an effective tax rate of (19.0)% for fiscal 2025. The effective tax rate change was primarily attributable to the full valuation allowance recorded in the prior year against the Company's net deferred tax assets, as well as the relative impact of permanent and discrete items in the current-year period compared to the prior-year period which largely relates to non-deductible executive compensation.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from Continuing Operations</w:t>
      </w:r>
    </w:p>
    <w:p>
      <w:pPr>
        <w:spacing w:after="0" w:line="9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For fiscal 2026, net loss from continuing operations decreased $0.7 million, or 2.1%, to $(32.7) million, from $(33.4) million in fiscal 2025 due to the factors described in the captions above.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Discontinued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2026, loss from discontinued operations decreased $13.6 million, or 47.4%, to $(15.2) million, from $(28.8) million in fiscal 2025.</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9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For fiscal 2026, net loss decreased $14.3 million, or 23.1%, to $(47.8) million, from $(62.2) million in fiscal 2025 due to the factors described in the captions above.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2025 Compared to Fiscal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2025, net revenues decreased $64.9 million, or 16.9%, to $318.8 million, from $383.7 million for fiscal 2024.</w:t>
      </w:r>
    </w:p>
    <w:p>
      <w:pPr>
        <w:spacing w:after="0" w:line="16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VB Direct. </w:t>
      </w:r>
      <w:r>
        <w:rPr>
          <w:rFonts w:ascii="Times New Roman" w:cs="Times New Roman" w:eastAsia="Times New Roman" w:hAnsi="Times New Roman"/>
          <w:sz w:val="18"/>
          <w:szCs w:val="18"/>
          <w:color w:val="auto"/>
        </w:rPr>
        <w:t>For fiscal 2025, net revenues decreased $52.3 million, or 16.9%, to $257.6 million, from $309.9 million for fiscal 2024. Vera Bradley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sales decreased $49.6 million, or 16.6%, which includes a 22.2% decrease in comparable store sales as well as a 7.3% decrease in e-commerce sales. The decrease in comparable sales and comparable store sales was impacted by reduced traffic, conversion, and units sold primarily in the outlet channel as well as the full-line channel. Fiscal 2024 net revenues also include approximately $2.8 million attributed to the extra week in fiscal 2024.</w:t>
      </w:r>
    </w:p>
    <w:p>
      <w:pPr>
        <w:spacing w:after="0" w:line="11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VB Indirect. </w:t>
      </w:r>
      <w:r>
        <w:rPr>
          <w:rFonts w:ascii="Times New Roman" w:cs="Times New Roman" w:eastAsia="Times New Roman" w:hAnsi="Times New Roman"/>
          <w:sz w:val="18"/>
          <w:szCs w:val="18"/>
          <w:color w:val="auto"/>
        </w:rPr>
        <w:t>For fiscal 2025, net revenues decreased $12.6 million, or 17.1%, to $61.2 million, from $73.8 million for fiscal 2024. The decrease is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decreased specialty and other indirect retailer sales resulting from reduced customer count and order volume, as well as a decrease in liquidation orders. These decreases were partially offset by an increase in certain key account orders. Fiscal 2024 net revenues also include approximately $2.1 million attributed to the extra week in fiscal 2024.</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8" w:lineRule="exact"/>
        <w:rPr>
          <w:sz w:val="20"/>
          <w:szCs w:val="20"/>
          <w:color w:val="auto"/>
        </w:rPr>
      </w:pPr>
    </w:p>
    <w:p>
      <w:pPr>
        <w:jc w:val="both"/>
        <w:ind w:right="300"/>
        <w:spacing w:after="0" w:line="234" w:lineRule="auto"/>
        <w:rPr>
          <w:sz w:val="20"/>
          <w:szCs w:val="20"/>
          <w:color w:val="auto"/>
        </w:rPr>
      </w:pPr>
      <w:r>
        <w:rPr>
          <w:rFonts w:ascii="Times New Roman" w:cs="Times New Roman" w:eastAsia="Times New Roman" w:hAnsi="Times New Roman"/>
          <w:sz w:val="18"/>
          <w:szCs w:val="18"/>
          <w:color w:val="auto"/>
        </w:rPr>
        <w:t>For fiscal 2025, gross profit decreased $45.2 million, or 22.1%, to $158.8 million, from $204.0 million for fiscal 2024. As a percentage of net revenues, gross profit decreased to 49.8% for fiscal 2025, from 53.2% for fiscal 2024. The decrease in gross profit as a percentage of net revenues was driven by increased outbound freight costs, sales channel mix, and reduced margins for indirect liquidation sales.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1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fiscal 2025, SG&amp;A expenses decreased $4.8 million, or 2.5%, to $188.5 million, from $193.3 million for fiscal 2024. As a percentage of net revenues, SG&amp;A expenses were 59.1% and 50.4% for fiscal 2025 and fiscal 2024, respectively. The decrease in SG&amp;A expenses for fiscal 2025 was primarily due to a decrease in employee-related expenses of $12.1 million due to a reduction in headcount and incentive compensation and decreased selling expenses of $2.0 million due to decreased sales, partially offset by an increase of $6.8 million in advertising expenses, and $2.4 million of property, plant, and equipment charges recorded in fiscal 2025, and $0.1 million in net other expenses.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2025, net other income decreased $0.1 million, or 7.5%, to $0.8 million, from $0.9 million for fiscal 2024.</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(Loss) Income from Continuing Operations</w:t>
      </w:r>
    </w:p>
    <w:p>
      <w:pPr>
        <w:spacing w:after="0" w:line="92" w:lineRule="exact"/>
        <w:rPr>
          <w:sz w:val="20"/>
          <w:szCs w:val="20"/>
          <w:color w:val="auto"/>
        </w:rPr>
      </w:pPr>
    </w:p>
    <w:p>
      <w:pPr>
        <w:ind w:right="380"/>
        <w:spacing w:after="0" w:line="276" w:lineRule="auto"/>
        <w:rPr>
          <w:sz w:val="20"/>
          <w:szCs w:val="20"/>
          <w:color w:val="auto"/>
        </w:rPr>
      </w:pPr>
      <w:r>
        <w:rPr>
          <w:rFonts w:ascii="Times New Roman" w:cs="Times New Roman" w:eastAsia="Times New Roman" w:hAnsi="Times New Roman"/>
          <w:sz w:val="17"/>
          <w:szCs w:val="17"/>
          <w:color w:val="auto"/>
        </w:rPr>
        <w:t>For fiscal 2025, there was an operating loss from continuing operations of $(28.8) million, a $40.4 million increase, or 347.8%, from operating income from continuing operations of $11.6 million for fiscal 2024. As a percentage of net revenues, operating (loss) income from continuing operations was</w:t>
      </w:r>
    </w:p>
    <w:p>
      <w:pPr>
        <w:spacing w:after="0" w:line="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(9.0)% and 3.0% for fiscal 2025 and fiscal 2024, respectively. Operating (loss) income from continuing operations increased due to the factors described above.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additional information about our operating (loss) income from continuing operations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3"/>
        </w:trPr>
        <w:tc>
          <w:tcPr>
            <w:tcW w:w="5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r>
      <w:tr>
        <w:trPr>
          <w:trHeight w:val="156"/>
        </w:trPr>
        <w:tc>
          <w:tcPr>
            <w:tcW w:w="5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220" w:type="dxa"/>
            <w:vAlign w:val="bottom"/>
          </w:tcPr>
          <w:p>
            <w:pPr>
              <w:spacing w:after="0"/>
              <w:rPr>
                <w:sz w:val="13"/>
                <w:szCs w:val="13"/>
                <w:color w:val="auto"/>
              </w:rPr>
            </w:pPr>
          </w:p>
        </w:tc>
        <w:tc>
          <w:tcPr>
            <w:tcW w:w="130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280" w:type="dxa"/>
            <w:vAlign w:val="bottom"/>
          </w:tcPr>
          <w:p>
            <w:pPr>
              <w:spacing w:after="0"/>
              <w:rPr>
                <w:sz w:val="13"/>
                <w:szCs w:val="13"/>
                <w:color w:val="auto"/>
              </w:rPr>
            </w:pPr>
          </w:p>
        </w:tc>
        <w:tc>
          <w:tcPr>
            <w:tcW w:w="1140" w:type="dxa"/>
            <w:vAlign w:val="bottom"/>
          </w:tcPr>
          <w:p>
            <w:pPr>
              <w:jc w:val="right"/>
              <w:ind w:right="59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gridSpan w:val="2"/>
          </w:tcPr>
          <w:p>
            <w:pPr>
              <w:jc w:val="right"/>
              <w:ind w:right="64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 Income from continuing operations: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center"/>
              <w:ind w:left="438"/>
              <w:spacing w:after="0"/>
              <w:rPr>
                <w:sz w:val="20"/>
                <w:szCs w:val="20"/>
                <w:color w:val="auto"/>
              </w:rPr>
            </w:pPr>
            <w:r>
              <w:rPr>
                <w:rFonts w:ascii="Times New Roman" w:cs="Times New Roman" w:eastAsia="Times New Roman" w:hAnsi="Times New Roman"/>
                <w:sz w:val="18"/>
                <w:szCs w:val="18"/>
                <w:color w:val="auto"/>
              </w:rPr>
              <w:t>25,240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center"/>
              <w:ind w:left="476"/>
              <w:spacing w:after="0"/>
              <w:rPr>
                <w:sz w:val="20"/>
                <w:szCs w:val="20"/>
                <w:color w:val="auto"/>
              </w:rPr>
            </w:pPr>
            <w:r>
              <w:rPr>
                <w:rFonts w:ascii="Times New Roman" w:cs="Times New Roman" w:eastAsia="Times New Roman" w:hAnsi="Times New Roman"/>
                <w:sz w:val="18"/>
                <w:szCs w:val="18"/>
                <w:color w:val="auto"/>
              </w:rPr>
              <w:t>61,873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438"/>
              <w:spacing w:after="0"/>
              <w:rPr>
                <w:sz w:val="20"/>
                <w:szCs w:val="20"/>
                <w:color w:val="auto"/>
              </w:rPr>
            </w:pPr>
            <w:r>
              <w:rPr>
                <w:rFonts w:ascii="Times New Roman" w:cs="Times New Roman" w:eastAsia="Times New Roman" w:hAnsi="Times New Roman"/>
                <w:sz w:val="18"/>
                <w:szCs w:val="18"/>
                <w:color w:val="auto"/>
              </w:rPr>
              <w:t>15,414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476"/>
              <w:spacing w:after="0"/>
              <w:rPr>
                <w:sz w:val="20"/>
                <w:szCs w:val="20"/>
                <w:color w:val="auto"/>
              </w:rPr>
            </w:pPr>
            <w:r>
              <w:rPr>
                <w:rFonts w:ascii="Times New Roman" w:cs="Times New Roman" w:eastAsia="Times New Roman" w:hAnsi="Times New Roman"/>
                <w:sz w:val="18"/>
                <w:szCs w:val="18"/>
                <w:color w:val="auto"/>
              </w:rPr>
              <w:t>24,279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(8,865)</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Unallocated corporate expenses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418"/>
              <w:spacing w:after="0"/>
              <w:rPr>
                <w:sz w:val="20"/>
                <w:szCs w:val="20"/>
                <w:color w:val="auto"/>
              </w:rPr>
            </w:pPr>
            <w:r>
              <w:rPr>
                <w:rFonts w:ascii="Times New Roman" w:cs="Times New Roman" w:eastAsia="Times New Roman" w:hAnsi="Times New Roman"/>
                <w:sz w:val="18"/>
                <w:szCs w:val="18"/>
                <w:color w:val="auto"/>
                <w:w w:val="97"/>
              </w:rPr>
              <w:t>(69,446)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436"/>
              <w:spacing w:after="0"/>
              <w:rPr>
                <w:sz w:val="20"/>
                <w:szCs w:val="20"/>
                <w:color w:val="auto"/>
              </w:rPr>
            </w:pPr>
            <w:r>
              <w:rPr>
                <w:rFonts w:ascii="Times New Roman" w:cs="Times New Roman" w:eastAsia="Times New Roman" w:hAnsi="Times New Roman"/>
                <w:sz w:val="18"/>
                <w:szCs w:val="18"/>
                <w:color w:val="auto"/>
              </w:rPr>
              <w:t>(74,535)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1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 from continuing operations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center"/>
              <w:ind w:left="418"/>
              <w:spacing w:after="0"/>
              <w:rPr>
                <w:sz w:val="20"/>
                <w:szCs w:val="20"/>
                <w:color w:val="auto"/>
              </w:rPr>
            </w:pPr>
            <w:r>
              <w:rPr>
                <w:rFonts w:ascii="Times New Roman" w:cs="Times New Roman" w:eastAsia="Times New Roman" w:hAnsi="Times New Roman"/>
                <w:sz w:val="18"/>
                <w:szCs w:val="18"/>
                <w:color w:val="auto"/>
                <w:w w:val="97"/>
              </w:rPr>
              <w:t>(28,792)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center"/>
              <w:ind w:left="476"/>
              <w:spacing w:after="0"/>
              <w:rPr>
                <w:sz w:val="20"/>
                <w:szCs w:val="20"/>
                <w:color w:val="auto"/>
              </w:rPr>
            </w:pPr>
            <w:r>
              <w:rPr>
                <w:rFonts w:ascii="Times New Roman" w:cs="Times New Roman" w:eastAsia="Times New Roman" w:hAnsi="Times New Roman"/>
                <w:sz w:val="18"/>
                <w:szCs w:val="18"/>
                <w:color w:val="auto"/>
              </w:rPr>
              <w:t>11,617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(40,409)</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347.8 %</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fiscal 2025, operating income decreased $36.6 million, or 59.2%. As a percentage of VB Direct segment net revenues, operating income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VB Direct segment was 9.8% and 20.0% for fiscals 2025 and 2024, respectively. The decrease in operating income as a percentage of VB Direct segment net revenues was primarily due to decreased sales, a decrease in gross margin as a percent of net revenues driven by a change in sales channel mix, and SG&amp;A expense deleverage associated with decreased sales.</w:t>
      </w:r>
    </w:p>
    <w:p>
      <w:pPr>
        <w:spacing w:after="0" w:line="3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fiscal 2025, operating income decreased $8.9 million, or 36.5%. As a percentage of VB Indirect segment net revenues, operating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VB Indirect segment was 25.2% and 32.9% for fiscals 2025 and 2024, respectively. The decrease in operating income as a percentage of VB Indirect segment net revenues was primarily due to reduced margin for indirect liquidations sales, an increase in wholesale discounting, and SG&amp;A expense deleverage resulting from decreased sales.</w:t>
      </w:r>
    </w:p>
    <w:p>
      <w:pPr>
        <w:spacing w:after="0" w:line="45"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i w:val="1"/>
          <w:iCs w:val="1"/>
          <w:color w:val="auto"/>
        </w:rPr>
        <w:t>Corporate Unallocated</w:t>
      </w:r>
      <w:r>
        <w:rPr>
          <w:rFonts w:ascii="Times New Roman" w:cs="Times New Roman" w:eastAsia="Times New Roman" w:hAnsi="Times New Roman"/>
          <w:sz w:val="18"/>
          <w:szCs w:val="18"/>
          <w:color w:val="auto"/>
        </w:rPr>
        <w:t>. For fiscal 2025, corporate unallocated expenses decreased $5.1 million, or 6.8% to $69.4 million from $74.5 million for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The decrease in corporate unallocated expenses was primarily due to a $5.9 million decrease in employee related expenses including incentive compensation and salaries resulting from headcount reductions and $0.1 million in net other expense reductions, partially offset by an increase of $0.6 million in advertising related to prior strategic initiatives and an increase in professional fees of $0.3 million.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2025, there was net interest income of $0.8 million, a $0.1 million increase from $0.7 million in fiscal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06"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For fiscal 2025, we recorded income tax expense of $5.3 million at an effective tax rate of (19.0)%, compared to $3.7 million at an effective tax rate of 30.0% for fiscal 2024. The effective tax rate change was primarily attributable to the full valuation allowance recorded in fiscal 2025 against the Company's net deferred tax assets, as well as the relative impact of permanent and discrete items in fiscal 2025 compared to fiscal 2024 which largely relates to non-deductible executive compensation.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 from Continuing Operations</w:t>
      </w:r>
    </w:p>
    <w:p>
      <w:pPr>
        <w:spacing w:after="0" w:line="10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fiscal 2025, there was a net loss from continuing operations of $(33.4) million, a $42.0 million increase, or 488.3%, from net income from continuing operations of $8.6 million in fiscal 2024 due to the factors described in the captions above.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Discontinued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2025, loss from discontinued operations increased $28.0 million, or 3701.0%, to $(28.8) million, from $(0.8) million in fiscal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w:t>
      </w:r>
    </w:p>
    <w:p>
      <w:pPr>
        <w:spacing w:after="0" w:line="10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For fiscal 2025, there was a net loss of $(62.2) million, a $70.0 million increase, or 893.4%, from net income of $7.8 million in fiscal 2024 due to the factors described in the captions above.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9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Our primary sources of liquidity are cash and cash equivalents and cash flow from operations. We also have access to additional liquidity, if needed, through borrowings under our $75.0 million asset-based revolving credit agreement (the “Credit Agreement”). Availability under the Credit Agreement is driven by a borrowing base comprised primarily of eligible accounts receivable and inventory, each subject to advance rates, eligibility criteria, and applicable reserves. As a result, borrowing capacity may fluctuate based on the level and quality of receivables and the composition and valuation of inventory. There was no debt outstanding under the Credit Agreement as of January 31, 2026. The Company also owns two real estate properties that are unencumbered, which provide additional financial flexibility and may serve as a potential source of liquidity or collateral, if needed. Historically, our primary cash needs have been for merchandise inventories; payroll; store rent; capital expenditures associated with operational equipment, buildings, information technology, and opening new stores; and share repurchases. The most significant components of our working capital are cash and cash equivalents, merchandise inventories, accounts receivable, accounts payable, and other current liabilities.</w:t>
      </w:r>
    </w:p>
    <w:p>
      <w:pPr>
        <w:spacing w:after="0" w:line="21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believe that cash and cash equivalents, cash flows from operating activities, and the availability of borrowings under our Credit Agreement or other financing arrangements will be sufficient to meet working capital requirements and anticipated capital expenditures, and other strategic uses of cash, if any, for the foreseeable future.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Analysis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31"/>
        </w:trPr>
        <w:tc>
          <w:tcPr>
            <w:tcW w:w="6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240" w:type="dxa"/>
            <w:vAlign w:val="bottom"/>
          </w:tcPr>
          <w:p>
            <w:pPr>
              <w:spacing w:after="0"/>
              <w:rPr>
                <w:sz w:val="11"/>
                <w:szCs w:val="11"/>
                <w:color w:val="auto"/>
              </w:rPr>
            </w:pPr>
          </w:p>
        </w:tc>
        <w:tc>
          <w:tcPr>
            <w:tcW w:w="1200" w:type="dxa"/>
            <w:vAlign w:val="bottom"/>
          </w:tcPr>
          <w:p>
            <w:pPr>
              <w:jc w:val="right"/>
              <w:ind w:right="277"/>
              <w:spacing w:after="0" w:line="131" w:lineRule="exact"/>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5"/>
        </w:trPr>
        <w:tc>
          <w:tcPr>
            <w:tcW w:w="67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47,993</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(13,770)</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Operating Activities</w:t>
      </w:r>
    </w:p>
    <w:p>
      <w:pPr>
        <w:spacing w:after="0" w:line="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provided by operating activities consists primarily of net (loss) income adjusted for non-cash items, including depreciation, amortization, impairment charges, and stock-based compensation; and the effect of changes in assets and liabilities.</w:t>
      </w:r>
    </w:p>
    <w:p>
      <w:pPr>
        <w:spacing w:after="0" w:line="10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$10.0 million during fiscal 2026, as compared to $14.1 million during fiscal 2025. The decrease in cash used in operating activities was primarily driven by a $14.3 million decrease in net loss in the current year and the $20.4 million valuation allowance recorded in the prior year period against the Company's deferred tax assets, partially offset by a loss on sale of business of $15.2 million, as well as other non-cash adjustments and changes in working capital.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0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Investing activities consisted primarily of investments and capital expenditures related to new store openings, buildings, operational equipment, and information technology investments.</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$1.5 million in fiscal 2026, compared to $10.4 million in fiscal 2025. The decrease in cash used in investing activities was primarily a result of decreased property, plant, and equipment spending of $7.1 million due to a reduction in store openings and remodels in fiscal 2026, compared to fiscal 2025, as well as $1.8 million in proceeds from the sale of Creative Genius in the current year.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9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$0.2 million in fiscal 2026 compared to $22.5 million in fiscal 2025. The decrease in cash used in financing activities was primarily due to a decrease in repurchases of common stock of $21.8 million.</w:t>
      </w:r>
    </w:p>
    <w:p>
      <w:pPr>
        <w:spacing w:after="0" w:line="4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Refer to the Company's Annual Report on Form 10-K filed with the SEC on March 28, 2025, for a comparison of fiscal 2025 to fiscal 2024 cash flow activity.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9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On March 11, 2025, certain subsidiaries of the Company, JP Morgan Chase Bank, N.A., as the administrative agent, and lenders from time to time party thereto, entered into a Fourth Amendment (the “Fourth Amendment”) to the Credit Agreement. The Credit Agreement provides for certain credit facilities to VBD in an aggregate principal amount not to initially exceed the lesser of $75.0 million or the amount of borrowing availability determined in accordance with a borrowing base of certain assets. Borrowings under the credit facilities are available to finance general corporate purposes of VBD and its subsidiaries, including but not limited to Vera Bradley International, LLC, and Vera Bradley Sales, LLC. The Credit Agreement also contains an option for VBD to arrange with lenders to increase the aggregate principal amount by up to $50.0 million.</w:t>
      </w:r>
    </w:p>
    <w:p>
      <w:pPr>
        <w:spacing w:after="0" w:line="7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October 21, 2025, VBD amended the agreement to include, among other things: (i) permit the sale of certain real property assets without requiring the application of the proceeds from such sale to be used to repay amounts outstanding under the Credit Agreement, (ii) remove the prohibition against sale and leaseback transactions and (iii) increase the amount of Company assets permitted to be disposed of in any fiscal year outside the ordinary course of business from $5,000,000 to $10,000,000.</w:t>
      </w:r>
    </w:p>
    <w:p>
      <w:pPr>
        <w:spacing w:after="0" w:line="5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As of January 31, 2026, the Company had no borrowings outstanding under the Credit Agreement and had availability of $58.6 million, subject to the borrowing base provisions of the facility.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regarding the Credit Agreement, please see Note 6 of the Notes to Consolidated Financial Statements set forth in Part II, “Item 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and Supplementary Data,” of this report.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material cash requirements from known contractual and other obligations include the following:</w:t>
      </w:r>
    </w:p>
    <w:p>
      <w:pPr>
        <w:spacing w:after="0" w:line="7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obligations as disclosed further in Note 4 to the Notes to the Consolidated Financial Statements in Part II, Item 8 of this report;</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order commitments primarily related to inventory purchases;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cash incentives, benefits, and other employee-related costs;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for capital expenditures;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payments; and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supply and service agreements entered into as part of our normal operations.</w:t>
      </w:r>
    </w:p>
    <w:p>
      <w:pPr>
        <w:spacing w:after="0" w:line="9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may be subject to additional material cash requirements that are contingent upon certain events that have not yet occurred. We expect to fund these cash requirements using cash on hand, cash provided by our operations and, to the extent necessary, borrowings under our Credit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(“GAAP”) requires management to make estimates and assumptions that affect the reported amounts of our assets, liabilities, revenues, and expenses, as well as the disclosures relating to contingent assets and liabilities at the date of the consolidated financial statements. We evaluate our accounting policies, estimates, and judgments on an on-going basis. We base our estimates and judgments on historical experience and various other factors that we believe to be reasonable under the circumstances. Actual results may differ from these estimates under different assumptions and conditions.</w:t>
      </w:r>
    </w:p>
    <w:p>
      <w:pPr>
        <w:spacing w:after="0" w:line="1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evaluate the development and selection of our critical accounting policies and estimates and believe that the following policies and estimates involve a higher degree of judgment or complexity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 With respect to critical accounting policies, even a relatively minor variance between actual and expected experience can potentially have a materially favorable or unfavorable impact on subsequent results of operations. Our historical results for the periods presented in the consolidated financial statements, however, have not been materially impacted by such variances. More information on all of our significant accounting policies can be found in Note 2, “Summary of Significant Accounting Policies,” in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using the first-in, first-out (“FIFO”) method. Appropriate consideration is given to obsolescence, excess quantities, and other factors, including the popularity of a pattern or product, in evaluating net realizable value. We record valuation adjustments to our inventories, which are reflected in cost of sales, if the cost of specific inventory items on hand exceeds the amount we expect to realize from the ultimate sale or disposal of the inventory. This adjustment calculation requires us to make assumptions and estimates, which are based on factors such as merchandise seasonality, historical trends, and estimated sales and inventory levels, including sell-through of remaining units. In addition, as part of inventory adjustments, we provide for inventory shrinkage based on historical trends from our physical inventory counts. We perform physical inventory counts throughout the year and adjust the shrinkage provision accordingly.</w:t>
      </w:r>
    </w:p>
    <w:p>
      <w:pPr>
        <w:spacing w:after="0" w:line="13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balance of inventory adjustments was $6.0 million and $0.7 million for these matters as of the fiscal years ended January 31, 2026, and February 1, 2025, respectively.</w:t>
      </w:r>
    </w:p>
    <w:p>
      <w:pPr>
        <w:spacing w:after="0" w:line="10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believe we have the ability to sell some of our retired finished goods through a number of channels, including our Vera Bradley websites, the Vera Bradley online outlet site, Vera Bradley outlet stores, the Vera Bradley Annual Outlet Sale, and through third-party liquidators as needed.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Long-lived Assets</w:t>
      </w:r>
    </w:p>
    <w:p>
      <w:pPr>
        <w:spacing w:after="0" w:line="10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Property, plant, and equipment and operating right-of-use assets are reviewed for impairment whenever events or changes in circumstances indicate that the carrying amount of an asset group may not be recoverable. In evaluating an asset group for recoverability, we estimate the future cash flows expected to result from the use of the asset group at the store level, the lowest identifiable level of cash flow, if applicable. If the sum of the estimated undiscounted future cash flows related to the asset group is less than the carrying value, we recognize a loss equal to the difference between the carrying value and the fair value, usually determined by an estimated discounted cash flow analysis of the asset. Factors used in the valuation of long-lived assets include, but are not limited to, our plans for future operations, brand initiatives, recent operating results, and projected future cash flows. With respect to our stores, we analyze store economics, location within the shopping center, the size and shape of the space, and desirable co-tenancies in our selection process. Impairment charges are classified in SG&amp;A expenses and were $1.0 million, and $2.4 million for the periods ended January 31, 2026, and February 1, 2025, respectively. No impairment charges were recorded in fiscal 2024.</w:t>
      </w:r>
    </w:p>
    <w:p>
      <w:pPr>
        <w:spacing w:after="0" w:line="1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(2) discount rates used to derive the present value factors used in determining the fair values; and (3) market rentals at the retail store. These and other estimates and assumptions are impacted by economic conditions and our expectations and may change in the future based on period-specific facts and circumstances. If economic conditions were to deteriorate, future impairment charges may be required.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subject to interest rate risk in connection with borrowings under our asset-based revolving credit agreement (the “Credit Agreement”). The Credit Agreement allows for a revolving credit commitment of $75.0 million, bearing interest at a variable rate, based on a per annum rate equal to either i) for CBFR borrowings (including swingline loans), the CB Floating Rate, where the CB Floating Rate is the greater of the prime rate or 2.5%, plus the Applicable Rate, where the Applicable Rate is a percentage spread ranging from -1.25% to -1.50%, (ii) for each Term Benchmark Borrowing, the Adjusted Term SOFR Rate, where the Adjusted Term SOFR Rate is the Term SOFR rate for such interest period plus 0.10% for the interest period in effect for such borrowing, plus the Applicable Rate, where the Applicable Rate is a percentage ranging from 1.25% to 1.50%, or (iii) for RFR Loans, the Adjusted Daily Simple SOFR Rate, where the Adjusted Daily Simple SOFR Rate is equal to the Daily Simple SOFR plus 0.10%, plus the Applicable Rate, where the Applicable Rate is a percentage ranging from 1.25% to 1.50%. The applicable CB Floating Rate, Adjusted Term SOFR Rate, Term SOFR Rate, Daily Simple SOFR, and Adjusted Daily Simple SOFR shall be determined by the administrative agent. Assuming borrowings available under the Credit Agreement are fully extended at $75.0 million, each quarter point increase or decrease in the interest rate would change our annual interest expense by approximately $0.2 million.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Rate Risk</w:t>
      </w:r>
    </w:p>
    <w:p>
      <w:pPr>
        <w:spacing w:after="0" w:line="9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source a majority of our finished goods from various suppliers primarily in Cambodia, Vietnam, Indonesia, El Salvador, China, and the Philippines. Substantially all purchases and sales involving foreign persons are denominated in U.S. dollars, and therefore we do not hedge using any derivative instruments. Historically, we have not been impacted materially by changes in exchange rates.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103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103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0" w:type="dxa"/>
            <w:vAlign w:val="bottom"/>
            <w:gridSpan w:val="7"/>
          </w:tcPr>
          <w:p>
            <w:pPr>
              <w:jc w:val="center"/>
              <w:ind w:right="3840"/>
              <w:spacing w:after="0"/>
              <w:rPr>
                <w:sz w:val="20"/>
                <w:szCs w:val="20"/>
                <w:color w:val="auto"/>
              </w:rPr>
            </w:pPr>
            <w:r>
              <w:rPr>
                <w:rFonts w:ascii="Times New Roman" w:cs="Times New Roman" w:eastAsia="Times New Roman" w:hAnsi="Times New Roman"/>
                <w:sz w:val="18"/>
                <w:szCs w:val="18"/>
                <w:b w:val="1"/>
                <w:bCs w:val="1"/>
                <w:color w:val="auto"/>
                <w:w w:val="98"/>
              </w:rPr>
              <w:t>Vera Bradley, Inc.</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160" w:type="dxa"/>
            <w:vAlign w:val="bottom"/>
            <w:gridSpan w:val="9"/>
          </w:tcPr>
          <w:p>
            <w:pPr>
              <w:jc w:val="center"/>
              <w:ind w:right="22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103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E32E1"/>
              </w:rPr>
              <w:t>(PCAOB ID 34)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68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January 31, 2026, and February 1, 2025</w:t>
            </w:r>
          </w:p>
        </w:tc>
        <w:tc>
          <w:tcPr>
            <w:tcW w:w="4920" w:type="dxa"/>
            <w:vAlign w:val="bottom"/>
            <w:gridSpan w:val="6"/>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3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fiscal years ended January 31, 2026, February 1, 2025, and February 3, 2024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41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3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 Income for the fiscal years ended January 31, 2026, February 1, 2025, and</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60" w:type="dxa"/>
            <w:vAlign w:val="bottom"/>
            <w:tcBorders>
              <w:top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6"/>
                <w:szCs w:val="16"/>
                <w:color w:val="0000FF"/>
              </w:rPr>
              <w:t>February 3, 2024</w:t>
            </w: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80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 for the fiscal years ended January 31, 2026, February 1, 2025, and February 3, 2024</w:t>
            </w: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fiscal years ended January 31, 2026, February 1, 2025, and February 3, 2024</w:t>
            </w:r>
          </w:p>
        </w:tc>
        <w:tc>
          <w:tcPr>
            <w:tcW w:w="1360" w:type="dxa"/>
            <w:vAlign w:val="bottom"/>
            <w:gridSpan w:val="3"/>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160" w:type="dxa"/>
            <w:vAlign w:val="bottom"/>
            <w:gridSpan w:val="9"/>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871"/>
        </w:trPr>
        <w:tc>
          <w:tcPr>
            <w:tcW w:w="8920" w:type="dxa"/>
            <w:vAlign w:val="bottom"/>
            <w:gridSpan w:val="9"/>
          </w:tcPr>
          <w:p>
            <w:pPr>
              <w:jc w:val="center"/>
              <w:ind w:left="2250"/>
              <w:spacing w:after="0"/>
              <w:rPr>
                <w:sz w:val="20"/>
                <w:szCs w:val="20"/>
                <w:color w:val="auto"/>
              </w:rPr>
            </w:pPr>
            <w:r>
              <w:rPr>
                <w:rFonts w:ascii="Times New Roman" w:cs="Times New Roman" w:eastAsia="Times New Roman" w:hAnsi="Times New Roman"/>
                <w:sz w:val="18"/>
                <w:szCs w:val="18"/>
                <w:color w:val="auto"/>
                <w:w w:val="99"/>
              </w:rPr>
              <w:t>40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Vera Bradley, Inc.</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8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Vera Bradley, Inc. and subsidiaries (the "Company") as of January 31, 2026 and February 1, 2025, the related consolidated statements of operations, comprehensive income, shareholders' equity, and cash flows, for each of the three years in the period ended January 31, 2026, and the related notes (collectively referred to as the "financial statements"). In our opinion, the financial statements present fairly, in all material respects, the financial position of the Company as of January 31, 2026 and February 1, 2025, and the results of its operations and its cash flows for each of the three years in the period ended January 31, 2026, in conformity with accounting principles generally accepted in the United States of America.</w:t>
      </w:r>
    </w:p>
    <w:p>
      <w:pPr>
        <w:spacing w:after="0" w:line="64"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January 31, 2026,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March 27, 2026, expressed an unqualified opinion on the Company's internal control over financial reporting.</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81"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81"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Inventories - Refer to Note 2 to the financial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92"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Inventories consist of purchased merchandise and are stated at the lower of cost or net realizable value. Cost is determined using the first-in, first-out method. The Company considers obsolescence, excess quantities, and other factors, including the popularity of a pattern or product, in evaluating net realizable value. Valuation adjustments are recorded if the cost of specific inventory items on hand exceeds the amount the Company expects to realize from the ultimate sale or disposal of the inventory. This adjustment calculation requires the Company to make assumptions and estimates, which are based on factors such as merchandise seasonality, historical trends, and estimated sales and inventory levels, including sell-through of remaining units.</w:t>
      </w:r>
    </w:p>
    <w:p>
      <w:pPr>
        <w:spacing w:after="0" w:line="1"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18"/>
          <w:szCs w:val="18"/>
          <w:color w:val="auto"/>
        </w:rPr>
        <w:t>Given the assumptions and estimates used by management to estimate the valuation adjustments, auditing the adjustments to inventory involved a higher degree of auditor judgment and involvement of more experienced senior members of the engagement to evaluate the reasonableness of management's estimates and assumptions.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7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audit procedures related to adjustments made to inventory for lower of cost or net realizable value and obsolescence included the following, among others:</w:t>
      </w:r>
    </w:p>
    <w:p>
      <w:pPr>
        <w:spacing w:after="0" w:line="189" w:lineRule="exact"/>
        <w:rPr>
          <w:sz w:val="20"/>
          <w:szCs w:val="20"/>
          <w:color w:val="auto"/>
        </w:rPr>
      </w:pPr>
    </w:p>
    <w:p>
      <w:pPr>
        <w:ind w:left="660" w:right="42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the inventory valuation process, including controls over the inputs that are used in management's estimate.</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60" w:right="12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appropriateness and consistency of management's method and assumptions used in developing their estimate of the inventory valuation adjustment, and inquired of management regarding current and expected future sales trends.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mathematical accuracy of the Company's inventory valuation adjustment calculation.</w:t>
      </w:r>
    </w:p>
    <w:p>
      <w:pPr>
        <w:spacing w:after="0" w:line="238"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appropriateness of specific inputs supporting management's estimate, including historic inventory trends, the age of on-hand inventory levels, and current and subsequent sales of inventory.</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recorded inventory reserve by developing an expectation for the amount of the inventory reserve and comparing our expectation to the amount recorded by management.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37" w:lineRule="auto"/>
        <w:rPr>
          <w:sz w:val="20"/>
          <w:szCs w:val="20"/>
          <w:color w:val="auto"/>
        </w:rPr>
      </w:pPr>
      <w:r>
        <w:rPr>
          <w:rFonts w:ascii="Times New Roman" w:cs="Times New Roman" w:eastAsia="Times New Roman" w:hAnsi="Times New Roman"/>
          <w:sz w:val="18"/>
          <w:szCs w:val="18"/>
          <w:color w:val="auto"/>
        </w:rPr>
        <w:t>Indianapolis, Indiana</w:t>
      </w:r>
    </w:p>
    <w:p>
      <w:pPr>
        <w:spacing w:after="0"/>
        <w:rPr>
          <w:sz w:val="20"/>
          <w:szCs w:val="20"/>
          <w:color w:val="auto"/>
        </w:rPr>
      </w:pPr>
      <w:r>
        <w:rPr>
          <w:rFonts w:ascii="Times New Roman" w:cs="Times New Roman" w:eastAsia="Times New Roman" w:hAnsi="Times New Roman"/>
          <w:sz w:val="18"/>
          <w:szCs w:val="18"/>
          <w:color w:val="auto"/>
        </w:rPr>
        <w:t>March 27, 2026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Vera Bradley, Inc.</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Vera Bradley, Inc. and subsidiaries (the “Company”) as of January 31, 2026,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January 31, 2026,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5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January 31, 2026, of the Company and our report dated March 27, 2026, expressed an unqualified opinion on those financial statements.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1" w:lineRule="auto"/>
        <w:rPr>
          <w:sz w:val="20"/>
          <w:szCs w:val="20"/>
          <w:color w:val="auto"/>
        </w:rPr>
      </w:pPr>
      <w:r>
        <w:rPr>
          <w:rFonts w:ascii="Times New Roman" w:cs="Times New Roman" w:eastAsia="Times New Roman" w:hAnsi="Times New Roman"/>
          <w:sz w:val="18"/>
          <w:szCs w:val="18"/>
          <w:color w:val="auto"/>
        </w:rPr>
        <w:t>Indianapolis, Indiana</w:t>
      </w:r>
    </w:p>
    <w:p>
      <w:pPr>
        <w:spacing w:after="0"/>
        <w:rPr>
          <w:sz w:val="20"/>
          <w:szCs w:val="20"/>
          <w:color w:val="auto"/>
        </w:rPr>
      </w:pPr>
      <w:r>
        <w:rPr>
          <w:rFonts w:ascii="Times New Roman" w:cs="Times New Roman" w:eastAsia="Times New Roman" w:hAnsi="Times New Roman"/>
          <w:sz w:val="18"/>
          <w:szCs w:val="18"/>
          <w:color w:val="auto"/>
        </w:rPr>
        <w:t>March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20" w:type="dxa"/>
            <w:vAlign w:val="bottom"/>
          </w:tcPr>
          <w:p>
            <w:pPr>
              <w:spacing w:after="0"/>
              <w:rPr>
                <w:sz w:val="13"/>
                <w:szCs w:val="13"/>
                <w:color w:val="auto"/>
              </w:rPr>
            </w:pPr>
          </w:p>
        </w:tc>
        <w:tc>
          <w:tcPr>
            <w:tcW w:w="120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95"/>
        </w:trPr>
        <w:tc>
          <w:tcPr>
            <w:tcW w:w="8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28,628</w:t>
            </w: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13,797</w:t>
            </w: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91,430</w:t>
            </w: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contingent consideration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receivable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8,072</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assets of discontinued operations</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22,361</w:t>
            </w:r>
          </w:p>
        </w:tc>
      </w:tr>
      <w:tr>
        <w:trPr>
          <w:trHeight w:val="223"/>
        </w:trPr>
        <w:tc>
          <w:tcPr>
            <w:tcW w:w="8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119,721</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164,872</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74,841</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52,555</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contingent consideration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9,048</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assets of discontinued operations</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w:t>
            </w:r>
          </w:p>
        </w:tc>
      </w:tr>
      <w:tr>
        <w:trPr>
          <w:trHeight w:val="223"/>
        </w:trPr>
        <w:tc>
          <w:tcPr>
            <w:tcW w:w="8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234,005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306,690</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8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Redeemable Noncontrolling Interest, and Shareholders’ Equity</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17,198</w:t>
            </w: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employment costs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w:t>
            </w: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19,024</w:t>
            </w: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9,221</w:t>
            </w: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6,023</w:t>
            </w:r>
          </w:p>
        </w:tc>
      </w:tr>
      <w:tr>
        <w:trPr>
          <w:trHeight w:val="223"/>
        </w:trPr>
        <w:tc>
          <w:tcPr>
            <w:tcW w:w="824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57,993</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66,307</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 of discontinued operations</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w:t>
            </w:r>
          </w:p>
        </w:tc>
      </w:tr>
      <w:tr>
        <w:trPr>
          <w:trHeight w:val="223"/>
        </w:trPr>
        <w:tc>
          <w:tcPr>
            <w:tcW w:w="824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102,366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127,735</w:t>
            </w:r>
          </w:p>
        </w:tc>
      </w:tr>
      <w:tr>
        <w:trPr>
          <w:trHeight w:val="20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 5,000 shares authorized, no shares issued or outstanding</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2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without par value; 200,000 shares authorized, 43,800 and 43,535 shares issued and 27,966</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27,701 outstanding, respectively</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115,515</w:t>
            </w: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220,279</w:t>
            </w: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(156,820)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(156,820)</w:t>
            </w:r>
          </w:p>
        </w:tc>
      </w:tr>
      <w:tr>
        <w:trPr>
          <w:trHeight w:val="223"/>
        </w:trPr>
        <w:tc>
          <w:tcPr>
            <w:tcW w:w="8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shareholders’ equity of Vera Bradley, Inc.</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131,639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178,955</w:t>
            </w:r>
          </w:p>
        </w:tc>
      </w:tr>
      <w:tr>
        <w:trPr>
          <w:trHeight w:val="248"/>
        </w:trPr>
        <w:tc>
          <w:tcPr>
            <w:tcW w:w="8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redeemable noncontrolling interest, and shareholders’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306,690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29"/>
        </w:trPr>
        <w:tc>
          <w:tcPr>
            <w:tcW w:w="6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240" w:type="dxa"/>
            <w:vAlign w:val="bottom"/>
          </w:tcPr>
          <w:p>
            <w:pPr>
              <w:spacing w:after="0"/>
              <w:rPr>
                <w:sz w:val="11"/>
                <w:szCs w:val="11"/>
                <w:color w:val="auto"/>
              </w:rPr>
            </w:pPr>
          </w:p>
        </w:tc>
        <w:tc>
          <w:tcPr>
            <w:tcW w:w="1200" w:type="dxa"/>
            <w:vAlign w:val="bottom"/>
          </w:tcPr>
          <w:p>
            <w:pPr>
              <w:jc w:val="right"/>
              <w:ind w:right="272"/>
              <w:spacing w:after="0" w:line="129" w:lineRule="exact"/>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6"/>
        </w:trPr>
        <w:tc>
          <w:tcPr>
            <w:tcW w:w="67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383,713</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159,957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179,748</w:t>
            </w:r>
          </w:p>
        </w:tc>
      </w:tr>
      <w:tr>
        <w:trPr>
          <w:trHeight w:val="22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203,965</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193,247</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 from continuing operations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11,617</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23"/>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income from continuing operations before income taxes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12,278</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r>
      <w:tr>
        <w:trPr>
          <w:trHeight w:val="223"/>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8,596</w:t>
            </w: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from discontinued operations, net of income tax</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23"/>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(47,840)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(62,188)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7,838</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6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30,833</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31,314</w:t>
            </w:r>
          </w:p>
        </w:tc>
      </w:tr>
      <w:tr>
        <w:trPr>
          <w:trHeight w:val="270"/>
        </w:trPr>
        <w:tc>
          <w:tcPr>
            <w:tcW w:w="6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(loss) income per share: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30"/>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net (loss) income per share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(loss) income per share: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34"/>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net (loss) income per share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bl>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Income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29"/>
        </w:trPr>
        <w:tc>
          <w:tcPr>
            <w:tcW w:w="6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240" w:type="dxa"/>
            <w:vAlign w:val="bottom"/>
          </w:tcPr>
          <w:p>
            <w:pPr>
              <w:spacing w:after="0"/>
              <w:rPr>
                <w:sz w:val="11"/>
                <w:szCs w:val="11"/>
                <w:color w:val="auto"/>
              </w:rPr>
            </w:pPr>
          </w:p>
        </w:tc>
        <w:tc>
          <w:tcPr>
            <w:tcW w:w="1200" w:type="dxa"/>
            <w:vAlign w:val="bottom"/>
          </w:tcPr>
          <w:p>
            <w:pPr>
              <w:jc w:val="right"/>
              <w:ind w:right="277"/>
              <w:spacing w:after="0" w:line="129" w:lineRule="exact"/>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6"/>
        </w:trPr>
        <w:tc>
          <w:tcPr>
            <w:tcW w:w="67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Comprehensive (loss) income, net of tax</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7,871</w:t>
            </w:r>
          </w:p>
        </w:tc>
      </w:tr>
    </w:tbl>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250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8"/>
        </w:trPr>
        <w:tc>
          <w:tcPr>
            <w:tcW w:w="3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96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of Vera</w:t>
            </w: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7"/>
                <w:szCs w:val="17"/>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9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Bradley, Inc.</w:t>
            </w:r>
          </w:p>
        </w:tc>
        <w:tc>
          <w:tcPr>
            <w:tcW w:w="0" w:type="dxa"/>
            <w:vAlign w:val="bottom"/>
          </w:tcPr>
          <w:p>
            <w:pPr>
              <w:spacing w:after="0"/>
              <w:rPr>
                <w:sz w:val="1"/>
                <w:szCs w:val="1"/>
                <w:color w:val="auto"/>
              </w:rPr>
            </w:pPr>
          </w:p>
        </w:tc>
      </w:tr>
      <w:tr>
        <w:trPr>
          <w:trHeight w:val="216"/>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28, 2023</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30,766,024</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12,079,690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109,718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274,629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(132,864)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251,378</w:t>
            </w: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Vera Bradley, Inc.</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7,838</w:t>
            </w: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62"/>
        </w:trPr>
        <w:tc>
          <w:tcPr>
            <w:tcW w:w="32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Restricted shares vested, net of repurchase for</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407,146</w:t>
            </w:r>
          </w:p>
        </w:tc>
        <w:tc>
          <w:tcPr>
            <w:tcW w:w="80" w:type="dxa"/>
            <w:vAlign w:val="bottom"/>
          </w:tcPr>
          <w:p>
            <w:pPr>
              <w:spacing w:after="0"/>
              <w:rPr>
                <w:sz w:val="14"/>
                <w:szCs w:val="14"/>
                <w:color w:val="auto"/>
              </w:rPr>
            </w:pP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w:t>
            </w: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 purchased</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(359,554)</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359,554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(2,192)</w:t>
            </w:r>
          </w:p>
        </w:tc>
        <w:tc>
          <w:tcPr>
            <w:tcW w:w="0" w:type="dxa"/>
            <w:vAlign w:val="bottom"/>
          </w:tcPr>
          <w:p>
            <w:pPr>
              <w:spacing w:after="0"/>
              <w:rPr>
                <w:sz w:val="1"/>
                <w:szCs w:val="1"/>
                <w:color w:val="auto"/>
              </w:rPr>
            </w:pPr>
          </w:p>
        </w:tc>
      </w:tr>
      <w:tr>
        <w:trPr>
          <w:trHeight w:val="165"/>
        </w:trPr>
        <w:tc>
          <w:tcPr>
            <w:tcW w:w="32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Purchase of noncontrolling interest equity</w:t>
            </w:r>
          </w:p>
        </w:tc>
        <w:tc>
          <w:tcPr>
            <w:tcW w:w="12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w:t>
            </w:r>
          </w:p>
        </w:tc>
        <w:tc>
          <w:tcPr>
            <w:tcW w:w="1240" w:type="dxa"/>
            <w:vAlign w:val="bottom"/>
            <w:gridSpan w:val="2"/>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February 3, 2024</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30,813,616</w:t>
            </w:r>
          </w:p>
        </w:tc>
        <w:tc>
          <w:tcPr>
            <w:tcW w:w="8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12,439,244</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112,590</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282,467</w:t>
            </w:r>
          </w:p>
        </w:tc>
        <w:tc>
          <w:tcPr>
            <w:tcW w:w="80" w:type="dxa"/>
            <w:vAlign w:val="bottom"/>
          </w:tcPr>
          <w:p>
            <w:pPr>
              <w:spacing w:after="0"/>
              <w:rPr>
                <w:sz w:val="18"/>
                <w:szCs w:val="18"/>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(72)</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(135,056)</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259,929</w:t>
            </w:r>
          </w:p>
        </w:tc>
        <w:tc>
          <w:tcPr>
            <w:tcW w:w="0" w:type="dxa"/>
            <w:vAlign w:val="bottom"/>
          </w:tcPr>
          <w:p>
            <w:pPr>
              <w:spacing w:after="0"/>
              <w:rPr>
                <w:sz w:val="1"/>
                <w:szCs w:val="1"/>
                <w:color w:val="auto"/>
              </w:rPr>
            </w:pPr>
          </w:p>
        </w:tc>
      </w:tr>
      <w:tr>
        <w:trPr>
          <w:trHeight w:val="218"/>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(62,188)</w:t>
            </w: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65"/>
        </w:trPr>
        <w:tc>
          <w:tcPr>
            <w:tcW w:w="32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Restricted shares vested, net of repurchase for</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282,619</w:t>
            </w:r>
          </w:p>
        </w:tc>
        <w:tc>
          <w:tcPr>
            <w:tcW w:w="8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3,676</w:t>
            </w: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 purchased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(3,395,335)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3,395,335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(21,764)</w:t>
            </w:r>
          </w:p>
        </w:tc>
        <w:tc>
          <w:tcPr>
            <w:tcW w:w="0" w:type="dxa"/>
            <w:vAlign w:val="bottom"/>
          </w:tcPr>
          <w:p>
            <w:pPr>
              <w:spacing w:after="0"/>
              <w:rPr>
                <w:sz w:val="1"/>
                <w:szCs w:val="1"/>
                <w:color w:val="auto"/>
              </w:rPr>
            </w:pPr>
          </w:p>
        </w:tc>
      </w:tr>
      <w:tr>
        <w:trPr>
          <w:trHeight w:val="208"/>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February 1, 2025</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27,700,900</w:t>
            </w:r>
          </w:p>
        </w:tc>
        <w:tc>
          <w:tcPr>
            <w:tcW w:w="8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15,834,579</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115,515</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220,279</w:t>
            </w:r>
          </w:p>
        </w:tc>
        <w:tc>
          <w:tcPr>
            <w:tcW w:w="80" w:type="dxa"/>
            <w:vAlign w:val="bottom"/>
          </w:tcPr>
          <w:p>
            <w:pPr>
              <w:spacing w:after="0"/>
              <w:rPr>
                <w:sz w:val="18"/>
                <w:szCs w:val="18"/>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(156,820)</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178,955</w:t>
            </w:r>
          </w:p>
        </w:tc>
        <w:tc>
          <w:tcPr>
            <w:tcW w:w="0" w:type="dxa"/>
            <w:vAlign w:val="bottom"/>
          </w:tcPr>
          <w:p>
            <w:pPr>
              <w:spacing w:after="0"/>
              <w:rPr>
                <w:sz w:val="1"/>
                <w:szCs w:val="1"/>
                <w:color w:val="auto"/>
              </w:rPr>
            </w:pPr>
          </w:p>
        </w:tc>
      </w:tr>
      <w:tr>
        <w:trPr>
          <w:trHeight w:val="218"/>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(47,840)</w:t>
            </w: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165"/>
        </w:trPr>
        <w:tc>
          <w:tcPr>
            <w:tcW w:w="32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Restricted shares vested, net of repurchase for</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264,620</w:t>
            </w:r>
          </w:p>
        </w:tc>
        <w:tc>
          <w:tcPr>
            <w:tcW w:w="8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0" w:type="dxa"/>
            <w:vAlign w:val="bottom"/>
          </w:tcPr>
          <w:p>
            <w:pPr>
              <w:spacing w:after="0"/>
              <w:rPr>
                <w:sz w:val="1"/>
                <w:szCs w:val="1"/>
                <w:color w:val="auto"/>
              </w:rPr>
            </w:pPr>
          </w:p>
        </w:tc>
      </w:tr>
      <w:tr>
        <w:trPr>
          <w:trHeight w:val="235"/>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31, 2026</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27,965,520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15,834,579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116,152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172,439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(156,820)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131,639</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31"/>
        </w:trPr>
        <w:tc>
          <w:tcPr>
            <w:tcW w:w="7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200" w:type="dxa"/>
            <w:vAlign w:val="bottom"/>
          </w:tcPr>
          <w:p>
            <w:pPr>
              <w:spacing w:after="0"/>
              <w:rPr>
                <w:sz w:val="11"/>
                <w:szCs w:val="11"/>
                <w:color w:val="auto"/>
              </w:rPr>
            </w:pPr>
          </w:p>
        </w:tc>
        <w:tc>
          <w:tcPr>
            <w:tcW w:w="12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200" w:type="dxa"/>
            <w:vAlign w:val="bottom"/>
          </w:tcPr>
          <w:p>
            <w:pPr>
              <w:spacing w:after="0"/>
              <w:rPr>
                <w:sz w:val="11"/>
                <w:szCs w:val="11"/>
                <w:color w:val="auto"/>
              </w:rPr>
            </w:pPr>
          </w:p>
        </w:tc>
        <w:tc>
          <w:tcPr>
            <w:tcW w:w="1120" w:type="dxa"/>
            <w:vAlign w:val="bottom"/>
          </w:tcPr>
          <w:p>
            <w:pPr>
              <w:jc w:val="right"/>
              <w:ind w:right="211"/>
              <w:spacing w:after="0" w:line="131" w:lineRule="exact"/>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5"/>
        </w:trPr>
        <w:tc>
          <w:tcPr>
            <w:tcW w:w="70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4"/>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(62,188)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7,838</w:t>
            </w:r>
          </w:p>
        </w:tc>
      </w:tr>
      <w:tr>
        <w:trPr>
          <w:trHeight w:val="184"/>
        </w:trPr>
        <w:tc>
          <w:tcPr>
            <w:tcW w:w="70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Adjustments to reconcile net (loss) income to net cash (used in) provided by operating</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34"/>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7,968</w:t>
            </w:r>
          </w:p>
        </w:tc>
      </w:tr>
      <w:tr>
        <w:trPr>
          <w:trHeight w:val="22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operating right-of-use assets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21,021</w:t>
            </w:r>
          </w:p>
        </w:tc>
      </w:tr>
      <w:tr>
        <w:trPr>
          <w:trHeight w:val="23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 impairment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w:t>
            </w:r>
          </w:p>
        </w:tc>
      </w:tr>
      <w:tr>
        <w:trPr>
          <w:trHeight w:val="22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impairment charges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w:t>
            </w: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w:t>
            </w: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sale of business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non-cash charges, net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w:t>
            </w:r>
          </w:p>
        </w:tc>
      </w:tr>
      <w:tr>
        <w:trPr>
          <w:trHeight w:val="229"/>
        </w:trPr>
        <w:tc>
          <w:tcPr>
            <w:tcW w:w="7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23,997</w:t>
            </w:r>
          </w:p>
        </w:tc>
      </w:tr>
      <w:tr>
        <w:trPr>
          <w:trHeight w:val="230"/>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29"/>
        </w:trPr>
        <w:tc>
          <w:tcPr>
            <w:tcW w:w="7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w:t>
            </w:r>
          </w:p>
        </w:tc>
      </w:tr>
      <w:tr>
        <w:trPr>
          <w:trHeight w:val="230"/>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230"/>
        </w:trPr>
        <w:tc>
          <w:tcPr>
            <w:tcW w:w="7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Operating lease liabilities, net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(22,929)</w:t>
            </w:r>
          </w:p>
        </w:tc>
      </w:tr>
      <w:tr>
        <w:trPr>
          <w:trHeight w:val="230"/>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r>
      <w:tr>
        <w:trPr>
          <w:trHeight w:val="22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47,993</w:t>
            </w: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w:t>
            </w: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business, net of cash disposed</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paid for business acquisition</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3"/>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(13,770)</w:t>
            </w:r>
          </w:p>
        </w:tc>
      </w:tr>
      <w:tr>
        <w:trPr>
          <w:trHeight w:val="21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withholdings for equity compensation</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under asset-based revolving credit agreement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borrowings under asset-based revolving credit agreement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w:t>
            </w:r>
          </w:p>
        </w:tc>
      </w:tr>
      <w:tr>
        <w:trPr>
          <w:trHeight w:val="22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30,708</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77,303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46,595</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77,303</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00"/>
          </w:cols>
          <w:pgMar w:left="320" w:top="36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06"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200" w:type="dxa"/>
            <w:vAlign w:val="bottom"/>
          </w:tcPr>
          <w:p>
            <w:pPr>
              <w:spacing w:after="0"/>
              <w:rPr>
                <w:sz w:val="11"/>
                <w:szCs w:val="11"/>
                <w:color w:val="auto"/>
              </w:rPr>
            </w:pPr>
          </w:p>
        </w:tc>
        <w:tc>
          <w:tcPr>
            <w:tcW w:w="12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200" w:type="dxa"/>
            <w:vAlign w:val="bottom"/>
          </w:tcPr>
          <w:p>
            <w:pPr>
              <w:spacing w:after="0"/>
              <w:rPr>
                <w:sz w:val="11"/>
                <w:szCs w:val="11"/>
                <w:color w:val="auto"/>
              </w:rPr>
            </w:pPr>
          </w:p>
        </w:tc>
        <w:tc>
          <w:tcPr>
            <w:tcW w:w="1120" w:type="dxa"/>
            <w:vAlign w:val="bottom"/>
          </w:tcPr>
          <w:p>
            <w:pPr>
              <w:jc w:val="right"/>
              <w:ind w:right="216"/>
              <w:spacing w:after="0" w:line="131"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95"/>
        </w:trPr>
        <w:tc>
          <w:tcPr>
            <w:tcW w:w="69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cash-flow information</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interest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property, plant, and equipment incurred but not yet paid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Contingent consideration related to sale of business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Refer to Note 4 herein for supplemental cash flow information regarding the Company’s leases.</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Company</w:t>
      </w:r>
    </w:p>
    <w:p>
      <w:pPr>
        <w:spacing w:after="0" w:line="107" w:lineRule="exact"/>
        <w:rPr>
          <w:rFonts w:ascii="Times New Roman" w:cs="Times New Roman" w:eastAsia="Times New Roman" w:hAnsi="Times New Roman"/>
          <w:sz w:val="18"/>
          <w:szCs w:val="18"/>
          <w:b w:val="1"/>
          <w:bCs w:val="1"/>
          <w:color w:val="auto"/>
        </w:rPr>
      </w:pPr>
    </w:p>
    <w:p>
      <w:pPr>
        <w:ind w:left="340" w:righ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“Company” refers to Vera Bradley, Inc. and its wholly and majority owned subsidiaries, except where the context requires otherwise or where otherwise indicated.</w:t>
      </w:r>
    </w:p>
    <w:p>
      <w:pPr>
        <w:spacing w:after="0" w:line="26" w:lineRule="exact"/>
        <w:rPr>
          <w:rFonts w:ascii="Times New Roman" w:cs="Times New Roman" w:eastAsia="Times New Roman" w:hAnsi="Times New Roman"/>
          <w:sz w:val="18"/>
          <w:szCs w:val="18"/>
          <w:b w:val="1"/>
          <w:bCs w:val="1"/>
          <w:color w:val="auto"/>
        </w:rPr>
      </w:pPr>
    </w:p>
    <w:p>
      <w:pPr>
        <w:ind w:left="34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w:t>
      </w:r>
    </w:p>
    <w:p>
      <w:pPr>
        <w:spacing w:after="0" w:line="54" w:lineRule="exact"/>
        <w:rPr>
          <w:rFonts w:ascii="Times New Roman" w:cs="Times New Roman" w:eastAsia="Times New Roman" w:hAnsi="Times New Roman"/>
          <w:sz w:val="18"/>
          <w:szCs w:val="18"/>
          <w:b w:val="1"/>
          <w:bCs w:val="1"/>
          <w:color w:val="auto"/>
        </w:rPr>
      </w:pPr>
    </w:p>
    <w:p>
      <w:pPr>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July 2019, Vera Bradley, Inc. acquired a 75% interest in Creative Genius, Inc., which also operates under the name Pura Vida Bracelets (“Pura Vida”). On January 30, 2023, the Company purchased the remaining 25% interest in Pura Vida. On March 11, 2025, the Company entered into an Interest Purchase Agreement (the “Agreement”) to sell one hundred percent (100%) of Creative Genius, Inc., (“Creative Genius”) which operates under the name Pura Vida Bracelets. The sale consummated on March 31, 2025. As a result, the operations of Pura Vida have been classified as discontinued operations in the consolidated financial statements in accordance with ASC 205-20, Discontinued Operations. Prior period amounts have been retrospectively adjusted to conform to the current period presentation. Unless otherwise specified, disclosures in these consolidated financial statements reflect continuing operations only. Certain prior period data, primarily related to discontinued operations, have been reclassified in the Consolidated Financial Statements and accompanying notes to conform to the current period presentation.</w:t>
      </w:r>
    </w:p>
    <w:p>
      <w:pPr>
        <w:spacing w:after="0" w:line="70" w:lineRule="exact"/>
        <w:rPr>
          <w:rFonts w:ascii="Times New Roman" w:cs="Times New Roman" w:eastAsia="Times New Roman" w:hAnsi="Times New Roman"/>
          <w:sz w:val="18"/>
          <w:szCs w:val="18"/>
          <w:b w:val="1"/>
          <w:bCs w:val="1"/>
          <w:color w:val="auto"/>
        </w:rPr>
      </w:pPr>
    </w:p>
    <w:p>
      <w:pPr>
        <w:ind w:left="340" w:right="420"/>
        <w:spacing w:after="0" w:line="3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Following the sale, Pura Vida is no longer included in the Company’s consolidated financial results. Refer to Note 16 for additional information. The Company has two reportable segments: Vera Bradley Direct (“VB Direct”) and Vera Bradley Indirect (“VB Indirect”).</w:t>
      </w:r>
    </w:p>
    <w:p>
      <w:pPr>
        <w:spacing w:after="0" w:line="2" w:lineRule="exact"/>
        <w:rPr>
          <w:rFonts w:ascii="Times New Roman" w:cs="Times New Roman" w:eastAsia="Times New Roman" w:hAnsi="Times New Roman"/>
          <w:sz w:val="18"/>
          <w:szCs w:val="18"/>
          <w:b w:val="1"/>
          <w:bCs w:val="1"/>
          <w:color w:val="auto"/>
        </w:rPr>
      </w:pPr>
    </w:p>
    <w:p>
      <w:pPr>
        <w:jc w:val="both"/>
        <w:ind w:left="980" w:right="140" w:hanging="324"/>
        <w:spacing w:after="0" w:line="261" w:lineRule="auto"/>
        <w:tabs>
          <w:tab w:leader="none" w:pos="975" w:val="left"/>
        </w:tabs>
        <w:numPr>
          <w:ilvl w:val="1"/>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VB Direct business consists of sales of Vera Bradley products through Vera Bradley full-line and outlet stores in the United States; the Vera Bradley websites (verabradley.com, outlet.verabradley.com, and international.verabradley.com); the Vera Bradley annual outlet sale in Fort Wayne, Indiana; and direct to consumer marketplaces. As of January 31, 2026, the Company operated 29 full-line stores and 86 outlet stores.</w:t>
      </w:r>
    </w:p>
    <w:p>
      <w:pPr>
        <w:spacing w:after="0" w:line="58" w:lineRule="exact"/>
        <w:rPr>
          <w:rFonts w:ascii="Times New Roman" w:cs="Times New Roman" w:eastAsia="Times New Roman" w:hAnsi="Times New Roman"/>
          <w:sz w:val="18"/>
          <w:szCs w:val="18"/>
          <w:i w:val="1"/>
          <w:iCs w:val="1"/>
          <w:color w:val="auto"/>
        </w:rPr>
      </w:pPr>
    </w:p>
    <w:p>
      <w:pPr>
        <w:ind w:left="980" w:right="360" w:hanging="324"/>
        <w:spacing w:after="0" w:line="266" w:lineRule="auto"/>
        <w:tabs>
          <w:tab w:leader="none" w:pos="975" w:val="left"/>
        </w:tabs>
        <w:numPr>
          <w:ilvl w:val="1"/>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VB Indirect business consists of sales of Vera Bradley products to approximately 1,000 specialty retail locations, substantially all of which are located in the United States, as well as department stores, national accounts, third-party inventory liquidators, and royalties recognized through licensing agreements related to the Vera Bradley brand.</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08" w:lineRule="exact"/>
        <w:rPr>
          <w:sz w:val="20"/>
          <w:szCs w:val="20"/>
          <w:color w:val="auto"/>
        </w:rPr>
      </w:pPr>
    </w:p>
    <w:p>
      <w:pPr>
        <w:ind w:left="340" w:right="70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The Company has eliminated intercompany balances and transactions in consolidation.</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94" w:lineRule="exact"/>
        <w:rPr>
          <w:sz w:val="20"/>
          <w:szCs w:val="20"/>
          <w:color w:val="auto"/>
        </w:rPr>
      </w:pPr>
    </w:p>
    <w:p>
      <w:pPr>
        <w:ind w:left="340" w:right="160"/>
        <w:spacing w:after="0" w:line="282" w:lineRule="auto"/>
        <w:rPr>
          <w:sz w:val="20"/>
          <w:szCs w:val="20"/>
          <w:color w:val="auto"/>
        </w:rPr>
      </w:pPr>
      <w:r>
        <w:rPr>
          <w:rFonts w:ascii="Times New Roman" w:cs="Times New Roman" w:eastAsia="Times New Roman" w:hAnsi="Times New Roman"/>
          <w:sz w:val="18"/>
          <w:szCs w:val="18"/>
          <w:color w:val="auto"/>
        </w:rPr>
        <w:t>The Company utilizes a 52-53 week fiscal year ended on the Saturday closest to January 31. As such, fiscal years 2026 and 2025, ended January 31, 2026 and February 1, 2025 respectively, each reflected a 52-week period. Fiscal year 2024, ended February 3, 2024 reflected a 53-week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0" w:right="4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ind w:left="340" w:right="7540" w:hanging="332"/>
        <w:spacing w:after="0" w:line="354" w:lineRule="auto"/>
        <w:tabs>
          <w:tab w:leader="none" w:pos="331"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Significant Estimates</w:t>
      </w:r>
    </w:p>
    <w:p>
      <w:pPr>
        <w:ind w:left="340" w:right="1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make estimates and assumptions that affect the reported amounts of the Company’s assets, liabilities, revenues, and expenses, as well as the disclosures relating to contingent assets and liabilities at the date of the consolidated financial statements. Significant areas requiring the use of management estimates include the valuation of inventories, valuation of long-lived assets, including operating right-of-use assets, accounts receivable valuation allowances, and sales return allowances. Actual results could differ from these estimates. The Company revises its estimates and assumptions as new information becomes available.</w:t>
      </w:r>
    </w:p>
    <w:p>
      <w:pPr>
        <w:spacing w:after="0" w:line="22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107" w:lineRule="exact"/>
        <w:rPr>
          <w:rFonts w:ascii="Times New Roman" w:cs="Times New Roman" w:eastAsia="Times New Roman" w:hAnsi="Times New Roman"/>
          <w:sz w:val="18"/>
          <w:szCs w:val="18"/>
          <w:b w:val="1"/>
          <w:bCs w:val="1"/>
          <w:color w:val="auto"/>
        </w:rPr>
      </w:pPr>
    </w:p>
    <w:p>
      <w:pPr>
        <w:ind w:left="340" w:right="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represent cash on hand, deposits with financial institutions, and investments with an original maturity of three months or less.</w:t>
      </w:r>
    </w:p>
    <w:p>
      <w:pPr>
        <w:spacing w:after="0" w:line="18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107" w:lineRule="exact"/>
        <w:rPr>
          <w:rFonts w:ascii="Times New Roman" w:cs="Times New Roman" w:eastAsia="Times New Roman" w:hAnsi="Times New Roman"/>
          <w:sz w:val="18"/>
          <w:szCs w:val="18"/>
          <w:b w:val="1"/>
          <w:bCs w:val="1"/>
          <w:color w:val="auto"/>
        </w:rPr>
      </w:pPr>
    </w:p>
    <w:p>
      <w:pPr>
        <w:ind w:left="34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are stated at the lower of cost or net realizable value. Cost is determined using the first-in, first-out (“FIFO”) method. Appropriate consideration is given to obsolescence, excess quantities, and other factors, including the popularity of a pattern or product, in evaluating net realizable value. Substantially all inventory relates to finished goods.</w:t>
      </w:r>
    </w:p>
    <w:p>
      <w:pPr>
        <w:spacing w:after="0" w:line="11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10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Property, plant, and equipment are carried at cost and depreciated or amortized over the following estimated useful lives using the straight-line method:</w:t>
      </w:r>
    </w:p>
    <w:p>
      <w:pPr>
        <w:spacing w:after="0" w:line="345" w:lineRule="exact"/>
        <w:rPr>
          <w:sz w:val="20"/>
          <w:szCs w:val="20"/>
          <w:color w:val="auto"/>
        </w:rPr>
      </w:pPr>
    </w:p>
    <w:tbl>
      <w:tblPr>
        <w:tblLayout w:type="fixed"/>
        <w:tblInd w:w="1980" w:type="dxa"/>
        <w:tblCellMar>
          <w:top w:w="0" w:type="dxa"/>
          <w:left w:w="0" w:type="dxa"/>
          <w:bottom w:w="0" w:type="dxa"/>
          <w:right w:w="0" w:type="dxa"/>
        </w:tblCellMar>
      </w:tblPr>
      <w:tr>
        <w:trPr>
          <w:trHeight w:val="22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building improvements ..............................................</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years</w:t>
            </w: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Land improvements ...........................................................................</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 15 years</w:t>
            </w: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 and leasehold improvements ........................</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10 years</w:t>
            </w:r>
          </w:p>
        </w:tc>
      </w:tr>
      <w:tr>
        <w:trPr>
          <w:trHeight w:val="22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Equipment .........................................................................................</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Vehicles .............................................................................................</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 ...................................................</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5 years</w:t>
            </w:r>
          </w:p>
        </w:tc>
      </w:tr>
    </w:tbl>
    <w:p>
      <w:pPr>
        <w:spacing w:after="0" w:line="144" w:lineRule="exact"/>
        <w:rPr>
          <w:sz w:val="20"/>
          <w:szCs w:val="20"/>
          <w:color w:val="auto"/>
        </w:rPr>
      </w:pPr>
    </w:p>
    <w:p>
      <w:pPr>
        <w:ind w:left="340" w:right="100"/>
        <w:spacing w:after="0" w:line="266" w:lineRule="auto"/>
        <w:rPr>
          <w:sz w:val="20"/>
          <w:szCs w:val="20"/>
          <w:color w:val="auto"/>
        </w:rPr>
      </w:pPr>
      <w:r>
        <w:rPr>
          <w:rFonts w:ascii="Times New Roman" w:cs="Times New Roman" w:eastAsia="Times New Roman" w:hAnsi="Times New Roman"/>
          <w:sz w:val="18"/>
          <w:szCs w:val="18"/>
          <w:color w:val="auto"/>
        </w:rPr>
        <w:t>The Company recognizes depreciation and amortization expense within cost of sales for capital expenditures related to distribution center, sourcing, and other related functions and selling, general, and administrative expenses for all other capital expenditures. Leasehold improvements are amortized over the shorter of the life of the asset or the lease term. Lease terms typically range from three to ten years.</w:t>
      </w:r>
    </w:p>
    <w:p>
      <w:pPr>
        <w:spacing w:after="0" w:line="41" w:lineRule="exact"/>
        <w:rPr>
          <w:sz w:val="20"/>
          <w:szCs w:val="20"/>
          <w:color w:val="auto"/>
        </w:rPr>
      </w:pPr>
    </w:p>
    <w:p>
      <w:pPr>
        <w:ind w:left="340" w:right="100"/>
        <w:spacing w:after="0" w:line="261" w:lineRule="auto"/>
        <w:rPr>
          <w:sz w:val="20"/>
          <w:szCs w:val="20"/>
          <w:color w:val="auto"/>
        </w:rPr>
      </w:pPr>
      <w:r>
        <w:rPr>
          <w:rFonts w:ascii="Times New Roman" w:cs="Times New Roman" w:eastAsia="Times New Roman" w:hAnsi="Times New Roman"/>
          <w:sz w:val="18"/>
          <w:szCs w:val="18"/>
          <w:color w:val="auto"/>
        </w:rPr>
        <w:t>When a decision is made to abandon property, plant, and equipment prior to the end of the previously estimated useful life, depreciation or amortization estimates are revised to reflect the use of the asset over the shortened estimated useful life. At the time of disposal, the cost of assets sold or retired and the related accumulated depreciation or amortization are removed from the accounts and any resulting loss is included in the Consolidated Statements of Operations.</w:t>
      </w:r>
    </w:p>
    <w:p>
      <w:pPr>
        <w:spacing w:after="0" w:line="58"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Property, plant, and equipment are reviewed for impairment whenever events or changes in circumstances indicate that the carrying amount of the asset groups may not be recoverable. The reviews are conducted at the lowest identifiable level of cash flows, which is at the retail store level for store-related assets. If the estimated undiscounted future cash flows related to the property, plant, and equipment and operating right-of-use assets are less than the carrying value, the Company recognizes a loss equal to the difference between the carrying value and the fair value, as further defined below in “Fair Value of Financial Instruments.”</w:t>
      </w:r>
    </w:p>
    <w:p>
      <w:pPr>
        <w:spacing w:after="0" w:line="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Routine maintenance and repair costs are expensed as incurred.</w:t>
      </w:r>
    </w:p>
    <w:p>
      <w:pPr>
        <w:spacing w:after="0" w:line="90" w:lineRule="exact"/>
        <w:rPr>
          <w:sz w:val="20"/>
          <w:szCs w:val="20"/>
          <w:color w:val="auto"/>
        </w:rPr>
      </w:pPr>
    </w:p>
    <w:p>
      <w:pPr>
        <w:ind w:left="340" w:right="340"/>
        <w:spacing w:after="0" w:line="266" w:lineRule="auto"/>
        <w:rPr>
          <w:sz w:val="20"/>
          <w:szCs w:val="20"/>
          <w:color w:val="auto"/>
        </w:rPr>
      </w:pPr>
      <w:r>
        <w:rPr>
          <w:rFonts w:ascii="Times New Roman" w:cs="Times New Roman" w:eastAsia="Times New Roman" w:hAnsi="Times New Roman"/>
          <w:sz w:val="18"/>
          <w:szCs w:val="18"/>
          <w:color w:val="auto"/>
        </w:rPr>
        <w:t>The Company capitalizes certain costs incurred in connection with acquiring, modifying, and installing internal-use software. Capitalized costs are included in property, plant, and equipment and are amortized over three to five years. Software costs that do not meet capitalization criteria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Revenue Recognition and Accounts Receivable</w:t>
      </w:r>
    </w:p>
    <w:p>
      <w:pPr>
        <w:spacing w:after="0" w:line="94" w:lineRule="exact"/>
        <w:rPr>
          <w:sz w:val="20"/>
          <w:szCs w:val="20"/>
          <w:color w:val="auto"/>
        </w:rPr>
      </w:pPr>
    </w:p>
    <w:p>
      <w:pPr>
        <w:ind w:left="340" w:right="200"/>
        <w:spacing w:after="0" w:line="258" w:lineRule="auto"/>
        <w:rPr>
          <w:sz w:val="20"/>
          <w:szCs w:val="20"/>
          <w:color w:val="auto"/>
        </w:rPr>
      </w:pPr>
      <w:r>
        <w:rPr>
          <w:rFonts w:ascii="Times New Roman" w:cs="Times New Roman" w:eastAsia="Times New Roman" w:hAnsi="Times New Roman"/>
          <w:sz w:val="18"/>
          <w:szCs w:val="18"/>
          <w:color w:val="auto"/>
        </w:rPr>
        <w:t>Vera Bradley product sales to customers, including amounts billed to customers for shipping fees, as well as royalties from licensing arrangements related to the Vera Bradley brand, are included in net revenues. Costs related to shipping of product are classified in cost of sales in the Consolidated Statements of Operations. The Company has elected to treat shipping and handling activities that occur after the customer has obtained control of a good as an activity to fulfill the promise to transfer the product rather than as an additional promised service. Net revenues exclude sales taxes collected from customers and remitted to governmental authorities from the transaction price.</w:t>
      </w:r>
    </w:p>
    <w:p>
      <w:pPr>
        <w:spacing w:after="0" w:line="62" w:lineRule="exact"/>
        <w:rPr>
          <w:sz w:val="20"/>
          <w:szCs w:val="20"/>
          <w:color w:val="auto"/>
        </w:rPr>
      </w:pPr>
    </w:p>
    <w:p>
      <w:pPr>
        <w:ind w:left="340" w:right="120"/>
        <w:spacing w:after="0" w:line="281" w:lineRule="auto"/>
        <w:rPr>
          <w:sz w:val="20"/>
          <w:szCs w:val="20"/>
          <w:color w:val="auto"/>
        </w:rPr>
      </w:pPr>
      <w:r>
        <w:rPr>
          <w:rFonts w:ascii="Times New Roman" w:cs="Times New Roman" w:eastAsia="Times New Roman" w:hAnsi="Times New Roman"/>
          <w:sz w:val="17"/>
          <w:szCs w:val="17"/>
          <w:color w:val="auto"/>
        </w:rPr>
        <w:t>Revenue from the sale of the Company’s products is recognized when control of the promised goods or services is transferred to customers, in the amount that reflects the consideration the Company expects to be entitled to in exchange for those goods or services. Revenue is recognized using the five-step model. These steps are: (i) identify the contract with the customer; (ii) identify the performance obligations; (iii) determine the transaction price; (iv) allocate the transaction price to each performance obligation; and (v) recognize revenue as the performance obligations are satisfied.</w:t>
      </w:r>
    </w:p>
    <w:p>
      <w:pPr>
        <w:spacing w:after="0" w:line="43" w:lineRule="exact"/>
        <w:rPr>
          <w:sz w:val="20"/>
          <w:szCs w:val="20"/>
          <w:color w:val="auto"/>
        </w:rPr>
      </w:pPr>
    </w:p>
    <w:p>
      <w:pPr>
        <w:ind w:left="340" w:right="240"/>
        <w:spacing w:after="0" w:line="266" w:lineRule="auto"/>
        <w:rPr>
          <w:sz w:val="20"/>
          <w:szCs w:val="20"/>
          <w:color w:val="auto"/>
        </w:rPr>
      </w:pPr>
      <w:r>
        <w:rPr>
          <w:rFonts w:ascii="Times New Roman" w:cs="Times New Roman" w:eastAsia="Times New Roman" w:hAnsi="Times New Roman"/>
          <w:sz w:val="18"/>
          <w:szCs w:val="18"/>
          <w:color w:val="auto"/>
        </w:rPr>
        <w:t>The Company collects payment at the point of sale for Vera Bradley full-line and outlet store transactions and upon shipment for Vera Bradley e-commerce transactions. The Company generally collects payment in arrears in accordance with established payment terms for each customer within the VB Indirect segment.</w:t>
      </w:r>
    </w:p>
    <w:p>
      <w:pPr>
        <w:spacing w:after="0" w:line="41"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color w:val="auto"/>
        </w:rPr>
        <w:t>Historical experience provides the Company the ability to reasonably estimate the amount of product sales that customers will return. Product returns are often resalable through multiple channels. Additionally, the Company reserves for customer allowances for certain VB Indirect retailers based upon various contract terms and other potential product credits granted to VB Indirect retailers.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returns and credits reserve and the related activity for each fiscal year presented were as follows (in thousands):</w:t>
      </w:r>
    </w:p>
    <w:p>
      <w:pPr>
        <w:spacing w:after="0" w:line="12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0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40" w:type="dxa"/>
            <w:vAlign w:val="bottom"/>
          </w:tcPr>
          <w:p>
            <w:pPr>
              <w:spacing w:after="0"/>
              <w:rPr>
                <w:sz w:val="13"/>
                <w:szCs w:val="13"/>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180" w:type="dxa"/>
            <w:vAlign w:val="bottom"/>
          </w:tcPr>
          <w:p>
            <w:pPr>
              <w:spacing w:after="0"/>
              <w:rPr>
                <w:sz w:val="13"/>
                <w:szCs w:val="13"/>
                <w:color w:val="auto"/>
              </w:rPr>
            </w:pPr>
          </w:p>
        </w:tc>
        <w:tc>
          <w:tcPr>
            <w:tcW w:w="1260" w:type="dxa"/>
            <w:vAlign w:val="bottom"/>
            <w:vMerge w:val="restart"/>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Balance at End</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Beginning of Year</w:t>
            </w:r>
          </w:p>
        </w:tc>
        <w:tc>
          <w:tcPr>
            <w:tcW w:w="20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Taken / Written Off</w:t>
            </w:r>
          </w:p>
        </w:tc>
        <w:tc>
          <w:tcPr>
            <w:tcW w:w="180" w:type="dxa"/>
            <w:vAlign w:val="bottom"/>
          </w:tcPr>
          <w:p>
            <w:pPr>
              <w:spacing w:after="0"/>
              <w:rPr>
                <w:sz w:val="17"/>
                <w:szCs w:val="17"/>
                <w:color w:val="auto"/>
              </w:rPr>
            </w:pPr>
          </w:p>
        </w:tc>
        <w:tc>
          <w:tcPr>
            <w:tcW w:w="126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of Year</w:t>
            </w:r>
          </w:p>
        </w:tc>
        <w:tc>
          <w:tcPr>
            <w:tcW w:w="0" w:type="dxa"/>
            <w:vAlign w:val="bottom"/>
          </w:tcPr>
          <w:p>
            <w:pPr>
              <w:spacing w:after="0"/>
              <w:rPr>
                <w:sz w:val="1"/>
                <w:szCs w:val="1"/>
                <w:color w:val="auto"/>
              </w:rPr>
            </w:pPr>
          </w:p>
        </w:tc>
      </w:t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31, 2026</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ended February 1, 2025</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February 3, 2024</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40" w:right="80"/>
        <w:spacing w:after="0" w:line="261" w:lineRule="auto"/>
        <w:rPr>
          <w:sz w:val="20"/>
          <w:szCs w:val="20"/>
          <w:color w:val="auto"/>
        </w:rPr>
      </w:pPr>
      <w:r>
        <w:rPr>
          <w:rFonts w:ascii="Times New Roman" w:cs="Times New Roman" w:eastAsia="Times New Roman" w:hAnsi="Times New Roman"/>
          <w:sz w:val="18"/>
          <w:szCs w:val="18"/>
          <w:color w:val="auto"/>
        </w:rPr>
        <w:t>The Company establishes an allowance for doubtful accounts based on historical experience and customer-specific identification and believes that collections of receivables, net of the allowance for doubtful accounts, are reasonably assured. The allowance for doubtful accounts was approximately $0.5 million and $0.8 million as of January 31, 2026 and February 1, 2025, respectively. The provision for doubtful accounts is based upon the likelihood of default expected during the life of the receivable.</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08" w:lineRule="exact"/>
        <w:rPr>
          <w:sz w:val="20"/>
          <w:szCs w:val="20"/>
          <w:color w:val="auto"/>
        </w:rPr>
      </w:pPr>
    </w:p>
    <w:p>
      <w:pPr>
        <w:ind w:left="340" w:right="100"/>
        <w:spacing w:after="0" w:line="266" w:lineRule="auto"/>
        <w:rPr>
          <w:sz w:val="20"/>
          <w:szCs w:val="20"/>
          <w:color w:val="auto"/>
        </w:rPr>
      </w:pPr>
      <w:r>
        <w:rPr>
          <w:rFonts w:ascii="Times New Roman" w:cs="Times New Roman" w:eastAsia="Times New Roman" w:hAnsi="Times New Roman"/>
          <w:sz w:val="18"/>
          <w:szCs w:val="18"/>
          <w:color w:val="auto"/>
        </w:rPr>
        <w:t>Cost of sales includes material and labor costs, freight, inventory shrinkage, operating lease costs, duty, and other operating expenses, including depreciation of the Vera Bradley distribution center and equipment. Costs and related expenses to purchase and distribute the products are recorded as cost of sales when the related revenues are recognized.</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94" w:lineRule="exact"/>
        <w:rPr>
          <w:sz w:val="20"/>
          <w:szCs w:val="20"/>
          <w:color w:val="auto"/>
        </w:rPr>
      </w:pPr>
    </w:p>
    <w:p>
      <w:pPr>
        <w:ind w:left="340" w:right="260"/>
        <w:spacing w:after="0" w:line="266" w:lineRule="auto"/>
        <w:rPr>
          <w:sz w:val="20"/>
          <w:szCs w:val="20"/>
          <w:color w:val="auto"/>
        </w:rPr>
      </w:pPr>
      <w:r>
        <w:rPr>
          <w:rFonts w:ascii="Times New Roman" w:cs="Times New Roman" w:eastAsia="Times New Roman" w:hAnsi="Times New Roman"/>
          <w:sz w:val="18"/>
          <w:szCs w:val="18"/>
          <w:color w:val="auto"/>
        </w:rPr>
        <w:t>The Company recognizes lease liabilities at the lease commencement date based upon the present value of the remaining lease payments. Operating right-of-use assets are based on the lease liability adjusted for prepaid rent, deferred rent, and tenant allowances received from certain of the Company’s landlords, primarily for its retail store locations.</w:t>
      </w:r>
    </w:p>
    <w:p>
      <w:pPr>
        <w:spacing w:after="0" w:line="54" w:lineRule="exact"/>
        <w:rPr>
          <w:sz w:val="20"/>
          <w:szCs w:val="20"/>
          <w:color w:val="auto"/>
        </w:rPr>
      </w:pPr>
    </w:p>
    <w:p>
      <w:pPr>
        <w:ind w:left="340" w:right="100"/>
        <w:spacing w:after="0" w:line="266" w:lineRule="auto"/>
        <w:rPr>
          <w:sz w:val="20"/>
          <w:szCs w:val="20"/>
          <w:color w:val="auto"/>
        </w:rPr>
      </w:pPr>
      <w:r>
        <w:rPr>
          <w:rFonts w:ascii="Times New Roman" w:cs="Times New Roman" w:eastAsia="Times New Roman" w:hAnsi="Times New Roman"/>
          <w:sz w:val="18"/>
          <w:szCs w:val="18"/>
          <w:color w:val="auto"/>
        </w:rPr>
        <w:t>Operating lease liabilities are amortized based upon the effective interest method. Operating right-of-use assets are amortized based upon the straight-line lease expense less interest on the lease liability. Operating lease expense is recognized on a straight-line basis over the lease term. Variable rent expense is recognized in the period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Operating right-of-use assets are reviewed for impairment whenever events or changes in circumstances indicate that the carrying amount of the assets may not be recoverable. The reviews are conducted at the lowest identifiable level of cash flows, which is at the retail store level for store-related assets. If the estimated undiscounted future cash flows related to the operating right-of-use assets are less than the carrying value, the Company recognizes a loss equal to the difference between the carrying value and the fair value, as further defined below in “Fair Value of Financial Instruments.”</w:t>
      </w:r>
    </w:p>
    <w:p>
      <w:pPr>
        <w:spacing w:after="0" w:line="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Note 4 herein for additional information regarding the Company's leases.</w:t>
      </w:r>
    </w:p>
    <w:p>
      <w:pPr>
        <w:spacing w:after="0" w:line="2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Store Pre-Opening, Occupancy, and Operating Costs</w:t>
      </w:r>
    </w:p>
    <w:p>
      <w:pPr>
        <w:spacing w:after="0" w:line="108" w:lineRule="exact"/>
        <w:rPr>
          <w:sz w:val="20"/>
          <w:szCs w:val="20"/>
          <w:color w:val="auto"/>
        </w:rPr>
      </w:pPr>
    </w:p>
    <w:p>
      <w:pPr>
        <w:ind w:left="340" w:right="240"/>
        <w:spacing w:after="0" w:line="282" w:lineRule="auto"/>
        <w:rPr>
          <w:sz w:val="20"/>
          <w:szCs w:val="20"/>
          <w:color w:val="auto"/>
        </w:rPr>
      </w:pPr>
      <w:r>
        <w:rPr>
          <w:rFonts w:ascii="Times New Roman" w:cs="Times New Roman" w:eastAsia="Times New Roman" w:hAnsi="Times New Roman"/>
          <w:sz w:val="18"/>
          <w:szCs w:val="18"/>
          <w:color w:val="auto"/>
        </w:rPr>
        <w:t>The Company charges costs associated with the opening of new stores to selling, general, and administrative expenses as incurred. Selling, general, and administrative expenses also include store operating costs, store employee compensation, and store occupancy and supply costs.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06"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using the fair-value recognition provisions of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Under these provisions, for its awards of restricted stock and restricted-stock units, the Company recognizes stock-based compensation expense in an amount equal to the fair market value of the underlying stock on the grant date of the respective award. The Company recognizes this expense, net of estimated forfeitures, on a straight-line basis over the requisite service period.</w:t>
      </w:r>
    </w:p>
    <w:p>
      <w:pPr>
        <w:spacing w:after="0" w:line="2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94" w:lineRule="exact"/>
        <w:rPr>
          <w:sz w:val="20"/>
          <w:szCs w:val="20"/>
          <w:color w:val="auto"/>
        </w:rPr>
      </w:pPr>
    </w:p>
    <w:p>
      <w:pPr>
        <w:ind w:left="340" w:right="360"/>
        <w:spacing w:after="0" w:line="282" w:lineRule="auto"/>
        <w:rPr>
          <w:sz w:val="20"/>
          <w:szCs w:val="20"/>
          <w:color w:val="auto"/>
        </w:rPr>
      </w:pPr>
      <w:r>
        <w:rPr>
          <w:rFonts w:ascii="Times New Roman" w:cs="Times New Roman" w:eastAsia="Times New Roman" w:hAnsi="Times New Roman"/>
          <w:sz w:val="18"/>
          <w:szCs w:val="18"/>
          <w:color w:val="auto"/>
        </w:rPr>
        <w:t>The Company expenses advertising costs at the time the promotion first appears in media, in stores, or on its websites, and includes those costs in selling, general, and administrative expenses in the Consolidated Statements of Operations.</w:t>
      </w:r>
    </w:p>
    <w:p>
      <w:pPr>
        <w:spacing w:after="0" w:line="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advertising expense was as follows (in thousands):</w:t>
      </w:r>
    </w:p>
    <w:p>
      <w:pPr>
        <w:spacing w:after="0" w:line="33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31, 2026</w:t>
            </w:r>
          </w:p>
        </w:tc>
        <w:tc>
          <w:tcPr>
            <w:tcW w:w="37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26,766</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ended February 1, 2025</w:t>
            </w:r>
          </w:p>
        </w:tc>
        <w:tc>
          <w:tcPr>
            <w:tcW w:w="37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37,057</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February 3, 2024</w:t>
            </w:r>
          </w:p>
        </w:tc>
        <w:tc>
          <w:tcPr>
            <w:tcW w:w="37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30,523</w:t>
            </w:r>
          </w:p>
        </w:tc>
      </w:tr>
    </w:tbl>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08" w:lineRule="exact"/>
        <w:rPr>
          <w:sz w:val="20"/>
          <w:szCs w:val="20"/>
          <w:color w:val="auto"/>
        </w:rPr>
      </w:pPr>
    </w:p>
    <w:p>
      <w:pPr>
        <w:ind w:left="340" w:right="4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54"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based on the Company’s own assumptions.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classification of fair value measurements within the hierarchy is based upon the lowest level of input that is significant to the measurement.</w:t>
      </w:r>
    </w:p>
    <w:p>
      <w:pPr>
        <w:spacing w:after="0" w:line="90" w:lineRule="exact"/>
        <w:rPr>
          <w:sz w:val="20"/>
          <w:szCs w:val="20"/>
          <w:color w:val="auto"/>
        </w:rPr>
      </w:pPr>
    </w:p>
    <w:p>
      <w:pPr>
        <w:ind w:left="340" w:right="300"/>
        <w:spacing w:after="0" w:line="282" w:lineRule="auto"/>
        <w:rPr>
          <w:sz w:val="20"/>
          <w:szCs w:val="20"/>
          <w:color w:val="auto"/>
        </w:rPr>
      </w:pPr>
      <w:r>
        <w:rPr>
          <w:rFonts w:ascii="Times New Roman" w:cs="Times New Roman" w:eastAsia="Times New Roman" w:hAnsi="Times New Roman"/>
          <w:sz w:val="18"/>
          <w:szCs w:val="18"/>
          <w:color w:val="auto"/>
        </w:rPr>
        <w:t>The carrying amounts reflected on the Consolidated Balance Sheets for cash and cash equivalents, accounts receivable, and accounts payable as of January 31, 2026 and February 1, 2025, approximated their fair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details the fair value measurements of the Company’s investments as of January 31, 2026 and February 1, 2025 (in thousands):</w:t>
      </w: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2300" w:type="dxa"/>
            <w:vAlign w:val="bottom"/>
            <w:gridSpan w:val="6"/>
          </w:tcPr>
          <w:p>
            <w:pPr>
              <w:ind w:left="7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8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10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1160" w:type="dxa"/>
            <w:vAlign w:val="bottom"/>
            <w:gridSpan w:val="3"/>
          </w:tcPr>
          <w:p>
            <w:pPr>
              <w:spacing w:after="0"/>
              <w:rPr>
                <w:sz w:val="2"/>
                <w:szCs w:val="2"/>
                <w:color w:val="auto"/>
              </w:rPr>
            </w:pPr>
          </w:p>
        </w:tc>
        <w:tc>
          <w:tcPr>
            <w:tcW w:w="1140" w:type="dxa"/>
            <w:vAlign w:val="bottom"/>
            <w:gridSpan w:val="3"/>
          </w:tcPr>
          <w:p>
            <w:pPr>
              <w:spacing w:after="0"/>
              <w:rPr>
                <w:sz w:val="2"/>
                <w:szCs w:val="2"/>
                <w:color w:val="auto"/>
              </w:rPr>
            </w:pPr>
          </w:p>
        </w:tc>
        <w:tc>
          <w:tcPr>
            <w:tcW w:w="940" w:type="dxa"/>
            <w:vAlign w:val="bottom"/>
          </w:tcPr>
          <w:p>
            <w:pPr>
              <w:spacing w:after="0"/>
              <w:rPr>
                <w:sz w:val="2"/>
                <w:szCs w:val="2"/>
                <w:color w:val="auto"/>
              </w:rPr>
            </w:pPr>
          </w:p>
        </w:tc>
      </w:tr>
      <w:tr>
        <w:trPr>
          <w:trHeight w:val="131"/>
        </w:trPr>
        <w:tc>
          <w:tcPr>
            <w:tcW w:w="37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3"/>
          </w:tcPr>
          <w:p>
            <w:pPr>
              <w:jc w:val="center"/>
              <w:ind w:right="290"/>
              <w:spacing w:after="0" w:line="131"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900" w:type="dxa"/>
            <w:vAlign w:val="bottom"/>
            <w:tcBorders>
              <w:top w:val="single" w:sz="8" w:color="auto"/>
            </w:tcBorders>
          </w:tcPr>
          <w:p>
            <w:pPr>
              <w:jc w:val="right"/>
              <w:ind w:right="79"/>
              <w:spacing w:after="0" w:line="131"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3"/>
          </w:tcPr>
          <w:p>
            <w:pPr>
              <w:jc w:val="center"/>
              <w:ind w:right="290"/>
              <w:spacing w:after="0" w:line="131"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920" w:type="dxa"/>
            <w:vAlign w:val="bottom"/>
            <w:tcBorders>
              <w:top w:val="single" w:sz="8" w:color="auto"/>
            </w:tcBorders>
          </w:tcPr>
          <w:p>
            <w:pPr>
              <w:jc w:val="center"/>
              <w:ind w:right="59"/>
              <w:spacing w:after="0" w:line="131"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3"/>
          </w:tcPr>
          <w:p>
            <w:pPr>
              <w:jc w:val="right"/>
              <w:ind w:right="310"/>
              <w:spacing w:after="0" w:line="131"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940" w:type="dxa"/>
            <w:vAlign w:val="bottom"/>
            <w:tcBorders>
              <w:top w:val="single" w:sz="8" w:color="auto"/>
            </w:tcBorders>
          </w:tcPr>
          <w:p>
            <w:pPr>
              <w:jc w:val="center"/>
              <w:ind w:right="59"/>
              <w:spacing w:after="0" w:line="131" w:lineRule="exact"/>
              <w:rPr>
                <w:sz w:val="20"/>
                <w:szCs w:val="20"/>
                <w:color w:val="auto"/>
              </w:rPr>
            </w:pPr>
            <w:r>
              <w:rPr>
                <w:rFonts w:ascii="Times New Roman" w:cs="Times New Roman" w:eastAsia="Times New Roman" w:hAnsi="Times New Roman"/>
                <w:sz w:val="14"/>
                <w:szCs w:val="14"/>
                <w:b w:val="1"/>
                <w:bCs w:val="1"/>
                <w:color w:val="auto"/>
              </w:rPr>
              <w:t>February 1,</w:t>
            </w:r>
          </w:p>
        </w:tc>
      </w:tr>
      <w:tr>
        <w:trPr>
          <w:trHeight w:val="195"/>
        </w:trPr>
        <w:tc>
          <w:tcPr>
            <w:tcW w:w="37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370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3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Contingent consideration related to sale of</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12"/>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business </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24"/>
                <w:szCs w:val="24"/>
                <w:color w:val="auto"/>
              </w:rPr>
            </w:pPr>
          </w:p>
        </w:tc>
        <w:tc>
          <w:tcPr>
            <w:tcW w:w="11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1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bl>
    <w:p>
      <w:pPr>
        <w:ind w:left="360" w:right="420" w:hanging="10"/>
        <w:spacing w:after="0" w:line="226" w:lineRule="auto"/>
        <w:tabs>
          <w:tab w:leader="none" w:pos="6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primarily represent money market funds that have a maturity of three months or less at the date of purchase. Due to its short maturity, the Company believes the carrying value approximates fair value.</w:t>
      </w:r>
    </w:p>
    <w:p>
      <w:pPr>
        <w:spacing w:after="0" w:line="9"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with the sale of Creative Genius. Refer to Note 16 herein for additional information.</w:t>
      </w:r>
    </w:p>
    <w:p>
      <w:pPr>
        <w:spacing w:after="0" w:line="185" w:lineRule="exact"/>
        <w:rPr>
          <w:sz w:val="20"/>
          <w:szCs w:val="20"/>
          <w:color w:val="auto"/>
        </w:rPr>
      </w:pPr>
    </w:p>
    <w:p>
      <w:pPr>
        <w:ind w:left="340" w:right="20"/>
        <w:spacing w:after="0" w:line="256" w:lineRule="auto"/>
        <w:rPr>
          <w:sz w:val="20"/>
          <w:szCs w:val="20"/>
          <w:color w:val="auto"/>
        </w:rPr>
      </w:pPr>
      <w:r>
        <w:rPr>
          <w:rFonts w:ascii="Times New Roman" w:cs="Times New Roman" w:eastAsia="Times New Roman" w:hAnsi="Times New Roman"/>
          <w:sz w:val="18"/>
          <w:szCs w:val="18"/>
          <w:color w:val="auto"/>
        </w:rPr>
        <w:t>The Company assesses potential impairments to its long-lived assets, which includes property, plant, and equipment and lease right-of-use assets, on a quarterly basis or whenever events or circumstances indicate that the carrying amount of an asset may not be recoverable. Store-level assets and right-of-use assets are grouped at the individual store-level for the purpose of the impairment assessment. Recoverability of an asset group is measured by a comparison of the carrying amount of an asset group to its estimated undiscounted future cash flows expected to be generated by the asset group. If the carrying amount of the asset group exceeds its estimated undiscounted future cash flows, an impairment charge is recognized as the amount by which the carrying amount of the asset group exceeds the fair value of the asset group. The fair value of the store assets is determined using the discounted future cash flow method of anticipated cash flows through the store’s lease-end date using fair value measurement inputs classified as Level 3. The fair value of right-of-use assets is estimated using market comparative information for similar properties. Level 3 inputs are derived from valuation techniques in which one or more significant inputs or significant value drivers are unobservable. The Company recorded $1.0 million and $2.4 million in impairment charges primarily related to store assets including property, plant, and equipment and lease right-of-use assets during the fiscal years ended January 31, 2026, and February 1, 2025, respectively. No impairment charges were recorded in fiscal 2024 for long-lived assets.</w:t>
      </w:r>
    </w:p>
    <w:p>
      <w:pPr>
        <w:spacing w:after="0" w:line="69" w:lineRule="exact"/>
        <w:rPr>
          <w:sz w:val="20"/>
          <w:szCs w:val="20"/>
          <w:color w:val="auto"/>
        </w:rPr>
      </w:pPr>
    </w:p>
    <w:p>
      <w:pPr>
        <w:ind w:left="340" w:right="100"/>
        <w:spacing w:after="0" w:line="282" w:lineRule="auto"/>
        <w:rPr>
          <w:sz w:val="20"/>
          <w:szCs w:val="20"/>
          <w:color w:val="auto"/>
        </w:rPr>
      </w:pPr>
      <w:r>
        <w:rPr>
          <w:rFonts w:ascii="Times New Roman" w:cs="Times New Roman" w:eastAsia="Times New Roman" w:hAnsi="Times New Roman"/>
          <w:sz w:val="18"/>
          <w:szCs w:val="18"/>
          <w:color w:val="auto"/>
        </w:rPr>
        <w:t>Assets recognized or disclosed at fair value on the consolidated financial statements on a nonrecurring basis include items such as property, plant, and equipment, including leasehold improvements, and operating lease assets. These assets are measured at fair value if determined to be impaired.</w:t>
      </w:r>
    </w:p>
    <w:p>
      <w:pPr>
        <w:spacing w:after="0" w:line="27" w:lineRule="exact"/>
        <w:rPr>
          <w:sz w:val="20"/>
          <w:szCs w:val="20"/>
          <w:color w:val="auto"/>
        </w:rPr>
      </w:pPr>
    </w:p>
    <w:p>
      <w:pPr>
        <w:ind w:left="340" w:right="40"/>
        <w:spacing w:after="0" w:line="256" w:lineRule="auto"/>
        <w:rPr>
          <w:sz w:val="20"/>
          <w:szCs w:val="20"/>
          <w:color w:val="auto"/>
        </w:rPr>
      </w:pPr>
      <w:r>
        <w:rPr>
          <w:rFonts w:ascii="Times New Roman" w:cs="Times New Roman" w:eastAsia="Times New Roman" w:hAnsi="Times New Roman"/>
          <w:sz w:val="18"/>
          <w:szCs w:val="18"/>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(2) discount rates used to derive the present value factors used in determining the fair values; and (3) market rentals at the retail store. These and other estimates and assumptions are impacted by economic conditions and our expectations and may change in the future based on period-specific facts and circumstances. If economic conditions were to deteriorate, future impairment charges may be required which may be material.</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08" w:lineRule="exact"/>
        <w:rPr>
          <w:sz w:val="20"/>
          <w:szCs w:val="20"/>
          <w:color w:val="auto"/>
        </w:rPr>
      </w:pPr>
    </w:p>
    <w:p>
      <w:pPr>
        <w:ind w:left="340" w:right="20"/>
        <w:spacing w:after="0" w:line="266" w:lineRule="auto"/>
        <w:rPr>
          <w:sz w:val="20"/>
          <w:szCs w:val="20"/>
          <w:color w:val="auto"/>
        </w:rPr>
      </w:pPr>
      <w:r>
        <w:rPr>
          <w:rFonts w:ascii="Times New Roman" w:cs="Times New Roman" w:eastAsia="Times New Roman" w:hAnsi="Times New Roman"/>
          <w:sz w:val="18"/>
          <w:szCs w:val="18"/>
          <w:color w:val="auto"/>
        </w:rPr>
        <w:t>The Company accrues income taxes payable or refundable and recognizes deferred tax assets and liabilities based on differences between the book and tax bases of assets and liabilities. The Company measures deferred tax assets and liabilities using enacted rates in effect for the years in which the differences are expected to reverse, and recognizes the effect of a change in enacted rates in the period of enactment.</w:t>
      </w:r>
    </w:p>
    <w:p>
      <w:pPr>
        <w:spacing w:after="0" w:line="41"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When measuring deferred tax assets, the Company considers both positive and negative evidence to determine whether it is more likely than not that the deferred tax assets will be realized. This evidence includes recent operating results, projected future taxable income, the reversal of existing taxable differences, tax planning strategies, among other factors. When necessary, a valuation allowance is recorded to reduce the deferred tax assets to their anticipated realizable value. In fiscal 2025, the Company recorded a full valuation allowance against its net deferred tax assets, and continues to maintain a full valuation allowance against its net deferred tax assets as of the end of fiscal 2026 based on the weight of available evidence.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ind w:left="340" w:right="800"/>
        <w:spacing w:after="0" w:line="282" w:lineRule="auto"/>
        <w:rPr>
          <w:sz w:val="20"/>
          <w:szCs w:val="20"/>
          <w:color w:val="auto"/>
        </w:rPr>
      </w:pPr>
      <w:r>
        <w:rPr>
          <w:rFonts w:ascii="Times New Roman" w:cs="Times New Roman" w:eastAsia="Times New Roman" w:hAnsi="Times New Roman"/>
          <w:sz w:val="18"/>
          <w:szCs w:val="18"/>
          <w:color w:val="auto"/>
        </w:rPr>
        <w:t>The Company establishes liabilities for uncertain positions taken or expected to be taken in income tax returns, using a more-likely-than-not recognition threshold. The Company includes in income tax expense any interest and penalties related to uncertain tax positions.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Cloud Computing Arrangements</w:t>
      </w:r>
    </w:p>
    <w:p>
      <w:pPr>
        <w:spacing w:after="0" w:line="108" w:lineRule="exact"/>
        <w:rPr>
          <w:sz w:val="20"/>
          <w:szCs w:val="20"/>
          <w:color w:val="auto"/>
        </w:rPr>
      </w:pPr>
    </w:p>
    <w:p>
      <w:pPr>
        <w:ind w:left="340" w:right="20"/>
        <w:spacing w:after="0" w:line="254" w:lineRule="auto"/>
        <w:rPr>
          <w:sz w:val="20"/>
          <w:szCs w:val="20"/>
          <w:color w:val="auto"/>
        </w:rPr>
      </w:pPr>
      <w:r>
        <w:rPr>
          <w:rFonts w:ascii="Times New Roman" w:cs="Times New Roman" w:eastAsia="Times New Roman" w:hAnsi="Times New Roman"/>
          <w:sz w:val="18"/>
          <w:szCs w:val="18"/>
          <w:color w:val="auto"/>
        </w:rPr>
        <w:t>The Company capitalizes implementation costs associated with its Cloud Computing Arrangements (“CCA”) consistent with costs capitalized for internal-use software. The CCA costs are amortized over the term of the related hosting agreement, taking into consideration renewal options, if any. The renewal period is included in the amortization period if determined that the option is reasonably certain to be exercised. The amortization expense is recorded within selling, general, and administrative expenses in the Company's Consolidated Statements of Operations, which is within the same line item as the related hosting fees. The balance of the unamortized CCA implementation costs totaled $0.4 million and $0.6 million as of January 31, 2026 and February 1, 2025, respectively. Of this total, $0.2 million and $0.4 million was recorded within prepaid expenses and other current assets and $0.2 million and $0.2 million was recorded within other assets on the Company's Consolidated Balance Sheets as of January 31, 2026 and February 1, 2025, respectively. In the fourth quarter of fiscal 2025, the Company recorded a software abandonment charge of $1.1 million. The CCA implementation costs are recorded within operating activities in the Company's Consolidated Statements of Cash Flows.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94" w:lineRule="exact"/>
        <w:rPr>
          <w:sz w:val="20"/>
          <w:szCs w:val="20"/>
          <w:color w:val="auto"/>
        </w:rPr>
      </w:pPr>
    </w:p>
    <w:p>
      <w:pPr>
        <w:ind w:left="340"/>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This ASU establishes new income tax disclosure requirements in addition to modifying and eliminating certain existing requirements. Under the new guidance, entities must consistently categorize and provide greater disaggregation of information in the rate reconciliation. They must also further disaggregate income taxes paid. The new standard is effective for fiscal years beginning after December 15, 2024 (the Company's fiscal year 2026), with retrospective application permitted. The Company adopted the ASU retrospectively during the year ended January 31, 2026. The adoption expanded the Company's income tax disclosure and did not impact the Company's consolidated financial statements. Refer to Note 7 herein.</w:t>
      </w:r>
    </w:p>
    <w:p>
      <w:pPr>
        <w:spacing w:after="0" w:line="66" w:lineRule="exact"/>
        <w:rPr>
          <w:sz w:val="20"/>
          <w:szCs w:val="20"/>
          <w:color w:val="auto"/>
        </w:rPr>
      </w:pPr>
    </w:p>
    <w:p>
      <w:pPr>
        <w:ind w:left="340" w:right="40"/>
        <w:spacing w:after="0" w:line="274" w:lineRule="auto"/>
        <w:rPr>
          <w:sz w:val="20"/>
          <w:szCs w:val="20"/>
          <w:color w:val="auto"/>
        </w:rPr>
      </w:pPr>
      <w:r>
        <w:rPr>
          <w:rFonts w:ascii="Times New Roman" w:cs="Times New Roman" w:eastAsia="Times New Roman" w:hAnsi="Times New Roman"/>
          <w:sz w:val="17"/>
          <w:szCs w:val="17"/>
          <w:color w:val="auto"/>
        </w:rPr>
        <w:t>In November 2024, the Financial Accounting Standards Board issued Accounting Standards Update (“ASU”) 2024-03, "Disaggregation of Income Statement Expenses". The ASU requires financial statement footnote disclosure of specified information about certain costs and expenses, including purchases of inventory, employee compensation, depreciation, and intangible asset amortization. The ASU is effective for fiscal years beginning after December 15, 2026 (the Company’s fiscal year 2028) and interim reporting periods beginning after December 15, 2027 (interim periods for the Company’s fiscal year 2029). Public business entities are required to apply the guidance prospectively, however, retrospective application is permitted. The Company is currently evaluating the impact of this ASU, but expects the impact to be limited to financial statement footnote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ind w:left="340" w:right="7780" w:hanging="332"/>
        <w:spacing w:after="0" w:line="354" w:lineRule="auto"/>
        <w:tabs>
          <w:tab w:leader="none" w:pos="331"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Disaggregation of Revenue</w:t>
      </w: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presents the Company's net revenues disaggregated by product category for the fifty-two weeks ended January 31, 2026 and February 1, 2025, and fifty-three weeks ended February 3, 2024 (in thousands):</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5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4"/>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Fifty-Two Weeks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57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7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576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VB Indirect Segment</w:t>
            </w:r>
          </w:p>
        </w:tc>
        <w:tc>
          <w:tcPr>
            <w:tcW w:w="3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4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96,749</w:t>
            </w:r>
          </w:p>
        </w:tc>
        <w:tc>
          <w:tcPr>
            <w:tcW w:w="24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25,206</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121,955</w:t>
            </w:r>
          </w:p>
        </w:tc>
      </w:tr>
      <w:tr>
        <w:trPr>
          <w:trHeight w:val="23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63,077</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9,505</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72,582</w:t>
            </w:r>
          </w:p>
        </w:tc>
      </w:tr>
      <w:tr>
        <w:trPr>
          <w:trHeight w:val="22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34,862</w:t>
            </w:r>
          </w:p>
        </w:tc>
      </w:tr>
      <w:tr>
        <w:trPr>
          <w:trHeight w:val="22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20,124</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21,514</w:t>
            </w:r>
          </w:p>
        </w:tc>
      </w:tr>
      <w:tr>
        <w:trPr>
          <w:trHeight w:val="23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Apparel/Footwear</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8,626</w:t>
            </w:r>
          </w:p>
        </w:tc>
      </w:tr>
      <w:tr>
        <w:trPr>
          <w:trHeight w:val="22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(2)</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10,112</w:t>
            </w:r>
          </w:p>
        </w:tc>
      </w:tr>
      <w:tr>
        <w:trPr>
          <w:trHeight w:val="22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227,791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w:t>
            </w:r>
          </w:p>
        </w:tc>
        <w:tc>
          <w:tcPr>
            <w:tcW w:w="8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41,860</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269,651</w:t>
            </w:r>
          </w:p>
        </w:tc>
      </w:tr>
      <w:tr>
        <w:trPr>
          <w:trHeight w:val="20"/>
        </w:trPr>
        <w:tc>
          <w:tcPr>
            <w:tcW w:w="5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600" w:hanging="250"/>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and merchandising.</w:t>
      </w:r>
    </w:p>
    <w:p>
      <w:pPr>
        <w:spacing w:after="0" w:line="22"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360" w:right="760" w:hanging="10"/>
        <w:spacing w:after="0" w:line="234" w:lineRule="auto"/>
        <w:tabs>
          <w:tab w:leader="none" w:pos="6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$39.7 million of net revenues related to product sales recognized at a point in time and $2.2 million of net revenues related to sales-based royalties recognized over time.</w:t>
      </w:r>
    </w:p>
    <w:p>
      <w:pPr>
        <w:spacing w:after="0" w:line="206"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5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4"/>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Fifty-Two Weeks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57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7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576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VB Indirect Segment</w:t>
            </w:r>
          </w:p>
        </w:tc>
        <w:tc>
          <w:tcPr>
            <w:tcW w:w="3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4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105,071</w:t>
            </w:r>
          </w:p>
        </w:tc>
        <w:tc>
          <w:tcPr>
            <w:tcW w:w="24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35,077</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140,148</w:t>
            </w:r>
          </w:p>
        </w:tc>
      </w:tr>
      <w:tr>
        <w:trPr>
          <w:trHeight w:val="23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67,911</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81,001</w:t>
            </w:r>
          </w:p>
        </w:tc>
      </w:tr>
      <w:tr>
        <w:trPr>
          <w:trHeight w:val="23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47,913</w:t>
            </w:r>
          </w:p>
        </w:tc>
      </w:tr>
      <w:tr>
        <w:trPr>
          <w:trHeight w:val="23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25,899</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28,637</w:t>
            </w:r>
          </w:p>
        </w:tc>
      </w:tr>
      <w:tr>
        <w:trPr>
          <w:trHeight w:val="22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Apparel/Footwear</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11,770</w:t>
            </w:r>
          </w:p>
        </w:tc>
      </w:tr>
      <w:tr>
        <w:trPr>
          <w:trHeight w:val="23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(2)</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w:t>
            </w:r>
          </w:p>
        </w:tc>
      </w:tr>
      <w:tr>
        <w:trPr>
          <w:trHeight w:val="22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257,609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w:t>
            </w:r>
          </w:p>
        </w:tc>
        <w:tc>
          <w:tcPr>
            <w:tcW w:w="8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61,186</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318,795</w:t>
            </w:r>
          </w:p>
        </w:tc>
      </w:tr>
      <w:tr>
        <w:trPr>
          <w:trHeight w:val="21"/>
        </w:trPr>
        <w:tc>
          <w:tcPr>
            <w:tcW w:w="5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600" w:hanging="250"/>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and merchandising.</w:t>
      </w:r>
    </w:p>
    <w:p>
      <w:pPr>
        <w:spacing w:after="0" w:line="22"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360" w:right="760" w:hanging="10"/>
        <w:spacing w:after="0" w:line="234" w:lineRule="auto"/>
        <w:tabs>
          <w:tab w:leader="none" w:pos="6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$59.4 million of net revenues related to product sales recognized at a point in time and $1.8 million of net revenues related to sales-based royalties recognized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11"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5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80" w:type="dxa"/>
            <w:vAlign w:val="bottom"/>
            <w:gridSpan w:val="4"/>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Fifty-Three Weeks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57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7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576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VB Indirect Segment</w:t>
            </w:r>
          </w:p>
        </w:tc>
        <w:tc>
          <w:tcPr>
            <w:tcW w:w="3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4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119,705</w:t>
            </w:r>
          </w:p>
        </w:tc>
        <w:tc>
          <w:tcPr>
            <w:tcW w:w="3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39,609</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159,314</w:t>
            </w:r>
          </w:p>
        </w:tc>
      </w:tr>
      <w:tr>
        <w:trPr>
          <w:trHeight w:val="22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75,927</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14,922</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90,849</w:t>
            </w:r>
          </w:p>
        </w:tc>
      </w:tr>
      <w:tr>
        <w:trPr>
          <w:trHeight w:val="22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52,930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62,477</w:t>
            </w:r>
          </w:p>
        </w:tc>
      </w:tr>
      <w:tr>
        <w:trPr>
          <w:trHeight w:val="23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37,587</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41,609</w:t>
            </w:r>
          </w:p>
        </w:tc>
      </w:tr>
      <w:tr>
        <w:trPr>
          <w:trHeight w:val="22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Apparel/Footwear</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18,987</w:t>
            </w:r>
          </w:p>
        </w:tc>
      </w:tr>
      <w:tr>
        <w:trPr>
          <w:trHeight w:val="22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w:t>
            </w:r>
          </w:p>
        </w:tc>
        <w:tc>
          <w:tcPr>
            <w:tcW w:w="3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95"/>
              </w:rPr>
              <w:t>(1)</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(2)</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10,477</w:t>
            </w:r>
          </w:p>
        </w:tc>
      </w:tr>
      <w:tr>
        <w:trPr>
          <w:trHeight w:val="22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309,910</w:t>
            </w:r>
          </w:p>
        </w:tc>
        <w:tc>
          <w:tcPr>
            <w:tcW w:w="3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95"/>
              </w:rPr>
              <w:t>(3)</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73,803</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383,713</w:t>
            </w:r>
          </w:p>
        </w:tc>
      </w:tr>
      <w:tr>
        <w:trPr>
          <w:trHeight w:val="21"/>
        </w:trPr>
        <w:tc>
          <w:tcPr>
            <w:tcW w:w="5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600" w:hanging="250"/>
        <w:spacing w:after="0"/>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and merchandising.</w:t>
      </w:r>
    </w:p>
    <w:p>
      <w:pPr>
        <w:spacing w:after="0" w:line="22"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360" w:right="760" w:hanging="10"/>
        <w:spacing w:after="0" w:line="234" w:lineRule="auto"/>
        <w:tabs>
          <w:tab w:leader="none" w:pos="6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$71.4 million of net revenues related to product sales recognized at a point in time and $2.4 million of net revenues related to sales-based royalties recognized over time.</w:t>
      </w:r>
    </w:p>
    <w:p>
      <w:pPr>
        <w:spacing w:after="0" w:line="2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94" w:lineRule="exact"/>
        <w:rPr>
          <w:sz w:val="20"/>
          <w:szCs w:val="20"/>
          <w:color w:val="auto"/>
        </w:rPr>
      </w:pPr>
    </w:p>
    <w:p>
      <w:pPr>
        <w:ind w:left="340" w:right="160"/>
        <w:spacing w:after="0" w:line="261" w:lineRule="auto"/>
        <w:rPr>
          <w:sz w:val="20"/>
          <w:szCs w:val="20"/>
          <w:color w:val="auto"/>
        </w:rPr>
      </w:pPr>
      <w:r>
        <w:rPr>
          <w:rFonts w:ascii="Times New Roman" w:cs="Times New Roman" w:eastAsia="Times New Roman" w:hAnsi="Times New Roman"/>
          <w:sz w:val="18"/>
          <w:szCs w:val="18"/>
          <w:color w:val="auto"/>
        </w:rPr>
        <w:t>Contract liabilities as of January 31, 2026 and February 1, 2025, were $1.6 million and $1.7 million, respectively. The balance consisted of unredeemed gift cards. These contract liabilities are recognized within other accrued liabilities on the Company’s Consolidated Balance Sheets. Substantially all contract liabilities are recognized within one year. The Company did not have contract assets as of January 31, 2026 and February 1, 2025.</w:t>
      </w:r>
    </w:p>
    <w:p>
      <w:pPr>
        <w:spacing w:after="0" w:line="58"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The balance for accounts receivable from contracts with customers, net of allowances, as of January 31, 2026 and February 1, 2025 was $16.4 million and $13.3 million, respectively, which is recognized within accounts receivable, net, on the Company’s Consolidated Balance Sheets. The provision for doubtful accounts was $0.5 million and $0.8 million as of January 31, 2026 and February 1, 2025, respectively. The provision for doubtful accounts is based upon the likelihood of default expected during the life of the receivable.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Performance Obligations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performance obligations for the VB Direct and VB Indirect segments include the promise to transfer distinct goods (or a bundle of distinct goods).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VB Indirect segment also includes the right to access intellectual property (“IP”) related to the Vera Bradley brand.</w:t>
      </w: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0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Company does not have remaining performance obligations in excess of one year or contracts that it does not have the right to invoice as of January 31, 2026.</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Significant Judgments</w:t>
      </w: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Product Sales</w:t>
      </w:r>
    </w:p>
    <w:p>
      <w:pPr>
        <w:spacing w:after="0" w:line="106" w:lineRule="exact"/>
        <w:rPr>
          <w:sz w:val="20"/>
          <w:szCs w:val="20"/>
          <w:color w:val="auto"/>
        </w:rPr>
      </w:pPr>
    </w:p>
    <w:p>
      <w:pPr>
        <w:ind w:left="340" w:right="100"/>
        <w:spacing w:after="0" w:line="258" w:lineRule="auto"/>
        <w:rPr>
          <w:sz w:val="20"/>
          <w:szCs w:val="20"/>
          <w:color w:val="auto"/>
        </w:rPr>
      </w:pPr>
      <w:r>
        <w:rPr>
          <w:rFonts w:ascii="Times New Roman" w:cs="Times New Roman" w:eastAsia="Times New Roman" w:hAnsi="Times New Roman"/>
          <w:sz w:val="18"/>
          <w:szCs w:val="18"/>
          <w:color w:val="auto"/>
        </w:rPr>
        <w:t>In the Vera Bradley retail stores (recognized within the VB Direct segment), control is transferred and net revenue is recognized at the point of sale. Product shipments for the Company’s e-commerce channels (recognized within the VB Direct segment) and shipments to its wholesale retailers (recognized within the VB Indirect segment) are generally shipped Free on Board (“FOB”) shipping point typically from its distribution center in Roanoke, Indiana. Net revenue is recognized upon shipment consistent with when control is transferred to the customer. Upon shipment, the customer has the right to direct the use of, and obtain substantially all of the benefits from,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Licensing Royalties</w:t>
      </w:r>
    </w:p>
    <w:p>
      <w:pPr>
        <w:spacing w:after="0" w:line="92" w:lineRule="exact"/>
        <w:rPr>
          <w:sz w:val="20"/>
          <w:szCs w:val="20"/>
          <w:color w:val="auto"/>
        </w:rPr>
      </w:pPr>
    </w:p>
    <w:p>
      <w:pPr>
        <w:ind w:left="340" w:right="100"/>
        <w:spacing w:after="0" w:line="261" w:lineRule="auto"/>
        <w:rPr>
          <w:sz w:val="20"/>
          <w:szCs w:val="20"/>
          <w:color w:val="auto"/>
        </w:rPr>
      </w:pPr>
      <w:r>
        <w:rPr>
          <w:rFonts w:ascii="Times New Roman" w:cs="Times New Roman" w:eastAsia="Times New Roman" w:hAnsi="Times New Roman"/>
          <w:sz w:val="18"/>
          <w:szCs w:val="18"/>
          <w:color w:val="auto"/>
        </w:rPr>
        <w:t>The Company grants rights to access its Vera Bradley IP and accounts for any resulting sales-based royalty revenue over time, as the subsequent sales occur. The Company has contractually guaranteed minimum royalties in certain of its sales-based royalty arrangements which are recognized straight-line over the remaining license period once determined that the minimum sales level will not be achieved. Licensing royalties are recognized within VB Indirect segment net revenues.</w:t>
      </w:r>
    </w:p>
    <w:p>
      <w:pPr>
        <w:spacing w:after="0" w:line="2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Transaction Price and Amounts Allocated to Performance Obligations</w:t>
      </w:r>
    </w:p>
    <w:p>
      <w:pPr>
        <w:spacing w:after="0" w:line="106" w:lineRule="exact"/>
        <w:rPr>
          <w:sz w:val="20"/>
          <w:szCs w:val="20"/>
          <w:color w:val="auto"/>
        </w:rPr>
      </w:pPr>
    </w:p>
    <w:p>
      <w:pPr>
        <w:ind w:left="340" w:right="140"/>
        <w:spacing w:after="0" w:line="258" w:lineRule="auto"/>
        <w:rPr>
          <w:sz w:val="20"/>
          <w:szCs w:val="20"/>
          <w:color w:val="auto"/>
        </w:rPr>
      </w:pPr>
      <w:r>
        <w:rPr>
          <w:rFonts w:ascii="Times New Roman" w:cs="Times New Roman" w:eastAsia="Times New Roman" w:hAnsi="Times New Roman"/>
          <w:sz w:val="18"/>
          <w:szCs w:val="18"/>
          <w:color w:val="auto"/>
        </w:rPr>
        <w:t>The transaction price is the amount of consideration the Company expects to be entitled to in a sales transaction. The transaction price is net of discounts, estimated variable consideration (if any), and any customer allowances offered or estimated, including those offered to certain Indirect retailers based on various contract terms. The transaction price also is net of allowances for product returns, which the Company is able to reasonably estimate based upon historical experience. The transaction price is allocated to each performance obligation in the contract based upon the standalone selling price.</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Contract Costs</w:t>
      </w:r>
    </w:p>
    <w:p>
      <w:pPr>
        <w:spacing w:after="0" w:line="108"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Sales commissions are paid to certain employees based upon specific sales achieved during a time period. As the Company’s contracts related to these sales commissions do not exceed one year, these incentive payments are expensed as incurred.</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Other Practical Expedients</w:t>
      </w: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Significant Financing Components</w:t>
      </w:r>
    </w:p>
    <w:p>
      <w:pPr>
        <w:spacing w:after="0" w:line="10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does not adjust for the time value of money as the majority of its contracts have an original expected duration of one year or less; contracts that are greater than one year are related to net revenues that are constrained until the subsequent sales occur. The net revenues associated with these contracts are immaterial, and the Company does not adjust for the time value of money.</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Five customers represented approximately 64.0% of the balance of accounts receivable, net as of January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81"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6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Leases</w:t>
      </w:r>
    </w:p>
    <w:p>
      <w:pPr>
        <w:spacing w:after="0" w:line="94" w:lineRule="exact"/>
        <w:rPr>
          <w:rFonts w:ascii="Times New Roman" w:cs="Times New Roman" w:eastAsia="Times New Roman" w:hAnsi="Times New Roman"/>
          <w:sz w:val="18"/>
          <w:szCs w:val="18"/>
          <w:b w:val="1"/>
          <w:bCs w:val="1"/>
          <w:color w:val="auto"/>
        </w:rPr>
      </w:pPr>
    </w:p>
    <w:p>
      <w:pPr>
        <w:ind w:left="340" w:right="3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operating leases at all of its retail stores (including storage spaces), as well as for its New York office, Asia sourcing office, and showrooms. The Company does not have residual value guarantees, restrictions, or covenants imposed by leases.</w:t>
      </w:r>
    </w:p>
    <w:p>
      <w:pPr>
        <w:spacing w:after="0" w:line="198"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Determination of Lease Terms</w:t>
      </w:r>
    </w:p>
    <w:p>
      <w:pPr>
        <w:spacing w:after="0" w:line="107" w:lineRule="exact"/>
        <w:rPr>
          <w:rFonts w:ascii="Times New Roman" w:cs="Times New Roman" w:eastAsia="Times New Roman" w:hAnsi="Times New Roman"/>
          <w:sz w:val="18"/>
          <w:szCs w:val="18"/>
          <w:b w:val="1"/>
          <w:bCs w:val="1"/>
          <w:color w:val="auto"/>
        </w:rPr>
      </w:pPr>
    </w:p>
    <w:p>
      <w:pPr>
        <w:ind w:left="34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Retail store leases have remaining terms of up to 9 years as of January 31, 2026. These leases generally have early termination rights when certain sales thresholds are not met for a specified measurement period. The Company's other leases generally have remaining terms of up to approximately one year as of January 31, 2026. If the lease contains a renewal period at the Company's option, the renewal period is included in the lease term if determined the option is reasonably certain to be exercised at lease commencement. The Company's lease options generally do not include termination rights other than those mentioned. The Company did not have financing leases as of January 31, 2026.</w:t>
      </w:r>
    </w:p>
    <w:p>
      <w:pPr>
        <w:spacing w:after="0" w:line="206"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Variable Rental Payments</w:t>
      </w:r>
    </w:p>
    <w:p>
      <w:pPr>
        <w:spacing w:after="0" w:line="107" w:lineRule="exact"/>
        <w:rPr>
          <w:rFonts w:ascii="Times New Roman" w:cs="Times New Roman" w:eastAsia="Times New Roman" w:hAnsi="Times New Roman"/>
          <w:sz w:val="18"/>
          <w:szCs w:val="18"/>
          <w:b w:val="1"/>
          <w:bCs w:val="1"/>
          <w:color w:val="auto"/>
        </w:rPr>
      </w:pPr>
    </w:p>
    <w:p>
      <w:pPr>
        <w:ind w:left="340"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retail store leases contain variable rental payments based on each location's monthly gross sales, the majority of which have specified sales breakpoints. In addition, the majority of the Company's leases contain real estate taxes, common area maintenance, and similar items that are billed as pass-through charges from its landlords. These rental payments are not included in the measurement of the lease liability, but are recognized as variable lease cost in the period incurred.</w:t>
      </w:r>
    </w:p>
    <w:p>
      <w:pPr>
        <w:spacing w:after="0" w:line="58" w:lineRule="exact"/>
        <w:rPr>
          <w:rFonts w:ascii="Times New Roman" w:cs="Times New Roman" w:eastAsia="Times New Roman" w:hAnsi="Times New Roman"/>
          <w:sz w:val="18"/>
          <w:szCs w:val="18"/>
          <w:b w:val="1"/>
          <w:bCs w:val="1"/>
          <w:color w:val="auto"/>
        </w:rPr>
      </w:pPr>
    </w:p>
    <w:p>
      <w:pPr>
        <w:ind w:left="340" w:right="20"/>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Certain of the Company's leases also contain lease components with increases based upon an index or rate. These lease components are included on the Company's balance sheet at the rate as of lease commencement. Future changes in the index or rate will generally be included as variable lease cost.</w:t>
      </w:r>
    </w:p>
    <w:p>
      <w:pPr>
        <w:spacing w:after="0" w:line="162" w:lineRule="exact"/>
        <w:rPr>
          <w:rFonts w:ascii="Times New Roman" w:cs="Times New Roman" w:eastAsia="Times New Roman" w:hAnsi="Times New Roman"/>
          <w:sz w:val="18"/>
          <w:szCs w:val="18"/>
          <w:b w:val="1"/>
          <w:bCs w:val="1"/>
          <w:color w:val="auto"/>
        </w:rPr>
      </w:pPr>
    </w:p>
    <w:p>
      <w:pPr>
        <w:ind w:left="340" w:right="6900"/>
        <w:spacing w:after="0" w:line="38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 xml:space="preserve">Significant Judgments and Assumptions </w:t>
      </w:r>
      <w:r>
        <w:rPr>
          <w:rFonts w:ascii="Times New Roman" w:cs="Times New Roman" w:eastAsia="Times New Roman" w:hAnsi="Times New Roman"/>
          <w:sz w:val="17"/>
          <w:szCs w:val="17"/>
          <w:i w:val="1"/>
          <w:iCs w:val="1"/>
          <w:color w:val="auto"/>
        </w:rPr>
        <w:t>Determination of Whether a Contract Contains a Lease</w:t>
      </w:r>
    </w:p>
    <w:p>
      <w:pPr>
        <w:spacing w:after="0" w:line="1" w:lineRule="exact"/>
        <w:rPr>
          <w:rFonts w:ascii="Times New Roman" w:cs="Times New Roman" w:eastAsia="Times New Roman" w:hAnsi="Times New Roman"/>
          <w:sz w:val="18"/>
          <w:szCs w:val="18"/>
          <w:b w:val="1"/>
          <w:bCs w:val="1"/>
          <w:color w:val="auto"/>
        </w:rPr>
      </w:pPr>
    </w:p>
    <w:p>
      <w:pPr>
        <w:ind w:left="34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determines whether a contract is or contains a lease at the inception of the contract. The contract is, or contains, a lease if the contract conveys the right to control the use of identified property, plant, or equipment for a period of time in exchange for consideration. The Company generally must also have the right to obtain substantially all of the economic benefits from use of the property, plant, and equipment and have the right to direct its use.</w:t>
      </w:r>
    </w:p>
    <w:p>
      <w:pPr>
        <w:spacing w:after="0" w:line="42"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Discount Rate</w:t>
      </w:r>
    </w:p>
    <w:p>
      <w:pPr>
        <w:spacing w:after="0" w:line="105" w:lineRule="exact"/>
        <w:rPr>
          <w:rFonts w:ascii="Times New Roman" w:cs="Times New Roman" w:eastAsia="Times New Roman" w:hAnsi="Times New Roman"/>
          <w:sz w:val="18"/>
          <w:szCs w:val="18"/>
          <w:b w:val="1"/>
          <w:bCs w:val="1"/>
          <w:color w:val="auto"/>
        </w:rPr>
      </w:pPr>
    </w:p>
    <w:p>
      <w:pPr>
        <w:ind w:left="340" w:right="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weighted-average discount rate as of January 31, 2026 and February 1, 2025, was 5.1% and 5.0%, respectively. The discount rate is not readily determinable in the lease; therefore, the Company estimated the incremental borrowing rate, at the commencement or remeasurement date of each lease, which is the rate of interest it would have to borrow on a collateralized basis over a similar term with similar payments.</w:t>
      </w:r>
    </w:p>
    <w:p>
      <w:pPr>
        <w:spacing w:after="0" w:line="212"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 Not Yet Commenced</w:t>
      </w:r>
    </w:p>
    <w:p>
      <w:pPr>
        <w:spacing w:after="0" w:line="9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January 31, 2026, there were no executed leases in which the Company did not have control of the underlying asset.</w:t>
      </w:r>
    </w:p>
    <w:p>
      <w:pPr>
        <w:spacing w:after="0" w:line="2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Practical Expedients (Policy Elections)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elected the following practical expedients as policy elections upon the adoption of ASC Topic 842.</w:t>
      </w:r>
    </w:p>
    <w:p>
      <w:pPr>
        <w:spacing w:after="0" w:line="10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Leases</w:t>
            </w:r>
          </w:p>
        </w:tc>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The Company elected to exclude leases with a term of 12 months or less from recognition on the</w:t>
            </w:r>
          </w:p>
        </w:tc>
      </w:tr>
      <w:tr>
        <w:trPr>
          <w:trHeight w:val="243"/>
        </w:trPr>
        <w:tc>
          <w:tcPr>
            <w:tcW w:w="3180" w:type="dxa"/>
            <w:vAlign w:val="bottom"/>
            <w:shd w:val="clear" w:color="auto" w:fill="CCEEFF"/>
          </w:tcPr>
          <w:p>
            <w:pPr>
              <w:spacing w:after="0"/>
              <w:rPr>
                <w:sz w:val="21"/>
                <w:szCs w:val="21"/>
                <w:color w:val="auto"/>
              </w:rPr>
            </w:pPr>
          </w:p>
        </w:tc>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balance sheet for all leases.</w:t>
            </w:r>
          </w:p>
        </w:tc>
      </w:tr>
      <w:tr>
        <w:trPr>
          <w:trHeight w:val="175"/>
        </w:trPr>
        <w:tc>
          <w:tcPr>
            <w:tcW w:w="3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Not Separating Lease and Nonlease</w:t>
            </w:r>
          </w:p>
        </w:tc>
        <w:tc>
          <w:tcPr>
            <w:tcW w:w="772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The Company elected to combine lease and nonlease components and recognize as a single lease</w:t>
            </w:r>
          </w:p>
        </w:tc>
      </w:tr>
      <w:tr>
        <w:trPr>
          <w:trHeight w:val="238"/>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7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component for all leases.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Amounts Recognized in the Consolidated Financial Statements</w:t>
      </w:r>
    </w:p>
    <w:p>
      <w:pPr>
        <w:spacing w:after="0" w:line="108" w:lineRule="exact"/>
        <w:rPr>
          <w:sz w:val="20"/>
          <w:szCs w:val="20"/>
          <w:color w:val="auto"/>
        </w:rPr>
      </w:pPr>
    </w:p>
    <w:p>
      <w:pPr>
        <w:ind w:left="340" w:right="20"/>
        <w:spacing w:after="0" w:line="266" w:lineRule="auto"/>
        <w:rPr>
          <w:sz w:val="20"/>
          <w:szCs w:val="20"/>
          <w:color w:val="auto"/>
        </w:rPr>
      </w:pPr>
      <w:r>
        <w:rPr>
          <w:rFonts w:ascii="Times New Roman" w:cs="Times New Roman" w:eastAsia="Times New Roman" w:hAnsi="Times New Roman"/>
          <w:sz w:val="18"/>
          <w:szCs w:val="18"/>
          <w:color w:val="auto"/>
        </w:rPr>
        <w:t>The following lease expense is recorded within cost of sales for the Asia sourcing office and within selling, general, and administrative expenses for all other leases, including retail store leases, in the Company's Consolidated Statements of Operations for the fiscal years ended January 31, 2026, February 1, 2025, and February 3, 2024 (in thousands):</w:t>
      </w:r>
    </w:p>
    <w:p>
      <w:pPr>
        <w:spacing w:after="0" w:line="75"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Fifty-Two Weeks Ended</w:t>
            </w:r>
          </w:p>
        </w:tc>
        <w:tc>
          <w:tcPr>
            <w:tcW w:w="200" w:type="dxa"/>
            <w:vAlign w:val="bottom"/>
          </w:tcPr>
          <w:p>
            <w:pPr>
              <w:spacing w:after="0"/>
              <w:rPr>
                <w:sz w:val="16"/>
                <w:szCs w:val="16"/>
                <w:color w:val="auto"/>
              </w:rPr>
            </w:pPr>
          </w:p>
        </w:tc>
        <w:tc>
          <w:tcPr>
            <w:tcW w:w="1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Fifty-Two Weeks Ended</w:t>
            </w:r>
          </w:p>
        </w:tc>
        <w:tc>
          <w:tcPr>
            <w:tcW w:w="160" w:type="dxa"/>
            <w:vAlign w:val="bottom"/>
          </w:tcPr>
          <w:p>
            <w:pPr>
              <w:spacing w:after="0"/>
              <w:rPr>
                <w:sz w:val="16"/>
                <w:szCs w:val="16"/>
                <w:color w:val="auto"/>
              </w:rPr>
            </w:pPr>
          </w:p>
        </w:tc>
        <w:tc>
          <w:tcPr>
            <w:tcW w:w="18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Fifty-Three Weeks Ended</w:t>
            </w: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200" w:type="dxa"/>
            <w:vAlign w:val="bottom"/>
          </w:tcPr>
          <w:p>
            <w:pPr>
              <w:spacing w:after="0"/>
              <w:rPr>
                <w:sz w:val="16"/>
                <w:szCs w:val="16"/>
                <w:color w:val="auto"/>
              </w:rPr>
            </w:pPr>
          </w:p>
        </w:tc>
        <w:tc>
          <w:tcPr>
            <w:tcW w:w="1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60" w:type="dxa"/>
            <w:vAlign w:val="bottom"/>
          </w:tcPr>
          <w:p>
            <w:pPr>
              <w:spacing w:after="0"/>
              <w:rPr>
                <w:sz w:val="16"/>
                <w:szCs w:val="16"/>
                <w:color w:val="auto"/>
              </w:rPr>
            </w:pPr>
          </w:p>
        </w:tc>
        <w:tc>
          <w:tcPr>
            <w:tcW w:w="18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0" w:type="dxa"/>
            <w:vAlign w:val="bottom"/>
          </w:tcPr>
          <w:p>
            <w:pPr>
              <w:spacing w:after="0"/>
              <w:rPr>
                <w:sz w:val="1"/>
                <w:szCs w:val="1"/>
                <w:color w:val="auto"/>
              </w:rPr>
            </w:pPr>
          </w:p>
        </w:tc>
      </w:tr>
      <w:tr>
        <w:trPr>
          <w:trHeight w:val="229"/>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24,926</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Sublease income </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 Related to the sublease of a former Company location.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2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weighted-average remaining lease term as of January 31, 2026 and February 1, 2025 was 4.0 years and 4.7 years, respectively.</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operating cash flow information was as follows (in thousands):</w:t>
      </w:r>
    </w:p>
    <w:p>
      <w:pPr>
        <w:spacing w:after="0" w:line="138"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Fifty-Two Weeks Ended</w:t>
            </w:r>
          </w:p>
        </w:tc>
        <w:tc>
          <w:tcPr>
            <w:tcW w:w="220" w:type="dxa"/>
            <w:vAlign w:val="bottom"/>
          </w:tcPr>
          <w:p>
            <w:pPr>
              <w:spacing w:after="0"/>
              <w:rPr>
                <w:sz w:val="16"/>
                <w:szCs w:val="16"/>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Fifty-Two Weeks Ended</w:t>
            </w:r>
          </w:p>
        </w:tc>
        <w:tc>
          <w:tcPr>
            <w:tcW w:w="180" w:type="dxa"/>
            <w:vAlign w:val="bottom"/>
          </w:tcPr>
          <w:p>
            <w:pPr>
              <w:spacing w:after="0"/>
              <w:rPr>
                <w:sz w:val="16"/>
                <w:szCs w:val="16"/>
                <w:color w:val="auto"/>
              </w:rPr>
            </w:pPr>
          </w:p>
        </w:tc>
        <w:tc>
          <w:tcPr>
            <w:tcW w:w="19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Fifty-Three Weeks Ended</w:t>
            </w:r>
          </w:p>
        </w:tc>
      </w:tr>
      <w:tr>
        <w:trPr>
          <w:trHeight w:val="23"/>
        </w:trPr>
        <w:tc>
          <w:tcPr>
            <w:tcW w:w="4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190"/>
        </w:trPr>
        <w:tc>
          <w:tcPr>
            <w:tcW w:w="4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220" w:type="dxa"/>
            <w:vAlign w:val="bottom"/>
          </w:tcPr>
          <w:p>
            <w:pPr>
              <w:spacing w:after="0"/>
              <w:rPr>
                <w:sz w:val="16"/>
                <w:szCs w:val="16"/>
                <w:color w:val="auto"/>
              </w:rPr>
            </w:pPr>
          </w:p>
        </w:tc>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80" w:type="dxa"/>
            <w:vAlign w:val="bottom"/>
          </w:tcPr>
          <w:p>
            <w:pPr>
              <w:spacing w:after="0"/>
              <w:rPr>
                <w:sz w:val="16"/>
                <w:szCs w:val="16"/>
                <w:color w:val="auto"/>
              </w:rPr>
            </w:pPr>
          </w:p>
        </w:tc>
        <w:tc>
          <w:tcPr>
            <w:tcW w:w="19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February 3, 2024</w:t>
            </w:r>
          </w:p>
        </w:tc>
      </w:tr>
      <w:tr>
        <w:trPr>
          <w:trHeight w:val="162"/>
        </w:trPr>
        <w:tc>
          <w:tcPr>
            <w:tcW w:w="436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200" w:type="dxa"/>
            <w:vAlign w:val="bottom"/>
            <w:tcBorders>
              <w:top w:val="single" w:sz="8" w:color="auto"/>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spacing w:after="0"/>
              <w:rPr>
                <w:sz w:val="14"/>
                <w:szCs w:val="14"/>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28,565</w:t>
            </w:r>
          </w:p>
        </w:tc>
      </w:tr>
      <w:tr>
        <w:trPr>
          <w:trHeight w:val="175"/>
        </w:trPr>
        <w:tc>
          <w:tcPr>
            <w:tcW w:w="4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Right-of-use assets increase as a result of new and modified</w:t>
            </w: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58"/>
        </w:trPr>
        <w:tc>
          <w:tcPr>
            <w:tcW w:w="4360" w:type="dxa"/>
            <w:vAlign w:val="bottom"/>
          </w:tcPr>
          <w:p>
            <w:pPr>
              <w:ind w:left="20"/>
              <w:spacing w:after="0" w:line="258" w:lineRule="exact"/>
              <w:rPr>
                <w:sz w:val="20"/>
                <w:szCs w:val="20"/>
                <w:color w:val="auto"/>
              </w:rPr>
            </w:pPr>
            <w:r>
              <w:rPr>
                <w:rFonts w:ascii="Times New Roman" w:cs="Times New Roman" w:eastAsia="Times New Roman" w:hAnsi="Times New Roman"/>
                <w:sz w:val="18"/>
                <w:szCs w:val="18"/>
                <w:color w:val="auto"/>
              </w:rPr>
              <w:t xml:space="preserve">operating lease liabilities, net </w:t>
            </w:r>
            <w:r>
              <w:rPr>
                <w:rFonts w:ascii="Times New Roman" w:cs="Times New Roman" w:eastAsia="Times New Roman" w:hAnsi="Times New Roman"/>
                <w:sz w:val="23"/>
                <w:szCs w:val="23"/>
                <w:color w:val="auto"/>
                <w:vertAlign w:val="superscript"/>
              </w:rPr>
              <w:t>(1)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8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9,858</w:t>
            </w:r>
          </w:p>
        </w:tc>
      </w:tr>
    </w:tbl>
    <w:p>
      <w:pPr>
        <w:ind w:left="360" w:right="100" w:hanging="10"/>
        <w:spacing w:after="0" w:line="226" w:lineRule="auto"/>
        <w:tabs>
          <w:tab w:leader="none" w:pos="6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million of lease liabilities were recorded within accounts payable on the Company's Consolidated Balance Sheets as of January 31, 2026, and were subsequently paid in the first quarter of fiscal 2027.</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Maturity Analysis of Operating Lease Liabilities</w:t>
      </w:r>
    </w:p>
    <w:p>
      <w:pPr>
        <w:spacing w:after="0" w:line="108" w:lineRule="exact"/>
        <w:rPr>
          <w:sz w:val="20"/>
          <w:szCs w:val="20"/>
          <w:color w:val="auto"/>
        </w:rPr>
      </w:pPr>
    </w:p>
    <w:p>
      <w:pPr>
        <w:ind w:left="340" w:right="600"/>
        <w:spacing w:after="0" w:line="282" w:lineRule="auto"/>
        <w:rPr>
          <w:sz w:val="20"/>
          <w:szCs w:val="20"/>
          <w:color w:val="auto"/>
        </w:rPr>
      </w:pPr>
      <w:r>
        <w:rPr>
          <w:rFonts w:ascii="Times New Roman" w:cs="Times New Roman" w:eastAsia="Times New Roman" w:hAnsi="Times New Roman"/>
          <w:sz w:val="18"/>
          <w:szCs w:val="18"/>
          <w:color w:val="auto"/>
        </w:rPr>
        <w:t>Maturities of the Company's operating lease liabilities (undiscounted) reconciled to its lease liability as of January 31, 2026 were as follows (in thousands):</w:t>
      </w:r>
    </w:p>
    <w:p>
      <w:pPr>
        <w:spacing w:after="0" w:line="74"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8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8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3"/>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21,735</w:t>
            </w:r>
          </w:p>
        </w:tc>
      </w:tr>
      <w:tr>
        <w:trPr>
          <w:trHeight w:val="229"/>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20,403</w:t>
            </w:r>
          </w:p>
        </w:tc>
      </w:tr>
      <w:tr>
        <w:trPr>
          <w:trHeight w:val="23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16,205</w:t>
            </w:r>
          </w:p>
        </w:tc>
      </w:tr>
      <w:tr>
        <w:trPr>
          <w:trHeight w:val="230"/>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w:t>
            </w:r>
          </w:p>
        </w:tc>
      </w:tr>
      <w:tr>
        <w:trPr>
          <w:trHeight w:val="23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2031</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w:t>
            </w:r>
          </w:p>
        </w:tc>
      </w:tr>
      <w:tr>
        <w:trPr>
          <w:trHeight w:val="230"/>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5,727</w:t>
            </w:r>
          </w:p>
        </w:tc>
      </w:tr>
      <w:tr>
        <w:trPr>
          <w:trHeight w:val="223"/>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remaining obligations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78,222</w:t>
            </w:r>
          </w:p>
        </w:tc>
      </w:tr>
      <w:tr>
        <w:trPr>
          <w:trHeight w:val="229"/>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(7,689)</w:t>
            </w:r>
          </w:p>
        </w:tc>
      </w:tr>
      <w:tr>
        <w:trPr>
          <w:trHeight w:val="248"/>
        </w:trPr>
        <w:tc>
          <w:tcPr>
            <w:tcW w:w="8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70,533</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(in thousands):</w:t>
      </w:r>
    </w:p>
    <w:p>
      <w:pPr>
        <w:spacing w:after="0" w:line="31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20" w:type="dxa"/>
            <w:vAlign w:val="bottom"/>
          </w:tcPr>
          <w:p>
            <w:pPr>
              <w:spacing w:after="0"/>
              <w:rPr>
                <w:sz w:val="13"/>
                <w:szCs w:val="13"/>
                <w:color w:val="auto"/>
              </w:rPr>
            </w:pPr>
          </w:p>
        </w:tc>
        <w:tc>
          <w:tcPr>
            <w:tcW w:w="11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96"/>
        </w:trPr>
        <w:tc>
          <w:tcPr>
            <w:tcW w:w="80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46,203</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leasehold improvements, computer equipment and software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83,436</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vehicles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23"/>
        </w:trPr>
        <w:tc>
          <w:tcPr>
            <w:tcW w:w="8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165,368</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(112,813)</w:t>
            </w:r>
          </w:p>
        </w:tc>
      </w:tr>
      <w:tr>
        <w:trPr>
          <w:trHeight w:val="223"/>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46,358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52,555</w:t>
            </w:r>
          </w:p>
        </w:tc>
      </w:tr>
      <w:tr>
        <w:trPr>
          <w:trHeight w:val="20"/>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 associated with property, plant, and equipment, excluding impairment charges (in thousands):</w:t>
      </w:r>
    </w:p>
    <w:p>
      <w:pPr>
        <w:spacing w:after="0" w:line="33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31, 2026</w:t>
            </w:r>
          </w:p>
        </w:tc>
        <w:tc>
          <w:tcPr>
            <w:tcW w:w="39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7,679</w:t>
            </w: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ended February 1, 2025</w:t>
            </w:r>
          </w:p>
        </w:tc>
        <w:tc>
          <w:tcPr>
            <w:tcW w:w="39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7,995</w:t>
            </w: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February 3, 2024</w:t>
            </w:r>
          </w:p>
        </w:tc>
        <w:tc>
          <w:tcPr>
            <w:tcW w:w="39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7,445</w:t>
            </w:r>
          </w:p>
        </w:tc>
      </w:tr>
    </w:tbl>
    <w:p>
      <w:pPr>
        <w:spacing w:after="0" w:line="288"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9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January 31, 2026 and February 1, 2025, the Company had no borrowings outstanding under its Credit Agreement and availability of</w:t>
      </w:r>
    </w:p>
    <w:p>
      <w:pPr>
        <w:spacing w:after="0" w:line="27" w:lineRule="exact"/>
        <w:rPr>
          <w:rFonts w:ascii="Times New Roman" w:cs="Times New Roman" w:eastAsia="Times New Roman" w:hAnsi="Times New Roman"/>
          <w:sz w:val="18"/>
          <w:szCs w:val="18"/>
          <w:b w:val="1"/>
          <w:bCs w:val="1"/>
          <w:color w:val="auto"/>
        </w:rPr>
      </w:pPr>
    </w:p>
    <w:p>
      <w:pPr>
        <w:ind w:left="340" w:right="2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$58.6 million and $75.0 million, respectively. Availability under the Credit Agreement is driven by a borrowing base comprised primarily of eligible accounts receivable and inventory, each subject to advance rates, eligibility criteria, and applicable reserves. As a result, borrowing capacity may fluctuate based on the level and quality of receivables and the composition and valuation of inventory.</w:t>
      </w:r>
    </w:p>
    <w:p>
      <w:pPr>
        <w:spacing w:after="0" w:line="22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Credit Agreement</w:t>
      </w:r>
    </w:p>
    <w:p>
      <w:pPr>
        <w:spacing w:after="0" w:line="105" w:lineRule="exact"/>
        <w:rPr>
          <w:rFonts w:ascii="Times New Roman" w:cs="Times New Roman" w:eastAsia="Times New Roman" w:hAnsi="Times New Roman"/>
          <w:sz w:val="18"/>
          <w:szCs w:val="18"/>
          <w:b w:val="1"/>
          <w:bCs w:val="1"/>
          <w:color w:val="auto"/>
        </w:rPr>
      </w:pPr>
    </w:p>
    <w:p>
      <w:pPr>
        <w:ind w:left="34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On August 3, 2023, certain subsidiaries of the Company, JP Morgan Chase Bank, N.A., as the administrative agent, and lenders from time to time party thereto, entered into a Third Amendment (the “Third Amendment”) to the Credit Agreement dated September 7, 2018.</w:t>
      </w:r>
    </w:p>
    <w:p>
      <w:pPr>
        <w:spacing w:after="0" w:line="44" w:lineRule="exact"/>
        <w:rPr>
          <w:rFonts w:ascii="Times New Roman" w:cs="Times New Roman" w:eastAsia="Times New Roman" w:hAnsi="Times New Roman"/>
          <w:sz w:val="18"/>
          <w:szCs w:val="18"/>
          <w:b w:val="1"/>
          <w:bCs w:val="1"/>
          <w:color w:val="auto"/>
        </w:rPr>
      </w:pPr>
    </w:p>
    <w:p>
      <w:pPr>
        <w:ind w:left="340" w:right="1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Vera Bradley Sales, LLC, and Creative Genius, LLC (collectively, the “Named Subsidiaries”). The Credit Agreement also contains an option for VBD to arrange with lenders to increase the aggregate principal amount by up to $50.0 million.</w:t>
      </w:r>
    </w:p>
    <w:p>
      <w:pPr>
        <w:spacing w:after="0" w:line="61" w:lineRule="exact"/>
        <w:rPr>
          <w:rFonts w:ascii="Times New Roman" w:cs="Times New Roman" w:eastAsia="Times New Roman" w:hAnsi="Times New Roman"/>
          <w:sz w:val="18"/>
          <w:szCs w:val="18"/>
          <w:b w:val="1"/>
          <w:bCs w:val="1"/>
          <w:color w:val="auto"/>
        </w:rPr>
      </w:pPr>
    </w:p>
    <w:p>
      <w:pPr>
        <w:ind w:left="340" w:right="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Amounts outstanding under the Credit Agreement bear interest at a per annum rate equal to (i) for CBFR borrowings (including swingline loans), the CB Floating Rate, where the CB Floating Rate is the greater of the prime rate or 2.5%, plus the Applicable Rate, where the Applicable Rate is a percentage spread ranging from -1.25% to -1.50%, (ii) for each Term Benchmark Borrowing, the Adjusted Term SOFR Rate, where the Adjusted Term SOFR Rate is the Term SOFR rate for such interest period plus 0.10% for the interest period in effect for such borrowing, plus the Applicable Rate, where the Applicable Rate is a percentage ranging from 1.25% to 1.50%, or (iii) for RFR Loans, the Adjusted Daily Simple SOFR Rate, where the adjusted Daily Simple SOFR Rate is equal to the Daily Simple SOFR plus 0.10%, plus the Applicable Rate, where the Applicable Rate is a percentage ranging from 1.25% to 1.50% The applicable CB Floating Rate, Adjusted Term SOFR Rate, Term SOFR Rate, Daily Simple SOFR, and Adjusted Daily Simple SOFR shall be determined by the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administrative agent. The Credit Agreement also requires VBD to pay a commitment fee for the unused portion of the revolving facility of up to 0.30% per annum.</w:t>
      </w:r>
    </w:p>
    <w:p>
      <w:pPr>
        <w:spacing w:after="0" w:line="27" w:lineRule="exact"/>
        <w:rPr>
          <w:sz w:val="20"/>
          <w:szCs w:val="20"/>
          <w:color w:val="auto"/>
        </w:rPr>
      </w:pPr>
    </w:p>
    <w:p>
      <w:pPr>
        <w:ind w:left="340" w:right="60"/>
        <w:spacing w:after="0" w:line="266" w:lineRule="auto"/>
        <w:rPr>
          <w:sz w:val="20"/>
          <w:szCs w:val="20"/>
          <w:color w:val="auto"/>
        </w:rPr>
      </w:pPr>
      <w:r>
        <w:rPr>
          <w:rFonts w:ascii="Times New Roman" w:cs="Times New Roman" w:eastAsia="Times New Roman" w:hAnsi="Times New Roman"/>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54" w:lineRule="exact"/>
        <w:rPr>
          <w:sz w:val="20"/>
          <w:szCs w:val="20"/>
          <w:color w:val="auto"/>
        </w:rPr>
      </w:pPr>
    </w:p>
    <w:p>
      <w:pPr>
        <w:ind w:left="340" w:right="160"/>
        <w:spacing w:after="0" w:line="258" w:lineRule="auto"/>
        <w:rPr>
          <w:sz w:val="20"/>
          <w:szCs w:val="20"/>
          <w:color w:val="auto"/>
        </w:rPr>
      </w:pPr>
      <w:r>
        <w:rPr>
          <w:rFonts w:ascii="Times New Roman" w:cs="Times New Roman" w:eastAsia="Times New Roman" w:hAnsi="Times New Roman"/>
          <w:sz w:val="18"/>
          <w:szCs w:val="18"/>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w:t>
      </w:r>
    </w:p>
    <w:p>
      <w:pPr>
        <w:spacing w:after="0" w:line="62" w:lineRule="exact"/>
        <w:rPr>
          <w:sz w:val="20"/>
          <w:szCs w:val="20"/>
          <w:color w:val="auto"/>
        </w:rPr>
      </w:pPr>
    </w:p>
    <w:p>
      <w:pPr>
        <w:ind w:left="340" w:right="60"/>
        <w:spacing w:after="0" w:line="261" w:lineRule="auto"/>
        <w:rPr>
          <w:sz w:val="20"/>
          <w:szCs w:val="20"/>
          <w:color w:val="auto"/>
        </w:rPr>
      </w:pPr>
      <w:r>
        <w:rPr>
          <w:rFonts w:ascii="Times New Roman" w:cs="Times New Roman" w:eastAsia="Times New Roman" w:hAnsi="Times New Roman"/>
          <w:sz w:val="18"/>
          <w:szCs w:val="18"/>
          <w:color w:val="auto"/>
        </w:rPr>
        <w:t>The Credit Agreement also requires the loan parties, as defined in the Credit Agreement, to maintain a minimum fixed charge coverage ratio of 1.00 to 1.00 during periods when borrowing availability is less than the greater of (A) $9.4 million, and (B) 12.5% of the lesser of (i) the aggregate revolving commitment, and (ii) the borrowing base. The fixed charge coverage ratio, availability, aggregate revolving commitment, and the borrowing base are further defined in the Credit Agreement.</w:t>
      </w:r>
    </w:p>
    <w:p>
      <w:pPr>
        <w:spacing w:after="0" w:line="45" w:lineRule="exact"/>
        <w:rPr>
          <w:sz w:val="20"/>
          <w:szCs w:val="20"/>
          <w:color w:val="auto"/>
        </w:rPr>
      </w:pPr>
    </w:p>
    <w:p>
      <w:pPr>
        <w:ind w:left="340" w:right="40"/>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 (v) 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62" w:lineRule="exact"/>
        <w:rPr>
          <w:sz w:val="20"/>
          <w:szCs w:val="20"/>
          <w:color w:val="auto"/>
        </w:rPr>
      </w:pPr>
    </w:p>
    <w:p>
      <w:pPr>
        <w:ind w:left="340" w:right="40"/>
        <w:spacing w:after="0" w:line="261" w:lineRule="auto"/>
        <w:rPr>
          <w:sz w:val="20"/>
          <w:szCs w:val="20"/>
          <w:color w:val="auto"/>
        </w:rPr>
      </w:pPr>
      <w:r>
        <w:rPr>
          <w:rFonts w:ascii="Times New Roman" w:cs="Times New Roman" w:eastAsia="Times New Roman" w:hAnsi="Times New Roman"/>
          <w:sz w:val="18"/>
          <w:szCs w:val="18"/>
          <w:color w:val="auto"/>
        </w:rPr>
        <w:t>On October 21, 2025, VBD amended the agreement to include, among other things: (i) permit the sale of certain real property assets without requiring the application of the proceeds from such sale to be used to repay amounts outstanding under the Credit Agreement, (ii) remove the prohibition against sale and leaseback transactions and (iii) increase the amount of Company assets permitted to be disposed of in any fiscal year outside the ordinary course of business from $5,000,000 to $10,000,000.</w:t>
      </w:r>
    </w:p>
    <w:p>
      <w:pPr>
        <w:spacing w:after="0" w:line="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Credit Agreement matures in May 2028.</w:t>
      </w:r>
    </w:p>
    <w:p>
      <w:pPr>
        <w:spacing w:after="0" w:line="329"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0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the income tax expense were as follows (in thousands):</w:t>
      </w:r>
    </w:p>
    <w:p>
      <w:pPr>
        <w:spacing w:after="0" w:line="31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20" w:type="dxa"/>
            <w:vAlign w:val="bottom"/>
          </w:tcPr>
          <w:p>
            <w:pPr>
              <w:spacing w:after="0"/>
              <w:rPr>
                <w:sz w:val="13"/>
                <w:szCs w:val="13"/>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20" w:type="dxa"/>
            <w:vAlign w:val="bottom"/>
          </w:tcPr>
          <w:p>
            <w:pPr>
              <w:spacing w:after="0"/>
              <w:rPr>
                <w:sz w:val="13"/>
                <w:szCs w:val="13"/>
                <w:color w:val="auto"/>
              </w:rPr>
            </w:pPr>
          </w:p>
        </w:tc>
        <w:tc>
          <w:tcPr>
            <w:tcW w:w="11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5"/>
        </w:trPr>
        <w:tc>
          <w:tcPr>
            <w:tcW w:w="65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5"/>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29"/>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30"/>
        </w:trPr>
        <w:tc>
          <w:tcPr>
            <w:tcW w:w="6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23"/>
        </w:trPr>
        <w:tc>
          <w:tcPr>
            <w:tcW w:w="6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r>
      <w:tr>
        <w:trPr>
          <w:trHeight w:val="230"/>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23"/>
        </w:trPr>
        <w:tc>
          <w:tcPr>
            <w:tcW w:w="65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w:t>
            </w: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3,682</w:t>
            </w: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breakdown of the Company’s (loss) income from continuing operations before income taxes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20" w:type="dxa"/>
            <w:vAlign w:val="bottom"/>
          </w:tcPr>
          <w:p>
            <w:pPr>
              <w:spacing w:after="0"/>
              <w:rPr>
                <w:sz w:val="13"/>
                <w:szCs w:val="13"/>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20" w:type="dxa"/>
            <w:vAlign w:val="bottom"/>
          </w:tcPr>
          <w:p>
            <w:pPr>
              <w:spacing w:after="0"/>
              <w:rPr>
                <w:sz w:val="13"/>
                <w:szCs w:val="13"/>
                <w:color w:val="auto"/>
              </w:rPr>
            </w:pPr>
          </w:p>
        </w:tc>
        <w:tc>
          <w:tcPr>
            <w:tcW w:w="118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6"/>
        </w:trPr>
        <w:tc>
          <w:tcPr>
            <w:tcW w:w="65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10,105</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w:t>
            </w: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(loss) income from continuing operations before income taxes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12,278</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income tax expense to the amount computed at the federal statutory rate is as follows (in thousands):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gridSpan w:val="3"/>
          </w:tcPr>
          <w:p>
            <w:pPr>
              <w:jc w:val="center"/>
              <w:ind w:left="314"/>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gridSpan w:val="3"/>
          </w:tcPr>
          <w:p>
            <w:pPr>
              <w:jc w:val="center"/>
              <w:ind w:left="314"/>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gridSpan w:val="3"/>
          </w:tcPr>
          <w:p>
            <w:pPr>
              <w:jc w:val="center"/>
              <w:ind w:left="234"/>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700" w:type="dxa"/>
            <w:vAlign w:val="bottom"/>
          </w:tcPr>
          <w:p>
            <w:pPr>
              <w:spacing w:after="0"/>
              <w:rPr>
                <w:sz w:val="13"/>
                <w:szCs w:val="13"/>
                <w:color w:val="auto"/>
              </w:rPr>
            </w:pPr>
          </w:p>
        </w:tc>
      </w:tr>
      <w:tr>
        <w:trPr>
          <w:trHeight w:val="195"/>
        </w:trPr>
        <w:tc>
          <w:tcPr>
            <w:tcW w:w="3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r>
      <w:tr>
        <w:trPr>
          <w:trHeight w:val="228"/>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taxes at statutory rate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175"/>
        </w:trPr>
        <w:tc>
          <w:tcPr>
            <w:tcW w:w="3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State and local income taxes, net of</w:t>
            </w: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43"/>
        </w:trPr>
        <w:tc>
          <w:tcPr>
            <w:tcW w:w="32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federal benefit</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3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Non-taxable and non-deductible items</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permanent items</w:t>
            </w: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r>
      <w:tr>
        <w:trPr>
          <w:trHeight w:val="228"/>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-2540</wp:posOffset>
            </wp:positionV>
            <wp:extent cx="48691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869180" cy="8890"/>
                    </a:xfrm>
                    <a:prstGeom prst="rect">
                      <a:avLst/>
                    </a:prstGeom>
                    <a:noFill/>
                  </pic:spPr>
                </pic:pic>
              </a:graphicData>
            </a:graphic>
          </wp:anchor>
        </w:drawing>
      </w:r>
    </w:p>
    <w:p>
      <w:pPr>
        <w:ind w:left="360" w:right="160" w:hanging="10"/>
        <w:spacing w:after="0" w:line="237" w:lineRule="auto"/>
        <w:tabs>
          <w:tab w:leader="none" w:pos="6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and local jurisdictions that make up the majority (greater than 50%) of the tax effect in this category are North Carolina, Massachusetts, and Texas.</w:t>
      </w:r>
    </w:p>
    <w:p>
      <w:pPr>
        <w:spacing w:after="0" w:line="9"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Non-taxable and non-deductible items primarily relate to non-deductible executive compensation and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-384810</wp:posOffset>
            </wp:positionV>
            <wp:extent cx="48691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3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income taxes paid, net of refunds, were as follows for the fiscal year ended January 31, 2026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January 31,</w:t>
            </w:r>
          </w:p>
        </w:tc>
      </w:tr>
      <w:tr>
        <w:trPr>
          <w:trHeight w:val="196"/>
        </w:trPr>
        <w:tc>
          <w:tcPr>
            <w:tcW w:w="340" w:type="dxa"/>
            <w:vAlign w:val="bottom"/>
          </w:tcPr>
          <w:p>
            <w:pPr>
              <w:spacing w:after="0"/>
              <w:rPr>
                <w:sz w:val="17"/>
                <w:szCs w:val="17"/>
                <w:color w:val="auto"/>
              </w:rPr>
            </w:pPr>
          </w:p>
        </w:tc>
        <w:tc>
          <w:tcPr>
            <w:tcW w:w="3640" w:type="dxa"/>
            <w:vAlign w:val="bottom"/>
            <w:tcBorders>
              <w:bottom w:val="single" w:sz="8" w:color="CCEEFF"/>
            </w:tcBorders>
          </w:tcPr>
          <w:p>
            <w:pPr>
              <w:spacing w:after="0"/>
              <w:rPr>
                <w:sz w:val="17"/>
                <w:szCs w:val="17"/>
                <w:color w:val="auto"/>
              </w:rPr>
            </w:pPr>
          </w:p>
        </w:tc>
        <w:tc>
          <w:tcPr>
            <w:tcW w:w="54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Jurisdiction:</w:t>
            </w:r>
          </w:p>
        </w:tc>
        <w:tc>
          <w:tcPr>
            <w:tcW w:w="5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r>
      <w:tr>
        <w:trPr>
          <w:trHeight w:val="229"/>
        </w:trPr>
        <w:tc>
          <w:tcPr>
            <w:tcW w:w="340" w:type="dxa"/>
            <w:vAlign w:val="bottom"/>
          </w:tcPr>
          <w:p>
            <w:pPr>
              <w:spacing w:after="0"/>
              <w:rPr>
                <w:sz w:val="19"/>
                <w:szCs w:val="19"/>
                <w:color w:val="auto"/>
              </w:rPr>
            </w:pP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5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center"/>
              <w:ind w:left="796"/>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5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756"/>
              <w:spacing w:after="0"/>
              <w:rPr>
                <w:sz w:val="20"/>
                <w:szCs w:val="20"/>
                <w:color w:val="auto"/>
              </w:rPr>
            </w:pPr>
            <w:r>
              <w:rPr>
                <w:rFonts w:ascii="Times New Roman" w:cs="Times New Roman" w:eastAsia="Times New Roman" w:hAnsi="Times New Roman"/>
                <w:sz w:val="18"/>
                <w:szCs w:val="18"/>
                <w:color w:val="auto"/>
                <w:w w:val="99"/>
              </w:rPr>
              <w:t>(20)</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3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54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796"/>
              <w:spacing w:after="0"/>
              <w:rPr>
                <w:sz w:val="20"/>
                <w:szCs w:val="20"/>
                <w:color w:val="auto"/>
              </w:rPr>
            </w:pPr>
            <w:r>
              <w:rPr>
                <w:rFonts w:ascii="Times New Roman" w:cs="Times New Roman" w:eastAsia="Times New Roman" w:hAnsi="Times New Roman"/>
                <w:sz w:val="18"/>
                <w:szCs w:val="18"/>
                <w:color w:val="auto"/>
                <w:w w:val="99"/>
              </w:rPr>
              <w:t>85</w:t>
            </w:r>
          </w:p>
        </w:tc>
        <w:tc>
          <w:tcPr>
            <w:tcW w:w="40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income taxes paid</w:t>
            </w:r>
          </w:p>
        </w:tc>
        <w:tc>
          <w:tcPr>
            <w:tcW w:w="54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796"/>
              <w:spacing w:after="0"/>
              <w:rPr>
                <w:sz w:val="20"/>
                <w:szCs w:val="20"/>
                <w:color w:val="auto"/>
              </w:rPr>
            </w:pPr>
            <w:r>
              <w:rPr>
                <w:rFonts w:ascii="Times New Roman" w:cs="Times New Roman" w:eastAsia="Times New Roman" w:hAnsi="Times New Roman"/>
                <w:sz w:val="18"/>
                <w:szCs w:val="18"/>
                <w:color w:val="auto"/>
                <w:w w:val="99"/>
              </w:rPr>
              <w:t>65</w:t>
            </w:r>
          </w:p>
        </w:tc>
        <w:tc>
          <w:tcPr>
            <w:tcW w:w="400" w:type="dxa"/>
            <w:vAlign w:val="bottom"/>
          </w:tcPr>
          <w:p>
            <w:pPr>
              <w:spacing w:after="0"/>
              <w:rPr>
                <w:sz w:val="19"/>
                <w:szCs w:val="19"/>
                <w:color w:val="auto"/>
              </w:rPr>
            </w:pPr>
          </w:p>
        </w:tc>
      </w:tr>
      <w:tr>
        <w:trPr>
          <w:trHeight w:val="891"/>
        </w:trPr>
        <w:tc>
          <w:tcPr>
            <w:tcW w:w="3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460" w:type="dxa"/>
            <w:vAlign w:val="bottom"/>
          </w:tcPr>
          <w:p>
            <w:pPr>
              <w:jc w:val="right"/>
              <w:ind w:right="3630"/>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5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income taxes paid to individual jurisdictions that represent more than 5% of total cash income taxes paid are disclosed separately below:</w:t>
      </w:r>
    </w:p>
    <w:p>
      <w:pPr>
        <w:spacing w:after="0" w:line="27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9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January 31,</w:t>
            </w:r>
          </w:p>
        </w:tc>
      </w:tr>
      <w:tr>
        <w:trPr>
          <w:trHeight w:val="195"/>
        </w:trPr>
        <w:tc>
          <w:tcPr>
            <w:tcW w:w="9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14"/>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Alabama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California</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Florida</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Louisiana</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New York</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North Carolina</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Pennsylvania</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Tennessee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9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Texas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0"/>
        </w:trPr>
        <w:tc>
          <w:tcPr>
            <w:tcW w:w="9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0"/>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9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Hong Kong</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48"/>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right="760"/>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book and tax bases of assets and liabilities. Significant components of deferred tax assets and liabilities were as follows (in thousands):</w:t>
      </w:r>
    </w:p>
    <w:p>
      <w:pPr>
        <w:spacing w:after="0" w:line="29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20" w:type="dxa"/>
            <w:vAlign w:val="bottom"/>
          </w:tcPr>
          <w:p>
            <w:pPr>
              <w:spacing w:after="0"/>
              <w:rPr>
                <w:sz w:val="13"/>
                <w:szCs w:val="13"/>
                <w:color w:val="auto"/>
              </w:rPr>
            </w:pPr>
          </w:p>
        </w:tc>
        <w:tc>
          <w:tcPr>
            <w:tcW w:w="11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95"/>
        </w:trPr>
        <w:tc>
          <w:tcPr>
            <w:tcW w:w="80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23,790</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w:t>
            </w:r>
          </w:p>
        </w:tc>
      </w:tr>
      <w:tr>
        <w:trPr>
          <w:trHeight w:val="229"/>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 deferred tax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34,987</w:t>
            </w:r>
          </w:p>
        </w:tc>
      </w:tr>
      <w:tr>
        <w:trPr>
          <w:trHeight w:val="229"/>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(39,677)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(11,108)</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23,879</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(20,187)</w:t>
            </w: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(23,879)</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considered both positive and negative evidence to determine whether it was more likely than not that some, or all, of the deferred tax</w:t>
      </w:r>
    </w:p>
    <w:p>
      <w:pPr>
        <w:spacing w:after="0" w:line="27" w:lineRule="exact"/>
        <w:rPr>
          <w:sz w:val="20"/>
          <w:szCs w:val="20"/>
          <w:color w:val="auto"/>
        </w:rPr>
      </w:pPr>
    </w:p>
    <w:p>
      <w:pPr>
        <w:ind w:left="340" w:right="60"/>
        <w:spacing w:after="0" w:line="257" w:lineRule="auto"/>
        <w:rPr>
          <w:sz w:val="20"/>
          <w:szCs w:val="20"/>
          <w:color w:val="auto"/>
        </w:rPr>
      </w:pPr>
      <w:r>
        <w:rPr>
          <w:rFonts w:ascii="Times New Roman" w:cs="Times New Roman" w:eastAsia="Times New Roman" w:hAnsi="Times New Roman"/>
          <w:sz w:val="18"/>
          <w:szCs w:val="18"/>
          <w:color w:val="auto"/>
        </w:rPr>
        <w:t xml:space="preserve">assets would not be realized in its valuation allowance assessment. Based on this assessment, </w:t>
      </w:r>
      <w:r>
        <w:rPr>
          <w:rFonts w:ascii="Times New Roman" w:cs="Times New Roman" w:eastAsia="Times New Roman" w:hAnsi="Times New Roman"/>
          <w:sz w:val="21"/>
          <w:szCs w:val="21"/>
          <w:color w:val="auto"/>
        </w:rPr>
        <w:t>t</w:t>
      </w:r>
      <w:r>
        <w:rPr>
          <w:rFonts w:ascii="Times New Roman" w:cs="Times New Roman" w:eastAsia="Times New Roman" w:hAnsi="Times New Roman"/>
          <w:sz w:val="18"/>
          <w:szCs w:val="18"/>
          <w:color w:val="auto"/>
        </w:rPr>
        <w:t>he Company recorded a full valuation allowance against its net deferred tax assets as of February 1, 2025. The Company continues to maintain a full valuation allowance as of January 31, 2026, based on the weight of available evidence.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79" w:lineRule="exact"/>
        <w:rPr>
          <w:sz w:val="20"/>
          <w:szCs w:val="20"/>
          <w:color w:val="auto"/>
        </w:rPr>
      </w:pPr>
    </w:p>
    <w:p>
      <w:pPr>
        <w:jc w:val="both"/>
        <w:ind w:left="340" w:right="380"/>
        <w:spacing w:after="0" w:line="266" w:lineRule="auto"/>
        <w:rPr>
          <w:sz w:val="20"/>
          <w:szCs w:val="20"/>
          <w:color w:val="auto"/>
        </w:rPr>
      </w:pPr>
      <w:r>
        <w:rPr>
          <w:rFonts w:ascii="Times New Roman" w:cs="Times New Roman" w:eastAsia="Times New Roman" w:hAnsi="Times New Roman"/>
          <w:sz w:val="18"/>
          <w:szCs w:val="18"/>
          <w:color w:val="auto"/>
        </w:rPr>
        <w:t>There was an immaterial amount of total unrecognized tax benefits, net of federal benefit, for the fiscal years ended January 31, 2026, February 1, 2025, and February 3, 2024, respectively. Unrecognized tax benefits are included within other long-term liabilities in the Company's Consolidated Balance Sheets.</w:t>
      </w:r>
    </w:p>
    <w:p>
      <w:pPr>
        <w:spacing w:after="0" w:line="122"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various U.S. state and foreign jurisdictions. The Company is subject to U.S. federal income tax examinations for fiscal years 2023 and forward. With a few exceptions, the Company is subject to audit by various state and foreign taxing authorities for fiscal 2022 through the current fiscal year.</w:t>
      </w:r>
    </w:p>
    <w:p>
      <w:pPr>
        <w:spacing w:after="0" w:line="199"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07" w:lineRule="exact"/>
        <w:rPr>
          <w:rFonts w:ascii="Times New Roman" w:cs="Times New Roman" w:eastAsia="Times New Roman" w:hAnsi="Times New Roman"/>
          <w:sz w:val="18"/>
          <w:szCs w:val="18"/>
          <w:b w:val="1"/>
          <w:bCs w:val="1"/>
          <w:color w:val="auto"/>
        </w:rPr>
      </w:pPr>
    </w:p>
    <w:p>
      <w:pPr>
        <w:ind w:left="340" w:right="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stock-based compensation consists of awards of restricted stock and restricted stock units. The Company recognized stock-based compensation expense of $0.9 million, $3.7 million, and $2.9 million in the fiscal years ended January 31, 2026, February 1, 2025, and February 3, 2024, respectively.</w:t>
      </w:r>
    </w:p>
    <w:p>
      <w:pPr>
        <w:spacing w:after="0" w:line="21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Awards of Restricted-Stock Units</w:t>
      </w:r>
    </w:p>
    <w:p>
      <w:pPr>
        <w:spacing w:after="0" w:line="92" w:lineRule="exact"/>
        <w:rPr>
          <w:rFonts w:ascii="Times New Roman" w:cs="Times New Roman" w:eastAsia="Times New Roman" w:hAnsi="Times New Roman"/>
          <w:sz w:val="18"/>
          <w:szCs w:val="18"/>
          <w:b w:val="1"/>
          <w:bCs w:val="1"/>
          <w:color w:val="auto"/>
        </w:rPr>
      </w:pPr>
    </w:p>
    <w:p>
      <w:pPr>
        <w:ind w:left="340"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reserved 6,000,000 shares of common stock for issuance or transfer under the 2020 Equity and Incentive Plan, which allows for grants of restricted stock units, as well as other equity awards.</w:t>
      </w:r>
    </w:p>
    <w:p>
      <w:pPr>
        <w:spacing w:after="0" w:line="40" w:lineRule="exact"/>
        <w:rPr>
          <w:rFonts w:ascii="Times New Roman" w:cs="Times New Roman" w:eastAsia="Times New Roman" w:hAnsi="Times New Roman"/>
          <w:sz w:val="18"/>
          <w:szCs w:val="18"/>
          <w:b w:val="1"/>
          <w:bCs w:val="1"/>
          <w:color w:val="auto"/>
        </w:rPr>
      </w:pPr>
    </w:p>
    <w:p>
      <w:pPr>
        <w:jc w:val="both"/>
        <w:ind w:left="340" w:right="2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fiscal year ended January 31, 2026, the Company granted a total of 3,516,746 time-based and performance-based restricted stock units to certain employees and non-employee directors under the 2020 Equity and Incentive Plan with an aggregate fair value of $7.4 million. The Company determined the fair value of the units based on the closing price of the Company’s common stock on the grant date.</w:t>
      </w:r>
    </w:p>
    <w:p>
      <w:pPr>
        <w:spacing w:after="0" w:line="54" w:lineRule="exact"/>
        <w:rPr>
          <w:rFonts w:ascii="Times New Roman" w:cs="Times New Roman" w:eastAsia="Times New Roman" w:hAnsi="Times New Roman"/>
          <w:sz w:val="18"/>
          <w:szCs w:val="18"/>
          <w:b w:val="1"/>
          <w:bCs w:val="1"/>
          <w:color w:val="auto"/>
        </w:rPr>
      </w:pPr>
    </w:p>
    <w:p>
      <w:pPr>
        <w:ind w:left="340" w:right="2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majority of time-based restricted stock units vest and settle in shares of the Company’s common stock, on a one-for-one basis, in equal installments on each of the first three anniversaries of the grant date. Restricted stock unit awards issued to non-employee directors vest after a one-year period from the grant date. The Company recognizes the expense relating to these awards, net of estimated forfeitures, on a straight-line basis over the vesting period.</w:t>
      </w:r>
    </w:p>
    <w:p>
      <w:pPr>
        <w:spacing w:after="0" w:line="44" w:lineRule="exact"/>
        <w:rPr>
          <w:rFonts w:ascii="Times New Roman" w:cs="Times New Roman" w:eastAsia="Times New Roman" w:hAnsi="Times New Roman"/>
          <w:sz w:val="18"/>
          <w:szCs w:val="18"/>
          <w:b w:val="1"/>
          <w:bCs w:val="1"/>
          <w:color w:val="auto"/>
        </w:rPr>
      </w:pPr>
    </w:p>
    <w:p>
      <w:pPr>
        <w:ind w:left="340" w:right="40"/>
        <w:spacing w:after="0" w:line="28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majority of performance-based restricted stock units vest upon the completion of a three-year period of time (cliff vesting), subject to the employee’s continuing employment throughout the three-year performance period and the Company’s achievement of annual earnings per share targets, or other Company performance targets, during the three-year performance period. The Company recognizes the expense relating to these units, net of estimated forfeitures and based on the probable outcome of achievement of the financial targets, on a straight-line basis over the vesting period. The following table summarizes information about restricted-stock units as of and for the year ended January 31, 2026 (units in thousands):</w:t>
      </w:r>
    </w:p>
    <w:p>
      <w:pPr>
        <w:spacing w:after="0" w:line="25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820" w:type="dxa"/>
            <w:vAlign w:val="bottom"/>
            <w:gridSpan w:val="3"/>
          </w:tcPr>
          <w:p>
            <w:pPr>
              <w:jc w:val="center"/>
              <w:ind w:left="937"/>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0" w:type="dxa"/>
            <w:vAlign w:val="bottom"/>
          </w:tcPr>
          <w:p>
            <w:pPr>
              <w:spacing w:after="0"/>
              <w:rPr>
                <w:sz w:val="1"/>
                <w:szCs w:val="1"/>
                <w:color w:val="auto"/>
              </w:rPr>
            </w:pPr>
          </w:p>
        </w:tc>
      </w:tr>
      <w:tr>
        <w:trPr>
          <w:trHeight w:val="195"/>
        </w:trPr>
        <w:tc>
          <w:tcPr>
            <w:tcW w:w="5100" w:type="dxa"/>
            <w:vAlign w:val="bottom"/>
          </w:tcPr>
          <w:p>
            <w:pPr>
              <w:spacing w:after="0"/>
              <w:rPr>
                <w:sz w:val="16"/>
                <w:szCs w:val="16"/>
                <w:color w:val="auto"/>
              </w:rPr>
            </w:pPr>
          </w:p>
        </w:tc>
        <w:tc>
          <w:tcPr>
            <w:tcW w:w="29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2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136"/>
        </w:trPr>
        <w:tc>
          <w:tcPr>
            <w:tcW w:w="510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259"/>
              <w:spacing w:after="0" w:line="136"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0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159"/>
              <w:spacing w:after="0" w:line="13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5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39"/>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5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2"/>
          </w:tcPr>
          <w:p>
            <w:pPr>
              <w:jc w:val="center"/>
              <w:ind w:right="440"/>
              <w:spacing w:after="0" w:line="137" w:lineRule="exact"/>
              <w:rPr>
                <w:sz w:val="20"/>
                <w:szCs w:val="20"/>
                <w:color w:val="auto"/>
              </w:rPr>
            </w:pPr>
            <w:r>
              <w:rPr>
                <w:rFonts w:ascii="Times New Roman" w:cs="Times New Roman" w:eastAsia="Times New Roman" w:hAnsi="Times New Roman"/>
                <w:sz w:val="14"/>
                <w:szCs w:val="14"/>
                <w:b w:val="1"/>
                <w:bCs w:val="1"/>
                <w:color w:val="auto"/>
              </w:rPr>
              <w:t>Grant</w:t>
            </w: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39"/>
              <w:spacing w:after="0" w:line="137"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38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38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46"/>
        </w:trPr>
        <w:tc>
          <w:tcPr>
            <w:tcW w:w="51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39"/>
              <w:spacing w:after="0" w:line="146"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8"/>
        </w:trPr>
        <w:tc>
          <w:tcPr>
            <w:tcW w:w="5100" w:type="dxa"/>
            <w:vAlign w:val="bottom"/>
          </w:tcPr>
          <w:p>
            <w:pPr>
              <w:spacing w:after="0"/>
              <w:rPr>
                <w:sz w:val="17"/>
                <w:szCs w:val="17"/>
                <w:color w:val="auto"/>
              </w:rPr>
            </w:pPr>
          </w:p>
        </w:tc>
        <w:tc>
          <w:tcPr>
            <w:tcW w:w="138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38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28"/>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February 1, 2025</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center"/>
              <w:ind w:left="579"/>
              <w:spacing w:after="0"/>
              <w:rPr>
                <w:sz w:val="20"/>
                <w:szCs w:val="20"/>
                <w:color w:val="auto"/>
              </w:rPr>
            </w:pPr>
            <w:r>
              <w:rPr>
                <w:rFonts w:ascii="Times New Roman" w:cs="Times New Roman" w:eastAsia="Times New Roman" w:hAnsi="Times New Roman"/>
                <w:sz w:val="18"/>
                <w:szCs w:val="18"/>
                <w:color w:val="auto"/>
                <w:w w:val="95"/>
              </w:rPr>
              <w:t>5.19</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left="579"/>
              <w:spacing w:after="0"/>
              <w:rPr>
                <w:sz w:val="20"/>
                <w:szCs w:val="20"/>
                <w:color w:val="auto"/>
              </w:rPr>
            </w:pPr>
            <w:r>
              <w:rPr>
                <w:rFonts w:ascii="Times New Roman" w:cs="Times New Roman" w:eastAsia="Times New Roman" w:hAnsi="Times New Roman"/>
                <w:sz w:val="18"/>
                <w:szCs w:val="18"/>
                <w:color w:val="auto"/>
                <w:w w:val="95"/>
              </w:rPr>
              <w:t>2.08</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due to performance condition achievement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559"/>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left="579"/>
              <w:spacing w:after="0"/>
              <w:rPr>
                <w:sz w:val="20"/>
                <w:szCs w:val="20"/>
                <w:color w:val="auto"/>
              </w:rPr>
            </w:pPr>
            <w:r>
              <w:rPr>
                <w:rFonts w:ascii="Times New Roman" w:cs="Times New Roman" w:eastAsia="Times New Roman" w:hAnsi="Times New Roman"/>
                <w:sz w:val="18"/>
                <w:szCs w:val="18"/>
                <w:color w:val="auto"/>
                <w:w w:val="95"/>
              </w:rPr>
              <w:t>7.47</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579"/>
              <w:spacing w:after="0"/>
              <w:rPr>
                <w:sz w:val="20"/>
                <w:szCs w:val="20"/>
                <w:color w:val="auto"/>
              </w:rPr>
            </w:pPr>
            <w:r>
              <w:rPr>
                <w:rFonts w:ascii="Times New Roman" w:cs="Times New Roman" w:eastAsia="Times New Roman" w:hAnsi="Times New Roman"/>
                <w:sz w:val="18"/>
                <w:szCs w:val="18"/>
                <w:color w:val="auto"/>
                <w:w w:val="95"/>
              </w:rPr>
              <w:t>3.64</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January 31, 2026</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center"/>
              <w:ind w:left="579"/>
              <w:spacing w:after="0"/>
              <w:rPr>
                <w:sz w:val="20"/>
                <w:szCs w:val="20"/>
                <w:color w:val="auto"/>
              </w:rPr>
            </w:pPr>
            <w:r>
              <w:rPr>
                <w:rFonts w:ascii="Times New Roman" w:cs="Times New Roman" w:eastAsia="Times New Roman" w:hAnsi="Times New Roman"/>
                <w:sz w:val="18"/>
                <w:szCs w:val="18"/>
                <w:color w:val="auto"/>
                <w:w w:val="95"/>
              </w:rPr>
              <w:t>5.26</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left="340" w:right="220"/>
        <w:spacing w:after="0" w:line="266" w:lineRule="auto"/>
        <w:rPr>
          <w:sz w:val="20"/>
          <w:szCs w:val="20"/>
          <w:color w:val="auto"/>
        </w:rPr>
      </w:pPr>
      <w:r>
        <w:rPr>
          <w:rFonts w:ascii="Times New Roman" w:cs="Times New Roman" w:eastAsia="Times New Roman" w:hAnsi="Times New Roman"/>
          <w:sz w:val="18"/>
          <w:szCs w:val="18"/>
          <w:color w:val="auto"/>
        </w:rPr>
        <w:t>As of January 31, 2026, there was $3.6 million of total unrecognized compensation cost, net of estimated forfeitures, related to nonvested restricted stock units. That cost is expected to be recognized over a weighted average period of 2.1 years, subject to meeting performance conditions. The total fair value of restricted stock units for which restrictions lapsed (vested) during fiscal 2026 was $2.4 million.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07" w:lineRule="exact"/>
        <w:rPr>
          <w:rFonts w:ascii="Times New Roman" w:cs="Times New Roman" w:eastAsia="Times New Roman" w:hAnsi="Times New Roman"/>
          <w:sz w:val="18"/>
          <w:szCs w:val="18"/>
          <w:b w:val="1"/>
          <w:bCs w:val="1"/>
          <w:color w:val="auto"/>
        </w:rPr>
      </w:pPr>
    </w:p>
    <w:p>
      <w:pPr>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various claims and contingencies arising in the normal course of business, including those relating to product liability, legal claims, employee benefits, environmental issues,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the aggregate, to have a material adverse effect on the Company’s financial condition, results of operations, or cash flows of a particular reporting period.</w:t>
      </w:r>
    </w:p>
    <w:p>
      <w:pPr>
        <w:spacing w:after="0" w:line="52"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June of 2025, the Company received a notice from the buyer of Creative Genius requesting a purchase price adjustment of approximately</w:t>
      </w:r>
    </w:p>
    <w:p>
      <w:pPr>
        <w:spacing w:after="0" w:line="27" w:lineRule="exact"/>
        <w:rPr>
          <w:rFonts w:ascii="Times New Roman" w:cs="Times New Roman" w:eastAsia="Times New Roman" w:hAnsi="Times New Roman"/>
          <w:sz w:val="18"/>
          <w:szCs w:val="18"/>
          <w:b w:val="1"/>
          <w:bCs w:val="1"/>
          <w:color w:val="auto"/>
        </w:rPr>
      </w:pPr>
    </w:p>
    <w:p>
      <w:pPr>
        <w:ind w:left="3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$4.6 million related to the sale of Creative Genius. The demand was based on certain working capital adjustments. The Company has disputed this purchase price adjustment request. On August 27, 2025, the Company filed an action in the Chancery Court of Delaware seeking a judgment declaring that the buyer’s claim for a purchase price adjustment is improper and barred by the purchase Agreement. The Company has filed for summary judgment in that action and is awaiting decision from the Court. At this time, we are not able to estimate a possible loss or range of loss that may result from this matter or to determine whether such loss, if any, would have a material adverse effect on our financial condition or results of operations due to the fact that the Company believes the purchase price adjustment is improper, and is seeking to have it declared as such by a Delaware Court. The Company believes that it has a number of meritorious legal approaches in defending itself against these claims.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401(k) Profit Sharing Plan and Trust</w:t>
      </w:r>
    </w:p>
    <w:p>
      <w:pPr>
        <w:spacing w:after="0" w:line="108" w:lineRule="exact"/>
        <w:rPr>
          <w:sz w:val="20"/>
          <w:szCs w:val="20"/>
          <w:color w:val="auto"/>
        </w:rPr>
      </w:pPr>
    </w:p>
    <w:p>
      <w:pPr>
        <w:ind w:left="340"/>
        <w:spacing w:after="0" w:line="255" w:lineRule="auto"/>
        <w:rPr>
          <w:sz w:val="20"/>
          <w:szCs w:val="20"/>
          <w:color w:val="auto"/>
        </w:rPr>
      </w:pPr>
      <w:r>
        <w:rPr>
          <w:rFonts w:ascii="Times New Roman" w:cs="Times New Roman" w:eastAsia="Times New Roman" w:hAnsi="Times New Roman"/>
          <w:sz w:val="18"/>
          <w:szCs w:val="18"/>
          <w:color w:val="auto"/>
        </w:rPr>
        <w:t>The Company has a 401(k) profit sharing plan and trust for all qualified employees and provides a 100% match for the first 3% of employee contributions and a 50% match for the next 2% of employee contributions, for a maximum Company match of 4% of employee contributions, limited to the annual legal allowable limit. Additionally, the Company has the option of making discretionary profit sharing payments to the plan as approved by the board of directors. As of January 31, 2026, February 1, 2025, and February 3, 2024, no discretionary profit sharing payments had been approved. The Company recognizes 401(k) Company contributions within cost of sales for employees related to distribution center, sourcing, and other related functions and selling, general, and administrative expenses for all other employees. Total Company contributions to the plan were as follows (in thousands):</w:t>
      </w:r>
    </w:p>
    <w:p>
      <w:pPr>
        <w:spacing w:after="0" w:line="30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31, 2026</w:t>
            </w:r>
          </w:p>
        </w:tc>
        <w:tc>
          <w:tcPr>
            <w:tcW w:w="39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ended February 1, 2025</w:t>
            </w:r>
          </w:p>
        </w:tc>
        <w:tc>
          <w:tcPr>
            <w:tcW w:w="39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February 3, 2024</w:t>
            </w:r>
          </w:p>
        </w:tc>
        <w:tc>
          <w:tcPr>
            <w:tcW w:w="39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r>
    </w:tbl>
    <w:p>
      <w:pPr>
        <w:spacing w:after="0" w:line="275" w:lineRule="exact"/>
        <w:rPr>
          <w:sz w:val="20"/>
          <w:szCs w:val="20"/>
          <w:color w:val="auto"/>
        </w:rPr>
      </w:pPr>
    </w:p>
    <w:p>
      <w:pPr>
        <w:ind w:left="400" w:hanging="392"/>
        <w:spacing w:after="0"/>
        <w:tabs>
          <w:tab w:leader="none" w:pos="4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106" w:lineRule="exact"/>
        <w:rPr>
          <w:sz w:val="20"/>
          <w:szCs w:val="20"/>
          <w:color w:val="auto"/>
        </w:rPr>
      </w:pPr>
    </w:p>
    <w:p>
      <w:pPr>
        <w:ind w:left="340" w:right="80"/>
        <w:spacing w:after="0" w:line="261" w:lineRule="auto"/>
        <w:rPr>
          <w:sz w:val="20"/>
          <w:szCs w:val="20"/>
          <w:color w:val="auto"/>
        </w:rPr>
      </w:pPr>
      <w:r>
        <w:rPr>
          <w:rFonts w:ascii="Times New Roman" w:cs="Times New Roman" w:eastAsia="Times New Roman" w:hAnsi="Times New Roman"/>
          <w:sz w:val="18"/>
          <w:szCs w:val="18"/>
          <w:i w:val="1"/>
          <w:iCs w:val="1"/>
          <w:color w:val="auto"/>
        </w:rPr>
        <w:t>Charitable Contributions</w:t>
      </w:r>
      <w:r>
        <w:rPr>
          <w:rFonts w:ascii="Times New Roman" w:cs="Times New Roman" w:eastAsia="Times New Roman" w:hAnsi="Times New Roman"/>
          <w:sz w:val="18"/>
          <w:szCs w:val="18"/>
          <w:color w:val="auto"/>
        </w:rPr>
        <w:t>. The Vera Bradley Foundation for Breast Cancer (the “Foundation”) was founded by one of the Company’s directors, who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on the board of directors of the Foundation. The liability associated with commitments to the Foundation was approximately $0.1 million as of January 31, 2026 and $0.2 million as of February 1, 2025. The liability consisted of pass-through donations from customers and is included in other accrued liabilities in the Consolidated Balance Sheets.</w:t>
      </w:r>
    </w:p>
    <w:p>
      <w:pPr>
        <w:spacing w:after="0" w:line="60" w:lineRule="exact"/>
        <w:rPr>
          <w:sz w:val="20"/>
          <w:szCs w:val="20"/>
          <w:color w:val="auto"/>
        </w:rPr>
      </w:pPr>
    </w:p>
    <w:p>
      <w:pPr>
        <w:ind w:left="340" w:right="460"/>
        <w:spacing w:after="0" w:line="282" w:lineRule="auto"/>
        <w:rPr>
          <w:sz w:val="20"/>
          <w:szCs w:val="20"/>
          <w:color w:val="auto"/>
        </w:rPr>
      </w:pPr>
      <w:r>
        <w:rPr>
          <w:rFonts w:ascii="Times New Roman" w:cs="Times New Roman" w:eastAsia="Times New Roman" w:hAnsi="Times New Roman"/>
          <w:sz w:val="18"/>
          <w:szCs w:val="18"/>
          <w:color w:val="auto"/>
        </w:rPr>
        <w:t>The associated expense for contributions to the Foundation, which is included in selling, general, and administrative expenses, was as follows (in thousands):</w:t>
      </w:r>
    </w:p>
    <w:p>
      <w:pPr>
        <w:spacing w:after="0" w:line="274"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31, 2026</w:t>
            </w:r>
          </w:p>
        </w:tc>
        <w:tc>
          <w:tcPr>
            <w:tcW w:w="40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ended February 1, 2025</w:t>
            </w:r>
          </w:p>
        </w:tc>
        <w:tc>
          <w:tcPr>
            <w:tcW w:w="40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February 3, 2024</w:t>
            </w:r>
          </w:p>
        </w:tc>
        <w:tc>
          <w:tcPr>
            <w:tcW w:w="40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94" w:lineRule="exact"/>
        <w:rPr>
          <w:sz w:val="20"/>
          <w:szCs w:val="20"/>
          <w:color w:val="auto"/>
        </w:rPr>
      </w:pPr>
    </w:p>
    <w:p>
      <w:pPr>
        <w:ind w:left="340" w:right="100"/>
        <w:spacing w:after="0" w:line="281" w:lineRule="auto"/>
        <w:rPr>
          <w:sz w:val="20"/>
          <w:szCs w:val="20"/>
          <w:color w:val="auto"/>
        </w:rPr>
      </w:pPr>
      <w:r>
        <w:rPr>
          <w:rFonts w:ascii="Times New Roman" w:cs="Times New Roman" w:eastAsia="Times New Roman" w:hAnsi="Times New Roman"/>
          <w:sz w:val="17"/>
          <w:szCs w:val="17"/>
          <w:color w:val="auto"/>
        </w:rPr>
        <w:t>Basic net (loss) income per share is computed based on the weighted-average number of shares of common stock outstanding during the period. Diluted net (loss) income per share is computed based on the weighted-average number of shares of common stock plus the effect of dilutive potential common shares outstanding during the period using the treasury stock method. Dilutive potential common shares include outstanding restricted stock and restricted-stock units. The components of basic and diluted net (loss) income per share are as follows (in thousands, except per share data):</w:t>
      </w:r>
    </w:p>
    <w:p>
      <w:pPr>
        <w:spacing w:after="0" w:line="266"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31"/>
        </w:trPr>
        <w:tc>
          <w:tcPr>
            <w:tcW w:w="6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20" w:type="dxa"/>
            <w:vAlign w:val="bottom"/>
          </w:tcPr>
          <w:p>
            <w:pPr>
              <w:spacing w:after="0"/>
              <w:rPr>
                <w:sz w:val="11"/>
                <w:szCs w:val="11"/>
                <w:color w:val="auto"/>
              </w:rPr>
            </w:pPr>
          </w:p>
        </w:tc>
        <w:tc>
          <w:tcPr>
            <w:tcW w:w="136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220" w:type="dxa"/>
            <w:vAlign w:val="bottom"/>
          </w:tcPr>
          <w:p>
            <w:pPr>
              <w:spacing w:after="0"/>
              <w:rPr>
                <w:sz w:val="11"/>
                <w:szCs w:val="11"/>
                <w:color w:val="auto"/>
              </w:rPr>
            </w:pPr>
          </w:p>
        </w:tc>
        <w:tc>
          <w:tcPr>
            <w:tcW w:w="1180" w:type="dxa"/>
            <w:vAlign w:val="bottom"/>
          </w:tcPr>
          <w:p>
            <w:pPr>
              <w:jc w:val="right"/>
              <w:ind w:right="253"/>
              <w:spacing w:after="0" w:line="131" w:lineRule="exact"/>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5"/>
        </w:trPr>
        <w:tc>
          <w:tcPr>
            <w:tcW w:w="65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5"/>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8,596</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income tax</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23"/>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(47,840)</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(62,188)</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7,838</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6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(basic)</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30,833</w:t>
            </w: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48"/>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(diluted)</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Basic net (loss) income per share: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230"/>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30"/>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net (loss) income per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Diluted net (loss) income per share: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230"/>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34"/>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net (loss) income per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bl>
    <w:p>
      <w:pPr>
        <w:spacing w:after="0" w:line="200" w:lineRule="exact"/>
        <w:rPr>
          <w:sz w:val="20"/>
          <w:szCs w:val="20"/>
          <w:color w:val="auto"/>
        </w:rPr>
      </w:pPr>
    </w:p>
    <w:p>
      <w:pPr>
        <w:spacing w:after="0" w:line="209" w:lineRule="exact"/>
        <w:rPr>
          <w:sz w:val="20"/>
          <w:szCs w:val="20"/>
          <w:color w:val="auto"/>
        </w:rPr>
      </w:pPr>
    </w:p>
    <w:p>
      <w:pPr>
        <w:ind w:left="340" w:right="240"/>
        <w:spacing w:after="0" w:line="282" w:lineRule="auto"/>
        <w:rPr>
          <w:sz w:val="20"/>
          <w:szCs w:val="20"/>
          <w:color w:val="auto"/>
        </w:rPr>
      </w:pPr>
      <w:r>
        <w:rPr>
          <w:rFonts w:ascii="Times New Roman" w:cs="Times New Roman" w:eastAsia="Times New Roman" w:hAnsi="Times New Roman"/>
          <w:sz w:val="18"/>
          <w:szCs w:val="18"/>
          <w:color w:val="auto"/>
        </w:rPr>
        <w:t>As of January 31, 2026 and February 1, 2025, all potential common shares were excluded from the diluted share calculation because they were anti-dilutive due to the net loss in the period.</w:t>
      </w:r>
    </w:p>
    <w:p>
      <w:pPr>
        <w:spacing w:after="0" w:line="27" w:lineRule="exact"/>
        <w:rPr>
          <w:sz w:val="20"/>
          <w:szCs w:val="20"/>
          <w:color w:val="auto"/>
        </w:rPr>
      </w:pPr>
    </w:p>
    <w:p>
      <w:pPr>
        <w:ind w:left="340" w:right="100"/>
        <w:spacing w:after="0" w:line="266" w:lineRule="auto"/>
        <w:rPr>
          <w:sz w:val="20"/>
          <w:szCs w:val="20"/>
          <w:color w:val="auto"/>
        </w:rPr>
      </w:pPr>
      <w:r>
        <w:rPr>
          <w:rFonts w:ascii="Times New Roman" w:cs="Times New Roman" w:eastAsia="Times New Roman" w:hAnsi="Times New Roman"/>
          <w:sz w:val="18"/>
          <w:szCs w:val="18"/>
          <w:color w:val="auto"/>
        </w:rPr>
        <w:t>As of February 3, 2024, there were an immaterial number of additional shares issuable upon the vesting of restricted stock units that were excluded from the diluted share calculations because they were anti-dilutive. The diluted share calculations include performance-based restricted stock units for completed performance periods.</w:t>
      </w:r>
    </w:p>
    <w:p>
      <w:pPr>
        <w:spacing w:after="0" w:line="26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Common Stock</w:t>
      </w:r>
    </w:p>
    <w:p>
      <w:pPr>
        <w:spacing w:after="0" w:line="108" w:lineRule="exact"/>
        <w:rPr>
          <w:sz w:val="20"/>
          <w:szCs w:val="20"/>
          <w:color w:val="auto"/>
        </w:rPr>
      </w:pPr>
    </w:p>
    <w:p>
      <w:pPr>
        <w:ind w:left="340" w:right="60"/>
        <w:spacing w:after="0" w:line="266" w:lineRule="auto"/>
        <w:rPr>
          <w:sz w:val="20"/>
          <w:szCs w:val="20"/>
          <w:color w:val="auto"/>
        </w:rPr>
      </w:pPr>
      <w:r>
        <w:rPr>
          <w:rFonts w:ascii="Times New Roman" w:cs="Times New Roman" w:eastAsia="Times New Roman" w:hAnsi="Times New Roman"/>
          <w:sz w:val="18"/>
          <w:szCs w:val="18"/>
          <w:color w:val="auto"/>
        </w:rPr>
        <w:t>In December 2021, the Company's board of directors approved a new share repurchase plan (the “2021 Share Repurchase Program”) which authorized Company management to utilize up to $50.0 million of available cash for repurchases of shares of the Company's common stock. The 2021 Share Repurchase Program went into effect beginning December 13, 2021 and expired in December 2024.</w:t>
      </w:r>
    </w:p>
    <w:p>
      <w:pPr>
        <w:spacing w:after="0" w:line="27" w:lineRule="exact"/>
        <w:rPr>
          <w:sz w:val="20"/>
          <w:szCs w:val="20"/>
          <w:color w:val="auto"/>
        </w:rPr>
      </w:pPr>
    </w:p>
    <w:p>
      <w:pPr>
        <w:ind w:left="340" w:right="60"/>
        <w:spacing w:after="0" w:line="245" w:lineRule="auto"/>
        <w:rPr>
          <w:sz w:val="20"/>
          <w:szCs w:val="20"/>
          <w:color w:val="auto"/>
        </w:rPr>
      </w:pPr>
      <w:r>
        <w:rPr>
          <w:rFonts w:ascii="Times New Roman" w:cs="Times New Roman" w:eastAsia="Times New Roman" w:hAnsi="Times New Roman"/>
          <w:sz w:val="18"/>
          <w:szCs w:val="18"/>
          <w:color w:val="auto"/>
        </w:rPr>
        <w:t>In December 2024, the Company's board of directors approved a new share repurchase plan (the “2024 Share Repurchase Program”) which authorized Company management to utilize up to $30.0 million of available cash for repurchases of shares of the Company's common stock. The 2024 Share Repurchase Program went into effect beginning December 14, 2024 and expires in December 2027. The Company does not currently plan to purchase under the 2024 Share Repurchase Program, but anticipates utilizing it in the future depending on the Company's cash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fiscal year ended January 31, 2026, the Company did not purchase any shares under the 2024 Share Repurchase Program.</w:t>
      </w:r>
    </w:p>
    <w:p>
      <w:pPr>
        <w:spacing w:after="0" w:line="90" w:lineRule="exact"/>
        <w:rPr>
          <w:sz w:val="20"/>
          <w:szCs w:val="20"/>
          <w:color w:val="auto"/>
        </w:rPr>
      </w:pPr>
    </w:p>
    <w:p>
      <w:pPr>
        <w:ind w:left="340" w:right="200"/>
        <w:spacing w:after="0" w:line="282" w:lineRule="auto"/>
        <w:rPr>
          <w:sz w:val="20"/>
          <w:szCs w:val="20"/>
          <w:color w:val="auto"/>
        </w:rPr>
      </w:pPr>
      <w:r>
        <w:rPr>
          <w:rFonts w:ascii="Times New Roman" w:cs="Times New Roman" w:eastAsia="Times New Roman" w:hAnsi="Times New Roman"/>
          <w:sz w:val="18"/>
          <w:szCs w:val="18"/>
          <w:color w:val="auto"/>
        </w:rPr>
        <w:t>During the fiscal year ended February 1, 2025, the Company purchased and held 3,395,335 shares at an average price of $6.41 per share, excluding commissions, for an aggregate amount of $21.8 million, under the 2021 Share Repurchase Program.</w:t>
      </w:r>
    </w:p>
    <w:p>
      <w:pPr>
        <w:spacing w:after="0" w:line="40" w:lineRule="exact"/>
        <w:rPr>
          <w:sz w:val="20"/>
          <w:szCs w:val="20"/>
          <w:color w:val="auto"/>
        </w:rPr>
      </w:pPr>
    </w:p>
    <w:p>
      <w:pPr>
        <w:ind w:left="340" w:right="340"/>
        <w:spacing w:after="0" w:line="282" w:lineRule="auto"/>
        <w:rPr>
          <w:sz w:val="20"/>
          <w:szCs w:val="20"/>
          <w:color w:val="auto"/>
        </w:rPr>
      </w:pPr>
      <w:r>
        <w:rPr>
          <w:rFonts w:ascii="Times New Roman" w:cs="Times New Roman" w:eastAsia="Times New Roman" w:hAnsi="Times New Roman"/>
          <w:sz w:val="18"/>
          <w:szCs w:val="18"/>
          <w:color w:val="auto"/>
        </w:rPr>
        <w:t>During the fiscal year ended February 3, 2024, the Company purchased and held 359,554 shares at an average price of $6.10 per share, excluding commissions, for an aggregate amount of $2.2 million, under the 2021 Share Repurchase Program.</w:t>
      </w:r>
    </w:p>
    <w:p>
      <w:pPr>
        <w:spacing w:after="0" w:line="27" w:lineRule="exact"/>
        <w:rPr>
          <w:sz w:val="20"/>
          <w:szCs w:val="20"/>
          <w:color w:val="auto"/>
        </w:rPr>
      </w:pPr>
    </w:p>
    <w:p>
      <w:pPr>
        <w:ind w:left="340" w:right="380"/>
        <w:spacing w:after="0" w:line="266" w:lineRule="auto"/>
        <w:rPr>
          <w:sz w:val="20"/>
          <w:szCs w:val="20"/>
          <w:color w:val="auto"/>
        </w:rPr>
      </w:pPr>
      <w:r>
        <w:rPr>
          <w:rFonts w:ascii="Times New Roman" w:cs="Times New Roman" w:eastAsia="Times New Roman" w:hAnsi="Times New Roman"/>
          <w:sz w:val="18"/>
          <w:szCs w:val="18"/>
          <w:color w:val="auto"/>
        </w:rPr>
        <w:t>As of January 31, 2026, there was $30.0 million remaining available to repurchase shares of the Company's common stock under the 2024 Share Repurchase Program.</w:t>
      </w:r>
    </w:p>
    <w:p>
      <w:pPr>
        <w:spacing w:after="0" w:line="13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of January 31, 2026, the Company held as treasury shares 15,834,579 shares of its common stock at an average price of $9.90 per share, excluding commissions, for an aggregate carrying amount of $156.8 million. The Company’s treasury shares may be issued under the 2020 Equity and Incentive Plan, or for other corporate purposes.</w:t>
      </w:r>
    </w:p>
    <w:p>
      <w:pPr>
        <w:spacing w:after="0" w:line="131" w:lineRule="exact"/>
        <w:rPr>
          <w:sz w:val="20"/>
          <w:szCs w:val="20"/>
          <w:color w:val="auto"/>
        </w:rPr>
      </w:pPr>
    </w:p>
    <w:p>
      <w:pPr>
        <w:jc w:val="right"/>
        <w:ind w:right="7400"/>
        <w:spacing w:after="0"/>
        <w:tabs>
          <w:tab w:leader="none" w:pos="107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Cost Savings Initiatives and Other Charges</w:t>
      </w:r>
    </w:p>
    <w:p>
      <w:pPr>
        <w:spacing w:after="0" w:line="106" w:lineRule="exact"/>
        <w:rPr>
          <w:sz w:val="20"/>
          <w:szCs w:val="20"/>
          <w:color w:val="auto"/>
        </w:rPr>
      </w:pPr>
    </w:p>
    <w:p>
      <w:pPr>
        <w:jc w:val="right"/>
        <w:ind w:right="7360"/>
        <w:spacing w:after="0"/>
        <w:rPr>
          <w:sz w:val="20"/>
          <w:szCs w:val="20"/>
          <w:color w:val="auto"/>
        </w:rPr>
      </w:pPr>
      <w:r>
        <w:rPr>
          <w:rFonts w:ascii="Times New Roman" w:cs="Times New Roman" w:eastAsia="Times New Roman" w:hAnsi="Times New Roman"/>
          <w:sz w:val="18"/>
          <w:szCs w:val="18"/>
          <w:i w:val="1"/>
          <w:iCs w:val="1"/>
          <w:color w:val="auto"/>
        </w:rPr>
        <w:t>Cost Savings Initiatives and Severance Charges</w:t>
      </w:r>
    </w:p>
    <w:p>
      <w:pPr>
        <w:spacing w:after="0" w:line="92"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During fiscal 2023, the Company began implementation of its targeted cost reductions, which were expected to be fully realized in fiscal 2025. In late fiscal 2025, additional cost reduction initiatives were identified and were fully realized in fiscal 2026. During fiscal 2026, additional cost reduction initiatives were identified and are expected to be fully realized in fiscal 2027. Expense savings are being derived across various areas of the Company, including retail store efficiencies, marketing expenses, information technology contracts, professional services, logistics and operational costs, and corporate payroll.</w:t>
      </w:r>
    </w:p>
    <w:p>
      <w:pPr>
        <w:spacing w:after="0" w:line="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incurred the following charges during the fifty-two weeks ended January 31, 2026 (in thousands):</w:t>
      </w:r>
    </w:p>
    <w:p>
      <w:pPr>
        <w:spacing w:after="0" w:line="286"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840" w:type="dxa"/>
            <w:vAlign w:val="bottom"/>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Unallocated Corporate</w:t>
            </w: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4240" w:type="dxa"/>
            <w:vAlign w:val="bottom"/>
          </w:tcPr>
          <w:p>
            <w:pPr>
              <w:spacing w:after="0"/>
              <w:rPr>
                <w:sz w:val="10"/>
                <w:szCs w:val="10"/>
                <w:color w:val="auto"/>
              </w:rPr>
            </w:pPr>
          </w:p>
        </w:tc>
        <w:tc>
          <w:tcPr>
            <w:tcW w:w="118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VB Direct</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Indirect</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95"/>
        </w:trPr>
        <w:tc>
          <w:tcPr>
            <w:tcW w:w="4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Severance charges</w:t>
            </w:r>
            <w:r>
              <w:rPr>
                <w:rFonts w:ascii="Times New Roman" w:cs="Times New Roman" w:eastAsia="Times New Roman" w:hAnsi="Times New Roman"/>
                <w:sz w:val="23"/>
                <w:szCs w:val="23"/>
                <w:color w:val="auto"/>
                <w:vertAlign w:val="superscript"/>
              </w:rPr>
              <w:t>(1)</w:t>
            </w:r>
          </w:p>
        </w:tc>
        <w:tc>
          <w:tcPr>
            <w:tcW w:w="1180" w:type="dxa"/>
            <w:vAlign w:val="bottom"/>
            <w:tcBorders>
              <w:top w:val="single" w:sz="8" w:color="auto"/>
              <w:bottom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101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60" w:right="940" w:hanging="10"/>
        <w:spacing w:after="0" w:line="237" w:lineRule="auto"/>
        <w:tabs>
          <w:tab w:leader="none" w:pos="6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former Chief Executive Officer and Chief Financial Officer severance and is recorded in selling, general, and administrative expenses.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charges and related liabilities associated with the cost savings initiatives and severance charges are as follows (in thousands):</w:t>
      </w:r>
    </w:p>
    <w:p>
      <w:pPr>
        <w:spacing w:after="0" w:line="2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4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 xml:space="preserve">Severance Charges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as of February 1, 2025</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0" w:type="dxa"/>
            <w:vAlign w:val="bottom"/>
          </w:tcPr>
          <w:p>
            <w:pPr>
              <w:spacing w:after="0"/>
              <w:rPr>
                <w:sz w:val="1"/>
                <w:szCs w:val="1"/>
                <w:color w:val="auto"/>
              </w:rPr>
            </w:pP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 charges</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0" w:type="dxa"/>
            <w:vAlign w:val="bottom"/>
          </w:tcPr>
          <w:p>
            <w:pPr>
              <w:spacing w:after="0"/>
              <w:rPr>
                <w:sz w:val="1"/>
                <w:szCs w:val="1"/>
                <w:color w:val="auto"/>
              </w:rPr>
            </w:pP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as of January 31, 2026</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0"/>
        </w:trPr>
        <w:tc>
          <w:tcPr>
            <w:tcW w:w="8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 Remaining liability is recorded within accrued employment costs</w:t>
            </w: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846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0"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incurred the following charges during the fifty-two weeks ended February 1, 2025:</w:t>
      </w:r>
    </w:p>
    <w:p>
      <w:pPr>
        <w:spacing w:after="0" w:line="273"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8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Unallocated Corporate</w:t>
            </w: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VB Direct</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VB Indirect</w:t>
            </w:r>
          </w:p>
        </w:tc>
        <w:tc>
          <w:tcPr>
            <w:tcW w:w="170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80" w:type="dxa"/>
            <w:vAlign w:val="bottom"/>
            <w:tcBorders>
              <w:top w:val="single" w:sz="8" w:color="CCEEFF"/>
            </w:tcBorders>
            <w:gridSpan w:val="2"/>
            <w:shd w:val="clear" w:color="auto" w:fill="CCEEFF"/>
          </w:tcPr>
          <w:p>
            <w:pPr>
              <w:spacing w:after="0" w:line="228" w:lineRule="exact"/>
              <w:rPr>
                <w:sz w:val="20"/>
                <w:szCs w:val="20"/>
                <w:color w:val="auto"/>
              </w:rPr>
            </w:pPr>
            <w:r>
              <w:rPr>
                <w:rFonts w:ascii="Times New Roman" w:cs="Times New Roman" w:eastAsia="Times New Roman" w:hAnsi="Times New Roman"/>
                <w:sz w:val="18"/>
                <w:szCs w:val="18"/>
                <w:color w:val="auto"/>
              </w:rPr>
              <w:t>Severance charges</w:t>
            </w:r>
            <w:r>
              <w:rPr>
                <w:rFonts w:ascii="Times New Roman" w:cs="Times New Roman" w:eastAsia="Times New Roman" w:hAnsi="Times New Roman"/>
                <w:sz w:val="23"/>
                <w:szCs w:val="23"/>
                <w:color w:val="auto"/>
                <w:vertAlign w:val="superscript"/>
              </w:rPr>
              <w:t>(1)</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3,871</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3,871</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92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(1) 3.1 million recorded in selling, general, and administrative expenses and 0.8 million recorded in cost of goods sold</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7"/>
        </w:trPr>
        <w:tc>
          <w:tcPr>
            <w:tcW w:w="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 xml:space="preserve">Severance Charges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as of February 3, 2024</w:t>
            </w:r>
          </w:p>
        </w:tc>
        <w:tc>
          <w:tcPr>
            <w:tcW w:w="3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2025 charges</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as of February 1, 2025</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(1) Remaining liability is recorded within accrued employment costs</w:t>
            </w: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5700" w:type="dxa"/>
            <w:vAlign w:val="bottom"/>
            <w:gridSpan w:val="3"/>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incurred the following charges during the fifty-three weeks ended February 3, 2024:</w:t>
      </w:r>
    </w:p>
    <w:p>
      <w:pPr>
        <w:spacing w:after="0" w:line="273"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2900" w:type="dxa"/>
            <w:vAlign w:val="bottom"/>
            <w:gridSpan w:val="4"/>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Unallocated Corporate</w:t>
            </w: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428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Indirect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95"/>
        </w:trPr>
        <w:tc>
          <w:tcPr>
            <w:tcW w:w="42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80" w:type="dxa"/>
            <w:vAlign w:val="bottom"/>
            <w:tcBorders>
              <w:top w:val="single" w:sz="8" w:color="CCEEFF"/>
            </w:tcBorders>
            <w:shd w:val="clear" w:color="auto" w:fill="CCEEFF"/>
          </w:tcPr>
          <w:p>
            <w:pPr>
              <w:spacing w:after="0" w:line="228" w:lineRule="exact"/>
              <w:rPr>
                <w:sz w:val="20"/>
                <w:szCs w:val="20"/>
                <w:color w:val="auto"/>
              </w:rPr>
            </w:pPr>
            <w:r>
              <w:rPr>
                <w:rFonts w:ascii="Times New Roman" w:cs="Times New Roman" w:eastAsia="Times New Roman" w:hAnsi="Times New Roman"/>
                <w:sz w:val="18"/>
                <w:szCs w:val="18"/>
                <w:color w:val="auto"/>
              </w:rPr>
              <w:t>Severance charges</w:t>
            </w:r>
            <w:r>
              <w:rPr>
                <w:rFonts w:ascii="Times New Roman" w:cs="Times New Roman" w:eastAsia="Times New Roman" w:hAnsi="Times New Roman"/>
                <w:sz w:val="23"/>
                <w:szCs w:val="23"/>
                <w:color w:val="auto"/>
                <w:vertAlign w:val="superscript"/>
              </w:rPr>
              <w:t>(1)</w:t>
            </w:r>
          </w:p>
        </w:tc>
        <w:tc>
          <w:tcPr>
            <w:tcW w:w="1180" w:type="dxa"/>
            <w:vAlign w:val="bottom"/>
            <w:tcBorders>
              <w:top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0" w:type="dxa"/>
            <w:vAlign w:val="bottom"/>
          </w:tcPr>
          <w:p>
            <w:pPr>
              <w:spacing w:after="0"/>
              <w:rPr>
                <w:sz w:val="1"/>
                <w:szCs w:val="1"/>
                <w:color w:val="auto"/>
              </w:rPr>
            </w:pPr>
          </w:p>
        </w:tc>
      </w:tr>
      <w:tr>
        <w:trPr>
          <w:trHeight w:val="229"/>
        </w:trPr>
        <w:tc>
          <w:tcPr>
            <w:tcW w:w="428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Consulting fees and other costs</w:t>
            </w:r>
            <w:r>
              <w:rPr>
                <w:rFonts w:ascii="Times New Roman" w:cs="Times New Roman" w:eastAsia="Times New Roman" w:hAnsi="Times New Roman"/>
                <w:sz w:val="23"/>
                <w:szCs w:val="23"/>
                <w:color w:val="auto"/>
                <w:vertAlign w:val="superscript"/>
              </w:rPr>
              <w:t>(2)</w:t>
            </w:r>
          </w:p>
        </w:tc>
        <w:tc>
          <w:tcPr>
            <w:tcW w:w="11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48"/>
        </w:trPr>
        <w:tc>
          <w:tcPr>
            <w:tcW w:w="428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(3)</w:t>
            </w:r>
          </w:p>
        </w:tc>
        <w:tc>
          <w:tcPr>
            <w:tcW w:w="1180" w:type="dxa"/>
            <w:vAlign w:val="bottom"/>
            <w:tcBorders>
              <w:top w:val="single" w:sz="8" w:color="auto"/>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520" w:hanging="251"/>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former CFO severance</w:t>
      </w:r>
    </w:p>
    <w:p>
      <w:pPr>
        <w:spacing w:after="0" w:line="27" w:lineRule="exact"/>
        <w:rPr>
          <w:rFonts w:ascii="Times New Roman" w:cs="Times New Roman" w:eastAsia="Times New Roman" w:hAnsi="Times New Roman"/>
          <w:sz w:val="18"/>
          <w:szCs w:val="18"/>
          <w:color w:val="auto"/>
        </w:rPr>
      </w:pPr>
    </w:p>
    <w:p>
      <w:pPr>
        <w:ind w:left="520" w:hanging="251"/>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professional fees</w:t>
      </w:r>
    </w:p>
    <w:p>
      <w:pPr>
        <w:spacing w:after="0" w:line="22" w:lineRule="exact"/>
        <w:rPr>
          <w:rFonts w:ascii="Times New Roman" w:cs="Times New Roman" w:eastAsia="Times New Roman" w:hAnsi="Times New Roman"/>
          <w:sz w:val="18"/>
          <w:szCs w:val="18"/>
          <w:color w:val="auto"/>
        </w:rPr>
      </w:pPr>
    </w:p>
    <w:p>
      <w:pPr>
        <w:ind w:left="520" w:hanging="251"/>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are recorded within selling, general, and administrative expenses</w:t>
      </w:r>
    </w:p>
    <w:p>
      <w:pPr>
        <w:spacing w:after="0" w:line="36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Severance Charges </w:t>
            </w:r>
            <w:r>
              <w:rPr>
                <w:rFonts w:ascii="Times New Roman" w:cs="Times New Roman" w:eastAsia="Times New Roman" w:hAnsi="Times New Roman"/>
                <w:sz w:val="18"/>
                <w:szCs w:val="18"/>
                <w:b w:val="1"/>
                <w:bCs w:val="1"/>
                <w:color w:val="auto"/>
                <w:vertAlign w:val="superscript"/>
              </w:rPr>
              <w:t>(1)</w:t>
            </w:r>
          </w:p>
        </w:tc>
        <w:tc>
          <w:tcPr>
            <w:tcW w:w="140" w:type="dxa"/>
            <w:vAlign w:val="bottom"/>
          </w:tcPr>
          <w:p>
            <w:pPr>
              <w:spacing w:after="0"/>
              <w:rPr>
                <w:sz w:val="13"/>
                <w:szCs w:val="13"/>
                <w:color w:val="auto"/>
              </w:rPr>
            </w:pPr>
          </w:p>
        </w:tc>
        <w:tc>
          <w:tcPr>
            <w:tcW w:w="18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Consulting Fees and Other</w:t>
            </w:r>
          </w:p>
        </w:tc>
        <w:tc>
          <w:tcPr>
            <w:tcW w:w="0" w:type="dxa"/>
            <w:vAlign w:val="bottom"/>
          </w:tcPr>
          <w:p>
            <w:pPr>
              <w:spacing w:after="0"/>
              <w:rPr>
                <w:sz w:val="1"/>
                <w:szCs w:val="1"/>
                <w:color w:val="auto"/>
              </w:rPr>
            </w:pPr>
          </w:p>
        </w:tc>
      </w:tr>
      <w:tr>
        <w:trPr>
          <w:trHeight w:val="203"/>
        </w:trPr>
        <w:tc>
          <w:tcPr>
            <w:tcW w:w="6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Costs</w:t>
            </w:r>
          </w:p>
        </w:tc>
        <w:tc>
          <w:tcPr>
            <w:tcW w:w="0" w:type="dxa"/>
            <w:vAlign w:val="bottom"/>
          </w:tcPr>
          <w:p>
            <w:pPr>
              <w:spacing w:after="0"/>
              <w:rPr>
                <w:sz w:val="1"/>
                <w:szCs w:val="1"/>
                <w:color w:val="auto"/>
              </w:rPr>
            </w:pPr>
          </w:p>
        </w:tc>
      </w:tr>
      <w:tr>
        <w:trPr>
          <w:trHeight w:val="223"/>
        </w:trPr>
        <w:tc>
          <w:tcPr>
            <w:tcW w:w="6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as of January 28, 2023</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2024 charges</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as of February 3, 2024</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 Remaining liability is recorded within accrued employment costs</w:t>
            </w: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61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Charges</w:t>
      </w:r>
    </w:p>
    <w:p>
      <w:pPr>
        <w:spacing w:after="0" w:line="77" w:lineRule="exact"/>
        <w:rPr>
          <w:sz w:val="20"/>
          <w:szCs w:val="20"/>
          <w:color w:val="auto"/>
        </w:rPr>
      </w:pPr>
    </w:p>
    <w:p>
      <w:pPr>
        <w:ind w:left="340" w:right="18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Fiscal 2026 and Fiscal 2025. </w:t>
      </w:r>
      <w:r>
        <w:rPr>
          <w:rFonts w:ascii="Times New Roman" w:cs="Times New Roman" w:eastAsia="Times New Roman" w:hAnsi="Times New Roman"/>
          <w:sz w:val="18"/>
          <w:szCs w:val="18"/>
          <w:color w:val="auto"/>
        </w:rPr>
        <w:t>There were no additional charges recorded during the fifty-two weeks ended January 31, 2026 and February 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strategic initiatives and other costs.</w:t>
      </w:r>
    </w:p>
    <w:p>
      <w:pPr>
        <w:spacing w:after="0" w:line="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Fiscal 2024. </w:t>
      </w:r>
      <w:r>
        <w:rPr>
          <w:rFonts w:ascii="Times New Roman" w:cs="Times New Roman" w:eastAsia="Times New Roman" w:hAnsi="Times New Roman"/>
          <w:sz w:val="18"/>
          <w:szCs w:val="18"/>
          <w:color w:val="auto"/>
        </w:rPr>
        <w:t>During the fifty-three weeks ended February 3, 2024, the Company recorded within selling, general, and administrative expenses</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$0.6 million of professional fees associated with strategic initiatives and other costs, which were recorded within corporate unallocated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60" w:right="5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94" w:lineRule="exact"/>
        <w:rPr>
          <w:sz w:val="20"/>
          <w:szCs w:val="20"/>
          <w:color w:val="auto"/>
        </w:rPr>
      </w:pPr>
    </w:p>
    <w:p>
      <w:pPr>
        <w:ind w:left="340" w:right="20"/>
        <w:spacing w:after="0" w:line="261" w:lineRule="auto"/>
        <w:rPr>
          <w:sz w:val="20"/>
          <w:szCs w:val="20"/>
          <w:color w:val="auto"/>
        </w:rPr>
      </w:pPr>
      <w:r>
        <w:rPr>
          <w:rFonts w:ascii="Times New Roman" w:cs="Times New Roman" w:eastAsia="Times New Roman" w:hAnsi="Times New Roman"/>
          <w:sz w:val="18"/>
          <w:szCs w:val="18"/>
          <w:color w:val="auto"/>
        </w:rPr>
        <w:t>The Company has two operating segments, which are also its reportable segments: VB Direct and VB Indirect. These operating segments are components of the Company for which separate financial information is available and for which operating results are evaluated on a regular basis by the chief operating decision maker ("CODM") in deciding how to allocate resources and in assessing the performance of the segments. The Company's CODM is our Chief Executive Officer.</w:t>
      </w:r>
    </w:p>
    <w:p>
      <w:pPr>
        <w:spacing w:after="0" w:line="58" w:lineRule="exact"/>
        <w:rPr>
          <w:sz w:val="20"/>
          <w:szCs w:val="20"/>
          <w:color w:val="auto"/>
        </w:rPr>
      </w:pPr>
    </w:p>
    <w:p>
      <w:pPr>
        <w:ind w:left="340" w:right="200"/>
        <w:spacing w:after="0" w:line="266" w:lineRule="auto"/>
        <w:rPr>
          <w:sz w:val="20"/>
          <w:szCs w:val="20"/>
          <w:color w:val="auto"/>
        </w:rPr>
      </w:pPr>
      <w:r>
        <w:rPr>
          <w:rFonts w:ascii="Times New Roman" w:cs="Times New Roman" w:eastAsia="Times New Roman" w:hAnsi="Times New Roman"/>
          <w:sz w:val="18"/>
          <w:szCs w:val="18"/>
          <w:color w:val="auto"/>
        </w:rPr>
        <w:t>The VB Direct segment includes Vera Bradley full-line and outlet stores, the Vera Bradley websites (verabradley.com, outlet.verabradley.com, and international.verabradley.com), typically, the Vera Bradley annual outlet sale, and direct to consumer marketplaces. Revenues generated through this segment are driven through the sale of Vera Bradley-branded products from Vera Bradley to end consumers.</w:t>
      </w:r>
    </w:p>
    <w:p>
      <w:pPr>
        <w:spacing w:after="0" w:line="54" w:lineRule="exact"/>
        <w:rPr>
          <w:sz w:val="20"/>
          <w:szCs w:val="20"/>
          <w:color w:val="auto"/>
        </w:rPr>
      </w:pPr>
    </w:p>
    <w:p>
      <w:pPr>
        <w:ind w:left="340" w:right="120"/>
        <w:spacing w:after="0" w:line="266" w:lineRule="auto"/>
        <w:rPr>
          <w:sz w:val="20"/>
          <w:szCs w:val="20"/>
          <w:color w:val="auto"/>
        </w:rPr>
      </w:pPr>
      <w:r>
        <w:rPr>
          <w:rFonts w:ascii="Times New Roman" w:cs="Times New Roman" w:eastAsia="Times New Roman" w:hAnsi="Times New Roman"/>
          <w:sz w:val="18"/>
          <w:szCs w:val="18"/>
          <w:color w:val="auto"/>
        </w:rPr>
        <w:t>The VB Indirect segment represents revenues generated through the distribution of Company-branded products to specialty retailers representing approximately 1,000 locations, substantially all of which are located in the United States, as well as select department stores, national accounts, third-party inventory liquidators, and licensing agreements related to the Vera Bradley brand.</w:t>
      </w:r>
    </w:p>
    <w:p>
      <w:pPr>
        <w:spacing w:after="0" w:line="41" w:lineRule="exact"/>
        <w:rPr>
          <w:sz w:val="20"/>
          <w:szCs w:val="20"/>
          <w:color w:val="auto"/>
        </w:rPr>
      </w:pPr>
    </w:p>
    <w:p>
      <w:pPr>
        <w:ind w:left="340" w:right="60"/>
        <w:spacing w:after="0" w:line="258" w:lineRule="auto"/>
        <w:rPr>
          <w:sz w:val="20"/>
          <w:szCs w:val="20"/>
          <w:color w:val="auto"/>
        </w:rPr>
      </w:pPr>
      <w:r>
        <w:rPr>
          <w:rFonts w:ascii="Times New Roman" w:cs="Times New Roman" w:eastAsia="Times New Roman" w:hAnsi="Times New Roman"/>
          <w:sz w:val="18"/>
          <w:szCs w:val="18"/>
          <w:color w:val="auto"/>
        </w:rPr>
        <w:t>Corporate costs represent the Company’s administrative expenses, which include, but are not limited to: human resources, legal, finance, information technology, design, product development, merchandising, corporate-level marketing and advertising, and various other corporate-level-activity-related expenses not directly attributable to a reportable segment. Income earned under the Transition Services Agreement ("TSA") resulting from the sale of Creative Genius is netted against these unallocated corporate expenses. All intercompany-related activities are eliminated in consolidation and are excluded from the segment reporting.</w:t>
      </w:r>
    </w:p>
    <w:p>
      <w:pPr>
        <w:spacing w:after="0" w:line="62"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The CODM’s primary or key performance indicator for evaluating segment operating results is operating income. The CODM uses operating income for each segment predominantly in the annual budget and forecasting process. The CODM considers budget-to-actual variances on a quarterly basis for this key performance operating measure when making decisions about the allocation of operating and capital resources to each segment. The CODM also uses segment operating income to assess the performance of each segment by comparing the results of each segment with one another and in determining the compensation of certain employees. The CODM reviews cost of sales and SG&amp;A expense on a consolidated basis.</w:t>
      </w:r>
    </w:p>
    <w:p>
      <w:pPr>
        <w:spacing w:after="0" w:line="6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Note 2. The Company does not report depreciation or amortization expense, total assets, or capital expenditures by segment as such information is neither used by management nor accounted for at the segment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ind w:left="340" w:right="860"/>
        <w:spacing w:after="0" w:line="282" w:lineRule="auto"/>
        <w:rPr>
          <w:sz w:val="20"/>
          <w:szCs w:val="20"/>
          <w:color w:val="auto"/>
        </w:rPr>
      </w:pPr>
      <w:r>
        <w:rPr>
          <w:rFonts w:ascii="Times New Roman" w:cs="Times New Roman" w:eastAsia="Times New Roman" w:hAnsi="Times New Roman"/>
          <w:sz w:val="18"/>
          <w:szCs w:val="18"/>
          <w:color w:val="auto"/>
        </w:rPr>
        <w:t>Net revenues, cost of sales, other segment expenses, and operating income information for the Company’s reportable segments, as well as a reconciliation to (loss) income from continuing operations before income taxes, consisted of the following (in thousands):</w:t>
      </w:r>
    </w:p>
    <w:p>
      <w:pPr>
        <w:spacing w:after="0" w:line="61"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31"/>
        </w:trPr>
        <w:tc>
          <w:tcPr>
            <w:tcW w:w="6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20" w:type="dxa"/>
            <w:vAlign w:val="bottom"/>
          </w:tcPr>
          <w:p>
            <w:pPr>
              <w:spacing w:after="0"/>
              <w:rPr>
                <w:sz w:val="11"/>
                <w:szCs w:val="11"/>
                <w:color w:val="auto"/>
              </w:rPr>
            </w:pPr>
          </w:p>
        </w:tc>
        <w:tc>
          <w:tcPr>
            <w:tcW w:w="136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220" w:type="dxa"/>
            <w:vAlign w:val="bottom"/>
          </w:tcPr>
          <w:p>
            <w:pPr>
              <w:spacing w:after="0"/>
              <w:rPr>
                <w:sz w:val="11"/>
                <w:szCs w:val="11"/>
                <w:color w:val="auto"/>
              </w:rPr>
            </w:pPr>
          </w:p>
        </w:tc>
        <w:tc>
          <w:tcPr>
            <w:tcW w:w="1180" w:type="dxa"/>
            <w:vAlign w:val="bottom"/>
          </w:tcPr>
          <w:p>
            <w:pPr>
              <w:jc w:val="right"/>
              <w:ind w:right="252"/>
              <w:spacing w:after="0" w:line="131" w:lineRule="exact"/>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5"/>
        </w:trPr>
        <w:tc>
          <w:tcPr>
            <w:tcW w:w="65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4"/>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revenues: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VB Direct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227,791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257,609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309,910</w:t>
            </w:r>
          </w:p>
        </w:tc>
      </w:tr>
      <w:tr>
        <w:trPr>
          <w:trHeight w:val="230"/>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VB Indirect</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73,803</w:t>
            </w:r>
          </w:p>
        </w:tc>
      </w:tr>
      <w:tr>
        <w:trPr>
          <w:trHeight w:val="223"/>
        </w:trPr>
        <w:tc>
          <w:tcPr>
            <w:tcW w:w="65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269,651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383,713</w:t>
            </w:r>
          </w:p>
        </w:tc>
      </w:tr>
      <w:tr>
        <w:trPr>
          <w:trHeight w:val="21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cost of sales: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VB Direct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117,860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125,467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141,933</w:t>
            </w:r>
          </w:p>
        </w:tc>
      </w:tr>
      <w:tr>
        <w:trPr>
          <w:trHeight w:val="229"/>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VB Indirect</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37,815</w:t>
            </w:r>
          </w:p>
        </w:tc>
      </w:tr>
      <w:tr>
        <w:trPr>
          <w:trHeight w:val="223"/>
        </w:trPr>
        <w:tc>
          <w:tcPr>
            <w:tcW w:w="65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144,614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179,748</w:t>
            </w:r>
          </w:p>
        </w:tc>
      </w:tr>
      <w:tr>
        <w:trPr>
          <w:trHeight w:val="209"/>
        </w:trPr>
        <w:tc>
          <w:tcPr>
            <w:tcW w:w="652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Other segment expenses, net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VB Direct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91,609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106,902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106,104</w:t>
            </w:r>
          </w:p>
        </w:tc>
      </w:tr>
      <w:tr>
        <w:trPr>
          <w:trHeight w:val="229"/>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VB Indirect</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11,709</w:t>
            </w:r>
          </w:p>
        </w:tc>
      </w:tr>
      <w:tr>
        <w:trPr>
          <w:trHeight w:val="223"/>
        </w:trPr>
        <w:tc>
          <w:tcPr>
            <w:tcW w:w="65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98,133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117,813</w:t>
            </w:r>
          </w:p>
        </w:tc>
      </w:tr>
      <w:tr>
        <w:trPr>
          <w:trHeight w:val="20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VB Direct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61,873</w:t>
            </w:r>
          </w:p>
        </w:tc>
      </w:tr>
      <w:tr>
        <w:trPr>
          <w:trHeight w:val="229"/>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VB Indirect</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24,279</w:t>
            </w:r>
          </w:p>
        </w:tc>
      </w:tr>
      <w:tr>
        <w:trPr>
          <w:trHeight w:val="223"/>
        </w:trPr>
        <w:tc>
          <w:tcPr>
            <w:tcW w:w="6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86,152</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65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Reconciliation:</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86,152</w:t>
            </w:r>
          </w:p>
        </w:tc>
      </w:tr>
      <w:tr>
        <w:trPr>
          <w:trHeight w:val="230"/>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(74,535)</w:t>
            </w:r>
          </w:p>
        </w:tc>
      </w:tr>
      <w:tr>
        <w:trPr>
          <w:trHeight w:val="230"/>
        </w:trPr>
        <w:tc>
          <w:tcPr>
            <w:tcW w:w="6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(expense) income</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30"/>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continuing operations before income taxes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12,278</w:t>
            </w:r>
          </w:p>
        </w:tc>
      </w:tr>
    </w:tbl>
    <w:p>
      <w:pPr>
        <w:ind w:left="360"/>
        <w:spacing w:after="0"/>
        <w:rPr>
          <w:sz w:val="20"/>
          <w:szCs w:val="20"/>
          <w:color w:val="auto"/>
        </w:rPr>
      </w:pPr>
      <w:r>
        <w:rPr>
          <w:rFonts w:ascii="Times New Roman" w:cs="Times New Roman" w:eastAsia="Times New Roman" w:hAnsi="Times New Roman"/>
          <w:sz w:val="18"/>
          <w:szCs w:val="18"/>
          <w:color w:val="auto"/>
        </w:rPr>
        <w:t>(1) Other segment expenses, net include selling, general and administrative expenses and are net of 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-121920</wp:posOffset>
            </wp:positionV>
            <wp:extent cx="27857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Sales outside of the United States were immaterial for all periods presented.</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customer accounted for 8% or more of the Company’s net revenues during fiscal years 2026, 2025, and 2024.</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Note 3 herein for disaggregation of net revenues by reportable segment.</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January 31, 2026 and February 1, 2025, substantially all of the Company’s long-lived assets were located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Discontinued Operations</w:t>
      </w:r>
    </w:p>
    <w:p>
      <w:pPr>
        <w:spacing w:after="0" w:line="94"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On March 11, 2025, the Company completed the sale of Creative Genius pursuant to an Interest Purchase Agreement (the “Agreement”) to sell one hundred percent (100%) of Creative Genius, which operates under the name Pura Vida Bracelets. The sale consummated on March 31, 2025. In connection with the transaction, the Company received total consideration of $3.5 million, consisting of a combination of cash consideration, subject to net working capital and net cash adjustments as well as contingent consideration.</w:t>
      </w:r>
    </w:p>
    <w:p>
      <w:pPr>
        <w:spacing w:after="0" w:line="58" w:lineRule="exact"/>
        <w:rPr>
          <w:sz w:val="20"/>
          <w:szCs w:val="20"/>
          <w:color w:val="auto"/>
        </w:rPr>
      </w:pPr>
    </w:p>
    <w:p>
      <w:pPr>
        <w:ind w:left="340"/>
        <w:spacing w:after="0" w:line="273" w:lineRule="auto"/>
        <w:rPr>
          <w:sz w:val="20"/>
          <w:szCs w:val="20"/>
          <w:color w:val="auto"/>
        </w:rPr>
      </w:pPr>
      <w:r>
        <w:rPr>
          <w:rFonts w:ascii="Times New Roman" w:cs="Times New Roman" w:eastAsia="Times New Roman" w:hAnsi="Times New Roman"/>
          <w:sz w:val="17"/>
          <w:szCs w:val="17"/>
          <w:color w:val="auto"/>
        </w:rPr>
        <w:t>At closing, the Company received cash proceeds of $0.9 million, in addition, the Company is entitled to receive contingent consideration with an estimated fair value of $2.5 million, based on the present value of expected future payments. Cash proceeds totaled $1.8 million for the fifty-two weeks ended January 31, 2026. The remaining contingent consideration receivable was $1.8 million as of January 31, 2026. The contingent consideration is calculated as 5% of total sales generated by the divested business, as operated by the buyer, net of customary shipping costs, during the earn-out period specified in the agreement. The earn-out period and related terms are consistent with customary provisions for transactions of this nature. The fair value of the contingent consideration was determined using a probability-weighted discounted cash flow analysis based on internal projections of the buyer’s expected future sales. The fair value measurement is classified as Level 3 within the fair value hierarchy due to the use of unobservable inputs.</w:t>
      </w:r>
    </w:p>
    <w:p>
      <w:pPr>
        <w:spacing w:after="0" w:line="50" w:lineRule="exact"/>
        <w:rPr>
          <w:sz w:val="20"/>
          <w:szCs w:val="20"/>
          <w:color w:val="auto"/>
        </w:rPr>
      </w:pPr>
    </w:p>
    <w:p>
      <w:pPr>
        <w:ind w:left="340" w:right="100"/>
        <w:spacing w:after="0" w:line="282" w:lineRule="auto"/>
        <w:rPr>
          <w:sz w:val="20"/>
          <w:szCs w:val="20"/>
          <w:color w:val="auto"/>
        </w:rPr>
      </w:pPr>
      <w:r>
        <w:rPr>
          <w:rFonts w:ascii="Times New Roman" w:cs="Times New Roman" w:eastAsia="Times New Roman" w:hAnsi="Times New Roman"/>
          <w:sz w:val="18"/>
          <w:szCs w:val="18"/>
          <w:color w:val="auto"/>
        </w:rPr>
        <w:t>The Company will assess changes in the fair value of the contingent consideration at each reporting date, with any adjustments recognized in earnings in the period in which such changes are identified.</w:t>
      </w:r>
    </w:p>
    <w:p>
      <w:pPr>
        <w:spacing w:after="0" w:line="175" w:lineRule="exact"/>
        <w:rPr>
          <w:sz w:val="20"/>
          <w:szCs w:val="20"/>
          <w:color w:val="auto"/>
        </w:rPr>
      </w:pPr>
    </w:p>
    <w:p>
      <w:pPr>
        <w:ind w:left="340" w:right="120"/>
        <w:spacing w:after="0" w:line="266" w:lineRule="auto"/>
        <w:rPr>
          <w:sz w:val="20"/>
          <w:szCs w:val="20"/>
          <w:color w:val="auto"/>
        </w:rPr>
      </w:pPr>
      <w:r>
        <w:rPr>
          <w:rFonts w:ascii="Times New Roman" w:cs="Times New Roman" w:eastAsia="Times New Roman" w:hAnsi="Times New Roman"/>
          <w:sz w:val="18"/>
          <w:szCs w:val="18"/>
          <w:color w:val="auto"/>
        </w:rPr>
        <w:t>The Company recorded a net loss on disposal of $15.2 million for the fifty-two weeks ended January 31, 2026. The loss on sale is presented as part of results of the discontinued operations.</w:t>
      </w:r>
    </w:p>
    <w:p>
      <w:pPr>
        <w:spacing w:after="0" w:line="41" w:lineRule="exact"/>
        <w:rPr>
          <w:sz w:val="20"/>
          <w:szCs w:val="20"/>
          <w:color w:val="auto"/>
        </w:rPr>
      </w:pPr>
    </w:p>
    <w:p>
      <w:pPr>
        <w:ind w:left="340" w:right="60"/>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Pura Vida business is reported as discontinued operations in the Consolidated Statements of Operations for all periods presented. This business was historically presented as its own reportable segment.</w:t>
      </w:r>
    </w:p>
    <w:p>
      <w:pPr>
        <w:spacing w:after="0" w:line="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Results of discontinued operations were as follows for the fifty-two weeks ended January 31, 2026 and February 1, 2025, and fifty-three weeks ended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February 3, 2024:</w:t>
      </w:r>
    </w:p>
    <w:p>
      <w:pPr>
        <w:spacing w:after="0" w:line="9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8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Fifty-Two Weeks Ended</w:t>
            </w:r>
          </w:p>
        </w:tc>
        <w:tc>
          <w:tcPr>
            <w:tcW w:w="120" w:type="dxa"/>
            <w:vAlign w:val="bottom"/>
          </w:tcPr>
          <w:p>
            <w:pPr>
              <w:spacing w:after="0"/>
              <w:rPr>
                <w:sz w:val="13"/>
                <w:szCs w:val="13"/>
                <w:color w:val="auto"/>
              </w:rPr>
            </w:pPr>
          </w:p>
        </w:tc>
        <w:tc>
          <w:tcPr>
            <w:tcW w:w="12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Fifty-Three Weeks</w:t>
            </w:r>
          </w:p>
        </w:tc>
        <w:tc>
          <w:tcPr>
            <w:tcW w:w="0" w:type="dxa"/>
            <w:vAlign w:val="bottom"/>
          </w:tcPr>
          <w:p>
            <w:pPr>
              <w:spacing w:after="0"/>
              <w:rPr>
                <w:sz w:val="1"/>
                <w:szCs w:val="1"/>
                <w:color w:val="auto"/>
              </w:rPr>
            </w:pPr>
          </w:p>
        </w:tc>
      </w:tr>
      <w:tr>
        <w:trPr>
          <w:trHeight w:val="195"/>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36"/>
        </w:trPr>
        <w:tc>
          <w:tcPr>
            <w:tcW w:w="57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120"/>
              <w:spacing w:after="0" w:line="136"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253"/>
              <w:spacing w:after="0" w:line="136"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35"/>
              <w:spacing w:after="0" w:line="136"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95"/>
        </w:trPr>
        <w:tc>
          <w:tcPr>
            <w:tcW w:w="57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8"/>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87,073</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34,625</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52,448</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48,210</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(expense) income, net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loss from discontinued operations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23"/>
        </w:trPr>
        <w:tc>
          <w:tcPr>
            <w:tcW w:w="57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3"/>
        </w:trPr>
        <w:tc>
          <w:tcPr>
            <w:tcW w:w="57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bl>
    <w:p>
      <w:pPr>
        <w:ind w:left="360"/>
        <w:spacing w:after="0"/>
        <w:rPr>
          <w:sz w:val="20"/>
          <w:szCs w:val="20"/>
          <w:color w:val="auto"/>
        </w:rPr>
      </w:pPr>
      <w:r>
        <w:rPr>
          <w:rFonts w:ascii="Times New Roman" w:cs="Times New Roman" w:eastAsia="Times New Roman" w:hAnsi="Times New Roman"/>
          <w:sz w:val="18"/>
          <w:szCs w:val="18"/>
          <w:color w:val="auto"/>
        </w:rPr>
        <w:t>(1) Includes $15.2 million loss on sale of discontinued operations recorded during the fifty-two weeks ended January 31, 2026.</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provides certain transition services to support the divested business in accordance with the Interest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ind w:left="340" w:right="460"/>
        <w:spacing w:after="0" w:line="270" w:lineRule="auto"/>
        <w:rPr>
          <w:sz w:val="20"/>
          <w:szCs w:val="20"/>
          <w:color w:val="auto"/>
        </w:rPr>
      </w:pPr>
      <w:r>
        <w:rPr>
          <w:rFonts w:ascii="Times New Roman" w:cs="Times New Roman" w:eastAsia="Times New Roman" w:hAnsi="Times New Roman"/>
          <w:sz w:val="18"/>
          <w:szCs w:val="18"/>
          <w:color w:val="auto"/>
        </w:rPr>
        <w:t>The assets and liabilities of the Pura Vida operations have been reflected as assets and liabilities of discontinued operations in the Consolidated Balance Sheet as of February 1, 2025. The assets and liabilities were as follows:</w:t>
      </w:r>
    </w:p>
    <w:tbl>
      <w:tblPr>
        <w:tblLayout w:type="fixed"/>
        <w:tblInd w:w="340" w:type="dxa"/>
        <w:tblCellMar>
          <w:top w:w="0" w:type="dxa"/>
          <w:left w:w="0" w:type="dxa"/>
          <w:bottom w:w="0" w:type="dxa"/>
          <w:right w:w="0" w:type="dxa"/>
        </w:tblCellMar>
      </w:tblPr>
      <w:tr>
        <w:trPr>
          <w:trHeight w:val="147"/>
        </w:trPr>
        <w:tc>
          <w:tcPr>
            <w:tcW w:w="7220" w:type="dxa"/>
            <w:vAlign w:val="bottom"/>
          </w:tcPr>
          <w:p>
            <w:pPr>
              <w:spacing w:after="0"/>
              <w:rPr>
                <w:sz w:val="12"/>
                <w:szCs w:val="12"/>
                <w:color w:val="auto"/>
              </w:rPr>
            </w:pPr>
          </w:p>
        </w:tc>
        <w:tc>
          <w:tcPr>
            <w:tcW w:w="11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February 1,</w:t>
            </w:r>
          </w:p>
        </w:tc>
      </w:tr>
      <w:tr>
        <w:trPr>
          <w:trHeight w:val="196"/>
        </w:trPr>
        <w:tc>
          <w:tcPr>
            <w:tcW w:w="72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2"/>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 of discontinued operations</w:t>
            </w: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7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120" w:type="dxa"/>
            <w:vAlign w:val="bottom"/>
          </w:tcPr>
          <w:p>
            <w:pPr>
              <w:jc w:val="right"/>
              <w:ind w:right="94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w:t>
            </w:r>
          </w:p>
        </w:tc>
      </w:tr>
      <w:tr>
        <w:trPr>
          <w:trHeight w:val="219"/>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1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w:t>
            </w:r>
          </w:p>
        </w:tc>
      </w:tr>
      <w:tr>
        <w:trPr>
          <w:trHeight w:val="213"/>
        </w:trPr>
        <w:tc>
          <w:tcPr>
            <w:tcW w:w="7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12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18,578</w:t>
            </w:r>
          </w:p>
        </w:tc>
      </w:tr>
      <w:tr>
        <w:trPr>
          <w:trHeight w:val="219"/>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1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r>
      <w:tr>
        <w:trPr>
          <w:trHeight w:val="207"/>
        </w:trPr>
        <w:tc>
          <w:tcPr>
            <w:tcW w:w="72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current assets of discontinued operations</w:t>
            </w:r>
          </w:p>
        </w:tc>
        <w:tc>
          <w:tcPr>
            <w:tcW w:w="1120" w:type="dxa"/>
            <w:vAlign w:val="bottom"/>
            <w:tcBorders>
              <w:top w:val="single" w:sz="8" w:color="auto"/>
              <w:bottom w:val="single" w:sz="8" w:color="auto"/>
            </w:tcBorders>
          </w:tcPr>
          <w:p>
            <w:pPr>
              <w:jc w:val="right"/>
              <w:ind w:right="941"/>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22,361</w:t>
            </w:r>
          </w:p>
        </w:tc>
      </w:tr>
      <w:tr>
        <w:trPr>
          <w:trHeight w:val="212"/>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3,729</w:t>
            </w: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12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w:t>
            </w: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1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7"/>
        </w:trPr>
        <w:tc>
          <w:tcPr>
            <w:tcW w:w="72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long-term assets of discontinued operations</w:t>
            </w:r>
          </w:p>
        </w:tc>
        <w:tc>
          <w:tcPr>
            <w:tcW w:w="1120" w:type="dxa"/>
            <w:vAlign w:val="bottom"/>
            <w:tcBorders>
              <w:top w:val="single" w:sz="8" w:color="auto"/>
              <w:bottom w:val="single" w:sz="8" w:color="auto"/>
            </w:tcBorders>
          </w:tcPr>
          <w:p>
            <w:pPr>
              <w:jc w:val="right"/>
              <w:ind w:right="941"/>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5,374</w:t>
            </w:r>
          </w:p>
        </w:tc>
      </w:tr>
      <w:tr>
        <w:trPr>
          <w:trHeight w:val="19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of discontinued operations</w:t>
            </w: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7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120" w:type="dxa"/>
            <w:vAlign w:val="bottom"/>
          </w:tcPr>
          <w:p>
            <w:pPr>
              <w:jc w:val="right"/>
              <w:ind w:right="94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2,584</w:t>
            </w:r>
          </w:p>
        </w:tc>
      </w:tr>
      <w:tr>
        <w:trPr>
          <w:trHeight w:val="219"/>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employment costs</w:t>
            </w:r>
          </w:p>
        </w:tc>
        <w:tc>
          <w:tcPr>
            <w:tcW w:w="11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r>
      <w:tr>
        <w:trPr>
          <w:trHeight w:val="213"/>
        </w:trPr>
        <w:tc>
          <w:tcPr>
            <w:tcW w:w="7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operating lease liabilities</w:t>
            </w:r>
          </w:p>
        </w:tc>
        <w:tc>
          <w:tcPr>
            <w:tcW w:w="112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w:t>
            </w:r>
          </w:p>
        </w:tc>
      </w:tr>
      <w:tr>
        <w:trPr>
          <w:trHeight w:val="219"/>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1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w:t>
            </w:r>
          </w:p>
        </w:tc>
      </w:tr>
      <w:tr>
        <w:trPr>
          <w:trHeight w:val="207"/>
        </w:trPr>
        <w:tc>
          <w:tcPr>
            <w:tcW w:w="72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current liabilities of discontinued operations</w:t>
            </w:r>
          </w:p>
        </w:tc>
        <w:tc>
          <w:tcPr>
            <w:tcW w:w="1120" w:type="dxa"/>
            <w:vAlign w:val="bottom"/>
            <w:tcBorders>
              <w:top w:val="single" w:sz="8" w:color="auto"/>
              <w:bottom w:val="single" w:sz="8" w:color="auto"/>
            </w:tcBorders>
          </w:tcPr>
          <w:p>
            <w:pPr>
              <w:jc w:val="right"/>
              <w:ind w:right="941"/>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6,023</w:t>
            </w:r>
          </w:p>
        </w:tc>
      </w:tr>
      <w:tr>
        <w:trPr>
          <w:trHeight w:val="212"/>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3,388</w:t>
            </w:r>
          </w:p>
        </w:tc>
      </w:tr>
      <w:tr>
        <w:trPr>
          <w:trHeight w:val="207"/>
        </w:trPr>
        <w:tc>
          <w:tcPr>
            <w:tcW w:w="72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long-term liabilities of discontinued operations</w:t>
            </w:r>
          </w:p>
        </w:tc>
        <w:tc>
          <w:tcPr>
            <w:tcW w:w="1120" w:type="dxa"/>
            <w:vAlign w:val="bottom"/>
            <w:tcBorders>
              <w:bottom w:val="single" w:sz="8" w:color="auto"/>
            </w:tcBorders>
          </w:tcPr>
          <w:p>
            <w:pPr>
              <w:jc w:val="right"/>
              <w:ind w:right="941"/>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3,388</w:t>
            </w:r>
          </w:p>
        </w:tc>
      </w:tr>
    </w:tbl>
    <w:p>
      <w:pPr>
        <w:spacing w:after="0" w:line="306" w:lineRule="exact"/>
        <w:rPr>
          <w:sz w:val="20"/>
          <w:szCs w:val="20"/>
          <w:color w:val="auto"/>
        </w:rPr>
      </w:pPr>
    </w:p>
    <w:p>
      <w:pPr>
        <w:ind w:left="340"/>
        <w:spacing w:after="0" w:line="270" w:lineRule="auto"/>
        <w:rPr>
          <w:sz w:val="20"/>
          <w:szCs w:val="20"/>
          <w:color w:val="auto"/>
        </w:rPr>
      </w:pPr>
      <w:r>
        <w:rPr>
          <w:rFonts w:ascii="Times New Roman" w:cs="Times New Roman" w:eastAsia="Times New Roman" w:hAnsi="Times New Roman"/>
          <w:sz w:val="18"/>
          <w:szCs w:val="18"/>
          <w:color w:val="auto"/>
        </w:rPr>
        <w:t>The following table presents cash flows from operating and investing activities for discontinued operations for the fifty-two weeks ended January 31, 2026 and February 1, 2025, and fifty-three weeks ended February 3, 2024:</w:t>
      </w:r>
    </w:p>
    <w:tbl>
      <w:tblPr>
        <w:tblLayout w:type="fixed"/>
        <w:tblInd w:w="340" w:type="dxa"/>
        <w:tblCellMar>
          <w:top w:w="0" w:type="dxa"/>
          <w:left w:w="0" w:type="dxa"/>
          <w:bottom w:w="0" w:type="dxa"/>
          <w:right w:w="0" w:type="dxa"/>
        </w:tblCellMar>
      </w:tblPr>
      <w:tr>
        <w:trPr>
          <w:trHeight w:val="149"/>
        </w:trPr>
        <w:tc>
          <w:tcPr>
            <w:tcW w:w="5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ind w:right="85"/>
              <w:spacing w:after="0" w:line="149" w:lineRule="exact"/>
              <w:rPr>
                <w:sz w:val="20"/>
                <w:szCs w:val="20"/>
                <w:color w:val="auto"/>
              </w:rPr>
            </w:pPr>
            <w:r>
              <w:rPr>
                <w:rFonts w:ascii="Times New Roman" w:cs="Times New Roman" w:eastAsia="Times New Roman" w:hAnsi="Times New Roman"/>
                <w:sz w:val="14"/>
                <w:szCs w:val="14"/>
                <w:b w:val="1"/>
                <w:bCs w:val="1"/>
                <w:color w:val="auto"/>
              </w:rPr>
              <w:t>Fifty-Two Weeks</w:t>
            </w:r>
          </w:p>
        </w:tc>
        <w:tc>
          <w:tcPr>
            <w:tcW w:w="200" w:type="dxa"/>
            <w:vAlign w:val="bottom"/>
          </w:tcPr>
          <w:p>
            <w:pPr>
              <w:spacing w:after="0"/>
              <w:rPr>
                <w:sz w:val="12"/>
                <w:szCs w:val="12"/>
                <w:color w:val="auto"/>
              </w:rPr>
            </w:pPr>
          </w:p>
        </w:tc>
        <w:tc>
          <w:tcPr>
            <w:tcW w:w="130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Fifty-Two Weeks</w:t>
            </w:r>
          </w:p>
        </w:tc>
        <w:tc>
          <w:tcPr>
            <w:tcW w:w="160" w:type="dxa"/>
            <w:vAlign w:val="bottom"/>
          </w:tcPr>
          <w:p>
            <w:pPr>
              <w:spacing w:after="0"/>
              <w:rPr>
                <w:sz w:val="12"/>
                <w:szCs w:val="12"/>
                <w:color w:val="auto"/>
              </w:rPr>
            </w:pPr>
          </w:p>
        </w:tc>
        <w:tc>
          <w:tcPr>
            <w:tcW w:w="128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Fifty-Three Weeks</w:t>
            </w:r>
          </w:p>
        </w:tc>
      </w:tr>
      <w:tr>
        <w:trPr>
          <w:trHeight w:val="195"/>
        </w:trPr>
        <w:tc>
          <w:tcPr>
            <w:tcW w:w="5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36"/>
        </w:trPr>
        <w:tc>
          <w:tcPr>
            <w:tcW w:w="5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jc w:val="center"/>
              <w:ind w:right="105"/>
              <w:spacing w:after="0" w:line="136"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200" w:type="dxa"/>
            <w:vAlign w:val="bottom"/>
          </w:tcPr>
          <w:p>
            <w:pPr>
              <w:spacing w:after="0"/>
              <w:rPr>
                <w:sz w:val="11"/>
                <w:szCs w:val="11"/>
                <w:color w:val="auto"/>
              </w:rPr>
            </w:pPr>
          </w:p>
        </w:tc>
        <w:tc>
          <w:tcPr>
            <w:tcW w:w="1300" w:type="dxa"/>
            <w:vAlign w:val="bottom"/>
          </w:tcPr>
          <w:p>
            <w:pPr>
              <w:jc w:val="center"/>
              <w:ind w:right="105"/>
              <w:spacing w:after="0" w:line="136"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160" w:type="dxa"/>
            <w:vAlign w:val="bottom"/>
          </w:tcPr>
          <w:p>
            <w:pPr>
              <w:spacing w:after="0"/>
              <w:rPr>
                <w:sz w:val="11"/>
                <w:szCs w:val="11"/>
                <w:color w:val="auto"/>
              </w:rPr>
            </w:pPr>
          </w:p>
        </w:tc>
        <w:tc>
          <w:tcPr>
            <w:tcW w:w="1280" w:type="dxa"/>
            <w:vAlign w:val="bottom"/>
          </w:tcPr>
          <w:p>
            <w:pPr>
              <w:jc w:val="center"/>
              <w:ind w:right="45"/>
              <w:spacing w:after="0" w:line="136" w:lineRule="exact"/>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5"/>
        </w:trPr>
        <w:tc>
          <w:tcPr>
            <w:tcW w:w="5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6"/>
                <w:szCs w:val="16"/>
                <w:color w:val="auto"/>
              </w:rPr>
            </w:pPr>
          </w:p>
        </w:tc>
        <w:tc>
          <w:tcPr>
            <w:tcW w:w="130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6"/>
                <w:szCs w:val="16"/>
                <w:color w:val="auto"/>
              </w:rPr>
            </w:pPr>
          </w:p>
        </w:tc>
        <w:tc>
          <w:tcPr>
            <w:tcW w:w="128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1"/>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in) provided by operating activities - discontinued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6,017</w:t>
            </w:r>
          </w:p>
        </w:tc>
      </w:tr>
      <w:tr>
        <w:trPr>
          <w:trHeight w:val="210"/>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provided by (used in) investing activities - discontinued operations</w:t>
            </w:r>
          </w:p>
        </w:tc>
        <w:tc>
          <w:tcPr>
            <w:tcW w:w="140" w:type="dxa"/>
            <w:vAlign w:val="bottom"/>
          </w:tcPr>
          <w:p>
            <w:pPr>
              <w:spacing w:after="0"/>
              <w:rPr>
                <w:sz w:val="18"/>
                <w:szCs w:val="18"/>
                <w:color w:val="auto"/>
              </w:rPr>
            </w:pPr>
          </w:p>
        </w:tc>
        <w:tc>
          <w:tcPr>
            <w:tcW w:w="128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8"/>
                <w:szCs w:val="18"/>
                <w:color w:val="auto"/>
              </w:rPr>
            </w:pPr>
          </w:p>
        </w:tc>
        <w:tc>
          <w:tcPr>
            <w:tcW w:w="130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(548)</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60" w:right="4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Quarterly Financial Data (Unaudited)</w:t>
      </w:r>
    </w:p>
    <w:p>
      <w:pPr>
        <w:spacing w:after="0" w:line="94" w:lineRule="exact"/>
        <w:rPr>
          <w:sz w:val="20"/>
          <w:szCs w:val="20"/>
          <w:color w:val="auto"/>
        </w:rPr>
      </w:pPr>
    </w:p>
    <w:p>
      <w:pPr>
        <w:ind w:left="340"/>
        <w:spacing w:after="0" w:line="312" w:lineRule="auto"/>
        <w:rPr>
          <w:sz w:val="20"/>
          <w:szCs w:val="20"/>
          <w:color w:val="auto"/>
        </w:rPr>
      </w:pPr>
      <w:r>
        <w:rPr>
          <w:rFonts w:ascii="Times New Roman" w:cs="Times New Roman" w:eastAsia="Times New Roman" w:hAnsi="Times New Roman"/>
          <w:sz w:val="17"/>
          <w:szCs w:val="17"/>
          <w:color w:val="auto"/>
        </w:rPr>
        <w:t>The following table presents selected unaudited quarterly financial information for each quarter of fiscal 2026 and fiscal 2025. Prior year quarterly amounts have been recast to reflect the presentation of the disposed business as discontinued operations related to the sale described in Note 16.</w:t>
      </w:r>
    </w:p>
    <w:p>
      <w:pPr>
        <w:spacing w:after="0" w:line="390"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4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28"/>
        </w:trPr>
        <w:tc>
          <w:tcPr>
            <w:tcW w:w="4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jc w:val="center"/>
              <w:ind w:right="400"/>
              <w:spacing w:after="0" w:line="129" w:lineRule="exact"/>
              <w:rPr>
                <w:sz w:val="20"/>
                <w:szCs w:val="20"/>
                <w:color w:val="auto"/>
              </w:rPr>
            </w:pPr>
            <w:r>
              <w:rPr>
                <w:rFonts w:ascii="Times New Roman" w:cs="Times New Roman" w:eastAsia="Times New Roman" w:hAnsi="Times New Roman"/>
                <w:sz w:val="14"/>
                <w:szCs w:val="14"/>
                <w:b w:val="1"/>
                <w:bCs w:val="1"/>
                <w:color w:val="auto"/>
              </w:rPr>
              <w:t>May 3,</w:t>
            </w:r>
          </w:p>
        </w:tc>
        <w:tc>
          <w:tcPr>
            <w:tcW w:w="260" w:type="dxa"/>
            <w:vAlign w:val="bottom"/>
          </w:tcPr>
          <w:p>
            <w:pPr>
              <w:spacing w:after="0"/>
              <w:rPr>
                <w:sz w:val="11"/>
                <w:szCs w:val="11"/>
                <w:color w:val="auto"/>
              </w:rPr>
            </w:pPr>
          </w:p>
        </w:tc>
        <w:tc>
          <w:tcPr>
            <w:tcW w:w="124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August 2,</w:t>
            </w:r>
          </w:p>
        </w:tc>
        <w:tc>
          <w:tcPr>
            <w:tcW w:w="200" w:type="dxa"/>
            <w:vAlign w:val="bottom"/>
          </w:tcPr>
          <w:p>
            <w:pPr>
              <w:spacing w:after="0"/>
              <w:rPr>
                <w:sz w:val="11"/>
                <w:szCs w:val="11"/>
                <w:color w:val="auto"/>
              </w:rPr>
            </w:pPr>
          </w:p>
        </w:tc>
        <w:tc>
          <w:tcPr>
            <w:tcW w:w="13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220" w:type="dxa"/>
            <w:vAlign w:val="bottom"/>
          </w:tcPr>
          <w:p>
            <w:pPr>
              <w:spacing w:after="0"/>
              <w:rPr>
                <w:sz w:val="11"/>
                <w:szCs w:val="11"/>
                <w:color w:val="auto"/>
              </w:rPr>
            </w:pPr>
          </w:p>
        </w:tc>
        <w:tc>
          <w:tcPr>
            <w:tcW w:w="1180" w:type="dxa"/>
            <w:vAlign w:val="bottom"/>
          </w:tcPr>
          <w:p>
            <w:pPr>
              <w:jc w:val="center"/>
              <w:ind w:right="134"/>
              <w:spacing w:after="0" w:line="129" w:lineRule="exact"/>
              <w:rPr>
                <w:sz w:val="20"/>
                <w:szCs w:val="20"/>
                <w:color w:val="auto"/>
              </w:rPr>
            </w:pPr>
            <w:r>
              <w:rPr>
                <w:rFonts w:ascii="Times New Roman" w:cs="Times New Roman" w:eastAsia="Times New Roman" w:hAnsi="Times New Roman"/>
                <w:sz w:val="14"/>
                <w:szCs w:val="14"/>
                <w:b w:val="1"/>
                <w:bCs w:val="1"/>
                <w:color w:val="auto"/>
              </w:rPr>
              <w:t>January 31,</w:t>
            </w:r>
          </w:p>
        </w:tc>
      </w:tr>
      <w:tr>
        <w:trPr>
          <w:trHeight w:val="196"/>
        </w:trPr>
        <w:tc>
          <w:tcPr>
            <w:tcW w:w="4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2026</w:t>
            </w: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2026</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70,858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84,888</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40,587</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r>
      <w:tr>
        <w:trPr>
          <w:trHeight w:val="270"/>
        </w:trPr>
        <w:tc>
          <w:tcPr>
            <w:tcW w:w="4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176"/>
        </w:trPr>
        <w:tc>
          <w:tcPr>
            <w:tcW w:w="4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Basic net (loss) income from continuing operations per</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(loss) income per share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175"/>
        </w:trPr>
        <w:tc>
          <w:tcPr>
            <w:tcW w:w="4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Diluted net (loss) income from continuing operations per</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3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(loss) income per share</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714"/>
        </w:trPr>
        <w:tc>
          <w:tcPr>
            <w:tcW w:w="4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
        </w:trPr>
        <w:tc>
          <w:tcPr>
            <w:tcW w:w="4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29"/>
        </w:trPr>
        <w:tc>
          <w:tcPr>
            <w:tcW w:w="4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jc w:val="center"/>
              <w:ind w:right="400"/>
              <w:spacing w:after="0" w:line="129" w:lineRule="exact"/>
              <w:rPr>
                <w:sz w:val="20"/>
                <w:szCs w:val="20"/>
                <w:color w:val="auto"/>
              </w:rPr>
            </w:pPr>
            <w:r>
              <w:rPr>
                <w:rFonts w:ascii="Times New Roman" w:cs="Times New Roman" w:eastAsia="Times New Roman" w:hAnsi="Times New Roman"/>
                <w:sz w:val="14"/>
                <w:szCs w:val="14"/>
                <w:b w:val="1"/>
                <w:bCs w:val="1"/>
                <w:color w:val="auto"/>
              </w:rPr>
              <w:t>May 4,</w:t>
            </w:r>
          </w:p>
        </w:tc>
        <w:tc>
          <w:tcPr>
            <w:tcW w:w="260" w:type="dxa"/>
            <w:vAlign w:val="bottom"/>
          </w:tcPr>
          <w:p>
            <w:pPr>
              <w:spacing w:after="0"/>
              <w:rPr>
                <w:sz w:val="11"/>
                <w:szCs w:val="11"/>
                <w:color w:val="auto"/>
              </w:rPr>
            </w:pPr>
          </w:p>
        </w:tc>
        <w:tc>
          <w:tcPr>
            <w:tcW w:w="124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00" w:type="dxa"/>
            <w:vAlign w:val="bottom"/>
          </w:tcPr>
          <w:p>
            <w:pPr>
              <w:spacing w:after="0"/>
              <w:rPr>
                <w:sz w:val="11"/>
                <w:szCs w:val="11"/>
                <w:color w:val="auto"/>
              </w:rPr>
            </w:pPr>
          </w:p>
        </w:tc>
        <w:tc>
          <w:tcPr>
            <w:tcW w:w="13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220" w:type="dxa"/>
            <w:vAlign w:val="bottom"/>
          </w:tcPr>
          <w:p>
            <w:pPr>
              <w:spacing w:after="0"/>
              <w:rPr>
                <w:sz w:val="11"/>
                <w:szCs w:val="11"/>
                <w:color w:val="auto"/>
              </w:rPr>
            </w:pPr>
          </w:p>
        </w:tc>
        <w:tc>
          <w:tcPr>
            <w:tcW w:w="1180" w:type="dxa"/>
            <w:vAlign w:val="bottom"/>
          </w:tcPr>
          <w:p>
            <w:pPr>
              <w:jc w:val="center"/>
              <w:ind w:right="134"/>
              <w:spacing w:after="0" w:line="129" w:lineRule="exact"/>
              <w:rPr>
                <w:sz w:val="20"/>
                <w:szCs w:val="20"/>
                <w:color w:val="auto"/>
              </w:rPr>
            </w:pPr>
            <w:r>
              <w:rPr>
                <w:rFonts w:ascii="Times New Roman" w:cs="Times New Roman" w:eastAsia="Times New Roman" w:hAnsi="Times New Roman"/>
                <w:sz w:val="14"/>
                <w:szCs w:val="14"/>
                <w:b w:val="1"/>
                <w:bCs w:val="1"/>
                <w:color w:val="auto"/>
              </w:rPr>
              <w:t>February 1,</w:t>
            </w:r>
          </w:p>
        </w:tc>
      </w:tr>
      <w:tr>
        <w:trPr>
          <w:trHeight w:val="196"/>
        </w:trPr>
        <w:tc>
          <w:tcPr>
            <w:tcW w:w="4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2025</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94,003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70,483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86,361</w:t>
            </w: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39,672</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(19,970)</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(46,973)</w:t>
            </w:r>
          </w:p>
        </w:tc>
      </w:tr>
      <w:tr>
        <w:trPr>
          <w:trHeight w:val="270"/>
        </w:trPr>
        <w:tc>
          <w:tcPr>
            <w:tcW w:w="4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176"/>
        </w:trPr>
        <w:tc>
          <w:tcPr>
            <w:tcW w:w="4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Basic net (loss) income from continuing operations per</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(loss) income per share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176"/>
        </w:trPr>
        <w:tc>
          <w:tcPr>
            <w:tcW w:w="4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Diluted net (loss) income from continuing operations per</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r>
      <w:tr>
        <w:trPr>
          <w:trHeight w:val="23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(loss) income per share</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360" w:right="6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480"/>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5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08"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provide reasonable assurance that information required to be disclosed in the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Operating &amp; Financial Officer, as appropriate to allow timely decisions regarding required disclosures. Because of inherent limitations, disclosure controls and procedures, no matter how well designed and operated, can provide only reasonable, and not absolute, assurance that the objectives of disclosure controls and procedures are met.</w:t>
      </w:r>
    </w:p>
    <w:p>
      <w:pPr>
        <w:spacing w:after="0" w:line="66" w:lineRule="exact"/>
        <w:rPr>
          <w:sz w:val="20"/>
          <w:szCs w:val="20"/>
          <w:color w:val="auto"/>
        </w:rPr>
      </w:pPr>
    </w:p>
    <w:p>
      <w:pPr>
        <w:ind w:right="2360"/>
        <w:spacing w:after="0" w:line="276"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Operating &amp; Financial Officer, evaluated the effectiveness of our disclosure controls and procedures as of the end of the period covered by this report. Based on that</w:t>
      </w:r>
    </w:p>
    <w:p>
      <w:pPr>
        <w:spacing w:after="0" w:line="1"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evaluation, our Chief Executive Officer and our Chief Operating &amp; Financial Officer each have concluded that the Company’s disclosure controls and procedures are effective as of January 31, 2026.</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reporting purposes in accordance with generally accepted accounting principles. Management, under the supervision and with the participation of the Company’s Chief Executive Officer and Chief Operating &amp; Financial Officer, has evaluated the effectiveness of the Company’s internal control over financial reporting using the criteria set forth by the Committee of Sponsoring Organizations (COSO) of the Treadway Commission (2013 framework) in Internal Control-Integrated Framework. Based on the results of that evaluation, management has concluded that such internal control over financial reporting was effective as of January 31, 2026.</w:t>
      </w:r>
    </w:p>
    <w:p>
      <w:pPr>
        <w:spacing w:after="0" w:line="6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January 31, 2026, has been audited by Deloitte and Touche LLP, an independent registered public accounting firm, as stated in their report which appears in Item 8 of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0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43" w:lineRule="exact"/>
        <w:rPr>
          <w:sz w:val="20"/>
          <w:szCs w:val="20"/>
          <w:color w:val="auto"/>
        </w:rPr>
      </w:pPr>
    </w:p>
    <w:p>
      <w:pPr>
        <w:ind w:right="5140"/>
        <w:spacing w:after="0" w:line="380"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Directors, Executive Officers and Corporate Governance</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information set forth in the Proxy Statement for the 2026 Annual Meeting of Shareholders under the headings “The Board of Directors,” “Family Relationships,” “Delinquent Section 16(a) Reports,” “Conflict of Interest and Business Ethics Policy,” “Code of Ethics for Senior Financial Officers,” and “Standing Committees and Meetings of the Board” is incorporated herein by reference. The Proxy Statement will be filed with the Commission within 120 days after the end of the fiscal year covered by this Form 10-K pursuant to Regulation 14A under the Securities Exchange Act of 1934, as amended. In addition, the information set forth under the heading “Item 1: Business – Executive Officers of the Company” in this Form 10-K is incorporated herein by reference.</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Executive Compensation</w:t>
      </w:r>
    </w:p>
    <w:p>
      <w:pPr>
        <w:spacing w:after="0" w:line="10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information set forth in the Proxy Statement for the 2026 Annual Meeting of Shareholders under the headings “Executive Compensation Discussion and Analysis,” “Compensation Committee Interlocks and Insider Participation,” “Compensation Tables,” and “Compensation Committee Report”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17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set forth in the Proxy Statement for the 2026 Annual Meeting of Shareholders under the heading “Share Ownership of Certain Beneficial Owners and Management”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equity securities authorized for issuance under our equity compensation plans as of January 31, 2026:</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2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2060" w:type="dxa"/>
            <w:vAlign w:val="bottom"/>
            <w:gridSpan w:val="2"/>
            <w:vMerge w:val="continue"/>
          </w:tcPr>
          <w:p>
            <w:pPr>
              <w:spacing w:after="0"/>
              <w:rPr>
                <w:sz w:val="11"/>
                <w:szCs w:val="11"/>
                <w:color w:val="auto"/>
              </w:rPr>
            </w:pPr>
          </w:p>
        </w:tc>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20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2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2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2080" w:type="dxa"/>
            <w:vAlign w:val="bottom"/>
            <w:gridSpan w:val="2"/>
            <w:vMerge w:val="continue"/>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Equity</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20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20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9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20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w:t>
            </w:r>
          </w:p>
        </w:tc>
        <w:tc>
          <w:tcPr>
            <w:tcW w:w="0" w:type="dxa"/>
            <w:vAlign w:val="bottom"/>
          </w:tcPr>
          <w:p>
            <w:pPr>
              <w:spacing w:after="0"/>
              <w:rPr>
                <w:sz w:val="1"/>
                <w:szCs w:val="1"/>
                <w:color w:val="auto"/>
              </w:rPr>
            </w:pPr>
          </w:p>
        </w:tc>
      </w:tr>
      <w:tr>
        <w:trPr>
          <w:trHeight w:val="196"/>
        </w:trPr>
        <w:tc>
          <w:tcPr>
            <w:tcW w:w="5040" w:type="dxa"/>
            <w:vAlign w:val="bottom"/>
            <w:vMerge w:val="continue"/>
          </w:tcPr>
          <w:p>
            <w:pPr>
              <w:spacing w:after="0"/>
              <w:rPr>
                <w:sz w:val="17"/>
                <w:szCs w:val="17"/>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Rights (a) (1)</w:t>
            </w: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and Rights (b) ($)</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(a) (c) </w:t>
            </w: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229"/>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2,598,337</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2,056,333</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2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2,598,337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960" w:type="dxa"/>
            <w:vAlign w:val="bottom"/>
            <w:tcBorders>
              <w:top w:val="single" w:sz="8" w:color="auto"/>
              <w:bottom w:val="single" w:sz="8" w:color="auto"/>
            </w:tcBorders>
            <w:shd w:val="clear" w:color="auto" w:fill="CCEEFF"/>
          </w:tcPr>
          <w:p>
            <w:pPr>
              <w:ind w:left="17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2,056,333</w:t>
            </w:r>
          </w:p>
        </w:tc>
        <w:tc>
          <w:tcPr>
            <w:tcW w:w="0" w:type="dxa"/>
            <w:vAlign w:val="bottom"/>
          </w:tcPr>
          <w:p>
            <w:pPr>
              <w:spacing w:after="0"/>
              <w:rPr>
                <w:sz w:val="1"/>
                <w:szCs w:val="1"/>
                <w:color w:val="auto"/>
              </w:rPr>
            </w:pPr>
          </w:p>
        </w:tc>
      </w:tr>
    </w:tbl>
    <w:p>
      <w:pPr>
        <w:ind w:left="20" w:right="200" w:firstLine="6"/>
        <w:spacing w:after="0" w:line="245" w:lineRule="auto"/>
        <w:tabs>
          <w:tab w:leader="none" w:pos="249"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that target performance requirements will be achieved for performance shares with incomplete performance periods. These securities represent awards to be issued under the 2020 Equity and Incentive Plan.</w:t>
      </w:r>
    </w:p>
    <w:p>
      <w:pPr>
        <w:spacing w:after="0" w:line="2" w:lineRule="exact"/>
        <w:rPr>
          <w:rFonts w:ascii="Times New Roman" w:cs="Times New Roman" w:eastAsia="Times New Roman" w:hAnsi="Times New Roman"/>
          <w:sz w:val="16"/>
          <w:szCs w:val="16"/>
          <w:color w:val="auto"/>
        </w:rPr>
      </w:pPr>
    </w:p>
    <w:p>
      <w:pPr>
        <w:ind w:left="260" w:hanging="234"/>
        <w:spacing w:after="0"/>
        <w:tabs>
          <w:tab w:leader="none" w:pos="2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securities available for issuance under the 2020 Equity and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-347345</wp:posOffset>
            </wp:positionV>
            <wp:extent cx="38747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47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set forth in the Proxy Statement for the 2026 Annual Meeting of Shareholders under the headings “Policy on Related Party Transactions,” “Related Party Transactions for Fiscal 2026,” and “Board Independence”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17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9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2026 Proxy Statement under the caption “Principal Accounting Fees and Services.” The Proxy Statement will be filed with the Commission within 120 days after the end of the fiscal year covered by this Form 10-K pursuant to Regulation 14A under the Securities Exchange Act of 1934, as amended.</w:t>
      </w: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9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Consolidated Financial Statements</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consolidated financial statements of Vera Bradley, Inc. are filed as part of this report under Item 8. Financial Statements and Supplementary Data:</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3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Reports of Independent Registered Public Accounting Firm</w:t>
            </w:r>
          </w:p>
        </w:tc>
        <w:tc>
          <w:tcPr>
            <w:tcW w:w="6020" w:type="dxa"/>
            <w:vAlign w:val="bottom"/>
            <w:gridSpan w:val="6"/>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January 31, 2026, and February 1, 2025</w:t>
            </w:r>
          </w:p>
        </w:tc>
        <w:tc>
          <w:tcPr>
            <w:tcW w:w="4920" w:type="dxa"/>
            <w:vAlign w:val="bottom"/>
            <w:gridSpan w:val="5"/>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9"/>
        </w:trPr>
        <w:tc>
          <w:tcPr>
            <w:tcW w:w="103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fiscal years ended January 31, 2026, February 1, 2025, and February 3, 2024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124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57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 Income for the fiscal years ended January 31, 2026, February 1, 2025, and</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56"/>
        </w:trPr>
        <w:tc>
          <w:tcPr>
            <w:tcW w:w="124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February 3, 2024</w:t>
            </w:r>
          </w:p>
        </w:tc>
        <w:tc>
          <w:tcPr>
            <w:tcW w:w="1920" w:type="dxa"/>
            <w:vAlign w:val="bottom"/>
            <w:tcBorders>
              <w:top w:val="single" w:sz="8" w:color="0000FF"/>
            </w:tcBorders>
          </w:tcPr>
          <w:p>
            <w:pPr>
              <w:spacing w:after="0"/>
              <w:rPr>
                <w:sz w:val="13"/>
                <w:szCs w:val="13"/>
                <w:color w:val="auto"/>
              </w:rPr>
            </w:pPr>
          </w:p>
        </w:tc>
        <w:tc>
          <w:tcPr>
            <w:tcW w:w="5800" w:type="dxa"/>
            <w:vAlign w:val="bottom"/>
            <w:tcBorders>
              <w:top w:val="single" w:sz="8" w:color="0000FF"/>
            </w:tcBorders>
            <w:gridSpan w:val="4"/>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6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 for the fiscal years ended January 31, 2026, February 1, 2025, and February 3, 2024</w:t>
            </w:r>
          </w:p>
        </w:tc>
        <w:tc>
          <w:tcPr>
            <w:tcW w:w="6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9"/>
        </w:trPr>
        <w:tc>
          <w:tcPr>
            <w:tcW w:w="103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fiscal years ended January 31, 2026, February 1, 2025, and February 3, 2024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0"/>
        </w:trPr>
        <w:tc>
          <w:tcPr>
            <w:tcW w:w="31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800" w:type="dxa"/>
            <w:vAlign w:val="bottom"/>
            <w:tcBorders>
              <w:top w:val="single" w:sz="8" w:color="0000FF"/>
            </w:tcBorders>
            <w:gridSpan w:val="4"/>
          </w:tcPr>
          <w:p>
            <w:pPr>
              <w:spacing w:after="0"/>
              <w:rPr>
                <w:sz w:val="18"/>
                <w:szCs w:val="18"/>
                <w:color w:val="auto"/>
              </w:rPr>
            </w:pPr>
          </w:p>
        </w:tc>
        <w:tc>
          <w:tcPr>
            <w:tcW w:w="1360" w:type="dxa"/>
            <w:vAlign w:val="bottom"/>
            <w:gridSpan w:val="3"/>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not required or are not applicable or because the information required in those schedules either is not material or is included in the consolidated financial statements or the accompanying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List of Exhibits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documents set forth below are filed herewith or incorporated by reference to the location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0" w:type="dxa"/>
            <w:vAlign w:val="bottom"/>
            <w:gridSpan w:val="28"/>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01"/>
        </w:trPr>
        <w:tc>
          <w:tcPr>
            <w:tcW w:w="20" w:type="dxa"/>
            <w:vAlign w:val="bottom"/>
          </w:tcPr>
          <w:p>
            <w:pPr>
              <w:spacing w:after="0"/>
              <w:rPr>
                <w:sz w:val="24"/>
                <w:szCs w:val="24"/>
                <w:color w:val="auto"/>
              </w:rPr>
            </w:pPr>
          </w:p>
        </w:tc>
        <w:tc>
          <w:tcPr>
            <w:tcW w:w="1200" w:type="dxa"/>
            <w:vAlign w:val="bottom"/>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740" w:type="dxa"/>
            <w:vAlign w:val="bottom"/>
            <w:gridSpan w:val="27"/>
          </w:tcPr>
          <w:p>
            <w:pPr>
              <w:ind w:left="3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331"/>
        </w:trPr>
        <w:tc>
          <w:tcPr>
            <w:tcW w:w="440" w:type="dxa"/>
            <w:vAlign w:val="bottom"/>
            <w:gridSpan w:val="5"/>
          </w:tcPr>
          <w:p>
            <w:pPr>
              <w:ind w:left="20"/>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5"/>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Interest Purchase Agreement dated January 23, 2023, among Vera Bradley Holdings, LLC; Creative Genius Holdings, Inc.; Creative</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540" w:type="dxa"/>
            <w:vAlign w:val="bottom"/>
            <w:tcBorders>
              <w:top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Genius, Inc.; Griffin Thall; and Paul Goodman (incorporated by reference to Exhibit 10.1 to the Current Report on Form 8-K filed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380" w:type="dxa"/>
            <w:vAlign w:val="bottom"/>
            <w:tcBorders>
              <w:top w:val="single" w:sz="8" w:color="0000FF"/>
            </w:tcBorders>
            <w:gridSpan w:val="17"/>
          </w:tcPr>
          <w:p>
            <w:pPr>
              <w:spacing w:after="0" w:line="182"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January 24, 2023)</w:t>
              </w:r>
            </w:hyperlink>
          </w:p>
        </w:tc>
        <w:tc>
          <w:tcPr>
            <w:tcW w:w="6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5"/>
        </w:trPr>
        <w:tc>
          <w:tcPr>
            <w:tcW w:w="440" w:type="dxa"/>
            <w:vAlign w:val="bottom"/>
            <w:gridSpan w:val="5"/>
          </w:tcPr>
          <w:p>
            <w:pPr>
              <w:ind w:left="20"/>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2+</w:t>
              </w:r>
            </w:hyperlink>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5"/>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Interest Purchase Agreement, dated March 11, 2025, by and among Project Aster Acquisition, LLC, Creative Genius, LLC, and Vera</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Bradley Holdings, LLC</w:t>
              </w:r>
            </w:hyperlink>
          </w:p>
        </w:tc>
        <w:tc>
          <w:tcPr>
            <w:tcW w:w="7880" w:type="dxa"/>
            <w:vAlign w:val="bottom"/>
            <w:tcBorders>
              <w:top w:val="single" w:sz="8" w:color="0000FF"/>
            </w:tcBorders>
            <w:gridSpan w:val="19"/>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85"/>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104">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5"/>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Amended and Restated Articles of Incorporation (Incorporated by reference to Exhibit 3.1 to the Current Report on Form 8-K filed June</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6"/>
              </w:rPr>
            </w:pPr>
            <w:hyperlink r:id="rId104">
              <w:r>
                <w:rPr>
                  <w:rFonts w:ascii="Times New Roman" w:cs="Times New Roman" w:eastAsia="Times New Roman" w:hAnsi="Times New Roman"/>
                  <w:sz w:val="18"/>
                  <w:szCs w:val="18"/>
                  <w:color w:val="0000FF"/>
                  <w:w w:val="96"/>
                </w:rPr>
                <w:t>8, 2021)</w:t>
              </w:r>
            </w:hyperlink>
          </w:p>
        </w:tc>
        <w:tc>
          <w:tcPr>
            <w:tcW w:w="64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6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8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540" w:type="dxa"/>
            <w:vAlign w:val="bottom"/>
            <w:tcBorders>
              <w:top w:val="single" w:sz="8" w:color="0000FF"/>
            </w:tcBorders>
          </w:tcPr>
          <w:p>
            <w:pPr>
              <w:spacing w:after="0"/>
              <w:rPr>
                <w:sz w:val="15"/>
                <w:szCs w:val="15"/>
                <w:color w:val="auto"/>
              </w:rPr>
            </w:pPr>
          </w:p>
        </w:tc>
        <w:tc>
          <w:tcPr>
            <w:tcW w:w="2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99"/>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105">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Amended and Restated Bylaws (Incorporated by reference to Exhibit 3.2 to the Current Report on Form 8-K filed March 6, 2019)</w:t>
              </w:r>
            </w:hyperlink>
          </w:p>
        </w:tc>
        <w:tc>
          <w:tcPr>
            <w:tcW w:w="640" w:type="dxa"/>
            <w:vAlign w:val="bottom"/>
            <w:gridSpan w:val="19"/>
          </w:tcPr>
          <w:p>
            <w:pPr>
              <w:spacing w:after="0"/>
              <w:rPr>
                <w:sz w:val="24"/>
                <w:szCs w:val="24"/>
                <w:color w:val="auto"/>
              </w:rPr>
            </w:pPr>
          </w:p>
        </w:tc>
      </w:tr>
      <w:tr>
        <w:trPr>
          <w:trHeight w:val="371"/>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106">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5"/>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Specimen Common Stock Certificate (Incorporated by reference to Exhibit 4.1 to the Registration Statement on Form S-1, Registration</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6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No. 333-167934)</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5"/>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107">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5"/>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Description of Registrant’s Securities (Incorporated by reference to Exhibit 4.2 to the Annual Report on Form 10-K for the fiscal year</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ended February 1, 2020)</w:t>
              </w:r>
            </w:hyperlink>
          </w:p>
        </w:tc>
        <w:tc>
          <w:tcPr>
            <w:tcW w:w="786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85"/>
        </w:trPr>
        <w:tc>
          <w:tcPr>
            <w:tcW w:w="20" w:type="dxa"/>
            <w:vAlign w:val="bottom"/>
          </w:tcPr>
          <w:p>
            <w:pPr>
              <w:spacing w:after="0"/>
              <w:rPr>
                <w:sz w:val="24"/>
                <w:szCs w:val="24"/>
                <w:color w:val="auto"/>
              </w:rPr>
            </w:pPr>
          </w:p>
        </w:tc>
        <w:tc>
          <w:tcPr>
            <w:tcW w:w="1200" w:type="dxa"/>
            <w:vAlign w:val="bottom"/>
            <w:gridSpan w:val="7"/>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10000" w:type="dxa"/>
            <w:vAlign w:val="bottom"/>
            <w:gridSpan w:val="35"/>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Form of Indemnification Agreement (Incorporated by reference to Exhibit 10.5 to the Registration Statement on Form S-1, Registration</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No. 333-167934)</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00" w:type="dxa"/>
            <w:vAlign w:val="bottom"/>
            <w:tcBorders>
              <w:right w:val="single" w:sz="8" w:color="0000FF"/>
            </w:tcBorders>
            <w:gridSpan w:val="2"/>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200" w:type="dxa"/>
            <w:vAlign w:val="bottom"/>
            <w:gridSpan w:val="7"/>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10000" w:type="dxa"/>
            <w:vAlign w:val="bottom"/>
            <w:gridSpan w:val="35"/>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Form of Outside Director Restricted Stock Unit Terms and Conditions (Incorporated by reference to Exhibit 10.4 to the Quarterly Report</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0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on Form 10-Q for the quarter ended May 1, 2021)</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00" w:type="dxa"/>
            <w:vAlign w:val="bottom"/>
            <w:tcBorders>
              <w:right w:val="single" w:sz="8" w:color="0000FF"/>
            </w:tcBorders>
            <w:gridSpan w:val="2"/>
          </w:tcPr>
          <w:p>
            <w:pPr>
              <w:spacing w:after="0" w:line="20" w:lineRule="exact"/>
              <w:rPr>
                <w:sz w:val="1"/>
                <w:szCs w:val="1"/>
                <w:color w:val="auto"/>
              </w:rPr>
            </w:pPr>
          </w:p>
        </w:tc>
        <w:tc>
          <w:tcPr>
            <w:tcW w:w="338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200" w:type="dxa"/>
            <w:vAlign w:val="bottom"/>
            <w:gridSpan w:val="7"/>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10000" w:type="dxa"/>
            <w:vAlign w:val="bottom"/>
            <w:gridSpan w:val="35"/>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Vera Bradley, Inc. 2014 Executive Severance Plan (Amended May 30, 2018) (Incorporated by reference to Exhibit 10.4 to the Annual</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Report on Form 10-K for the year ended February 2, 2019)</w:t>
              </w:r>
            </w:hyperlink>
          </w:p>
        </w:tc>
        <w:tc>
          <w:tcPr>
            <w:tcW w:w="5400" w:type="dxa"/>
            <w:vAlign w:val="bottom"/>
            <w:tcBorders>
              <w:top w:val="single" w:sz="8" w:color="0000FF"/>
            </w:tcBorders>
            <w:gridSpan w:val="16"/>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r>
      <w:tr>
        <w:trPr>
          <w:trHeight w:val="385"/>
        </w:trPr>
        <w:tc>
          <w:tcPr>
            <w:tcW w:w="360" w:type="dxa"/>
            <w:vAlign w:val="bottom"/>
            <w:gridSpan w:val="4"/>
          </w:tcPr>
          <w:p>
            <w:pPr>
              <w:ind w:left="20"/>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5"/>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Pledge and Security Agreement dated as of September 7, 2018 among Vera Bradley Designs, Inc., Vera Bradley, Inc., Vera Bradley</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International, LLC, Vera Bradley Sales, LLC, and JP Morgan Chase Bank, N.A. (Incorporated by reference to Exhibit 10.2 to the</w:t>
              </w:r>
            </w:hyperlink>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3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Quarterly Report on Form 10-Q for the quarter ended August 4, 2018)</w:t>
              </w:r>
            </w:hyperlink>
          </w:p>
        </w:tc>
        <w:tc>
          <w:tcPr>
            <w:tcW w:w="2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700" w:type="dxa"/>
            <w:vAlign w:val="bottom"/>
            <w:tcBorders>
              <w:right w:val="single" w:sz="8" w:color="0000FF"/>
            </w:tcBorders>
            <w:gridSpan w:val="2"/>
          </w:tcPr>
          <w:p>
            <w:pPr>
              <w:spacing w:after="0" w:line="20" w:lineRule="exact"/>
              <w:rPr>
                <w:sz w:val="1"/>
                <w:szCs w:val="1"/>
                <w:color w:val="auto"/>
              </w:rPr>
            </w:pPr>
          </w:p>
        </w:tc>
        <w:tc>
          <w:tcPr>
            <w:tcW w:w="338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200" w:type="dxa"/>
            <w:vAlign w:val="bottom"/>
            <w:gridSpan w:val="7"/>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10000" w:type="dxa"/>
            <w:vAlign w:val="bottom"/>
            <w:gridSpan w:val="35"/>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Fiscal 2026 Annual Incentive Compensation Plan (Executives) (Incorporated by reference to Exhibit 10.1 to the Quarterly Report on</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58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Form 10-Q for the quarter ended May 3, 2025)</w:t>
              </w:r>
            </w:hyperlink>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700" w:type="dxa"/>
            <w:vAlign w:val="bottom"/>
            <w:tcBorders>
              <w:right w:val="single" w:sz="8" w:color="0000FF"/>
            </w:tcBorders>
            <w:gridSpan w:val="2"/>
          </w:tcPr>
          <w:p>
            <w:pPr>
              <w:spacing w:after="0" w:line="20" w:lineRule="exact"/>
              <w:rPr>
                <w:sz w:val="1"/>
                <w:szCs w:val="1"/>
                <w:color w:val="auto"/>
              </w:rPr>
            </w:pPr>
          </w:p>
        </w:tc>
        <w:tc>
          <w:tcPr>
            <w:tcW w:w="338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200" w:type="dxa"/>
            <w:vAlign w:val="bottom"/>
            <w:gridSpan w:val="7"/>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10000" w:type="dxa"/>
            <w:vAlign w:val="bottom"/>
            <w:gridSpan w:val="35"/>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Form of Restricted Stock Unit/Performance Unit Terms and Conditions (Revised Fiscal 2019) (Incorporated by reference to Exhibit 10.2</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8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to the Quarterly Report on Form 10-Q for the quarter ended May 5, 2018)</w:t>
              </w:r>
            </w:hyperlink>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3460" w:type="dxa"/>
            <w:vAlign w:val="bottom"/>
            <w:gridSpan w:val="6"/>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5"/>
        </w:trPr>
        <w:tc>
          <w:tcPr>
            <w:tcW w:w="360" w:type="dxa"/>
            <w:vAlign w:val="bottom"/>
            <w:gridSpan w:val="4"/>
          </w:tcPr>
          <w:p>
            <w:pPr>
              <w:ind w:left="20"/>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5"/>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Third Amendment to Credit Agreement dated as of August 3, 2023 among Vera Bradley Designs, Inc., the other borrowers party thereto,</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tcBorders>
              <w:top w:val="single" w:sz="8" w:color="0000FF"/>
              <w:bottom w:val="single" w:sz="8" w:color="0000FF"/>
            </w:tcBorders>
            <w:gridSpan w:val="31"/>
          </w:tcPr>
          <w:p>
            <w:pPr>
              <w:spacing w:after="0" w:line="156"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JPMorgan Chase Bank, N.A., and the lenders party thereto (Incorporated by reference to Exhibit 10.1 on Form 8-K filed August 8, 2023)</w:t>
              </w:r>
            </w:hyperlink>
          </w:p>
        </w:tc>
        <w:tc>
          <w:tcPr>
            <w:tcW w:w="60" w:type="dxa"/>
            <w:vAlign w:val="bottom"/>
            <w:tcBorders>
              <w:bottom w:val="single" w:sz="8" w:color="0000FF"/>
            </w:tcBorders>
            <w:gridSpan w:val="3"/>
          </w:tcPr>
          <w:p>
            <w:pPr>
              <w:spacing w:after="0"/>
              <w:rPr>
                <w:sz w:val="13"/>
                <w:szCs w:val="13"/>
                <w:color w:val="auto"/>
              </w:rPr>
            </w:pPr>
          </w:p>
        </w:tc>
        <w:tc>
          <w:tcPr>
            <w:tcW w:w="80" w:type="dxa"/>
            <w:vAlign w:val="bottom"/>
          </w:tcPr>
          <w:p>
            <w:pPr>
              <w:spacing w:after="0"/>
              <w:rPr>
                <w:sz w:val="13"/>
                <w:szCs w:val="13"/>
                <w:color w:val="auto"/>
              </w:rPr>
            </w:pPr>
          </w:p>
        </w:tc>
      </w:tr>
      <w:tr>
        <w:trPr>
          <w:trHeight w:val="385"/>
        </w:trPr>
        <w:tc>
          <w:tcPr>
            <w:tcW w:w="360" w:type="dxa"/>
            <w:vAlign w:val="bottom"/>
            <w:gridSpan w:val="4"/>
          </w:tcPr>
          <w:p>
            <w:pPr>
              <w:ind w:left="20"/>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5"/>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Joinder Agreement dated August 3, 2023 between Creative Genius, LLC and JPMorgan Chase Bank, N.A. (Incorporated by reference to</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4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Exhibit 10.2 on Form 8-K filed August 8, 2023)</w:t>
              </w:r>
            </w:hyperlink>
          </w:p>
        </w:tc>
        <w:tc>
          <w:tcPr>
            <w:tcW w:w="160" w:type="dxa"/>
            <w:vAlign w:val="bottom"/>
            <w:gridSpan w:val="5"/>
          </w:tcPr>
          <w:p>
            <w:pPr>
              <w:spacing w:after="0"/>
              <w:rPr>
                <w:sz w:val="13"/>
                <w:szCs w:val="13"/>
                <w:color w:val="auto"/>
              </w:rPr>
            </w:pPr>
          </w:p>
        </w:tc>
      </w:tr>
      <w:tr>
        <w:trPr>
          <w:trHeight w:val="20"/>
        </w:trPr>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3460" w:type="dxa"/>
            <w:vAlign w:val="bottom"/>
            <w:gridSpan w:val="6"/>
            <w:shd w:val="clear" w:color="auto" w:fill="0000FF"/>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r>
      <w:tr>
        <w:trPr>
          <w:trHeight w:val="385"/>
        </w:trPr>
        <w:tc>
          <w:tcPr>
            <w:tcW w:w="360" w:type="dxa"/>
            <w:vAlign w:val="bottom"/>
            <w:gridSpan w:val="4"/>
          </w:tcPr>
          <w:p>
            <w:pPr>
              <w:ind w:left="20"/>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5"/>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Supplement to Pledge and Security Agreement dated as of September 7, 2018 by and among Vera Bradley Designs, Inc., Vera Bradley,</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Inc., Vera Bradley International, LLC, Vera Bradley Sales, LLC, Vera Bradley Holdings, LLC, and JP Morgan Chase Bank, N.A.</w:t>
              </w:r>
            </w:hyperlink>
          </w:p>
        </w:tc>
        <w:tc>
          <w:tcPr>
            <w:tcW w:w="20" w:type="dxa"/>
            <w:vAlign w:val="bottom"/>
          </w:tcPr>
          <w:p>
            <w:pPr>
              <w:spacing w:after="0"/>
              <w:rPr>
                <w:sz w:val="13"/>
                <w:szCs w:val="13"/>
                <w:color w:val="auto"/>
              </w:rPr>
            </w:pPr>
          </w:p>
        </w:tc>
        <w:tc>
          <w:tcPr>
            <w:tcW w:w="260" w:type="dxa"/>
            <w:vAlign w:val="bottom"/>
            <w:gridSpan w:val="9"/>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2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(Incorporated by reference to Exhibit 10.3 on Form 8-K filed August 8, 2023)</w:t>
              </w:r>
            </w:hyperlink>
          </w:p>
        </w:tc>
        <w:tc>
          <w:tcPr>
            <w:tcW w:w="3680" w:type="dxa"/>
            <w:vAlign w:val="bottom"/>
            <w:tcBorders>
              <w:top w:val="single" w:sz="8" w:color="0000FF"/>
            </w:tcBorders>
            <w:gridSpan w:val="2"/>
          </w:tcPr>
          <w:p>
            <w:pPr>
              <w:spacing w:after="0"/>
              <w:rPr>
                <w:sz w:val="13"/>
                <w:szCs w:val="13"/>
                <w:color w:val="auto"/>
              </w:rPr>
            </w:pPr>
          </w:p>
        </w:tc>
        <w:tc>
          <w:tcPr>
            <w:tcW w:w="260" w:type="dxa"/>
            <w:vAlign w:val="bottom"/>
            <w:gridSpan w:val="6"/>
          </w:tcPr>
          <w:p>
            <w:pPr>
              <w:spacing w:after="0"/>
              <w:rPr>
                <w:sz w:val="13"/>
                <w:szCs w:val="13"/>
                <w:color w:val="auto"/>
              </w:rPr>
            </w:pPr>
          </w:p>
        </w:tc>
        <w:tc>
          <w:tcPr>
            <w:tcW w:w="180" w:type="dxa"/>
            <w:vAlign w:val="bottom"/>
            <w:gridSpan w:val="6"/>
          </w:tcPr>
          <w:p>
            <w:pPr>
              <w:spacing w:after="0"/>
              <w:rPr>
                <w:sz w:val="13"/>
                <w:szCs w:val="13"/>
                <w:color w:val="auto"/>
              </w:rPr>
            </w:pPr>
          </w:p>
        </w:tc>
        <w:tc>
          <w:tcPr>
            <w:tcW w:w="260" w:type="dxa"/>
            <w:vAlign w:val="bottom"/>
            <w:gridSpan w:val="9"/>
          </w:tcPr>
          <w:p>
            <w:pPr>
              <w:spacing w:after="0"/>
              <w:rPr>
                <w:sz w:val="13"/>
                <w:szCs w:val="13"/>
                <w:color w:val="auto"/>
              </w:rPr>
            </w:pPr>
          </w:p>
        </w:tc>
      </w:tr>
      <w:tr>
        <w:trPr>
          <w:trHeight w:val="385"/>
        </w:trPr>
        <w:tc>
          <w:tcPr>
            <w:tcW w:w="20" w:type="dxa"/>
            <w:vAlign w:val="bottom"/>
          </w:tcPr>
          <w:p>
            <w:pPr>
              <w:spacing w:after="0"/>
              <w:rPr>
                <w:sz w:val="24"/>
                <w:szCs w:val="24"/>
                <w:color w:val="auto"/>
              </w:rPr>
            </w:pPr>
          </w:p>
        </w:tc>
        <w:tc>
          <w:tcPr>
            <w:tcW w:w="1200" w:type="dxa"/>
            <w:vAlign w:val="bottom"/>
            <w:gridSpan w:val="7"/>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p>
        </w:tc>
        <w:tc>
          <w:tcPr>
            <w:tcW w:w="10000" w:type="dxa"/>
            <w:vAlign w:val="bottom"/>
            <w:gridSpan w:val="35"/>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Form of Performance-Based Award Agreement under the 2020 Equity and Incentive Plan (Incorporated by reference to Exhibit 10.2 to</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4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the Quarterly Report on Form 10-Q for the quarter ended May 1, 2021)</w:t>
              </w:r>
            </w:hyperlink>
          </w:p>
        </w:tc>
        <w:tc>
          <w:tcPr>
            <w:tcW w:w="4600" w:type="dxa"/>
            <w:vAlign w:val="bottom"/>
            <w:tcBorders>
              <w:top w:val="single" w:sz="8" w:color="0000FF"/>
            </w:tcBorders>
            <w:gridSpan w:val="16"/>
          </w:tcPr>
          <w:p>
            <w:pPr>
              <w:spacing w:after="0"/>
              <w:rPr>
                <w:sz w:val="13"/>
                <w:szCs w:val="13"/>
                <w:color w:val="auto"/>
              </w:rPr>
            </w:pPr>
          </w:p>
        </w:tc>
        <w:tc>
          <w:tcPr>
            <w:tcW w:w="260" w:type="dxa"/>
            <w:vAlign w:val="bottom"/>
            <w:gridSpan w:val="9"/>
          </w:tcPr>
          <w:p>
            <w:pPr>
              <w:spacing w:after="0"/>
              <w:rPr>
                <w:sz w:val="13"/>
                <w:szCs w:val="13"/>
                <w:color w:val="auto"/>
              </w:rPr>
            </w:pPr>
          </w:p>
        </w:tc>
      </w:tr>
      <w:tr>
        <w:trPr>
          <w:trHeight w:val="385"/>
        </w:trPr>
        <w:tc>
          <w:tcPr>
            <w:tcW w:w="20" w:type="dxa"/>
            <w:vAlign w:val="bottom"/>
          </w:tcPr>
          <w:p>
            <w:pPr>
              <w:spacing w:after="0"/>
              <w:rPr>
                <w:sz w:val="24"/>
                <w:szCs w:val="24"/>
                <w:color w:val="auto"/>
              </w:rPr>
            </w:pPr>
          </w:p>
        </w:tc>
        <w:tc>
          <w:tcPr>
            <w:tcW w:w="1200" w:type="dxa"/>
            <w:vAlign w:val="bottom"/>
            <w:gridSpan w:val="7"/>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w:t>
              </w:r>
            </w:hyperlink>
          </w:p>
        </w:tc>
        <w:tc>
          <w:tcPr>
            <w:tcW w:w="10000" w:type="dxa"/>
            <w:vAlign w:val="bottom"/>
            <w:gridSpan w:val="35"/>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Form of Restricted Stock Unit/Performance Unit Terms and Conditions (under the 2020 Equity and Incentive Plan) (Incorporated by</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1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reference to Exhibit 10.3 to the Quarterly Report on Form 10-Q for the quarter ended May 1, 2021)</w:t>
              </w:r>
            </w:hyperlink>
          </w:p>
        </w:tc>
        <w:tc>
          <w:tcPr>
            <w:tcW w:w="2400" w:type="dxa"/>
            <w:vAlign w:val="bottom"/>
            <w:tcBorders>
              <w:top w:val="single" w:sz="8" w:color="0000FF"/>
            </w:tcBorders>
            <w:gridSpan w:val="7"/>
          </w:tcPr>
          <w:p>
            <w:pPr>
              <w:spacing w:after="0"/>
              <w:rPr>
                <w:sz w:val="13"/>
                <w:szCs w:val="13"/>
                <w:color w:val="auto"/>
              </w:rPr>
            </w:pPr>
          </w:p>
        </w:tc>
        <w:tc>
          <w:tcPr>
            <w:tcW w:w="440" w:type="dxa"/>
            <w:vAlign w:val="bottom"/>
            <w:gridSpan w:val="15"/>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2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0" w:type="dxa"/>
            <w:vAlign w:val="bottom"/>
            <w:gridSpan w:val="13"/>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66"/>
        </w:trPr>
        <w:tc>
          <w:tcPr>
            <w:tcW w:w="1200" w:type="dxa"/>
            <w:vAlign w:val="bottom"/>
            <w:gridSpan w:val="5"/>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p>
        </w:tc>
        <w:tc>
          <w:tcPr>
            <w:tcW w:w="9880" w:type="dxa"/>
            <w:vAlign w:val="bottom"/>
            <w:gridSpan w:val="22"/>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Employment Agreement between Vera Bradley, Inc. and Jacqueline Ardrey dated September 20, 2022 (Incorporated by reference to</w:t>
              </w:r>
            </w:hyperlink>
          </w:p>
        </w:tc>
        <w:tc>
          <w:tcPr>
            <w:tcW w:w="0" w:type="dxa"/>
            <w:vAlign w:val="bottom"/>
          </w:tcPr>
          <w:p>
            <w:pPr>
              <w:spacing w:after="0"/>
              <w:rPr>
                <w:sz w:val="1"/>
                <w:szCs w:val="1"/>
                <w:color w:val="auto"/>
              </w:rPr>
            </w:pPr>
          </w:p>
        </w:tc>
      </w:tr>
      <w:tr>
        <w:trPr>
          <w:trHeight w:val="156"/>
        </w:trPr>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95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Exhibit 10.1 to the Current Report on Form 8-K filed on September 20, 2022)</w:t>
              </w:r>
            </w:hyperlink>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00" w:type="dxa"/>
            <w:vAlign w:val="bottom"/>
            <w:gridSpan w:val="5"/>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13†</w:t>
            </w:r>
          </w:p>
        </w:tc>
        <w:tc>
          <w:tcPr>
            <w:tcW w:w="9880" w:type="dxa"/>
            <w:vAlign w:val="bottom"/>
            <w:gridSpan w:val="22"/>
          </w:tcPr>
          <w:p>
            <w:pPr>
              <w:spacing w:after="0"/>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Employment Agreement between Vera Bradley, Inc. and Ian Bickley dated March 11, 2026 (Incorporated by reference to Exhibit 10.1 to</w:t>
              </w:r>
            </w:hyperlink>
          </w:p>
        </w:tc>
        <w:tc>
          <w:tcPr>
            <w:tcW w:w="0" w:type="dxa"/>
            <w:vAlign w:val="bottom"/>
          </w:tcPr>
          <w:p>
            <w:pPr>
              <w:spacing w:after="0"/>
              <w:rPr>
                <w:sz w:val="1"/>
                <w:szCs w:val="1"/>
                <w:color w:val="auto"/>
              </w:rPr>
            </w:pPr>
          </w:p>
        </w:tc>
      </w:tr>
      <w:tr>
        <w:trPr>
          <w:trHeight w:val="156"/>
        </w:trPr>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98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the Current Report on Form 8-K filed on March 13, 2026)</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00" w:type="dxa"/>
            <w:vAlign w:val="bottom"/>
            <w:gridSpan w:val="5"/>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hyperlink>
          </w:p>
        </w:tc>
        <w:tc>
          <w:tcPr>
            <w:tcW w:w="9880" w:type="dxa"/>
            <w:vAlign w:val="bottom"/>
            <w:gridSpan w:val="22"/>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Retention Letter Agreement dated December 6, 2022 with John Enwright (Incorporated by reference to Exhibit 10.1 to the Quarterly</w:t>
              </w:r>
            </w:hyperlink>
          </w:p>
        </w:tc>
        <w:tc>
          <w:tcPr>
            <w:tcW w:w="0" w:type="dxa"/>
            <w:vAlign w:val="bottom"/>
          </w:tcPr>
          <w:p>
            <w:pPr>
              <w:spacing w:after="0"/>
              <w:rPr>
                <w:sz w:val="1"/>
                <w:szCs w:val="1"/>
                <w:color w:val="auto"/>
              </w:rPr>
            </w:pPr>
          </w:p>
        </w:tc>
      </w:tr>
      <w:tr>
        <w:trPr>
          <w:trHeight w:val="156"/>
        </w:trPr>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448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Report on Form 10-Q for the quarter ended October 29, 2022)</w:t>
              </w:r>
            </w:hyperlink>
          </w:p>
        </w:tc>
        <w:tc>
          <w:tcPr>
            <w:tcW w:w="5080" w:type="dxa"/>
            <w:vAlign w:val="bottom"/>
            <w:tcBorders>
              <w:top w:val="single" w:sz="8" w:color="0000FF"/>
            </w:tcBorders>
            <w:gridSpan w:val="7"/>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200" w:type="dxa"/>
            <w:vAlign w:val="bottom"/>
            <w:gridSpan w:val="5"/>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p>
        </w:tc>
        <w:tc>
          <w:tcPr>
            <w:tcW w:w="9880" w:type="dxa"/>
            <w:vAlign w:val="bottom"/>
            <w:gridSpan w:val="22"/>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Restricted Stock Unit/Performance Unit Terms and Conditions Under the 2020 Equity and Incentive Plan (Revised)</w:t>
              </w:r>
            </w:hyperlink>
          </w:p>
        </w:tc>
        <w:tc>
          <w:tcPr>
            <w:tcW w:w="0" w:type="dxa"/>
            <w:vAlign w:val="bottom"/>
          </w:tcPr>
          <w:p>
            <w:pPr>
              <w:spacing w:after="0"/>
              <w:rPr>
                <w:sz w:val="1"/>
                <w:szCs w:val="1"/>
                <w:color w:val="auto"/>
              </w:rPr>
            </w:pPr>
          </w:p>
        </w:tc>
      </w:tr>
      <w:tr>
        <w:trPr>
          <w:trHeight w:val="156"/>
        </w:trPr>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854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(Incorporated by reference to Exhibit 10.2 to the Quarterly Report on Form 10-Q for the quarter ended April 30, 2022)</w:t>
              </w:r>
            </w:hyperlink>
          </w:p>
        </w:tc>
        <w:tc>
          <w:tcPr>
            <w:tcW w:w="420" w:type="dxa"/>
            <w:vAlign w:val="bottom"/>
            <w:tcBorders>
              <w:top w:val="single" w:sz="8" w:color="0000FF"/>
            </w:tcBorders>
          </w:tcPr>
          <w:p>
            <w:pPr>
              <w:spacing w:after="0"/>
              <w:rPr>
                <w:sz w:val="13"/>
                <w:szCs w:val="13"/>
                <w:color w:val="auto"/>
              </w:rPr>
            </w:pPr>
          </w:p>
        </w:tc>
        <w:tc>
          <w:tcPr>
            <w:tcW w:w="72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200" w:type="dxa"/>
            <w:vAlign w:val="bottom"/>
            <w:gridSpan w:val="5"/>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hyperlink>
          </w:p>
        </w:tc>
        <w:tc>
          <w:tcPr>
            <w:tcW w:w="9880" w:type="dxa"/>
            <w:vAlign w:val="bottom"/>
            <w:gridSpan w:val="22"/>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Amended and Restated Vera Bradley, Inc. 2020 Equity and Incentive Plan (incorporated by reference to Appendix A to the registrant’s</w:t>
              </w:r>
            </w:hyperlink>
          </w:p>
        </w:tc>
        <w:tc>
          <w:tcPr>
            <w:tcW w:w="0" w:type="dxa"/>
            <w:vAlign w:val="bottom"/>
          </w:tcPr>
          <w:p>
            <w:pPr>
              <w:spacing w:after="0"/>
              <w:rPr>
                <w:sz w:val="1"/>
                <w:szCs w:val="1"/>
                <w:color w:val="auto"/>
              </w:rPr>
            </w:pPr>
          </w:p>
        </w:tc>
      </w:tr>
      <w:tr>
        <w:trPr>
          <w:trHeight w:val="155"/>
        </w:trPr>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96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Definitive Proxy Statement filed April 21, 2023)</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3"/>
              </w:rPr>
            </w:pPr>
            <w:hyperlink r:id="rId127">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17</w:t>
              </w:r>
            </w:hyperlink>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Fourth Amendment to Credit Agreement dated March 11, 2025 among Vera Bradley Designs, Inc., the other borrowers party thereto, JP</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80" w:type="dxa"/>
            <w:vAlign w:val="bottom"/>
            <w:gridSpan w:val="22"/>
          </w:tcPr>
          <w:p>
            <w:pPr>
              <w:spacing w:after="0" w:line="15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Morgan Chase Bank, N.A., and the lenders party thereto (Incorporated by reference to Exhibit 10.16 to the Annual Report on Form 10-K</w:t>
              </w:r>
            </w:hyperlink>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6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 the year ended February 1, 2025)</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0" w:type="dxa"/>
            <w:vAlign w:val="bottom"/>
            <w:gridSpan w:val="3"/>
          </w:tcPr>
          <w:p>
            <w:pPr>
              <w:spacing w:after="0"/>
              <w:rPr>
                <w:rFonts w:ascii="Times New Roman" w:cs="Times New Roman" w:eastAsia="Times New Roman" w:hAnsi="Times New Roman"/>
                <w:sz w:val="18"/>
                <w:szCs w:val="18"/>
                <w:color w:val="0000FF"/>
                <w:w w:val="93"/>
              </w:rPr>
            </w:pPr>
            <w:hyperlink r:id="rId128">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18</w:t>
              </w:r>
            </w:hyperlink>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80" w:type="dxa"/>
            <w:vAlign w:val="bottom"/>
            <w:gridSpan w:val="22"/>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Fifth Amendment to Credit Agreement dated October 21, 2025 among Vera Bradley Designs, Inc., the other borrowers party thereto, JP</w:t>
              </w:r>
            </w:hyperlink>
          </w:p>
        </w:tc>
        <w:tc>
          <w:tcPr>
            <w:tcW w:w="0" w:type="dxa"/>
            <w:vAlign w:val="bottom"/>
          </w:tcPr>
          <w:p>
            <w:pPr>
              <w:spacing w:after="0"/>
              <w:rPr>
                <w:sz w:val="1"/>
                <w:szCs w:val="1"/>
                <w:color w:val="auto"/>
              </w:rPr>
            </w:pPr>
          </w:p>
        </w:tc>
      </w:tr>
      <w:tr>
        <w:trPr>
          <w:trHeight w:val="155"/>
        </w:trPr>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8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w w:val="98"/>
              </w:rPr>
            </w:pPr>
            <w:hyperlink r:id="rId128">
              <w:r>
                <w:rPr>
                  <w:rFonts w:ascii="Times New Roman" w:cs="Times New Roman" w:eastAsia="Times New Roman" w:hAnsi="Times New Roman"/>
                  <w:sz w:val="18"/>
                  <w:szCs w:val="18"/>
                  <w:color w:val="0000FF"/>
                  <w:w w:val="98"/>
                </w:rPr>
                <w:t>Morgan Chase Bank, N.A., and the lenders party thereto (Incorporated by reference to Exhibit 10.1 on Form 8-K filed October 27, 2025)</w:t>
              </w:r>
            </w:hyperlink>
          </w:p>
        </w:tc>
        <w:tc>
          <w:tcPr>
            <w:tcW w:w="8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0000FF"/>
                <w:w w:val="88"/>
              </w:rPr>
              <w:t>19*</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Vera Bradley Inc. Insider Trading Policy</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3"/>
              </w:rPr>
              <w:t>21.</w:t>
            </w:r>
            <w:r>
              <w:rPr>
                <w:rFonts w:ascii="Times New Roman" w:cs="Times New Roman" w:eastAsia="Times New Roman" w:hAnsi="Times New Roman"/>
                <w:sz w:val="18"/>
                <w:szCs w:val="18"/>
                <w:u w:val="single" w:color="auto"/>
                <w:color w:val="0000FF"/>
                <w:w w:val="93"/>
              </w:rPr>
              <w:t>1*</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Subsidiaries of Vera Bradley, Inc.</w:t>
            </w:r>
          </w:p>
        </w:tc>
        <w:tc>
          <w:tcPr>
            <w:tcW w:w="746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4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3"/>
              </w:rPr>
              <w:t>23.</w:t>
            </w:r>
            <w:r>
              <w:rPr>
                <w:rFonts w:ascii="Times New Roman" w:cs="Times New Roman" w:eastAsia="Times New Roman" w:hAnsi="Times New Roman"/>
                <w:sz w:val="18"/>
                <w:szCs w:val="18"/>
                <w:u w:val="single" w:color="auto"/>
                <w:color w:val="0000FF"/>
                <w:w w:val="93"/>
              </w:rPr>
              <w:t>1*</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Consent of Deloitte &amp; Touche LLP</w:t>
            </w:r>
          </w:p>
        </w:tc>
        <w:tc>
          <w:tcPr>
            <w:tcW w:w="734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3"/>
              </w:rPr>
              <w:t>31.</w:t>
            </w:r>
            <w:r>
              <w:rPr>
                <w:rFonts w:ascii="Times New Roman" w:cs="Times New Roman" w:eastAsia="Times New Roman" w:hAnsi="Times New Roman"/>
                <w:sz w:val="18"/>
                <w:szCs w:val="18"/>
                <w:u w:val="single" w:color="auto"/>
                <w:color w:val="0000FF"/>
                <w:w w:val="93"/>
              </w:rPr>
              <w:t>1*</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Rule 13a-14(a)/15d-14(a) Certification of Chief Executive Officer</w:t>
            </w:r>
          </w:p>
        </w:tc>
        <w:tc>
          <w:tcPr>
            <w:tcW w:w="0" w:type="dxa"/>
            <w:vAlign w:val="bottom"/>
          </w:tcPr>
          <w:p>
            <w:pPr>
              <w:spacing w:after="0"/>
              <w:rPr>
                <w:sz w:val="1"/>
                <w:szCs w:val="1"/>
                <w:color w:val="auto"/>
              </w:rPr>
            </w:pPr>
          </w:p>
        </w:tc>
      </w:tr>
      <w:tr>
        <w:trPr>
          <w:trHeight w:val="372"/>
        </w:trPr>
        <w:tc>
          <w:tcPr>
            <w:tcW w:w="4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3"/>
              </w:rPr>
              <w:t>31.</w:t>
            </w:r>
            <w:r>
              <w:rPr>
                <w:rFonts w:ascii="Times New Roman" w:cs="Times New Roman" w:eastAsia="Times New Roman" w:hAnsi="Times New Roman"/>
                <w:sz w:val="18"/>
                <w:szCs w:val="18"/>
                <w:u w:val="single" w:color="auto"/>
                <w:color w:val="0000FF"/>
                <w:w w:val="93"/>
              </w:rPr>
              <w:t>2*</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Chief Financial Officer</w:t>
            </w:r>
          </w:p>
        </w:tc>
        <w:tc>
          <w:tcPr>
            <w:tcW w:w="40" w:type="dxa"/>
            <w:vAlign w:val="bottom"/>
            <w:tcBorders>
              <w:top w:val="single" w:sz="8" w:color="0000FF"/>
            </w:tcBorders>
          </w:tcPr>
          <w:p>
            <w:pPr>
              <w:spacing w:after="0"/>
              <w:rPr>
                <w:sz w:val="24"/>
                <w:szCs w:val="24"/>
                <w:color w:val="auto"/>
              </w:rPr>
            </w:pPr>
          </w:p>
        </w:tc>
        <w:tc>
          <w:tcPr>
            <w:tcW w:w="51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4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3"/>
              </w:rPr>
              <w:t>32.</w:t>
            </w:r>
            <w:r>
              <w:rPr>
                <w:rFonts w:ascii="Times New Roman" w:cs="Times New Roman" w:eastAsia="Times New Roman" w:hAnsi="Times New Roman"/>
                <w:sz w:val="18"/>
                <w:szCs w:val="18"/>
                <w:u w:val="single" w:color="auto"/>
                <w:color w:val="0000FF"/>
                <w:w w:val="93"/>
              </w:rPr>
              <w:t>1*</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Section 1350 Certifications</w:t>
            </w:r>
          </w:p>
        </w:tc>
        <w:tc>
          <w:tcPr>
            <w:tcW w:w="0" w:type="dxa"/>
            <w:vAlign w:val="bottom"/>
          </w:tcPr>
          <w:p>
            <w:pPr>
              <w:spacing w:after="0"/>
              <w:rPr>
                <w:sz w:val="1"/>
                <w:szCs w:val="1"/>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76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20" w:type="dxa"/>
            <w:vAlign w:val="bottom"/>
            <w:gridSpan w:val="2"/>
            <w:vMerge w:val="restart"/>
          </w:tcPr>
          <w:p>
            <w:pPr>
              <w:spacing w:after="0"/>
              <w:rPr>
                <w:rFonts w:ascii="Times New Roman" w:cs="Times New Roman" w:eastAsia="Times New Roman" w:hAnsi="Times New Roman"/>
                <w:sz w:val="18"/>
                <w:szCs w:val="18"/>
                <w:color w:val="0000FF"/>
                <w:w w:val="95"/>
              </w:rPr>
            </w:pPr>
            <w:hyperlink r:id="rId129">
              <w:r>
                <w:rPr>
                  <w:rFonts w:ascii="Times New Roman" w:cs="Times New Roman" w:eastAsia="Times New Roman" w:hAnsi="Times New Roman"/>
                  <w:sz w:val="18"/>
                  <w:szCs w:val="18"/>
                  <w:color w:val="0000FF"/>
                  <w:w w:val="95"/>
                </w:rPr>
                <w:t>97.</w:t>
              </w:r>
              <w:r>
                <w:rPr>
                  <w:rFonts w:ascii="Times New Roman" w:cs="Times New Roman" w:eastAsia="Times New Roman" w:hAnsi="Times New Roman"/>
                  <w:sz w:val="18"/>
                  <w:szCs w:val="18"/>
                  <w:u w:val="single" w:color="auto"/>
                  <w:color w:val="0000FF"/>
                  <w:w w:val="95"/>
                </w:rPr>
                <w:t>1</w:t>
              </w:r>
            </w:hyperlink>
          </w:p>
        </w:tc>
        <w:tc>
          <w:tcPr>
            <w:tcW w:w="8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Incentive Compensation Recoupment Policy (Incorporated by reference to Exhibit 97.1 to the Annual Report on Form 10-K for the fiscal</w:t>
              </w:r>
            </w:hyperlink>
          </w:p>
        </w:tc>
        <w:tc>
          <w:tcPr>
            <w:tcW w:w="0" w:type="dxa"/>
            <w:vAlign w:val="bottom"/>
          </w:tcPr>
          <w:p>
            <w:pPr>
              <w:spacing w:after="0"/>
              <w:rPr>
                <w:sz w:val="1"/>
                <w:szCs w:val="1"/>
                <w:color w:val="auto"/>
              </w:rPr>
            </w:pPr>
          </w:p>
        </w:tc>
      </w:tr>
      <w:tr>
        <w:trPr>
          <w:trHeight w:val="155"/>
        </w:trPr>
        <w:tc>
          <w:tcPr>
            <w:tcW w:w="32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80" w:type="dxa"/>
            <w:vAlign w:val="bottom"/>
            <w:gridSpan w:val="22"/>
          </w:tcPr>
          <w:p>
            <w:pPr>
              <w:spacing w:after="0" w:line="142"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year ended February 3, 2024)</w:t>
              </w:r>
            </w:hyperlink>
          </w:p>
        </w:tc>
        <w:tc>
          <w:tcPr>
            <w:tcW w:w="0" w:type="dxa"/>
            <w:vAlign w:val="bottom"/>
          </w:tcPr>
          <w:p>
            <w:pPr>
              <w:spacing w:after="0"/>
              <w:rPr>
                <w:sz w:val="1"/>
                <w:szCs w:val="1"/>
                <w:color w:val="auto"/>
              </w:rPr>
            </w:pPr>
          </w:p>
        </w:tc>
      </w:tr>
      <w:tr>
        <w:trPr>
          <w:trHeight w:val="27"/>
        </w:trPr>
        <w:tc>
          <w:tcPr>
            <w:tcW w:w="320" w:type="dxa"/>
            <w:vAlign w:val="bottom"/>
            <w:gridSpan w:val="2"/>
            <w:shd w:val="clear" w:color="auto" w:fill="0000FF"/>
          </w:tcPr>
          <w:p>
            <w:pPr>
              <w:spacing w:after="0"/>
              <w:rPr>
                <w:sz w:val="2"/>
                <w:szCs w:val="2"/>
                <w:color w:val="auto"/>
              </w:rPr>
            </w:pPr>
          </w:p>
        </w:tc>
        <w:tc>
          <w:tcPr>
            <w:tcW w:w="880" w:type="dxa"/>
            <w:vAlign w:val="bottom"/>
            <w:gridSpan w:val="3"/>
          </w:tcPr>
          <w:p>
            <w:pPr>
              <w:spacing w:after="0"/>
              <w:rPr>
                <w:sz w:val="2"/>
                <w:szCs w:val="2"/>
                <w:color w:val="auto"/>
              </w:rPr>
            </w:pPr>
          </w:p>
        </w:tc>
        <w:tc>
          <w:tcPr>
            <w:tcW w:w="2120" w:type="dxa"/>
            <w:vAlign w:val="bottom"/>
            <w:gridSpan w:val="2"/>
            <w:shd w:val="clear" w:color="auto" w:fill="0000FF"/>
          </w:tcPr>
          <w:p>
            <w:pPr>
              <w:spacing w:after="0"/>
              <w:rPr>
                <w:sz w:val="2"/>
                <w:szCs w:val="2"/>
                <w:color w:val="auto"/>
              </w:rPr>
            </w:pPr>
          </w:p>
        </w:tc>
        <w:tc>
          <w:tcPr>
            <w:tcW w:w="7760" w:type="dxa"/>
            <w:vAlign w:val="bottom"/>
            <w:gridSpan w:val="2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5"/>
        </w:trPr>
        <w:tc>
          <w:tcPr>
            <w:tcW w:w="1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92"/>
        </w:trPr>
        <w:tc>
          <w:tcPr>
            <w:tcW w:w="1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1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4"/>
        </w:trPr>
        <w:tc>
          <w:tcPr>
            <w:tcW w:w="1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1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98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w w:val="88"/>
              </w:rPr>
              <w:t>104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240" w:right="2320" w:hanging="1201"/>
        <w:spacing w:after="0" w:line="237" w:lineRule="auto"/>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has been excluded from this exhibit because it is not material and would likely cause competitive harm to the registrant if publicly disclosed.</w:t>
      </w:r>
    </w:p>
    <w:p>
      <w:pPr>
        <w:spacing w:after="0" w:line="64" w:lineRule="exact"/>
        <w:rPr>
          <w:sz w:val="20"/>
          <w:szCs w:val="20"/>
          <w:color w:val="auto"/>
        </w:rPr>
      </w:pPr>
    </w:p>
    <w:p>
      <w:pPr>
        <w:ind w:left="1240" w:hanging="1201"/>
        <w:spacing w:after="0"/>
        <w:tabs>
          <w:tab w:leader="none" w:pos="12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77" w:lineRule="exact"/>
        <w:rPr>
          <w:sz w:val="20"/>
          <w:szCs w:val="20"/>
          <w:color w:val="auto"/>
        </w:rPr>
      </w:pPr>
    </w:p>
    <w:p>
      <w:pPr>
        <w:ind w:left="1240" w:hanging="1201"/>
        <w:spacing w:after="0"/>
        <w:tabs>
          <w:tab w:leader="none" w:pos="1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management contract or compensation plan, contract or arrangement.</w:t>
      </w:r>
    </w:p>
    <w:p>
      <w:pPr>
        <w:spacing w:after="0" w:line="15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 on March 27, 2026.</w:t>
      </w: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Vera Bradley, Inc.</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Martin Layding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Martin Layding</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Operating &amp; Financial Officer</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Martin Layding and Ian Bickley, and each of them, as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 or substitutes, may lawfully do or cause to be done by virtue hereof.</w:t>
      </w:r>
    </w:p>
    <w:p>
      <w:pPr>
        <w:spacing w:after="0" w:line="13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Registrant and in the capacities indicated on March 27, 2026.</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Signature</w:t>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Ian Bickley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689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3">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Ian Bickley</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Martin Layding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0689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4">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Martin Layding</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Ivan Brockman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689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5">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Ivan Brockman</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Kristina Cashman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689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6">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Kristina Cashman</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J.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689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7">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J. Hall</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Andrew Meslow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689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8">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Andrew Meslow</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Jessica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689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9">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Jessica Rodriguez</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Carrie M. Tharp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689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0">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Carrie M. Tharp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Title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&amp; Executive Chairman (principal</w:t>
      </w:r>
    </w:p>
    <w:p>
      <w:pPr>
        <w:ind w:left="16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Operating &amp; Financial Officer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8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2">
            <w:col w:w="4240" w:space="720"/>
            <w:col w:w="5179"/>
          </w:cols>
          <w:pgMar w:left="320" w:top="117" w:right="1440"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3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Vera Bradley,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adopted this Insider Trading Policy (this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both to satisfy its obligation to prevent insider trading and to help you avoid the severe consequences associated with violations of insider trading laws and other relevant securities laws. This Policy also is intended to prevent even the appearance of improper conduct on the part of anyone employed by or associated with the Company.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Scope of Policy</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Persons Covered</w:t>
      </w:r>
      <w:r>
        <w:rPr>
          <w:rFonts w:ascii="Times New Roman" w:cs="Times New Roman" w:eastAsia="Times New Roman" w:hAnsi="Times New Roman"/>
          <w:sz w:val="18"/>
          <w:szCs w:val="18"/>
          <w:color w:val="auto"/>
        </w:rPr>
        <w:t>. This Policy applies to all directors, officers, employees, agents and consultants of the Company and its subsidiaries and affiliated companies, as well as to any other outsiders who the Company’s Chief Financial Officer or General Counsel may designate because they have access to material nonpublic information concerning the Company. Unless the context clearly requires otherwise, in this Policy, references to “you” include:</w:t>
      </w:r>
    </w:p>
    <w:p>
      <w:pPr>
        <w:spacing w:after="0" w:line="61"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family members who reside with you;</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anyone else who lives in your household;</w:t>
      </w:r>
    </w:p>
    <w:p>
      <w:pPr>
        <w:spacing w:after="0" w:line="1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family members who do not live in your household but whose transactions in securities are directed by you or are subject to your influence or control (such as parents or children who consult with you before they trade in securities);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to whom you have disclosed material nonpublic information;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acting on your behalf or on behalf of any individual listed above;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which you control or that is controlled by any person listed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responsible for making sure that the purchase or sale of any security covered by this Policy by any such person or entity complies with this Policy.</w:t>
      </w:r>
    </w:p>
    <w:p>
      <w:pPr>
        <w:spacing w:after="0" w:line="1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u w:val="single" w:color="auto"/>
          <w:color w:val="auto"/>
        </w:rPr>
        <w:t>Securities Covered</w:t>
      </w:r>
      <w:r>
        <w:rPr>
          <w:rFonts w:ascii="Times New Roman" w:cs="Times New Roman" w:eastAsia="Times New Roman" w:hAnsi="Times New Roman"/>
          <w:sz w:val="18"/>
          <w:szCs w:val="18"/>
          <w:color w:val="auto"/>
        </w:rPr>
        <w:t>. Although it is most likely that the “material nonpublic information” you possess will relate to the common stock of the Company, the Company may from time to time issue other securities that are publicly traded and, therefore, subject to this Policy. In addition, this Policy applies to purchases and sales of the securities of other entities, including customers or suppliers of the Company and entities with which the Company may be negotiating major transactions (such as an acquisition, investment or sale of assets). Information that is not material to the Company may nevertheless be material to those entities.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Statement of Policy</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u w:val="single" w:color="auto"/>
          <w:color w:val="auto"/>
        </w:rPr>
        <w:t>No Trading if in Possession of Material Nonpublic Information</w:t>
      </w:r>
      <w:r>
        <w:rPr>
          <w:rFonts w:ascii="Times New Roman" w:cs="Times New Roman" w:eastAsia="Times New Roman" w:hAnsi="Times New Roman"/>
          <w:sz w:val="18"/>
          <w:szCs w:val="18"/>
          <w:color w:val="auto"/>
        </w:rPr>
        <w:t>. If you possess “material nonpublic information” relating to the Company, its subsidiaries or any other entity, you may not (a) purchase or sell securities of the Company or such other entity, (b) direct any other person or entity to purchase or sell such securities, (c) disclose the information to anyone outside the Company, or (d) provide trading advice regarding securities of the Company or such other entity</w:t>
      </w:r>
    </w:p>
    <w:p>
      <w:pPr>
        <w:spacing w:after="0" w:line="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u w:val="single" w:color="auto"/>
          <w:color w:val="auto"/>
        </w:rPr>
        <w:t>Material Nonpublic information</w:t>
      </w:r>
      <w:r>
        <w:rPr>
          <w:rFonts w:ascii="Times New Roman" w:cs="Times New Roman" w:eastAsia="Times New Roman" w:hAnsi="Times New Roman"/>
          <w:sz w:val="18"/>
          <w:szCs w:val="18"/>
          <w:color w:val="auto"/>
        </w:rPr>
        <w:t>. “Material nonpublic information” is information that is not available to the public at large that could affect the market price of a security and which a reasonable investor would regard as important in deciding whether to buy, sell or hold the security. Either positive or negative information may be material. Because trading that receives scrutiny will be evaluated after the fact with the benefit of hindsight, questions concerning the materiality of particular information should be resolved in favor of materiality, and trading should be avoided if such information is nonpublic. If you are not sure whether nonpublic information constitutes material information, you should either consult with the Company’s Chief Financial Officer or General Counsel or assume the information is material nonpublic information and treat it as confidential. Common examples of material information include, but are not limited to:</w:t>
      </w:r>
    </w:p>
    <w:p>
      <w:pPr>
        <w:spacing w:after="0" w:line="73"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forecasts, estimates or projections of earnings or results of operations for current or future periods;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a pending or proposed merger, acquisition, tender offer, divestiture or disposition of significant assets;</w:t>
      </w:r>
    </w:p>
    <w:p>
      <w:pPr>
        <w:sectPr>
          <w:pgSz w:w="11900" w:h="16838" w:orient="portrait"/>
          <w:cols w:equalWidth="0" w:num="1">
            <w:col w:w="11240"/>
          </w:cols>
          <w:pgMar w:left="320" w:top="1413" w:right="339" w:bottom="1440" w:gutter="0" w:footer="0" w:header="0"/>
        </w:sectPr>
      </w:pPr>
    </w:p>
    <w:bookmarkStart w:id="85" w:name="page86"/>
    <w:bookmarkEnd w:id="85"/>
    <w:p>
      <w:pPr>
        <w:spacing w:after="0" w:line="86"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dividend policies;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threatened major litigation, or the resolution of such litigation;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events regarding securities, including the declaration of a stock split or the offering of additional securities (debt or equity);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major contracts, orders, suppliers, customers or finance sources, or the loss thereof;</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management;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liquidity problems; or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new products or services.</w:t>
      </w:r>
    </w:p>
    <w:p>
      <w:pPr>
        <w:spacing w:after="0" w:line="1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u w:val="single" w:color="auto"/>
          <w:color w:val="auto"/>
        </w:rPr>
        <w:t>Public Information</w:t>
      </w:r>
      <w:r>
        <w:rPr>
          <w:rFonts w:ascii="Times New Roman" w:cs="Times New Roman" w:eastAsia="Times New Roman" w:hAnsi="Times New Roman"/>
          <w:sz w:val="18"/>
          <w:szCs w:val="18"/>
          <w:color w:val="auto"/>
        </w:rPr>
        <w:t xml:space="preserve">. Information is considered to be available to the public only when it has been released to the public through appropriate channels (for example, by means of a press release, a publicly accessibly conference call or a governmental filing)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enough time has elapsed to permit the investment market to absorb and evaluate the information. As a general rule, information is considered absorbed and evaluated after the completion of the second trading day after the information is released. As with questions of materiality, if you are not sure whether information is considered public, you should either consult with the Company’s Chief Financial Officer or General Counsel or assume the information is non-public and treat it as confidential.</w:t>
      </w:r>
    </w:p>
    <w:p>
      <w:pPr>
        <w:spacing w:after="0" w:line="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u w:val="single" w:color="auto"/>
          <w:color w:val="auto"/>
        </w:rPr>
        <w:t>Improper Disclosure</w:t>
      </w:r>
      <w:r>
        <w:rPr>
          <w:rFonts w:ascii="Times New Roman" w:cs="Times New Roman" w:eastAsia="Times New Roman" w:hAnsi="Times New Roman"/>
          <w:sz w:val="18"/>
          <w:szCs w:val="18"/>
          <w:color w:val="auto"/>
        </w:rPr>
        <w:t>. The Company has authorized only certain individuals to publicly release material nonpublic information. Unless you are explicitly authorized to do so, you should refrain from discussing material nonpublic information with anyone outside the company. If such information is improperly disclosed to outsiders, the Company may be forced to release it publicly. For example, an improper disclosure which results in a news story about a pending acquisition may require public release of plans that could upset the transaction. Therefore, you should avoid discussing such information in public and should ensure that documents containing sensitive information about the Company are secure and are not distributed improperly.</w:t>
      </w:r>
    </w:p>
    <w:p>
      <w:pPr>
        <w:spacing w:after="0" w:line="73"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u w:val="single" w:color="auto"/>
          <w:color w:val="auto"/>
        </w:rPr>
        <w:t>Violations</w:t>
      </w:r>
      <w:r>
        <w:rPr>
          <w:rFonts w:ascii="Times New Roman" w:cs="Times New Roman" w:eastAsia="Times New Roman" w:hAnsi="Times New Roman"/>
          <w:sz w:val="18"/>
          <w:szCs w:val="18"/>
          <w:color w:val="auto"/>
        </w:rPr>
        <w:t>. If you violate this Policy or any federal or state laws governing insider trading, or know of any such violation by any other person, you must report the violation immediately to the Company’s Chief Financial Officer or General Counsel. Upon learning of any such violation, the Company’s Chief Financial Officer and General Counsel, in consultation with the Company’s President and legal counsel, will determine whether the Company should release any material nonpublic information, or whether the Company should report the violation to the U.S. Securities &amp; Exchange Commission (the “SEC”) or other appropriate governmental authority. Failure to observe this Policy could lead to legal problems for you, as well as for the Company. In addition, violation of this Policy or federal or state insider trading by any director, officer, employee, consultant or agent, or by the parties they are responsible for under this Policy, may subject the director to dismissal proceedings, the officer or employee to disciplinary action by the Company, up to and including termination, and the agent or consultant to termination of his or her service relationship.</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Post-Termination Transactions</w:t>
      </w:r>
    </w:p>
    <w:p>
      <w:pPr>
        <w:spacing w:after="0" w:line="94"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Please be advised that insider trading laws remain applicable even after your employment or service relationship with the Company and/or its subsidiaries and affiliated companies terminates. In particular, if you are aware or become aware of material, nonpublic information regarding the Company at the end of your employment or service relationship or subsequent thereto, you should not trade in Company securities until that information has been publicly released. The Company requires your compliance with this Policy and federal and state securities laws during the term of your engagement with the Company, and expects your continued compliance with federal and state securities laws thereafter.</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Black Out Periods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“black out” period is a period during which you may not execute transactions in Company securities. Please bear in mind that even if a black out period is not in effect, at no time may you trade in Company securities if you are aware of material nonpublic information about the Company. For example, if the Company issues a quarterly earnings release and you are aware of other material nonpublic information not disclosed in the earnings release, you may not trade in Company securities.</w:t>
      </w:r>
    </w:p>
    <w:p>
      <w:pPr>
        <w:sectPr>
          <w:pgSz w:w="11900" w:h="16838" w:orient="portrait"/>
          <w:cols w:equalWidth="0" w:num="1">
            <w:col w:w="11240"/>
          </w:cols>
          <w:pgMar w:left="320" w:top="1440" w:right="339" w:bottom="1440" w:gutter="0" w:footer="0" w:header="0"/>
        </w:sectPr>
      </w:pPr>
    </w:p>
    <w:bookmarkStart w:id="86" w:name="page87"/>
    <w:bookmarkEnd w:id="86"/>
    <w:p>
      <w:pPr>
        <w:spacing w:after="0" w:line="8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u w:val="single" w:color="auto"/>
          <w:color w:val="auto"/>
        </w:rPr>
        <w:t>Earnings Black Out Periods</w:t>
      </w:r>
      <w:r>
        <w:rPr>
          <w:rFonts w:ascii="Times New Roman" w:cs="Times New Roman" w:eastAsia="Times New Roman" w:hAnsi="Times New Roman"/>
          <w:sz w:val="18"/>
          <w:szCs w:val="18"/>
          <w:color w:val="auto"/>
        </w:rPr>
        <w:t>. You may not buy or sell Company securities during the period beginning four weeks prior to the last day of each fiscal quarter or fiscal year of the Company and ending at the opening of the trading market on the first full business day following the public release of the financial results for such fiscal quarter or year (for example, by means of a press release, a publicly accessibly conference call or a governmental filing). For example, the fourth quarter of fiscal 2020 ends on January 31, 2020, and the Company issues its earnings release for that quarter on March 11, 2020 prior to the opening of markets. Therefore, employees are prohibited from purchasing or selling the Company’s common stock between January 4, 2020 and March 12, 2020 (except selling pursuant to a Company-approved 10b5-1 plan as described below). In accordance with this Policy, the Company will from time to time advise interested parties of the expected timing of its earnings releases.</w:t>
      </w:r>
    </w:p>
    <w:p>
      <w:pPr>
        <w:spacing w:after="0" w:line="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u w:val="single" w:color="auto"/>
          <w:color w:val="auto"/>
        </w:rPr>
        <w:t>Event-Specific Black Out Periods</w:t>
      </w:r>
      <w:r>
        <w:rPr>
          <w:rFonts w:ascii="Times New Roman" w:cs="Times New Roman" w:eastAsia="Times New Roman" w:hAnsi="Times New Roman"/>
          <w:sz w:val="18"/>
          <w:szCs w:val="18"/>
          <w:color w:val="auto"/>
        </w:rPr>
        <w:t>. The Company reserves the right to impose trading black out periods from time to time when, in the judgment of the Company, a black out period is warranted. A black out period may be imposed for any reason, including the Company’s involvement in a material transaction, the anticipated issuance of interim earnings guidance or other material public announcements. The existence of an event-specific black out period may not be announced, or may be announced only to those who are aware of the transaction or event giving rise to the black out period. If you are made aware of the existence of an event-specific black out period, you should not disclose the existence of such black out period to any other person. Individuals that are subject to event-specific black out periods will be contacted when these periods are instituted from time to time.</w:t>
      </w:r>
    </w:p>
    <w:p>
      <w:pPr>
        <w:spacing w:after="0" w:line="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u w:val="single" w:color="auto"/>
          <w:color w:val="auto"/>
        </w:rPr>
        <w:t>Pension Fund Black Out Periods</w:t>
      </w:r>
      <w:r>
        <w:rPr>
          <w:rFonts w:ascii="Times New Roman" w:cs="Times New Roman" w:eastAsia="Times New Roman" w:hAnsi="Times New Roman"/>
          <w:sz w:val="18"/>
          <w:szCs w:val="18"/>
          <w:color w:val="auto"/>
        </w:rPr>
        <w:t>. The Sarbanes-Oxley Act of 2002 prohibits all purchases, sales or transfers of company securities by directors and officers of the Company during a “pension fund black out period.” A pension fund black out period exists whenever 50% or more of the participants in a Company benefit plan are unable to conduct transactions in their Company common stock accounts for more than three (3) consecutive business days. These black out periods typically occur when there is a change in the benefit plan’s trustee, record keeper or investment manager. Individuals that are subject to these black out periods will be contacted when these periods are instituted from time to time.</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Hardship Exceptions</w:t>
      </w:r>
      <w:r>
        <w:rPr>
          <w:rFonts w:ascii="Times New Roman" w:cs="Times New Roman" w:eastAsia="Times New Roman" w:hAnsi="Times New Roman"/>
          <w:sz w:val="18"/>
          <w:szCs w:val="18"/>
          <w:color w:val="auto"/>
        </w:rPr>
        <w:t>. If you have an unexpected and urgent need to sell Company securities in order to generate cash you may, in appropriate circumstances, be permitted to sell Company securities during a black out period. Hardship exceptions may be granted only by the Chief Financial Officer and must be requested at least two (2) business days in advance of the proposed transaction.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Trading Restrictions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considers it improper and inappropriate for you to engage in short-term or speculative transactions in Company securities or in other transactions in Company securities that may lead to inadvertent violations of relevant securities laws. Accordingly, your transactions in Company securities are subject to the following guidance.</w:t>
      </w:r>
    </w:p>
    <w:p>
      <w:pPr>
        <w:spacing w:after="0" w:line="6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Short-Term Trading</w:t>
      </w:r>
      <w:r>
        <w:rPr>
          <w:rFonts w:ascii="Times New Roman" w:cs="Times New Roman" w:eastAsia="Times New Roman" w:hAnsi="Times New Roman"/>
          <w:sz w:val="18"/>
          <w:szCs w:val="18"/>
          <w:color w:val="auto"/>
        </w:rPr>
        <w:t>. You may not purchase Company securities and then sell any Company securities of the same class for at least six months after the purchase; or sell Company securities and then purchase any Company securities of the same class for at least six months after the sale.</w:t>
      </w:r>
    </w:p>
    <w:p>
      <w:pPr>
        <w:spacing w:after="0" w:line="4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You may not engage in short sales of Company securities (sales of securities that are not then owned), including a “sale against the box” (a sale with delayed delivery).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Publicly Traded Options</w:t>
      </w:r>
      <w:r>
        <w:rPr>
          <w:rFonts w:ascii="Times New Roman" w:cs="Times New Roman" w:eastAsia="Times New Roman" w:hAnsi="Times New Roman"/>
          <w:sz w:val="18"/>
          <w:szCs w:val="18"/>
          <w:color w:val="auto"/>
        </w:rPr>
        <w:t>. You may not engage in transactions in publicly traded options on Company securities (such as puts, calls and other derivative securities) on an exchange or in any other organized market.</w:t>
      </w:r>
    </w:p>
    <w:p>
      <w:pPr>
        <w:spacing w:after="0" w:line="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Hedging</w:t>
      </w:r>
      <w:r>
        <w:rPr>
          <w:rFonts w:ascii="Times New Roman" w:cs="Times New Roman" w:eastAsia="Times New Roman" w:hAnsi="Times New Roman"/>
          <w:sz w:val="18"/>
          <w:szCs w:val="18"/>
          <w:color w:val="auto"/>
        </w:rPr>
        <w:t>. You may not enter into hedging (making an investment to reduce the risk of adverse price movements or to offset potential losses/gains in a Company security) or other monetization transactions or similar arrangements with respect to Company securities.</w:t>
      </w:r>
    </w:p>
    <w:p>
      <w:pPr>
        <w:spacing w:after="0" w:line="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u w:val="single" w:color="auto"/>
          <w:color w:val="auto"/>
        </w:rPr>
        <w:t>Standing Orders</w:t>
      </w:r>
      <w:r>
        <w:rPr>
          <w:rFonts w:ascii="Times New Roman" w:cs="Times New Roman" w:eastAsia="Times New Roman" w:hAnsi="Times New Roman"/>
          <w:sz w:val="18"/>
          <w:szCs w:val="18"/>
          <w:color w:val="auto"/>
        </w:rPr>
        <w:t>. Standing orders should be used only for a very brief period of time. A standing order placed with a broker to sell or purchase stock at a specific price leaves you with no control over the timing of the transaction. A standing order transaction executed by the broker when you are aware of material nonpublic information may result in unlawful insider trading even if the standing order was placed at a time when you did not possess material nonpublic information.</w:t>
      </w:r>
    </w:p>
    <w:p>
      <w:pPr>
        <w:spacing w:after="0" w:line="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Margin Accounts and Pledges</w:t>
      </w:r>
      <w:r>
        <w:rPr>
          <w:rFonts w:ascii="Times New Roman" w:cs="Times New Roman" w:eastAsia="Times New Roman" w:hAnsi="Times New Roman"/>
          <w:sz w:val="18"/>
          <w:szCs w:val="18"/>
          <w:color w:val="auto"/>
        </w:rPr>
        <w:t>. Securities held in a margin account or pledged as collateral for a loan may be sold by the broker if you fail to meet a margin call or by the lender in foreclosure if you default on the loan. You</w:t>
      </w:r>
    </w:p>
    <w:p>
      <w:pPr>
        <w:sectPr>
          <w:pgSz w:w="11900" w:h="16838" w:orient="portrait"/>
          <w:cols w:equalWidth="0" w:num="1">
            <w:col w:w="11240"/>
          </w:cols>
          <w:pgMar w:left="320" w:top="1440" w:right="339" w:bottom="1440" w:gutter="0" w:footer="0" w:header="0"/>
        </w:sectPr>
      </w:pPr>
    </w:p>
    <w:bookmarkStart w:id="87" w:name="page88"/>
    <w:bookmarkEnd w:id="87"/>
    <w:p>
      <w:pPr>
        <w:spacing w:after="0" w:line="8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may not have control over these transactions as the securities may be sold at certain times without your consent. Because of this danger, you may not enter into pledging arrangements or maintain a margin account with respect to Company securities.</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u w:val="single" w:color="auto"/>
          <w:color w:val="auto"/>
        </w:rPr>
        <w:t>Stock Option Exercises</w:t>
      </w:r>
      <w:r>
        <w:rPr>
          <w:rFonts w:ascii="Times New Roman" w:cs="Times New Roman" w:eastAsia="Times New Roman" w:hAnsi="Times New Roman"/>
          <w:sz w:val="18"/>
          <w:szCs w:val="18"/>
          <w:color w:val="auto"/>
        </w:rPr>
        <w:t>. You may exercise stock options for cash. However, you may not sell the underlying shares of Company stock and you may not engage in a cashless exercise of a stock option through a broker (because this entails selling a portion of the underlying stock to cover the costs of exercise) during any black out period or while you possess material nonpublic information.</w:t>
      </w:r>
    </w:p>
    <w:p>
      <w:pPr>
        <w:spacing w:after="0" w:line="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u w:val="single" w:color="auto"/>
          <w:color w:val="auto"/>
        </w:rPr>
        <w:t>Stock Incentive Plan</w:t>
      </w:r>
      <w:r>
        <w:rPr>
          <w:rFonts w:ascii="Times New Roman" w:cs="Times New Roman" w:eastAsia="Times New Roman" w:hAnsi="Times New Roman"/>
          <w:sz w:val="18"/>
          <w:szCs w:val="18"/>
          <w:color w:val="auto"/>
        </w:rPr>
        <w:t>. You may be granted stock-based compensation awards, including restricted shares, under the Vera Bradley Designs, Inc. 2010 Restricted Stock Plan. You may not, however, sell any Company stock granted under the plan during any black out period or while you possess material nonpublic information.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Rule 10b5-1 Plans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Transactions in Company securities under a plan that complies with Rule 10b5-1 under the Securities Exchange Act of 1934, as amended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are not subject to the prohibition on trades during black out periods or the prohibition on trading while being aware of material nonpublic information described above. Executive officers and directors are encouraged to employ Rule 10b5-1 plans in connection with any sale or disposition of Company securities. Section 16 Reporters must still report the details of completed transactions in accordance with the “Pre-Clearance of Securities Transactions – Procedures” section below.</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a Rule 10b5-1 plan is a plan that:</w:t>
      </w:r>
    </w:p>
    <w:p>
      <w:pPr>
        <w:spacing w:after="0" w:line="90" w:lineRule="exact"/>
        <w:rPr>
          <w:sz w:val="20"/>
          <w:szCs w:val="20"/>
          <w:color w:val="auto"/>
        </w:rPr>
      </w:pPr>
    </w:p>
    <w:p>
      <w:pPr>
        <w:ind w:left="660" w:right="40" w:hanging="328"/>
        <w:spacing w:after="0" w:line="242" w:lineRule="auto"/>
        <w:tabs>
          <w:tab w:leader="none" w:pos="64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has been reviewed and approved at least one month in advance of any trades thereunder by the Company's Chief Financial Officer or General Counsel (or, if revised or amended, such revisions or amendments have been reviewed and approved by the Company's Chief Financial Officer or General Counsel at least one month in advance of any subsequent trades). In addition, any Rule 10b5-1 plans entered into by the Company’s Chief Executive Officer or Chief Financial Officer shall be subject to the further approval of the Company’s Board of Directors or an authorized committee thereof;</w:t>
      </w:r>
    </w:p>
    <w:p>
      <w:pPr>
        <w:spacing w:after="0" w:line="76" w:lineRule="exact"/>
        <w:rPr>
          <w:rFonts w:ascii="Times New Roman" w:cs="Times New Roman" w:eastAsia="Times New Roman" w:hAnsi="Times New Roman"/>
          <w:sz w:val="18"/>
          <w:szCs w:val="18"/>
          <w:color w:val="auto"/>
        </w:rPr>
      </w:pPr>
    </w:p>
    <w:p>
      <w:pPr>
        <w:ind w:left="660" w:hanging="328"/>
        <w:spacing w:after="0" w:line="250" w:lineRule="auto"/>
        <w:tabs>
          <w:tab w:leader="none" w:pos="65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entered into in good faith outside of a blackout period and at a time when you were not in possession of material non-public information about the Company; and</w:t>
      </w:r>
    </w:p>
    <w:p>
      <w:pPr>
        <w:spacing w:after="0" w:line="68" w:lineRule="exact"/>
        <w:rPr>
          <w:rFonts w:ascii="Times New Roman" w:cs="Times New Roman" w:eastAsia="Times New Roman" w:hAnsi="Times New Roman"/>
          <w:sz w:val="18"/>
          <w:szCs w:val="18"/>
          <w:color w:val="auto"/>
        </w:rPr>
      </w:pPr>
    </w:p>
    <w:p>
      <w:pPr>
        <w:ind w:left="660" w:right="160" w:hanging="328"/>
        <w:spacing w:after="0" w:line="245" w:lineRule="auto"/>
        <w:tabs>
          <w:tab w:leader="none" w:pos="65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a third party the discretionary authority to execute purchases and sales, outside of your control, so long as such third party does not possess any material non-public information about the Company; or explicitly specifies the security or securities to be purchased or sold, the number of shares, the prices and/or dates of transactions, or other formula(e) describing such transactions. Once the plan is adopted, you must not exercise any influence over the amount of securities to be traded, the price at which they are to be traded or the date of the trade.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16 Reporting and Pre-clearance for Directors and Officers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Covered Persons. This Section applies only to the following persons (the "Covered Persons"):</w:t>
      </w:r>
    </w:p>
    <w:p>
      <w:pPr>
        <w:spacing w:after="0" w:line="104"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who hold the position of Senior Vice President or above with the Company or any of its subsidiaries;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officers of the Company (including certain officers of the Company’s subsidiaries);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of the Company;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persons as may be designated by the Company’s Chief Financial Officer or General Counsel from time to time.</w:t>
      </w:r>
    </w:p>
    <w:p>
      <w:pPr>
        <w:spacing w:after="0" w:line="104"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u w:val="single" w:color="auto"/>
          <w:color w:val="auto"/>
        </w:rPr>
        <w:t>Pre-clearance Policy.</w:t>
      </w:r>
      <w:r>
        <w:rPr>
          <w:rFonts w:ascii="Times New Roman" w:cs="Times New Roman" w:eastAsia="Times New Roman" w:hAnsi="Times New Roman"/>
          <w:sz w:val="18"/>
          <w:szCs w:val="18"/>
          <w:color w:val="auto"/>
        </w:rPr>
        <w:t xml:space="preserve"> Because Covered Persons are likely to obtain material non-public information on a regular basis, you may not engage in any transaction involving Company securities (including a stock plan transaction such as an option exercise, a gift, loan, pledge or hedge, contribution to a trust or any other transfer) without first obtaining pre-clearance of the transaction from the Company’s Chief Financial Officer or Chief Legal Officer in the manner provided for below. This Pre-clearance Policy is designed not only to ensure your compliance with insider trading laws, but also to prevent violations of Sections 16(a) and 16(b) of the Securities Exchange Act of 1934, as amended (the “Exchange Act”). Section 16(a) requires the filing of a Form 4 with the SEC reporting certain transactions in Company securities within two (2) business days following the date of such transactions. Section 16(b) provides that Company insiders, including directors and certain officers of the Company, are liable to the</w:t>
      </w:r>
    </w:p>
    <w:p>
      <w:pPr>
        <w:sectPr>
          <w:pgSz w:w="11900" w:h="16838" w:orient="portrait"/>
          <w:cols w:equalWidth="0" w:num="1">
            <w:col w:w="11240"/>
          </w:cols>
          <w:pgMar w:left="320" w:top="1440" w:right="339" w:bottom="1440" w:gutter="0" w:footer="0" w:header="0"/>
        </w:sectPr>
      </w:pPr>
    </w:p>
    <w:bookmarkStart w:id="88" w:name="page89"/>
    <w:bookmarkEnd w:id="88"/>
    <w:p>
      <w:pPr>
        <w:spacing w:after="0" w:line="72"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Company for any "short-swing profits" resulting from a non-exempt purchase or sale of Company securities that occurs within a period of less than six (6) months from an opposite way transaction. The SEC may cause the Company to contribute these disgorged profits into a public fund to be used for restitution to the victims of such violations. Although compliance with Section 16(a), Section 16(b) and other restricted trading periods is your responsibility, the pre-clearance of all trades will allow the Company to assist you in preventing inadvertent violations. The Company will notify you if you are subject to Section 16 of the Exchange Act (a “Section 16 Reporter”).</w:t>
      </w:r>
    </w:p>
    <w:p>
      <w:pPr>
        <w:spacing w:after="0" w:line="77"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A request for pre-clearance should be submitted by you to the Company’s Chief Financial Officer at least two (2) business days in advance of the proposed transaction(s) and should contain a brief description of the proposed transaction(s). In addition, when seeking pre-clearance, you must certify in writing no earlier than two (2) business days prior to the proposed transaction(s) that (i) you are not in possession of material nonpublic information concerning the Company and (ii) the proposed transaction(s) do(es) not result in a requirement to disgorge profits under Section 16(b) of the Exchange Act and (iii) the proposed transaction, if eligible, will be made in accordance with Rule 144 under the Securities Act. To ensure that the Company has sufficient time to prepare and file necessary Forms 4 with the SEC, Section 16 Reporters must also report the details of completed transactions to the Company’s Chief Financial Officer at least by the close of business on the date the transactions occur. Due to the short, two-business day period following transactions during which Form 4 reports must generally be filed, the Company may have Forms 4 executed and filed on behalf of Section 16 Reporters using the power of attorney granted to the Company for this purpose. Please contact the Company immediately if you believe there may be any errors in such filings.</w:t>
      </w:r>
    </w:p>
    <w:p>
      <w:pPr>
        <w:spacing w:after="0" w:line="77"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u w:val="single" w:color="auto"/>
          <w:color w:val="auto"/>
        </w:rPr>
        <w:t>Expiration of Pre-Clearance</w:t>
      </w:r>
      <w:r>
        <w:rPr>
          <w:rFonts w:ascii="Times New Roman" w:cs="Times New Roman" w:eastAsia="Times New Roman" w:hAnsi="Times New Roman"/>
          <w:sz w:val="18"/>
          <w:szCs w:val="18"/>
          <w:color w:val="auto"/>
        </w:rPr>
        <w:t>. The Company's Chief Financial Officer shall record the date each pre-clearance request is received and the date and time each request is approved or disapproved. Unless revoked, a grant of permission will normally remain valid until the close of trading (5) five business days following the day on which it was granted. If the approved transaction(s) do(es) not occur during the five-business-day period, pre-clearance of the transaction(s) must be re-requested.</w:t>
      </w:r>
    </w:p>
    <w:p>
      <w:pPr>
        <w:spacing w:after="0" w:line="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u w:val="single" w:color="auto"/>
          <w:color w:val="auto"/>
        </w:rPr>
        <w:t>Discretion of the Company’s Chief Financial Officer.</w:t>
      </w:r>
      <w:r>
        <w:rPr>
          <w:rFonts w:ascii="Times New Roman" w:cs="Times New Roman" w:eastAsia="Times New Roman" w:hAnsi="Times New Roman"/>
          <w:sz w:val="18"/>
          <w:szCs w:val="18"/>
          <w:color w:val="auto"/>
        </w:rPr>
        <w:t xml:space="preserve"> The existence of the foregoing approval procedure does not in any way obligate the Company’s Chief Financial Officer to approve any trades requested by you. The Company’s [Chief Financial Officer may reject any trading requests in his or her sole reasonable discretion. The Company’s Chief Financial Officer may not approve or disapprove his or her own pre-clearance request.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Consequences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Insider trading violations are pursued vigorously by the SEC and the U.S. Attorneys and are punished severely. Failure to comply with this Policy may also subject you to Company-imposed sanctions, including dismissal for cause, whether or not your failure to comply results in a violation of law.</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Revised and adopted: March 5, 2020</w:t>
      </w:r>
    </w:p>
    <w:p>
      <w:pPr>
        <w:sectPr>
          <w:pgSz w:w="11900" w:h="16838" w:orient="portrait"/>
          <w:cols w:equalWidth="0" w:num="1">
            <w:col w:w="11240"/>
          </w:cols>
          <w:pgMar w:left="320" w:top="1440"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19"/>
                <w:szCs w:val="19"/>
                <w:color w:val="auto"/>
              </w:rPr>
            </w:pPr>
          </w:p>
        </w:tc>
        <w:tc>
          <w:tcPr>
            <w:tcW w:w="6840" w:type="dxa"/>
            <w:vAlign w:val="bottom"/>
            <w:gridSpan w:val="3"/>
          </w:tcPr>
          <w:p>
            <w:pPr>
              <w:jc w:val="center"/>
              <w:ind w:right="4270"/>
              <w:spacing w:after="0"/>
              <w:rPr>
                <w:sz w:val="20"/>
                <w:szCs w:val="20"/>
                <w:color w:val="auto"/>
              </w:rPr>
            </w:pPr>
            <w:r>
              <w:rPr>
                <w:rFonts w:ascii="Times New Roman" w:cs="Times New Roman" w:eastAsia="Times New Roman" w:hAnsi="Times New Roman"/>
                <w:sz w:val="18"/>
                <w:szCs w:val="18"/>
                <w:b w:val="1"/>
                <w:bCs w:val="1"/>
                <w:color w:val="auto"/>
                <w:w w:val="98"/>
              </w:rPr>
              <w:t>Vera Bradley, Inc.</w:t>
            </w:r>
          </w:p>
        </w:tc>
      </w:tr>
      <w:tr>
        <w:trPr>
          <w:trHeight w:val="229"/>
        </w:trPr>
        <w:tc>
          <w:tcPr>
            <w:tcW w:w="4340" w:type="dxa"/>
            <w:vAlign w:val="bottom"/>
          </w:tcPr>
          <w:p>
            <w:pPr>
              <w:spacing w:after="0"/>
              <w:rPr>
                <w:sz w:val="19"/>
                <w:szCs w:val="19"/>
                <w:color w:val="auto"/>
              </w:rPr>
            </w:pPr>
          </w:p>
        </w:tc>
        <w:tc>
          <w:tcPr>
            <w:tcW w:w="6840" w:type="dxa"/>
            <w:vAlign w:val="bottom"/>
            <w:gridSpan w:val="3"/>
          </w:tcPr>
          <w:p>
            <w:pPr>
              <w:jc w:val="center"/>
              <w:ind w:right="425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r>
      <w:tr>
        <w:trPr>
          <w:trHeight w:val="238"/>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State of Incorporation</w:t>
            </w:r>
          </w:p>
        </w:tc>
      </w:tr>
      <w:tr>
        <w:trPr>
          <w:trHeight w:val="218"/>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Vera Bradley Designs, Inc</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Indiana</w:t>
            </w:r>
          </w:p>
        </w:tc>
      </w:tr>
      <w:tr>
        <w:trPr>
          <w:trHeight w:val="22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Vera Bradley International, LLC</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Indiana</w:t>
            </w: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Vera Bradley Sales, LLC</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Indiana</w:t>
            </w:r>
          </w:p>
        </w:tc>
      </w:tr>
      <w:tr>
        <w:trPr>
          <w:trHeight w:val="22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Vera Bradley Handbag Design (Dongguan) Co., Ltd.</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The People's Republic of China</w:t>
            </w: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Vera Bradley Hong Kong Co., Limited</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Vera Bradley Holdings, LLC</w:t>
            </w: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00"/>
          </w:cols>
          <w:pgMar w:left="360" w:top="887"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94"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333-249701 and 333-272824 on Form S-8 of our reports dated March 27, 2026, relating to the financial statements of Vera Bradley, Inc. and the effectiveness of Vera Bradley, Inc.’s internal control over financial reporting appearing in this Annual Report on Form 10-K for the year ended January 31, 2026.</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Indiana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2026</w:t>
      </w:r>
    </w:p>
    <w:p>
      <w:pPr>
        <w:sectPr>
          <w:pgSz w:w="11900" w:h="16838" w:orient="portrait"/>
          <w:cols w:equalWidth="0" w:num="1">
            <w:col w:w="11240"/>
          </w:cols>
          <w:pgMar w:left="320" w:top="981"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Ian Bickley, certify that:</w:t>
      </w:r>
    </w:p>
    <w:p>
      <w:pPr>
        <w:spacing w:after="0" w:line="104"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Vera Bradley, Inc.;</w:t>
      </w:r>
    </w:p>
    <w:p>
      <w:pPr>
        <w:spacing w:after="0" w:line="90"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40"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54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55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60" w:firstLine="4"/>
        <w:spacing w:after="0" w:line="266" w:lineRule="auto"/>
        <w:tabs>
          <w:tab w:leader="none" w:pos="154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300" w:right="340" w:firstLine="4"/>
        <w:spacing w:after="0" w:line="266" w:lineRule="auto"/>
        <w:tabs>
          <w:tab w:leader="none" w:pos="155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200" w:firstLine="4"/>
        <w:spacing w:after="0" w:line="282" w:lineRule="auto"/>
        <w:tabs>
          <w:tab w:leader="none" w:pos="154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480" w:firstLine="4"/>
        <w:spacing w:after="0" w:line="282" w:lineRule="auto"/>
        <w:tabs>
          <w:tab w:leader="none" w:pos="155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2026</w:t>
            </w:r>
          </w:p>
        </w:tc>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Ian Bickley</w:t>
            </w:r>
          </w:p>
        </w:tc>
      </w:tr>
      <w:tr>
        <w:trPr>
          <w:trHeight w:val="216"/>
        </w:trPr>
        <w:tc>
          <w:tcPr>
            <w:tcW w:w="5620" w:type="dxa"/>
            <w:vAlign w:val="bottom"/>
          </w:tcPr>
          <w:p>
            <w:pPr>
              <w:spacing w:after="0"/>
              <w:rPr>
                <w:sz w:val="18"/>
                <w:szCs w:val="18"/>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Ian Bickley</w:t>
            </w:r>
          </w:p>
        </w:tc>
      </w:tr>
      <w:tr>
        <w:trPr>
          <w:trHeight w:val="236"/>
        </w:trPr>
        <w:tc>
          <w:tcPr>
            <w:tcW w:w="5620" w:type="dxa"/>
            <w:vAlign w:val="bottom"/>
          </w:tcPr>
          <w:p>
            <w:pPr>
              <w:spacing w:after="0"/>
              <w:rPr>
                <w:sz w:val="20"/>
                <w:szCs w:val="20"/>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Executive Officer &amp; Executive Chairman</w:t>
            </w:r>
          </w:p>
        </w:tc>
      </w:tr>
    </w:tbl>
    <w:p>
      <w:pPr>
        <w:sectPr>
          <w:pgSz w:w="11900" w:h="16838" w:orient="portrait"/>
          <w:cols w:equalWidth="0" w:num="1">
            <w:col w:w="11240"/>
          </w:cols>
          <w:pgMar w:left="320" w:top="887"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Layding, certify that:</w:t>
      </w:r>
    </w:p>
    <w:p>
      <w:pPr>
        <w:spacing w:after="0" w:line="104"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Vera Bradley, Inc.;</w:t>
      </w:r>
    </w:p>
    <w:p>
      <w:pPr>
        <w:spacing w:after="0" w:line="90"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40"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54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55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60" w:firstLine="4"/>
        <w:spacing w:after="0" w:line="266" w:lineRule="auto"/>
        <w:tabs>
          <w:tab w:leader="none" w:pos="154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300" w:right="340" w:firstLine="4"/>
        <w:spacing w:after="0" w:line="266" w:lineRule="auto"/>
        <w:tabs>
          <w:tab w:leader="none" w:pos="155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200" w:firstLine="4"/>
        <w:spacing w:after="0" w:line="282" w:lineRule="auto"/>
        <w:tabs>
          <w:tab w:leader="none" w:pos="154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480" w:firstLine="4"/>
        <w:spacing w:after="0" w:line="282" w:lineRule="auto"/>
        <w:tabs>
          <w:tab w:leader="none" w:pos="155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2026</w:t>
            </w:r>
          </w:p>
        </w:tc>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Martin Layding</w:t>
            </w:r>
          </w:p>
        </w:tc>
      </w:tr>
      <w:tr>
        <w:trPr>
          <w:trHeight w:val="216"/>
        </w:trPr>
        <w:tc>
          <w:tcPr>
            <w:tcW w:w="5620" w:type="dxa"/>
            <w:vAlign w:val="bottom"/>
          </w:tcPr>
          <w:p>
            <w:pPr>
              <w:spacing w:after="0"/>
              <w:rPr>
                <w:sz w:val="18"/>
                <w:szCs w:val="18"/>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Martin Layding</w:t>
            </w:r>
          </w:p>
        </w:tc>
      </w:tr>
      <w:tr>
        <w:trPr>
          <w:trHeight w:val="236"/>
        </w:trPr>
        <w:tc>
          <w:tcPr>
            <w:tcW w:w="5620" w:type="dxa"/>
            <w:vAlign w:val="bottom"/>
          </w:tcPr>
          <w:p>
            <w:pPr>
              <w:spacing w:after="0"/>
              <w:rPr>
                <w:sz w:val="20"/>
                <w:szCs w:val="20"/>
                <w:color w:val="auto"/>
              </w:rPr>
            </w:pPr>
          </w:p>
        </w:tc>
        <w:tc>
          <w:tcPr>
            <w:tcW w:w="5560" w:type="dxa"/>
            <w:vAlign w:val="bottom"/>
          </w:tcPr>
          <w:p>
            <w:pPr>
              <w:ind w:left="1380"/>
              <w:spacing w:after="0"/>
              <w:rPr>
                <w:sz w:val="20"/>
                <w:szCs w:val="20"/>
                <w:color w:val="auto"/>
              </w:rPr>
            </w:pPr>
            <w:r>
              <w:rPr>
                <w:rFonts w:ascii="Times New Roman" w:cs="Times New Roman" w:eastAsia="Times New Roman" w:hAnsi="Times New Roman"/>
                <w:sz w:val="18"/>
                <w:szCs w:val="18"/>
                <w:i w:val="1"/>
                <w:iCs w:val="1"/>
                <w:color w:val="auto"/>
              </w:rPr>
              <w:t>Chief Operating &amp; Financial Officer</w:t>
            </w:r>
          </w:p>
        </w:tc>
      </w:tr>
    </w:tbl>
    <w:p>
      <w:pPr>
        <w:sectPr>
          <w:pgSz w:w="11900" w:h="16838" w:orient="portrait"/>
          <w:cols w:equalWidth="0" w:num="1">
            <w:col w:w="11240"/>
          </w:cols>
          <w:pgMar w:left="320" w:top="887"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 As Adopted Pursuant to Section 906 of the Sarbanes - Oxley Act of 2002</w:t>
      </w:r>
    </w:p>
    <w:p>
      <w:pPr>
        <w:spacing w:after="0" w:line="108" w:lineRule="exact"/>
        <w:rPr>
          <w:sz w:val="20"/>
          <w:szCs w:val="20"/>
          <w:color w:val="auto"/>
        </w:rPr>
      </w:pPr>
    </w:p>
    <w:p>
      <w:pPr>
        <w:ind w:right="20" w:firstLine="180"/>
        <w:spacing w:after="0" w:line="261" w:lineRule="auto"/>
        <w:rPr>
          <w:sz w:val="20"/>
          <w:szCs w:val="20"/>
          <w:color w:val="auto"/>
        </w:rPr>
      </w:pPr>
      <w:r>
        <w:rPr>
          <w:rFonts w:ascii="Times New Roman" w:cs="Times New Roman" w:eastAsia="Times New Roman" w:hAnsi="Times New Roman"/>
          <w:sz w:val="18"/>
          <w:szCs w:val="18"/>
          <w:color w:val="auto"/>
        </w:rPr>
        <w:t>I, Ian Bickley, the Chief Executive Officer &amp; Executive Chairman of Vera Bradley, Inc., certify that (i) the annual report on Form 10-K for the fiscal year ended January 31, 2026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85"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/s/ Ian Bickley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Ian Bickley</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Chief Executive Officer &amp; Executive Chairman</w:t>
      </w:r>
    </w:p>
    <w:p>
      <w:pPr>
        <w:spacing w:after="0" w:line="7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March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2">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Date</w:t>
      </w:r>
    </w:p>
    <w:p>
      <w:pPr>
        <w:spacing w:after="0" w:line="104" w:lineRule="exact"/>
        <w:rPr>
          <w:sz w:val="20"/>
          <w:szCs w:val="20"/>
          <w:color w:val="auto"/>
        </w:rPr>
      </w:pPr>
    </w:p>
    <w:p>
      <w:pPr>
        <w:ind w:right="40" w:firstLine="180"/>
        <w:spacing w:after="0" w:line="261" w:lineRule="auto"/>
        <w:rPr>
          <w:sz w:val="20"/>
          <w:szCs w:val="20"/>
          <w:color w:val="auto"/>
        </w:rPr>
      </w:pPr>
      <w:r>
        <w:rPr>
          <w:rFonts w:ascii="Times New Roman" w:cs="Times New Roman" w:eastAsia="Times New Roman" w:hAnsi="Times New Roman"/>
          <w:sz w:val="18"/>
          <w:szCs w:val="18"/>
          <w:color w:val="auto"/>
        </w:rPr>
        <w:t>I, Martin Layding, the Chief Operating &amp; Financial Officer of Vera Bradley, Inc., certify that (i) the annual report on Form 10-K for the fiscal year ended January 31, 2026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9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 Martin Layding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3">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Martin Layding</w:t>
      </w:r>
    </w:p>
    <w:p>
      <w:pPr>
        <w:spacing w:after="0" w:line="27"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i w:val="1"/>
          <w:iCs w:val="1"/>
          <w:color w:val="auto"/>
        </w:rPr>
        <w:t>Chief Operating &amp; Financial Officer</w:t>
      </w:r>
    </w:p>
    <w:p>
      <w:pPr>
        <w:spacing w:after="0" w:line="7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March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4">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Date</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1)"/>
      <w:numFmt w:val="lowerRoman"/>
      <w:start w:val="3"/>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1."/>
      <w:numFmt w:val="decimal"/>
      <w:start w:val="1"/>
    </w:lvl>
    <w:lvl w:ilvl="1">
      <w:lvlJc w:val="left"/>
      <w:lvlText w:val="•"/>
      <w:numFmt w:val="bullet"/>
      <w:start w:val="1"/>
    </w:lvl>
  </w:abstractNum>
  <w:abstractNum w:abstractNumId="21">
    <w:nsid w:val="440BADFC"/>
    <w:multiLevelType w:val="hybridMultilevel"/>
    <w:lvl w:ilvl="0">
      <w:lvlJc w:val="left"/>
      <w:lvlText w:val="%1."/>
      <w:numFmt w:val="decimal"/>
      <w:start w:val="2"/>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1."/>
      <w:numFmt w:val="decimal"/>
      <w:start w:val="3"/>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4"/>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6"/>
    </w:lvl>
  </w:abstractNum>
  <w:abstractNum w:abstractNumId="31">
    <w:nsid w:val="580BD78F"/>
    <w:multiLevelType w:val="hybridMultilevel"/>
    <w:lvl w:ilvl="0">
      <w:lvlJc w:val="left"/>
      <w:lvlText w:val="%1."/>
      <w:numFmt w:val="decimal"/>
      <w:start w:val="7"/>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decimal"/>
      <w:start w:val="8"/>
    </w:lvl>
  </w:abstractNum>
  <w:abstractNum w:abstractNumId="34">
    <w:nsid w:val="70A64E2A"/>
    <w:multiLevelType w:val="hybridMultilevel"/>
    <w:lvl w:ilvl="0">
      <w:lvlJc w:val="left"/>
      <w:lvlText w:val="%1."/>
      <w:numFmt w:val="decimal"/>
      <w:start w:val="9"/>
    </w:lvl>
  </w:abstractNum>
  <w:abstractNum w:abstractNumId="35">
    <w:nsid w:val="6A2342EC"/>
    <w:multiLevelType w:val="hybridMultilevel"/>
    <w:lvl w:ilvl="0">
      <w:lvlJc w:val="left"/>
      <w:lvlText w:val="%1."/>
      <w:numFmt w:val="decimal"/>
      <w:start w:val="1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lowerRoman"/>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20" Type="http://schemas.openxmlformats.org/officeDocument/2006/relationships/image" Target="media/image95.png"/><Relationship Id="rId130" Type="http://schemas.openxmlformats.org/officeDocument/2006/relationships/image" Target="media/image96.png"/><Relationship Id="rId131" Type="http://schemas.openxmlformats.org/officeDocument/2006/relationships/image" Target="media/image97.png"/><Relationship Id="rId132" Type="http://schemas.openxmlformats.org/officeDocument/2006/relationships/image" Target="media/image98.png"/><Relationship Id="rId133" Type="http://schemas.openxmlformats.org/officeDocument/2006/relationships/image" Target="media/image99.png"/><Relationship Id="rId134" Type="http://schemas.openxmlformats.org/officeDocument/2006/relationships/image" Target="media/image100.png"/><Relationship Id="rId135" Type="http://schemas.openxmlformats.org/officeDocument/2006/relationships/image" Target="media/image101.png"/><Relationship Id="rId136" Type="http://schemas.openxmlformats.org/officeDocument/2006/relationships/image" Target="media/image102.png"/><Relationship Id="rId137" Type="http://schemas.openxmlformats.org/officeDocument/2006/relationships/image" Target="media/image103.png"/><Relationship Id="rId138" Type="http://schemas.openxmlformats.org/officeDocument/2006/relationships/image" Target="media/image104.png"/><Relationship Id="rId139" Type="http://schemas.openxmlformats.org/officeDocument/2006/relationships/image" Target="media/image105.png"/><Relationship Id="rId140" Type="http://schemas.openxmlformats.org/officeDocument/2006/relationships/image" Target="media/image106.png"/><Relationship Id="rId141" Type="http://schemas.openxmlformats.org/officeDocument/2006/relationships/image" Target="media/image107.png"/><Relationship Id="rId142" Type="http://schemas.openxmlformats.org/officeDocument/2006/relationships/image" Target="media/image108.png"/><Relationship Id="rId143" Type="http://schemas.openxmlformats.org/officeDocument/2006/relationships/image" Target="media/image109.png"/><Relationship Id="rId144" Type="http://schemas.openxmlformats.org/officeDocument/2006/relationships/image" Target="media/image110.png"/><Relationship Id="rId102" Type="http://schemas.openxmlformats.org/officeDocument/2006/relationships/hyperlink" Target="https://www.sec.gov/Archives/edgar/data/1495320/000149532023000007/vra-2023123xex101.htm" TargetMode="External"/><Relationship Id="rId103" Type="http://schemas.openxmlformats.org/officeDocument/2006/relationships/hyperlink" Target="https://www.sec.gov/Archives/edgar/data/1495320/000149532025000019/vra20250201-ex22.htm" TargetMode="External"/><Relationship Id="rId104" Type="http://schemas.openxmlformats.org/officeDocument/2006/relationships/hyperlink" Target="https://www.sec.gov/Archives/edgar/data/1495320/000149532021000027/vra-20210603xex31.htm" TargetMode="External"/><Relationship Id="rId105" Type="http://schemas.openxmlformats.org/officeDocument/2006/relationships/hyperlink" Target="https://www.sec.gov/Archives/edgar/data/1495320/000149532019000003/vra-20190228xex32.htm" TargetMode="External"/><Relationship Id="rId106" Type="http://schemas.openxmlformats.org/officeDocument/2006/relationships/hyperlink" Target="https://www.sec.gov/Archives/edgar/data/1495320/000119312510231184/dex41.htm" TargetMode="External"/><Relationship Id="rId107" Type="http://schemas.openxmlformats.org/officeDocument/2006/relationships/hyperlink" Target="https://www.sec.gov/Archives/edgar/data/1495320/000149532020000010/vra-20200201xex42.htm" TargetMode="External"/><Relationship Id="rId108" Type="http://schemas.openxmlformats.org/officeDocument/2006/relationships/hyperlink" Target="https://www.sec.gov/Archives/edgar/data/1495320/000119312510224879/dex105.htm" TargetMode="External"/><Relationship Id="rId109" Type="http://schemas.openxmlformats.org/officeDocument/2006/relationships/hyperlink" Target="https://www.sec.gov/Archives/edgar/data/1495320/000149532021000036/vra-20210501xex104.htm" TargetMode="External"/><Relationship Id="rId110" Type="http://schemas.openxmlformats.org/officeDocument/2006/relationships/hyperlink" Target="https://www.sec.gov/Archives/edgar/data/1495320/000149532019000010/vra-20190202xex104.htm" TargetMode="External"/><Relationship Id="rId111" Type="http://schemas.openxmlformats.org/officeDocument/2006/relationships/hyperlink" Target="https://www.sec.gov/Archives/edgar/data/1495320/000149532018000031/vra-20180804xex102.htm" TargetMode="External"/><Relationship Id="rId112" Type="http://schemas.openxmlformats.org/officeDocument/2006/relationships/hyperlink" Target="https://www.sec.gov/Archives/edgar/data/1495320/000149532025000051/vra-20250503xex101.htm" TargetMode="External"/><Relationship Id="rId113" Type="http://schemas.openxmlformats.org/officeDocument/2006/relationships/hyperlink" Target="https://www.sec.gov/Archives/edgar/data/1495320/000149532018000019/vra-20180505xex102.htm" TargetMode="External"/><Relationship Id="rId114" Type="http://schemas.openxmlformats.org/officeDocument/2006/relationships/hyperlink" Target="https://www.sec.gov/Archives/edgar/data/1495320/000149532023000049/vra-2023x0803xexx101.htm" TargetMode="External"/><Relationship Id="rId115" Type="http://schemas.openxmlformats.org/officeDocument/2006/relationships/hyperlink" Target="https://www.sec.gov/Archives/edgar/data/1495320/000149532023000049/vra-20230803xex102.htm" TargetMode="External"/><Relationship Id="rId116" Type="http://schemas.openxmlformats.org/officeDocument/2006/relationships/hyperlink" Target="https://www.sec.gov/Archives/edgar/data/0001495320/000149532023000049/vra-20230803xex102.htm" TargetMode="External"/><Relationship Id="rId117" Type="http://schemas.openxmlformats.org/officeDocument/2006/relationships/hyperlink" Target="https://www.sec.gov/Archives/edgar/data/0001495320/000149532023000049/vra-20230803xex103.htm" TargetMode="External"/><Relationship Id="rId118" Type="http://schemas.openxmlformats.org/officeDocument/2006/relationships/hyperlink" Target="https://www.sec.gov/Archives/edgar/data/1495320/000149532021000036/vra-20210501xex102.htm" TargetMode="External"/><Relationship Id="rId119" Type="http://schemas.openxmlformats.org/officeDocument/2006/relationships/hyperlink" Target="https://www.sec.gov/Archives/edgar/data/1495320/000149532021000036/vra-20210501xex103.htm" TargetMode="External"/><Relationship Id="rId121" Type="http://schemas.openxmlformats.org/officeDocument/2006/relationships/hyperlink" Target="https://www.sec.gov/Archives/edgar/data/1495320/000149532022000039/ex-10120220920.htm" TargetMode="External"/><Relationship Id="rId122" Type="http://schemas.openxmlformats.org/officeDocument/2006/relationships/hyperlink" Target="https://www.sec.gov/Archives/edgar/data/1495320/000162828026017726/ex-10120260311.htm" TargetMode="External"/><Relationship Id="rId123" Type="http://schemas.openxmlformats.org/officeDocument/2006/relationships/hyperlink" Target="https://www.sec.gov/Archives/edgar/data/1495320/000149532022000046/vra-20221029xex101.htm" TargetMode="External"/><Relationship Id="rId124" Type="http://schemas.openxmlformats.org/officeDocument/2006/relationships/hyperlink" Target="https://www.sec.gov/Archives/edgar/data/0001495320/000149532022000046/vra-20221029xex101.htm" TargetMode="External"/><Relationship Id="rId125" Type="http://schemas.openxmlformats.org/officeDocument/2006/relationships/hyperlink" Target="https://www.sec.gov/Archives/edgar/data/1495320/000149532022000026/vra-20220430xex102.htm" TargetMode="External"/><Relationship Id="rId126" Type="http://schemas.openxmlformats.org/officeDocument/2006/relationships/hyperlink" Target="https://www.sec.gov/ix?doc=/Archives/edgar/data/1495320/000119312523110460/d442568ddef14a.htm" TargetMode="External"/><Relationship Id="rId127" Type="http://schemas.openxmlformats.org/officeDocument/2006/relationships/hyperlink" Target="https://www.sec.gov/Archives/edgar/data/1495320/000149532025000019/vra20250201-ex1016.htm" TargetMode="External"/><Relationship Id="rId128" Type="http://schemas.openxmlformats.org/officeDocument/2006/relationships/hyperlink" Target="https://www.sec.gov/Archives/edgar/data/1495320/000162828025046464/ex-10120251021.htm" TargetMode="External"/><Relationship Id="rId129" Type="http://schemas.openxmlformats.org/officeDocument/2006/relationships/hyperlink" Target="https://www.sec.gov/Archives/edgar/data/1495320/000149532024000026/vra-20240203x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2026-03-27T13:15:53Z</dcterms:created>
  <dcterms:modified xsi:type="dcterms:W3CDTF">2026-03-27T13:15:53Z</dcterms:modified>
</cp:coreProperties>
</file>