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090912.xml.htm"/>
      <w:bookmarkStart w:id="1" w:name="ksform409292026_0909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Brockman Ivan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12420 STONEBRIDGE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Bradley,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note.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25,074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for the account of the Ivan and Lori Brockman Trust, of which the reporting person and his spouse are co-trustees and beneficiaries. The reporting person disclaims beneficial ownership of the reported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Alyson Bohren, attorney-in-fact for Ivan Brockman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943" TargetMode="External"/><Relationship Id="rId5" Type="http://schemas.openxmlformats.org/officeDocument/2006/relationships/hyperlink" Target="http://www.sec.gov/cgi-bin/browse-edgar?action=getcompany&amp;CIK=000149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3333</Characters>
  <CharactersWithSpaces>3876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