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August 2,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2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 BRADLEY,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600" w:type="dxa"/>
        <w:tblCellMar>
          <w:top w:w="0" w:type="dxa"/>
          <w:left w:w="0" w:type="dxa"/>
          <w:bottom w:w="0" w:type="dxa"/>
          <w:right w:w="0" w:type="dxa"/>
        </w:tblCellMar>
      </w:tblPr>
      <w:tr>
        <w:trPr>
          <w:trHeight w:val="234"/>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5"/>
              </w:rPr>
              <w:t>Indiana</w:t>
            </w:r>
          </w:p>
        </w:tc>
        <w:tc>
          <w:tcPr>
            <w:tcW w:w="5180" w:type="dxa"/>
            <w:vAlign w:val="bottom"/>
          </w:tcPr>
          <w:p>
            <w:pPr>
              <w:jc w:val="right"/>
              <w:ind w:right="6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80" w:type="dxa"/>
            <w:vAlign w:val="bottom"/>
          </w:tcPr>
          <w:p>
            <w:pPr>
              <w:jc w:val="center"/>
              <w:ind w:left="39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8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12420 Stonebridge Road,</w:t>
            </w:r>
          </w:p>
        </w:tc>
        <w:tc>
          <w:tcPr>
            <w:tcW w:w="5180" w:type="dxa"/>
            <w:vAlign w:val="bottom"/>
          </w:tcPr>
          <w:p>
            <w:pPr>
              <w:spacing w:after="0"/>
              <w:rPr>
                <w:sz w:val="24"/>
                <w:szCs w:val="24"/>
                <w:color w:val="auto"/>
              </w:rPr>
            </w:pPr>
          </w:p>
        </w:tc>
      </w:tr>
      <w:tr>
        <w:trPr>
          <w:trHeight w:val="234"/>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Roanoke, Indiana</w:t>
            </w:r>
          </w:p>
        </w:tc>
        <w:tc>
          <w:tcPr>
            <w:tcW w:w="518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80" w:type="dxa"/>
            <w:vAlign w:val="bottom"/>
          </w:tcPr>
          <w:p>
            <w:pPr>
              <w:jc w:val="center"/>
              <w:ind w:left="396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40" w:type="dxa"/>
            <w:vAlign w:val="bottom"/>
          </w:tcPr>
          <w:p>
            <w:pPr>
              <w:spacing w:after="0"/>
              <w:rPr>
                <w:sz w:val="24"/>
                <w:szCs w:val="24"/>
                <w:color w:val="auto"/>
              </w:rPr>
            </w:pPr>
          </w:p>
        </w:tc>
        <w:tc>
          <w:tcPr>
            <w:tcW w:w="5180" w:type="dxa"/>
            <w:vAlign w:val="bottom"/>
          </w:tcPr>
          <w:p>
            <w:pPr>
              <w:jc w:val="right"/>
              <w:ind w:right="286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40" w:type="dxa"/>
            <w:vAlign w:val="bottom"/>
          </w:tcPr>
          <w:p>
            <w:pPr>
              <w:spacing w:after="0"/>
              <w:rPr>
                <w:sz w:val="16"/>
                <w:szCs w:val="16"/>
                <w:color w:val="auto"/>
              </w:rPr>
            </w:pPr>
          </w:p>
        </w:tc>
        <w:tc>
          <w:tcPr>
            <w:tcW w:w="5180" w:type="dxa"/>
            <w:vAlign w:val="bottom"/>
          </w:tcPr>
          <w:p>
            <w:pPr>
              <w:jc w:val="center"/>
              <w:ind w:right="17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852"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400" w:space="720"/>
            <w:col w:w="4180" w:space="720"/>
            <w:col w:w="2380" w:space="720"/>
            <w:col w:w="300"/>
          </w:cols>
          <w:pgMar w:left="240" w:top="229" w:right="239" w:bottom="852"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2400" w:space="720"/>
            <w:col w:w="160" w:space="80"/>
            <w:col w:w="3940" w:space="720"/>
            <w:col w:w="2380" w:space="720"/>
            <w:col w:w="300"/>
          </w:cols>
          <w:pgMar w:left="240" w:top="229" w:right="239" w:bottom="852"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2">
            <w:col w:w="8880" w:space="180"/>
            <w:col w:w="2360"/>
          </w:cols>
          <w:pgMar w:left="240" w:top="229" w:right="239" w:bottom="852" w:gutter="0" w:footer="0" w:header="0"/>
          <w:type w:val="continuous"/>
        </w:sectPr>
      </w:pPr>
    </w:p>
    <w:p>
      <w:pPr>
        <w:spacing w:after="0"/>
        <w:rPr>
          <w:sz w:val="20"/>
          <w:szCs w:val="20"/>
          <w:color w:val="auto"/>
        </w:rPr>
      </w:pPr>
      <w:r>
        <w:rPr>
          <w:rFonts w:ascii="Arial" w:cs="Arial" w:eastAsia="Arial" w:hAnsi="Arial"/>
          <w:sz w:val="16"/>
          <w:szCs w:val="16"/>
          <w:color w:val="auto"/>
        </w:rPr>
        <w:t>The registrant had 40,688,692 shares of its common stock outstanding as of September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8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140" w:type="dxa"/>
            <w:vAlign w:val="bottom"/>
            <w:gridSpan w:val="18"/>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74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804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 (unaudited)</w:t>
              </w:r>
            </w:hyperlink>
          </w:p>
        </w:tc>
        <w:tc>
          <w:tcPr>
            <w:tcW w:w="778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August 2, 2014, and February 1, 2014</w:t>
              </w:r>
            </w:hyperlink>
          </w:p>
        </w:tc>
        <w:tc>
          <w:tcPr>
            <w:tcW w:w="49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for the Thirteen and Twenty-Six Weeks Ended August 2, 2014, and August 3, 2013</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Comprehensive Income for the Thirteen and Twenty-Six Weeks Ended August 2, 2014, and August</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3, 2013</w:t>
              </w:r>
            </w:hyperlink>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Twenty-Six Weeks Ended August 2, 2014, and August 3, 2013</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Borders>
              <w:top w:val="single" w:sz="8" w:color="0000EE"/>
              <w:bottom w:val="single" w:sz="8" w:color="0000FF"/>
            </w:tcBorders>
            <w:gridSpan w:val="9"/>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the Consolidated Financial Statements</w:t>
              </w:r>
            </w:hyperlink>
          </w:p>
        </w:tc>
        <w:tc>
          <w:tcPr>
            <w:tcW w:w="4520" w:type="dxa"/>
            <w:vAlign w:val="bottom"/>
            <w:tcBorders>
              <w:top w:val="single" w:sz="8" w:color="0000EE"/>
            </w:tcBorders>
            <w:gridSpan w:val="4"/>
          </w:tcPr>
          <w:p>
            <w:pPr>
              <w:spacing w:after="0"/>
              <w:rPr>
                <w:sz w:val="24"/>
                <w:szCs w:val="24"/>
                <w:color w:val="auto"/>
              </w:rPr>
            </w:pPr>
          </w:p>
        </w:tc>
        <w:tc>
          <w:tcPr>
            <w:tcW w:w="22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Management’s Discussion and Analysis of Financial Condition and Results of Operations</w:t>
              </w:r>
            </w:hyperlink>
          </w:p>
        </w:tc>
        <w:tc>
          <w:tcPr>
            <w:tcW w:w="370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13</w:t>
              </w:r>
            </w:hyperlink>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Quantitative and Qualitative Disclosures About Market Risk</w:t>
              </w:r>
            </w:hyperlink>
          </w:p>
        </w:tc>
        <w:tc>
          <w:tcPr>
            <w:tcW w:w="580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21">
              <w:r>
                <w:rPr>
                  <w:rFonts w:ascii="Arial" w:cs="Arial" w:eastAsia="Arial" w:hAnsi="Arial"/>
                  <w:sz w:val="18"/>
                  <w:szCs w:val="18"/>
                  <w:color w:val="0000FF"/>
                  <w:w w:val="88"/>
                </w:rPr>
                <w:t>Controls and Procedures</w:t>
              </w:r>
            </w:hyperlink>
          </w:p>
        </w:tc>
        <w:tc>
          <w:tcPr>
            <w:tcW w:w="8380" w:type="dxa"/>
            <w:vAlign w:val="bottom"/>
            <w:gridSpan w:val="11"/>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 OTHER INFORMATION</w:t>
              </w:r>
            </w:hyperlink>
          </w:p>
        </w:tc>
        <w:tc>
          <w:tcPr>
            <w:tcW w:w="834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10160" w:type="dxa"/>
            <w:vAlign w:val="bottom"/>
            <w:gridSpan w:val="1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22</w:t>
              </w:r>
            </w:hyperlink>
          </w:p>
        </w:tc>
      </w:tr>
      <w:tr>
        <w:trPr>
          <w:trHeight w:val="372"/>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FF"/>
            </w:tcBorders>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Exhibits</w:t>
              </w:r>
            </w:hyperlink>
          </w:p>
        </w:tc>
        <w:tc>
          <w:tcPr>
            <w:tcW w:w="9260" w:type="dxa"/>
            <w:vAlign w:val="bottom"/>
            <w:gridSpan w:val="12"/>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r>
      <w:tr>
        <w:trPr>
          <w:trHeight w:val="885"/>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Borders>
              <w:top w:val="single" w:sz="8" w:color="0000FF"/>
            </w:tcBorders>
            <w:gridSpan w:val="3"/>
          </w:tcPr>
          <w:p>
            <w:pPr>
              <w:spacing w:after="0"/>
              <w:rPr>
                <w:sz w:val="24"/>
                <w:szCs w:val="24"/>
                <w:color w:val="auto"/>
              </w:rPr>
            </w:pPr>
          </w:p>
        </w:tc>
        <w:tc>
          <w:tcPr>
            <w:tcW w:w="4660" w:type="dxa"/>
            <w:vAlign w:val="bottom"/>
            <w:gridSpan w:val="8"/>
          </w:tcPr>
          <w:p>
            <w:pPr>
              <w:jc w:val="right"/>
              <w:ind w:right="480"/>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effects resulting from a significant disruption in our single distribution facility.</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February 1, 2014, as well as Item 1A of Part II of this Quarterly Report on Form 10-Q.</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42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80"/>
        </w:trPr>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2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Pr>
          <w:p>
            <w:pPr>
              <w:jc w:val="center"/>
              <w:ind w:left="1570"/>
              <w:spacing w:after="0"/>
              <w:rPr>
                <w:sz w:val="20"/>
                <w:szCs w:val="20"/>
                <w:color w:val="auto"/>
              </w:rPr>
            </w:pPr>
            <w:r>
              <w:rPr>
                <w:rFonts w:ascii="Arial" w:cs="Arial" w:eastAsia="Arial" w:hAnsi="Arial"/>
                <w:sz w:val="18"/>
                <w:szCs w:val="18"/>
                <w:b w:val="1"/>
                <w:bCs w:val="1"/>
                <w:color w:val="auto"/>
                <w:w w:val="92"/>
              </w:rPr>
              <w:t>Vera Bradley, Inc.</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60" w:type="dxa"/>
            <w:vAlign w:val="bottom"/>
          </w:tcPr>
          <w:p>
            <w:pPr>
              <w:jc w:val="center"/>
              <w:ind w:left="1570"/>
              <w:spacing w:after="0"/>
              <w:rPr>
                <w:sz w:val="20"/>
                <w:szCs w:val="20"/>
                <w:color w:val="auto"/>
              </w:rPr>
            </w:pPr>
            <w:r>
              <w:rPr>
                <w:rFonts w:ascii="Arial" w:cs="Arial" w:eastAsia="Arial" w:hAnsi="Arial"/>
                <w:sz w:val="18"/>
                <w:szCs w:val="18"/>
                <w:b w:val="1"/>
                <w:bCs w:val="1"/>
                <w:color w:val="auto"/>
                <w:w w:val="87"/>
              </w:rPr>
              <w:t>Consolidated Balance Sheets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Pr>
          <w:p>
            <w:pPr>
              <w:jc w:val="center"/>
              <w:ind w:left="155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2,</w:t>
            </w:r>
          </w:p>
        </w:tc>
        <w:tc>
          <w:tcPr>
            <w:tcW w:w="220" w:type="dxa"/>
            <w:vAlign w:val="bottom"/>
          </w:tcPr>
          <w:p>
            <w:pPr>
              <w:spacing w:after="0"/>
              <w:rPr>
                <w:sz w:val="24"/>
                <w:szCs w:val="24"/>
                <w:color w:val="auto"/>
              </w:rPr>
            </w:pPr>
          </w:p>
        </w:tc>
        <w:tc>
          <w:tcPr>
            <w:tcW w:w="1220" w:type="dxa"/>
            <w:vAlign w:val="bottom"/>
          </w:tcPr>
          <w:p>
            <w:pPr>
              <w:jc w:val="right"/>
              <w:ind w:right="291"/>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r>
      <w:tr>
        <w:trPr>
          <w:trHeight w:val="243"/>
        </w:trPr>
        <w:tc>
          <w:tcPr>
            <w:tcW w:w="8420" w:type="dxa"/>
            <w:vAlign w:val="bottom"/>
            <w:gridSpan w:val="3"/>
          </w:tcPr>
          <w:p>
            <w:pPr>
              <w:ind w:left="2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28,676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27,718</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136,923</w:t>
            </w:r>
          </w:p>
        </w:tc>
      </w:tr>
      <w:tr>
        <w:trPr>
          <w:trHeight w:val="243"/>
        </w:trPr>
        <w:tc>
          <w:tcPr>
            <w:tcW w:w="8420" w:type="dxa"/>
            <w:vAlign w:val="bottom"/>
            <w:gridSpan w:val="3"/>
          </w:tcPr>
          <w:p>
            <w:pPr>
              <w:ind w:left="28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9,952</w:t>
            </w:r>
          </w:p>
        </w:tc>
      </w:tr>
      <w:tr>
        <w:trPr>
          <w:trHeight w:val="243"/>
        </w:trPr>
        <w:tc>
          <w:tcPr>
            <w:tcW w:w="8420" w:type="dxa"/>
            <w:vAlign w:val="bottom"/>
            <w:gridSpan w:val="3"/>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13,094</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246,902</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84,940</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r>
      <w:tr>
        <w:trPr>
          <w:trHeight w:val="237"/>
        </w:trPr>
        <w:tc>
          <w:tcPr>
            <w:tcW w:w="842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341,462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332,927</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4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27,745</w:t>
            </w:r>
          </w:p>
        </w:tc>
      </w:tr>
      <w:tr>
        <w:trPr>
          <w:trHeight w:val="243"/>
        </w:trPr>
        <w:tc>
          <w:tcPr>
            <w:tcW w:w="8420" w:type="dxa"/>
            <w:vAlign w:val="bottom"/>
            <w:gridSpan w:val="3"/>
          </w:tcPr>
          <w:p>
            <w:pPr>
              <w:ind w:left="280"/>
              <w:spacing w:after="0"/>
              <w:rPr>
                <w:sz w:val="20"/>
                <w:szCs w:val="20"/>
                <w:color w:val="auto"/>
              </w:rPr>
            </w:pPr>
            <w:r>
              <w:rPr>
                <w:rFonts w:ascii="Arial" w:cs="Arial" w:eastAsia="Arial" w:hAnsi="Arial"/>
                <w:sz w:val="18"/>
                <w:szCs w:val="18"/>
                <w:color w:val="auto"/>
              </w:rPr>
              <w:t>Accrued employment costs</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10,586</w:t>
            </w:r>
          </w:p>
        </w:tc>
      </w:tr>
      <w:tr>
        <w:trPr>
          <w:trHeight w:val="27"/>
        </w:trPr>
        <w:tc>
          <w:tcPr>
            <w:tcW w:w="136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20,403</w:t>
            </w:r>
          </w:p>
        </w:tc>
      </w:tr>
      <w:tr>
        <w:trPr>
          <w:trHeight w:val="243"/>
        </w:trPr>
        <w:tc>
          <w:tcPr>
            <w:tcW w:w="8420" w:type="dxa"/>
            <w:vAlign w:val="bottom"/>
            <w:gridSpan w:val="3"/>
          </w:tcPr>
          <w:p>
            <w:pPr>
              <w:ind w:left="2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1,625</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60,359</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4,643</w:t>
            </w:r>
          </w:p>
        </w:tc>
      </w:tr>
      <w:tr>
        <w:trPr>
          <w:trHeight w:val="27"/>
        </w:trPr>
        <w:tc>
          <w:tcPr>
            <w:tcW w:w="136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12,778</w:t>
            </w:r>
          </w:p>
        </w:tc>
      </w:tr>
      <w:tr>
        <w:trPr>
          <w:trHeight w:val="237"/>
        </w:trPr>
        <w:tc>
          <w:tcPr>
            <w:tcW w:w="842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77,780</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gridSpan w:val="3"/>
          </w:tcPr>
          <w:p>
            <w:pPr>
              <w:ind w:left="280"/>
              <w:spacing w:after="0"/>
              <w:rPr>
                <w:sz w:val="20"/>
                <w:szCs w:val="20"/>
                <w:color w:val="auto"/>
              </w:rPr>
            </w:pPr>
            <w:r>
              <w:rPr>
                <w:rFonts w:ascii="Arial" w:cs="Arial" w:eastAsia="Arial" w:hAnsi="Arial"/>
                <w:sz w:val="18"/>
                <w:szCs w:val="18"/>
                <w:color w:val="auto"/>
              </w:rPr>
              <w:t>Common stock, without par value; 200,000 shares authorized, 40,687 and 40,607 shares issued and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420" w:type="dxa"/>
            <w:vAlign w:val="bottom"/>
            <w:gridSpan w:val="3"/>
          </w:tcPr>
          <w:p>
            <w:pPr>
              <w:ind w:left="280"/>
              <w:spacing w:after="0"/>
              <w:rPr>
                <w:sz w:val="20"/>
                <w:szCs w:val="20"/>
                <w:color w:val="auto"/>
              </w:rPr>
            </w:pPr>
            <w:r>
              <w:rPr>
                <w:rFonts w:ascii="Arial" w:cs="Arial" w:eastAsia="Arial" w:hAnsi="Arial"/>
                <w:sz w:val="18"/>
                <w:szCs w:val="18"/>
                <w:color w:val="auto"/>
              </w:rPr>
              <w:t>outstanding, respectively</w:t>
            </w:r>
          </w:p>
        </w:tc>
        <w:tc>
          <w:tcPr>
            <w:tcW w:w="2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78,153</w:t>
            </w:r>
          </w:p>
        </w:tc>
      </w:tr>
      <w:tr>
        <w:trPr>
          <w:trHeight w:val="243"/>
        </w:trPr>
        <w:tc>
          <w:tcPr>
            <w:tcW w:w="8420" w:type="dxa"/>
            <w:vAlign w:val="bottom"/>
            <w:gridSpan w:val="3"/>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192,167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178,002</w:t>
            </w:r>
          </w:p>
        </w:tc>
      </w:tr>
      <w:tr>
        <w:trPr>
          <w:trHeight w:val="27"/>
        </w:trPr>
        <w:tc>
          <w:tcPr>
            <w:tcW w:w="136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37"/>
        </w:trPr>
        <w:tc>
          <w:tcPr>
            <w:tcW w:w="8420" w:type="dxa"/>
            <w:vAlign w:val="bottom"/>
            <w:gridSpan w:val="3"/>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270,669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255,147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341,462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332,927</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5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August 2,</w:t>
            </w:r>
          </w:p>
        </w:tc>
        <w:tc>
          <w:tcPr>
            <w:tcW w:w="28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August 3,</w:t>
            </w:r>
          </w:p>
        </w:tc>
        <w:tc>
          <w:tcPr>
            <w:tcW w:w="26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260" w:type="dxa"/>
            <w:vAlign w:val="bottom"/>
          </w:tcPr>
          <w:p>
            <w:pPr>
              <w:spacing w:after="0"/>
              <w:rPr>
                <w:sz w:val="13"/>
                <w:szCs w:val="13"/>
                <w:color w:val="auto"/>
              </w:rPr>
            </w:pPr>
          </w:p>
        </w:tc>
        <w:tc>
          <w:tcPr>
            <w:tcW w:w="118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August 3,</w:t>
            </w:r>
          </w:p>
        </w:tc>
      </w:tr>
      <w:tr>
        <w:trPr>
          <w:trHeight w:val="192"/>
        </w:trPr>
        <w:tc>
          <w:tcPr>
            <w:tcW w:w="5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233,565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248,405</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53,599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108,981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108,166</w:t>
            </w: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140,239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51,763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103,075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103,563</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2,581</w:t>
            </w:r>
          </w:p>
        </w:tc>
      </w:tr>
      <w:tr>
        <w:trPr>
          <w:trHeight w:val="237"/>
        </w:trPr>
        <w:tc>
          <w:tcPr>
            <w:tcW w:w="53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39,257</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37"/>
        </w:trPr>
        <w:tc>
          <w:tcPr>
            <w:tcW w:w="532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39,034</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14,894</w:t>
            </w:r>
          </w:p>
        </w:tc>
      </w:tr>
      <w:tr>
        <w:trPr>
          <w:trHeight w:val="237"/>
        </w:trPr>
        <w:tc>
          <w:tcPr>
            <w:tcW w:w="53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14,165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24,140</w:t>
            </w:r>
          </w:p>
        </w:tc>
      </w:tr>
      <w:tr>
        <w:trPr>
          <w:trHeight w:val="67"/>
        </w:trPr>
        <w:tc>
          <w:tcPr>
            <w:tcW w:w="53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40,592</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40,722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40,624</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0.59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August 2,</w:t>
            </w:r>
          </w:p>
        </w:tc>
        <w:tc>
          <w:tcPr>
            <w:tcW w:w="28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August 3,</w:t>
            </w:r>
          </w:p>
        </w:tc>
        <w:tc>
          <w:tcPr>
            <w:tcW w:w="26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260" w:type="dxa"/>
            <w:vAlign w:val="bottom"/>
          </w:tcPr>
          <w:p>
            <w:pPr>
              <w:spacing w:after="0"/>
              <w:rPr>
                <w:sz w:val="13"/>
                <w:szCs w:val="13"/>
                <w:color w:val="auto"/>
              </w:rPr>
            </w:pPr>
          </w:p>
        </w:tc>
        <w:tc>
          <w:tcPr>
            <w:tcW w:w="1180" w:type="dxa"/>
            <w:vAlign w:val="bottom"/>
          </w:tcPr>
          <w:p>
            <w:pPr>
              <w:jc w:val="right"/>
              <w:ind w:right="357"/>
              <w:spacing w:after="0" w:line="153" w:lineRule="exact"/>
              <w:rPr>
                <w:sz w:val="20"/>
                <w:szCs w:val="20"/>
                <w:color w:val="auto"/>
              </w:rPr>
            </w:pPr>
            <w:r>
              <w:rPr>
                <w:rFonts w:ascii="Arial" w:cs="Arial" w:eastAsia="Arial" w:hAnsi="Arial"/>
                <w:sz w:val="14"/>
                <w:szCs w:val="14"/>
                <w:b w:val="1"/>
                <w:bCs w:val="1"/>
                <w:color w:val="auto"/>
              </w:rPr>
              <w:t>August 3,</w:t>
            </w:r>
          </w:p>
        </w:tc>
      </w:tr>
      <w:tr>
        <w:trPr>
          <w:trHeight w:val="192"/>
        </w:trPr>
        <w:tc>
          <w:tcPr>
            <w:tcW w:w="5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2013</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24,140</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14,155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23,860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52"/>
        </w:trPr>
        <w:tc>
          <w:tcPr>
            <w:tcW w:w="8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260" w:type="dxa"/>
            <w:vAlign w:val="bottom"/>
          </w:tcPr>
          <w:p>
            <w:pPr>
              <w:spacing w:after="0"/>
              <w:rPr>
                <w:sz w:val="13"/>
                <w:szCs w:val="13"/>
                <w:color w:val="auto"/>
              </w:rPr>
            </w:pPr>
          </w:p>
        </w:tc>
        <w:tc>
          <w:tcPr>
            <w:tcW w:w="118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August 3,</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14,165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24,140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0" w:type="dxa"/>
            <w:vAlign w:val="bottom"/>
          </w:tcPr>
          <w:p>
            <w:pPr>
              <w:spacing w:after="0"/>
              <w:rPr>
                <w:sz w:val="1"/>
                <w:szCs w:val="1"/>
                <w:color w:val="auto"/>
              </w:rPr>
            </w:pP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32,756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27,004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(11,976)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0" w:type="dxa"/>
            <w:vAlign w:val="bottom"/>
          </w:tcPr>
          <w:p>
            <w:pPr>
              <w:spacing w:after="0"/>
              <w:rPr>
                <w:sz w:val="1"/>
                <w:szCs w:val="1"/>
                <w:color w:val="auto"/>
              </w:rPr>
            </w:pPr>
          </w:p>
        </w:tc>
      </w:tr>
      <w:tr>
        <w:trPr>
          <w:trHeight w:val="22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financial-institution debt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Borrowings on financial-institution debt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0" w:type="dxa"/>
            <w:vAlign w:val="bottom"/>
          </w:tcPr>
          <w:p>
            <w:pPr>
              <w:spacing w:after="0"/>
              <w:rPr>
                <w:sz w:val="1"/>
                <w:szCs w:val="1"/>
                <w:color w:val="auto"/>
              </w:rPr>
            </w:pP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operating and investing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420" w:type="dxa"/>
            <w:vAlign w:val="bottom"/>
          </w:tcPr>
          <w:p>
            <w:pPr>
              <w:ind w:left="280"/>
              <w:spacing w:after="0"/>
              <w:rPr>
                <w:sz w:val="20"/>
                <w:szCs w:val="20"/>
                <w:color w:val="auto"/>
              </w:rPr>
            </w:pPr>
            <w:r>
              <w:rPr>
                <w:rFonts w:ascii="Arial" w:cs="Arial" w:eastAsia="Arial" w:hAnsi="Arial"/>
                <w:sz w:val="18"/>
                <w:szCs w:val="18"/>
                <w:color w:val="auto"/>
              </w:rPr>
              <w:t>Property, plant, and equipment expenditures incurred but not yet paid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context requires or where otherwise indicated.</w:t>
      </w:r>
    </w:p>
    <w:p>
      <w:pPr>
        <w:spacing w:after="0" w:line="3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Vera Bradley is a leading designer of women’s handbags and accessories, luggage and travel items, eyewear, and stationery and gifts. Founded in 1982 by friends Barbara Bradley Baekgaard and Patricia R. Miller, the brand’s iconic designs and versatile styles offer women of all ages a colorful way to accessorize every look.</w:t>
      </w:r>
    </w:p>
    <w:p>
      <w:pPr>
        <w:spacing w:after="0" w:line="46"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department store locations in Japan; its websites, verabradley.com and verabradley.co.jp; direct-to-consumer eBay sales; and its annual outlet sale in Fort Wayne, Indiana. As of August 2, 2014, the Company operated 89 full-line stores and 20 factory outlet stores. The Indirect business consists of sales of Vera Bradley products to approximately 3,000 specialty retail doors, substantially all of which are located in the United States, as well as department stores, national accounts, third party e-commerce sites, and third party inventory liquidation.</w:t>
      </w:r>
    </w:p>
    <w:p>
      <w:pPr>
        <w:spacing w:after="0" w:line="54"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February 1, 2014, filed with the SEC.</w:t>
      </w:r>
    </w:p>
    <w:p>
      <w:pPr>
        <w:spacing w:after="0" w:line="37"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August 2, 2014,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August 2, 2014, and August 3, 2013,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step-up rent liability. As of August 2, 2014 and February 1, 2014, step-up rent liability was $7.9 million and $7.0 million, respectively, and is included within other accrued liabilities on the Consolidated Balance Sheets.</w:t>
      </w:r>
    </w:p>
    <w:p>
      <w:pPr>
        <w:spacing w:after="0" w:line="188" w:lineRule="exact"/>
        <w:rPr>
          <w:sz w:val="20"/>
          <w:szCs w:val="20"/>
          <w:color w:val="auto"/>
        </w:rPr>
      </w:pPr>
    </w:p>
    <w:p>
      <w:pPr>
        <w:ind w:left="660" w:right="260"/>
        <w:spacing w:after="0" w:line="293" w:lineRule="auto"/>
        <w:rPr>
          <w:sz w:val="20"/>
          <w:szCs w:val="20"/>
          <w:color w:val="auto"/>
        </w:rPr>
      </w:pPr>
      <w:r>
        <w:rPr>
          <w:rFonts w:ascii="Arial" w:cs="Arial" w:eastAsia="Arial" w:hAnsi="Arial"/>
          <w:sz w:val="16"/>
          <w:szCs w:val="16"/>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August 2, 2014 and February 1, 2014, the deferred lease credit liability was $12.2 million and $10.3 million, respectively. Of this, $1.6 million and $1.4 million is included within other accrued liabilities as of August 2, 2014 and February 1, 2014, respectively; $10.6 million and $8.9 million is included within other long-term liabilities as of August 2, 2014 and February 1, 2014,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This guidance states that the disposal of a component of an entity is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in 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Company does not expect this standard to have a material impact on the Company's consolidated financial statements upon adoption.</w:t>
      </w:r>
    </w:p>
    <w:p>
      <w:pPr>
        <w:spacing w:after="0" w:line="43" w:lineRule="exact"/>
        <w:rPr>
          <w:sz w:val="20"/>
          <w:szCs w:val="20"/>
          <w:color w:val="auto"/>
        </w:rPr>
      </w:pPr>
    </w:p>
    <w:p>
      <w:pPr>
        <w:jc w:val="both"/>
        <w:ind w:left="660" w:right="320"/>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clarify the principles used to recognize revenue for all entities. The new guidance is effective for annual and interim periods beginning after December 15, 2016, with no early adoption permitted. The Company is currently evaluating the impact, if any, the adoption of this guidance will have on its financial position, results of operations or cash flows.</w:t>
      </w:r>
    </w:p>
    <w:p>
      <w:pPr>
        <w:spacing w:after="0" w:line="52"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3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right="120"/>
        <w:spacing w:after="0" w:line="279" w:lineRule="auto"/>
        <w:rPr>
          <w:sz w:val="20"/>
          <w:szCs w:val="20"/>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August 2,</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August 3,</w:t>
            </w: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August 2,</w:t>
            </w:r>
          </w:p>
        </w:tc>
        <w:tc>
          <w:tcPr>
            <w:tcW w:w="220" w:type="dxa"/>
            <w:vAlign w:val="bottom"/>
          </w:tcPr>
          <w:p>
            <w:pPr>
              <w:spacing w:after="0"/>
              <w:rPr>
                <w:sz w:val="13"/>
                <w:szCs w:val="13"/>
                <w:color w:val="auto"/>
              </w:rPr>
            </w:pPr>
          </w:p>
        </w:tc>
        <w:tc>
          <w:tcPr>
            <w:tcW w:w="102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August 3,</w:t>
            </w:r>
          </w:p>
        </w:tc>
      </w:tr>
      <w:tr>
        <w:trPr>
          <w:trHeight w:val="192"/>
        </w:trPr>
        <w:tc>
          <w:tcPr>
            <w:tcW w:w="5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14,951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24,140</w:t>
            </w: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40,686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40,663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40,592</w:t>
            </w: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40,624</w:t>
            </w:r>
          </w:p>
        </w:tc>
      </w:tr>
      <w:tr>
        <w:trPr>
          <w:trHeight w:val="67"/>
        </w:trPr>
        <w:tc>
          <w:tcPr>
            <w:tcW w:w="5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5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0.59</w:t>
            </w:r>
          </w:p>
        </w:tc>
      </w:tr>
      <w:tr>
        <w:trPr>
          <w:trHeight w:val="67"/>
        </w:trPr>
        <w:tc>
          <w:tcPr>
            <w:tcW w:w="5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6"/>
        </w:trPr>
        <w:tc>
          <w:tcPr>
            <w:tcW w:w="5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As of August 2, 2014 and August 3, 2013, there were an immaterial number of additional shares issuable upon the vesting of restricted stock units that were excluded from the diluted share calculations because they were anti-dilutive.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August 2, 2014, and August 3, 2013, approximated their fair values.</w:t>
      </w:r>
    </w:p>
    <w:p>
      <w:pPr>
        <w:spacing w:after="0" w:line="3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The carrying amount for the amended and restated credit agreement approximated its fair value at August 3, 2013, as the interest rates of these borrowings fluctuate with the market. The credit agreement falls within Level 2 of the fair value hierarchy.</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2,</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7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10,772</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850</w:t>
            </w: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98,180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125,301</w:t>
            </w: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112,023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136,923</w:t>
            </w:r>
          </w:p>
        </w:tc>
      </w:tr>
      <w:tr>
        <w:trPr>
          <w:trHeight w:val="27"/>
        </w:trPr>
        <w:tc>
          <w:tcPr>
            <w:tcW w:w="7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August 2, 2014, the Company had borrowing availability of $125.0 million under the amended and restated credit agreement.</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20"/>
        <w:spacing w:after="0" w:line="308" w:lineRule="auto"/>
        <w:rPr>
          <w:sz w:val="20"/>
          <w:szCs w:val="20"/>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effective tax rate for the thirteen weeks ended August 2, 2014, was 40.3%, compared to 37.7% for the thirteen weeks ended August 3, 2013. The year-over-year increase in the effective rate is primarily due to state tax matters including an incremental reserve related to an ongoing state income tax audit.</w:t>
      </w:r>
    </w:p>
    <w:p>
      <w:pPr>
        <w:spacing w:after="0" w:line="46" w:lineRule="exact"/>
        <w:rPr>
          <w:sz w:val="20"/>
          <w:szCs w:val="20"/>
          <w:color w:val="auto"/>
        </w:rPr>
      </w:pPr>
    </w:p>
    <w:p>
      <w:pPr>
        <w:jc w:val="both"/>
        <w:ind w:left="660" w:right="300"/>
        <w:spacing w:after="0" w:line="264" w:lineRule="auto"/>
        <w:rPr>
          <w:sz w:val="20"/>
          <w:szCs w:val="20"/>
          <w:color w:val="auto"/>
        </w:rPr>
      </w:pPr>
      <w:r>
        <w:rPr>
          <w:rFonts w:ascii="Arial" w:cs="Arial" w:eastAsia="Arial" w:hAnsi="Arial"/>
          <w:sz w:val="18"/>
          <w:szCs w:val="18"/>
          <w:color w:val="auto"/>
        </w:rPr>
        <w:t>The effective tax rate for the twenty-six weeks ended August 2, 2014, was 39.6%, compared to 38.2% for the twenty-six weeks ended August 3, 2013. The year-over-year increase in the effective rate is primarily due to state tax matters including an incremental reserve related to an ongoing state income tax audit.</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Company recognizes share-based compensation expense, for its awards of restricted stock and restricted stock units, in an amount equal to the fair market value of the underlying stock on the grant date of the respective award.</w:t>
      </w:r>
    </w:p>
    <w:p>
      <w:pPr>
        <w:spacing w:after="0" w:line="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90"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During the thirteen weeks ended August 2, 2014, the Company granted 60,511 time-based and performance-based restricted stock units with an aggregate fair value of $1.4 million to certain employees under the 2010 Equity and Incentive Plan. The Company did not grant any restricted stock units in the same period of the prior year.</w:t>
      </w:r>
    </w:p>
    <w:p>
      <w:pPr>
        <w:spacing w:after="0" w:line="208" w:lineRule="exact"/>
        <w:rPr>
          <w:sz w:val="20"/>
          <w:szCs w:val="20"/>
          <w:color w:val="auto"/>
        </w:rPr>
      </w:pPr>
    </w:p>
    <w:p>
      <w:pPr>
        <w:ind w:left="660" w:right="120"/>
        <w:spacing w:after="0" w:line="302" w:lineRule="auto"/>
        <w:rPr>
          <w:sz w:val="20"/>
          <w:szCs w:val="20"/>
          <w:color w:val="auto"/>
        </w:rPr>
      </w:pPr>
      <w:r>
        <w:rPr>
          <w:rFonts w:ascii="Arial" w:cs="Arial" w:eastAsia="Arial" w:hAnsi="Arial"/>
          <w:sz w:val="16"/>
          <w:szCs w:val="16"/>
          <w:color w:val="auto"/>
        </w:rPr>
        <w:t>During the twenty-six weeks ended August 2, 2014, the Company granted 278,491 time-based and performance-based restricted stock units with an aggregate fair value of $7.3 million to certain employees and non-employee directors under the 2010 Equity and Incentive Plan compared to a total of 244,814 time-based and performance-based restricted stock units with an aggregate fair value of $5.8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units issued to non-employee directors vest after a one-year period from grant date. The Company is recognizing the expense relating to these units, net of estimated forfeitures, on a straight-line basis over the vesting period.</w:t>
      </w:r>
    </w:p>
    <w:p>
      <w:pPr>
        <w:spacing w:after="0" w:line="133"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the three-year performance period and the Company’s achievement of annual net income or earnings per share targets during the three-year performance period. The Company is recognizing the expense relating to these units, net of estimated forfeitures, based on the probable outcome of achievement of the financial targets, on a straight-line basis over three years.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restricted stock unit activity for the period ended August 2, 2014 (units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Time-based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95"/>
              </w:rPr>
              <w:t>(per unit)</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1, 2014</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August 2, 2014</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271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As of August 2, 2014, there was $7.7 million of total unrecognized compensation cost, net of estimated forfeitures, related to nonvested restricted stock units. That cost is expected to be recognized over a weighted-average period of 2.1 years.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Company has two operating segments, which are also its reportable segments: Direct and Indirect. These operating segments are components of the Company for which separate financial information is available and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which operating results are evaluated on a regular basis by the chief operating decision maker in deciding how to allocate resources and in assessing the performance of the segments.</w:t>
      </w:r>
    </w:p>
    <w:p>
      <w:pPr>
        <w:spacing w:after="0" w:line="35" w:lineRule="exact"/>
        <w:rPr>
          <w:sz w:val="20"/>
          <w:szCs w:val="20"/>
          <w:color w:val="auto"/>
        </w:rPr>
      </w:pPr>
    </w:p>
    <w:p>
      <w:pPr>
        <w:ind w:left="660" w:right="200"/>
        <w:spacing w:after="0" w:line="290" w:lineRule="auto"/>
        <w:rPr>
          <w:sz w:val="20"/>
          <w:szCs w:val="20"/>
          <w:color w:val="auto"/>
        </w:rPr>
      </w:pPr>
      <w:r>
        <w:rPr>
          <w:rFonts w:ascii="Arial" w:cs="Arial" w:eastAsia="Arial" w:hAnsi="Arial"/>
          <w:sz w:val="16"/>
          <w:szCs w:val="16"/>
          <w:color w:val="auto"/>
        </w:rPr>
        <w:t>The Direct segment includes the Company’s full-line and factory outlet stores, department store locations in Japan, the Company’s websites, verabradley.com and verabradley.co.jp, direct-to-consumer eBay sales, and the annual outlet sale. Revenues generated through this segment are driven through the sale of Company-branded products from Vera Bradley to end consumers. The Indirect segment represents revenues generated through the distribution of Company-branded products to specialty retailers representing approximately 3,000 doors, substantially all of which are located in the United States, as well as key accounts, which include department stores, national accounts, third party e-commerce sites, and third party inventory liquidation. 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31"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consisted of the following (in thousands):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August 2,</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August 3,</w:t>
            </w:r>
          </w:p>
        </w:tc>
        <w:tc>
          <w:tcPr>
            <w:tcW w:w="26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August 2,</w:t>
            </w:r>
          </w:p>
        </w:tc>
        <w:tc>
          <w:tcPr>
            <w:tcW w:w="240" w:type="dxa"/>
            <w:vAlign w:val="bottom"/>
          </w:tcPr>
          <w:p>
            <w:pPr>
              <w:spacing w:after="0"/>
              <w:rPr>
                <w:sz w:val="13"/>
                <w:szCs w:val="13"/>
                <w:color w:val="auto"/>
              </w:rPr>
            </w:pPr>
          </w:p>
        </w:tc>
        <w:tc>
          <w:tcPr>
            <w:tcW w:w="11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August 3,</w:t>
            </w:r>
          </w:p>
        </w:tc>
      </w:tr>
      <w:tr>
        <w:trPr>
          <w:trHeight w:val="192"/>
        </w:trPr>
        <w:tc>
          <w:tcPr>
            <w:tcW w:w="4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78,921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75,016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152,369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148,703</w:t>
            </w:r>
          </w:p>
        </w:tc>
      </w:tr>
      <w:tr>
        <w:trPr>
          <w:trHeight w:val="27"/>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99,702</w:t>
            </w:r>
          </w:p>
        </w:tc>
      </w:tr>
      <w:tr>
        <w:trPr>
          <w:trHeight w:val="237"/>
        </w:trPr>
        <w:tc>
          <w:tcPr>
            <w:tcW w:w="422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120,104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125,372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233,565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248,405</w:t>
            </w:r>
          </w:p>
        </w:tc>
      </w:tr>
      <w:tr>
        <w:trPr>
          <w:trHeight w:val="67"/>
        </w:trPr>
        <w:tc>
          <w:tcPr>
            <w:tcW w:w="4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4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16,811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19,118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30,260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36,083</w:t>
            </w:r>
          </w:p>
        </w:tc>
      </w:tr>
      <w:tr>
        <w:trPr>
          <w:trHeight w:val="27"/>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39,545</w:t>
            </w:r>
          </w:p>
        </w:tc>
      </w:tr>
      <w:tr>
        <w:trPr>
          <w:trHeight w:val="237"/>
        </w:trPr>
        <w:tc>
          <w:tcPr>
            <w:tcW w:w="422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40,924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61,646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75,628</w:t>
            </w:r>
          </w:p>
        </w:tc>
      </w:tr>
      <w:tr>
        <w:trPr>
          <w:trHeight w:val="67"/>
        </w:trPr>
        <w:tc>
          <w:tcPr>
            <w:tcW w:w="4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4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32,758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40,924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61,646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75,628</w:t>
            </w:r>
          </w:p>
        </w:tc>
      </w:tr>
      <w:tr>
        <w:trPr>
          <w:trHeight w:val="27"/>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(36,371)</w:t>
            </w:r>
          </w:p>
        </w:tc>
      </w:tr>
      <w:tr>
        <w:trPr>
          <w:trHeight w:val="27"/>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39,257</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Subsequent Events</w:t>
      </w:r>
    </w:p>
    <w:p>
      <w:pPr>
        <w:spacing w:after="0" w:line="94"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On September 9, 2014, the Company’s board of directors approved a share repurchase program authorizing up to $40.0 million in common stock repurchases which expires in October 2016. On September 9, 2014, The Company also entered into a fifth amendment to the amended and restated credit agreement allowing for the repurchase of equity interests not to exceed $40.0 million.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and twenty-six weeks ended August 2, 2014 and August 3, 2013. The following discussion should be read in conjunction with our Annual Report on Form 10-K for the fiscal year ended February 1, 2014, and our unaudited consolidated financial statements and the related notes included in Item 1 of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opened one new full-line store and four factory outlet stores during the second quarter.</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hired a key executive in marketing.</w:t>
      </w:r>
    </w:p>
    <w:p>
      <w:pPr>
        <w:spacing w:after="0" w:line="90" w:lineRule="exact"/>
        <w:rPr>
          <w:rFonts w:ascii="Arial" w:cs="Arial" w:eastAsia="Arial" w:hAnsi="Arial"/>
          <w:sz w:val="18"/>
          <w:szCs w:val="18"/>
          <w:color w:val="auto"/>
        </w:rPr>
      </w:pPr>
    </w:p>
    <w:p>
      <w:pPr>
        <w:ind w:left="980" w:right="120" w:hanging="324"/>
        <w:spacing w:after="0" w:line="334"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enhanced the navigation in e-commerce, improved the browsing and sorting capabilities, added customer survey and cart/site abandonment emails, and added product recommendations which we believe will drive customer acquisition, full-price conversion, and retention.</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introduced a limited selection of our products in 70 Macy's stores across the country in July.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decreased 4.2% to $120.1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segment sales increased 5.2% to $78.9 million. Total comparable sales declined 5.3%.</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Indirect segment sales decreased 18.2% to $41.2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$64.1 million (53.3%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was $12.8 million (10.6%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was $7.6 million, or $0.19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were $79.1 million at August 2, 2014.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Capital expenditures for the twenty-six weeks totaled $12.2 million which were funded from cash generated from operations of $32.8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revenues reflect revenues from the sale of our merchandise and from distribution and shipping and handling fees, less returns and discounts. Revenues for the Direct segment reflect sales through our full-line and factory outlet stores; department store locations in Japan; our websites, verabradley.com and verabradley.co.jp; direct-to-consumer eBay sales; and our annual outlet sale in Fort Wayne, Indiana. Revenues for the Indirect segment reflect sales to specialty retail partners, department stores, national accounts, third party e-commerce sites, and third party inventory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Comparable sales are calculated based upon our stores that have been open at least 12 full fiscal months. Remodeled stores are included in comparable sales unless the store was closed for a portion of the current or comparable prior period or the remodel resulted in a significant change in square footage. Total comparable sales includes net revenues from our e-commerce operations including our site verabradley.com and direct-to-consumer eBay sales. Some of our competitors and other retailers calculate comparable or “same store” sales differently than we do. As a result, data in this report regarding our comparable sales may not be comparable to similar data made available by other companies. Non-comparable sales include sales from stores not included in comparable sales.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is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commodity prices, such as cotton;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equals operating income less net interest expense and income taxes.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3,</w:t>
            </w: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280" w:type="dxa"/>
            <w:vAlign w:val="bottom"/>
          </w:tcPr>
          <w:p>
            <w:pPr>
              <w:spacing w:after="0"/>
              <w:rPr>
                <w:sz w:val="13"/>
                <w:szCs w:val="13"/>
                <w:color w:val="auto"/>
              </w:rPr>
            </w:pPr>
          </w:p>
        </w:tc>
        <w:tc>
          <w:tcPr>
            <w:tcW w:w="1220" w:type="dxa"/>
            <w:vAlign w:val="bottom"/>
          </w:tcPr>
          <w:p>
            <w:pPr>
              <w:jc w:val="right"/>
              <w:ind w:right="392"/>
              <w:spacing w:after="0" w:line="153" w:lineRule="exact"/>
              <w:rPr>
                <w:sz w:val="20"/>
                <w:szCs w:val="20"/>
                <w:color w:val="auto"/>
              </w:rPr>
            </w:pPr>
            <w:r>
              <w:rPr>
                <w:rFonts w:ascii="Arial" w:cs="Arial" w:eastAsia="Arial" w:hAnsi="Arial"/>
                <w:sz w:val="14"/>
                <w:szCs w:val="14"/>
                <w:b w:val="1"/>
                <w:bCs w:val="1"/>
                <w:color w:val="auto"/>
              </w:rPr>
              <w:t>August 3,</w:t>
            </w:r>
          </w:p>
        </w:tc>
      </w:t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30"/>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
        </w:trPr>
        <w:tc>
          <w:tcPr>
            <w:tcW w:w="5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120,104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233,565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248,405</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56,045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53,599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108,981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108,166</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71,773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124,584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140,239</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51,763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48,336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103,075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103,563</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2,581</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24,067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23,551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39,257</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223</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12,737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23,985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23,447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39,034</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14,894</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14,951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24,140</w:t>
            </w:r>
          </w:p>
        </w:tc>
      </w:tr>
      <w:tr>
        <w:trPr>
          <w:trHeight w:val="67"/>
        </w:trPr>
        <w:tc>
          <w:tcPr>
            <w:tcW w:w="5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5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our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3,</w:t>
            </w: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280" w:type="dxa"/>
            <w:vAlign w:val="bottom"/>
          </w:tcPr>
          <w:p>
            <w:pPr>
              <w:spacing w:after="0"/>
              <w:rPr>
                <w:sz w:val="13"/>
                <w:szCs w:val="13"/>
                <w:color w:val="auto"/>
              </w:rPr>
            </w:pPr>
          </w:p>
        </w:tc>
        <w:tc>
          <w:tcPr>
            <w:tcW w:w="122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August 3,</w:t>
            </w:r>
          </w:p>
        </w:tc>
      </w:t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30"/>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
        </w:trPr>
        <w:tc>
          <w:tcPr>
            <w:tcW w:w="5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78,921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75,016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152,369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148,703</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8"/>
                <w:szCs w:val="18"/>
                <w:color w:val="auto"/>
              </w:rPr>
              <w:t>41,183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50,356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8"/>
                <w:szCs w:val="18"/>
                <w:color w:val="auto"/>
              </w:rPr>
              <w:t>81,196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99,702</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120,104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125,372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233,565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248,405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6"/>
        </w:trPr>
        <w:tc>
          <w:tcPr>
            <w:tcW w:w="5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Indirect</w:t>
            </w:r>
          </w:p>
        </w:tc>
        <w:tc>
          <w:tcPr>
            <w:tcW w:w="15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5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00" w:type="dxa"/>
            <w:vAlign w:val="bottom"/>
          </w:tcPr>
          <w:p>
            <w:pPr>
              <w:spacing w:after="0"/>
              <w:rPr>
                <w:sz w:val="24"/>
                <w:szCs w:val="24"/>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30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3,</w:t>
            </w:r>
          </w:p>
        </w:tc>
        <w:tc>
          <w:tcPr>
            <w:tcW w:w="28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August 2,</w:t>
            </w:r>
          </w:p>
        </w:tc>
        <w:tc>
          <w:tcPr>
            <w:tcW w:w="260" w:type="dxa"/>
            <w:vAlign w:val="bottom"/>
          </w:tcPr>
          <w:p>
            <w:pPr>
              <w:spacing w:after="0"/>
              <w:rPr>
                <w:sz w:val="13"/>
                <w:szCs w:val="13"/>
                <w:color w:val="auto"/>
              </w:rPr>
            </w:pPr>
          </w:p>
        </w:tc>
        <w:tc>
          <w:tcPr>
            <w:tcW w:w="122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August 3,</w:t>
            </w:r>
          </w:p>
        </w:tc>
      </w:tr>
      <w:tr>
        <w:trPr>
          <w:trHeight w:val="192"/>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Operating Income by Segment: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
        </w:trPr>
        <w:tc>
          <w:tcPr>
            <w:tcW w:w="5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19,118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30,260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36,083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15,947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21,806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31,386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39,545</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(19,997)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(16,857)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(38,095)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(36,371)</w:t>
            </w: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24,067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23,551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39,257</w:t>
            </w:r>
          </w:p>
        </w:tc>
      </w:tr>
      <w:tr>
        <w:trPr>
          <w:trHeight w:val="67"/>
        </w:trPr>
        <w:tc>
          <w:tcPr>
            <w:tcW w:w="50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178"/>
        </w:trPr>
        <w:tc>
          <w:tcPr>
            <w:tcW w:w="50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1"/>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94</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Total comparable sales (decrease) increase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233,836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195,816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233,836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195,816</w:t>
            </w:r>
          </w:p>
        </w:tc>
      </w:tr>
      <w:tr>
        <w:trPr>
          <w:trHeight w:val="341"/>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490</w:t>
            </w:r>
          </w:p>
        </w:tc>
      </w:tr>
    </w:tbl>
    <w:p>
      <w:pPr>
        <w:spacing w:after="0" w:line="130"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ind w:left="540" w:right="100" w:hanging="532"/>
        <w:spacing w:after="0" w:line="28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Comparable sales are the net revenues of our stores that have been open at least 12 full fiscal months.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 Total comparable sales includes net revenues from our e-commerce operations including our site verabradley.com and direct-to-consumer eBay sales.</w:t>
      </w:r>
    </w:p>
    <w:p>
      <w:pPr>
        <w:spacing w:after="0" w:line="2" w:lineRule="exact"/>
        <w:rPr>
          <w:rFonts w:ascii="Arial" w:cs="Arial" w:eastAsia="Arial" w:hAnsi="Arial"/>
          <w:sz w:val="16"/>
          <w:szCs w:val="16"/>
          <w:color w:val="auto"/>
        </w:rPr>
      </w:pPr>
    </w:p>
    <w:p>
      <w:pPr>
        <w:ind w:left="540" w:right="40" w:hanging="532"/>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ind w:right="4380"/>
        <w:spacing w:after="0" w:line="346" w:lineRule="auto"/>
        <w:rPr>
          <w:sz w:val="20"/>
          <w:szCs w:val="20"/>
          <w:color w:val="auto"/>
        </w:rPr>
      </w:pPr>
      <w:r>
        <w:rPr>
          <w:rFonts w:ascii="Arial" w:cs="Arial" w:eastAsia="Arial" w:hAnsi="Arial"/>
          <w:sz w:val="18"/>
          <w:szCs w:val="18"/>
          <w:b w:val="1"/>
          <w:bCs w:val="1"/>
          <w:color w:val="auto"/>
        </w:rPr>
        <w:t xml:space="preserve">Thirteen Weeks Ended August 2, 2014, Compared to Thirteen Weeks Ended August 3, 2013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thirteen weeks ended August 2, 2014, net revenues decreased $5.3 million, or 4.2%, to $120.1 million, from $125.4 million in the comparable prior-year period.</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August 2, 2014, net revenues in the Direct segment increased $3.9 million, or 5.2%, to $78.9 million, from $75.0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comparable prior-year period. This change resulted primarily from an $8.0 million increase in revenues at our non-comparable stores which included 15 additional full-line and factory outlet stores partially offset by a total comparable sales decrease of $3.9 million, or 5.3% (which includes a 9.3% increase in e-commerce sales). Our comparable sales excluding e-commerce decreased 14.2%. The total comparable sales decrease was primarily due to declines in traffic and underperformance of the product offering. The aggregate number of full-line and factory outlet stores grew from 94 at August 3, 2013, to 109 at August 2, 2014.</w:t>
      </w:r>
    </w:p>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August 2, 2014, net revenues in the Indirect segment decreased $9.2 million, or 18.2%, to $41.2 million, from $50.4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primarily due to lower orders from the Company's specialty retail partners, as well as a reduction in retail partner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thirteen weeks ended August 2, 2014, gross profit decreased $7.7 million, or 10.7%, to $64.1 million, from $71.8 million in the comparable prior-year period. As a percentage of net revenues, gross profit decreased to 53.3% for the thirteen weeks ended August 2, 2014, from 57.2% in the comparable prior-year period. The decrease as a percentage of net revenues was primarily due to deleveraging of overhead costs as well as modestly increased year-over-year online promotional activity.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thirteen weeks ended August 2, 2014, SG&amp;A expenses increased $3.5 million, or 7.1%, to $51.8 million, from $48.3 million in the comparable prior-year period. As a percentage of net revenues, SG&amp;A expenses increased to 43.1% for the thirteen weeks ended August 2, 2014, from 38.6% in the comparable prior-year period. The increase in SG&amp;A expenses as a percentage of net revenues was primarily due to investments related to the five-year strategic plan including key management additions, new store expenses, and marketing and e-commerce initiatives.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thirteen weeks ended August 2, 2014, other income decreased $0.1 million, or 26.2%, to $0.5 million, from $0.6 million in the comparable prior-year period due to a decrease in reimbursement of co-op mailers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thirteen weeks ended August 2, 2014, operating income decreased $11.3 million, or 47.0%, to $12.8 million, from $24.1 million in the comparable prior-year period. As a percentage of net revenues, operating income was 10.6% and 19.2% for the thirteen weeks ended August 2, 2014 and August 3, 2013, respectively.</w:t>
      </w:r>
    </w:p>
    <w:p>
      <w:pPr>
        <w:spacing w:after="0" w:line="12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August 2, 2014, operating income in the Direct segment decreased $2.3 million, or 12.1%. As a percentage of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Direct segment was 21.3% and 25.5% for the thirteen weeks ended August 2, 2014 and August 3, 2013, respectively.</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August 2, 2014, operating income in the Indirect segment decreased $5.9 million, or 26.9%. As a percentage of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Indirect segment was 38.7% and 43.3% for the thirteen weeks ended August 2, 2014 and August 3, 2013, respectively.</w:t>
      </w:r>
    </w:p>
    <w:p>
      <w:pPr>
        <w:spacing w:after="0" w:line="12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August 2, 2014, unallocated expenses increased $3.1 million, or 18.6%, primarily due to key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additions and marketing initiatives.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effective tax rate for the thirteen weeks ended August 2, 2014, was 40.3%, compared to 37.7% for the thirteen weeks ended August 3, 2013. The year-over-year increase in the effective rate is primarily due to state tax matters including an incremental reserve related to an ongoing state income tax audit.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thirteen weeks ended August 2, 2014, net income decreased $7.4 million, or 49.2%, to $7.6 million from $15.0 million in the comparable prior-year period.</w:t>
      </w:r>
    </w:p>
    <w:p>
      <w:pPr>
        <w:spacing w:after="0" w:line="193" w:lineRule="exact"/>
        <w:rPr>
          <w:sz w:val="20"/>
          <w:szCs w:val="20"/>
          <w:color w:val="auto"/>
        </w:rPr>
      </w:pPr>
    </w:p>
    <w:p>
      <w:pPr>
        <w:ind w:right="3980"/>
        <w:spacing w:after="0" w:line="346" w:lineRule="auto"/>
        <w:rPr>
          <w:sz w:val="20"/>
          <w:szCs w:val="20"/>
          <w:color w:val="auto"/>
        </w:rPr>
      </w:pPr>
      <w:r>
        <w:rPr>
          <w:rFonts w:ascii="Arial" w:cs="Arial" w:eastAsia="Arial" w:hAnsi="Arial"/>
          <w:sz w:val="18"/>
          <w:szCs w:val="18"/>
          <w:b w:val="1"/>
          <w:bCs w:val="1"/>
          <w:color w:val="auto"/>
        </w:rPr>
        <w:t xml:space="preserve">Twenty-Six Weeks Ended August 2, 2014, Compared to Twenty-Six Weeks Ended August 3, 2013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twenty-six weeks ended August 2, 2014, net revenues decreased $14.8 million, or 6.0%, to $233.6 million, from $248.4 million in the comparable prior-year period.</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August 2, 2014, net revenues in the Direct segment increased $3.7 million, or 2.5%, to $152.4 million, from $148.7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resulted primarily from a $14.9 million increase in revenues at our non-comparable stores which included 15 additional full-line and factory outlet stores partially offset by a total comparable sales decrease of $8.5 million, or 6.4% (which includes a 5.0% increase in e-commerce sales), and a decrease in total sales at our annual outlet sale compared to the prior year. Our comparable sales excluding e-commerce decreased 14.3%. The total comparable sales decrease was primarily due to declines in traffic, underperformance of the product offering, and severe weather in the first two months of the fiscal year. The aggregate number of full-line and factory outlet stores grew from 94 at August 3, 2013, to 109 at August 2, 2014.</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twenty-six weeks ended August 2, 2014, net revenues in the Indirect segment decreased $18.5 million, or 18.6%, to $81.2 million, from</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$99.7 million in the comparable prior-year period, primarily due to lower orders from the Company's specialty retail partners, as well as a reduction in retail partner accounts.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twenty-six weeks ended August 2, 2014, gross profit decreased $15.6 million, or 11.2%, to $124.6 million, from $140.2 million in the comparable prior-year period. As a percentage of net revenues, gross profit decreased to 53.3% for the thirteen weeks ended August 2, 2014, from 56.5% in the comparable prior-year period. The decrease as a percentage of net revenues was primarily due to deleveraging of overhead costs as well as increased year-over-year promotional activity.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twenty-six weeks ended August 2, 2014, SG&amp;A expenses decreased $0.5 million, or 0.5%, to $103.1 million, from $103.6 million in the comparable prior-year period. As a percentage of net revenues, SG&amp;A expenses increased to 44.1% for the twenty-six weeks ended August 2, 2014, from 41.7% in the comparable prior-year period. The increase in SG&amp;A expenses as a percentage of net revenues was primarily due to fixed expenses being spread over lower revenues in the Indirect segment, deleveraging of store operating expenses, and key management additions which were partially offset by a decline in year-over-year marketing expense and cost containment efforts.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twenty-six weeks ended August 2, 2014, other income decreased $0.6 million, or 20.9%, to $2.0 million, from $2.6 million in the comparable prior-year period primarily due to a decrease in reimbursement of co-op mailers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twenty-six weeks ended August 2, 2014, operating income decreased $15.7 million, or 40.0%, to $23.6 million, from $39.3 million in the comparable prior-year period. As a percentage of net revenues, operating income was 10.1% and 15.8% for the twenty-six weeks ended August 2, 2014 and August 3, 2013, respectively.</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August 2, 2014, operating income in the Direct segment decreased $5.8 million, or 16.1%. As a percentage of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Direct segment was 19.9% and 24.3% for the twenty-six weeks ended August 2, 2014 and August 3, 2013, respectively.</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twenty-six weeks ended August 2, 2014, operating income in the Indirect segment decreased $8.2 million, or 20.6%.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net revenues, operating income in the Indirect segment was 38.7% and 39.7% for the twenty-six weeks ended August 2, 2014 and August 3, 2013, respectively.</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twenty-six weeks ended August 2, 2014, unallocated expenses increased $1.7 million, or 4.7%, primarily due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partially offset by a decrease in marketing.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effective tax rate for the twenty-six weeks ended August 2, 2014, was 39.6%, compared to 38.2% for the twenty-six weeks ended August 3, 2013. The year-over-year increase in the effective rate is primarily due to state tax matters including an incremental reserve related to an ongoing state income tax audit.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twenty-six weeks ended August 2, 2014, net income decreased $9.9 million, or 41.3%, to $14.2 million from $24.1 million in the comparable prior-year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operational equipment, buildings, information technology, opening new stores, and debt repayments. The most significant components of our working capital are cash and cash equivalents, merchandise inventories, accounts receivable, accounts payable, and other current liabilities.</w:t>
      </w:r>
    </w:p>
    <w:p>
      <w:pPr>
        <w:spacing w:after="0" w:line="13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121"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8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2,</w:t>
            </w:r>
          </w:p>
        </w:tc>
        <w:tc>
          <w:tcPr>
            <w:tcW w:w="260" w:type="dxa"/>
            <w:vAlign w:val="bottom"/>
          </w:tcPr>
          <w:p>
            <w:pPr>
              <w:spacing w:after="0"/>
              <w:rPr>
                <w:sz w:val="13"/>
                <w:szCs w:val="13"/>
                <w:color w:val="auto"/>
              </w:rPr>
            </w:pPr>
          </w:p>
        </w:tc>
        <w:tc>
          <w:tcPr>
            <w:tcW w:w="1180" w:type="dxa"/>
            <w:vAlign w:val="bottom"/>
          </w:tcPr>
          <w:p>
            <w:pPr>
              <w:jc w:val="right"/>
              <w:ind w:right="357"/>
              <w:spacing w:after="0" w:line="153" w:lineRule="exact"/>
              <w:rPr>
                <w:sz w:val="20"/>
                <w:szCs w:val="20"/>
                <w:color w:val="auto"/>
              </w:rPr>
            </w:pPr>
            <w:r>
              <w:rPr>
                <w:rFonts w:ascii="Arial" w:cs="Arial" w:eastAsia="Arial" w:hAnsi="Arial"/>
                <w:sz w:val="14"/>
                <w:szCs w:val="14"/>
                <w:b w:val="1"/>
                <w:bCs w:val="1"/>
                <w:color w:val="auto"/>
              </w:rPr>
              <w:t>August 3,</w:t>
            </w:r>
          </w:p>
        </w:tc>
      </w:t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32,756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27,004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(15,261)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Net cash provided by operating activities for the twenty-six weeks ended August 2, 2014, was $32.8 million, compared to $27.0 million for the twenty-six weeks ended August 3, 2013, an increase primarily due to a reduction in inventory, partially offset by a decrease in accounts payable.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used in investing activities was $12.2 million and $12.0 million for the twenty-six weeks ended August 2, 2014 and August 3, 2013, respectively; capital expenditures of $3.2 million were incurred but not paid at August 2, 2014. The $3.4 million increase in capital expenditures was due primarily to the campus consolidation project, which did not take place in the prior year, partially offset by the opening of 10 stores during the twenty-six weeks ended August 2, 2014, compared to 18 stores during the twenty-six weeks ended August 3, 2013.</w:t>
      </w:r>
    </w:p>
    <w:p>
      <w:pPr>
        <w:spacing w:after="0" w:line="133"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Capital expenditures for fiscal year 2015 are expected to be approximately $40.0 million, which includes approximately $20.0 million related to the campus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Net cash used in financing activities was $0.6 million for the twenty-six weeks ended August 2, 2014. This compares to net cash used in financing activities of $15.3 million for the twenty-six weeks ended August 3, 2013, resulting primarily from $15.0 million net payments under our amended and restated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October 4, 2010, Vera Bradley Designs, Inc., our wholly owned subsidiary, entered into an agreement to amend and restate its credit agreement with JPMorgan Chase Bank, as administrative agent, and certain other lenders. The amended and restated credit agreement provides for a revolving credit commitment of $125.0 million and matures on October 3, 2015. On June 1, 2012, Vera Bradley Designs, Inc., entered into an amendment to the credit agreement. The amendment extends the maturity date from October 3, 2015, to June 1, 2017. Certain permitted indebtedness covenants were also amended.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August 2, 2014.</w:t>
      </w:r>
    </w:p>
    <w:p>
      <w:pPr>
        <w:spacing w:after="0" w:line="11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As of August 2, 2014, the Company had borrowing availability of $125.0 million under the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2014.</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2014. There was no significant change to any of the critical accounting policies and estimates described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2014-08, </w:t>
      </w:r>
      <w:r>
        <w:rPr>
          <w:rFonts w:ascii="Arial" w:cs="Arial" w:eastAsia="Arial" w:hAnsi="Arial"/>
          <w:sz w:val="18"/>
          <w:szCs w:val="18"/>
          <w:i w:val="1"/>
          <w:iCs w:val="1"/>
          <w:color w:val="auto"/>
        </w:rPr>
        <w:t>Reporting Discontinued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Disclosures of Disposals of Components of an Entity</w:t>
      </w:r>
      <w:r>
        <w:rPr>
          <w:rFonts w:ascii="Arial" w:cs="Arial" w:eastAsia="Arial" w:hAnsi="Arial"/>
          <w:sz w:val="18"/>
          <w:szCs w:val="18"/>
          <w:color w:val="auto"/>
        </w:rPr>
        <w:t>. This guidance states that the disposal of a component of an entity is to be reported in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Company does not expect this standard to have a material impact on the Company's consolidated financial statements upon adoption.</w:t>
      </w:r>
    </w:p>
    <w:p>
      <w:pPr>
        <w:spacing w:after="0" w:line="6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clarify the principles used to recognize revenue for all entities. The new guidance is effective for annual and interim periods beginning after December 15, 2016, with no early adoption permitted. The Company is currently evaluating the impact, if any, the adoption of this guidance will have on its financial position, results of operations or cash flows.</w:t>
      </w:r>
    </w:p>
    <w:p>
      <w:pPr>
        <w:spacing w:after="0" w:line="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August 2, 2014, there was no material change in the market risks described in “Quantitative and Qualitative Disclosures About Market Risks” in the Company’s Annual Report on Form 10-K for the fiscal year ended February 1, 2014.</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August 2, 2014.</w:t>
      </w:r>
    </w:p>
    <w:p>
      <w:pPr>
        <w:spacing w:after="0" w:line="13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240" w:top="121"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inability to predict trends and to respond in a timely manner to changes in consumer demand could adversely affect our net revenues and results of operations.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products or meet changing consumer demands. If we misjudge the market for our products, including changes to our patterns and our fabrications, revenue may be negatively impacted. In addition, we may be faced with significant excess inventories for some products and missed opportunities for other products. Changes to our product assortment, as well as the availability and breadth of pattern assortment and new fabrications may not gain consumer acceptance. Merchandise misjudgments could adversely impact our net revenues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Additional risk factors have been previously set forth in the Company's Annual Report on Form 10-K for the fiscal year ended February 1, 2014.</w:t>
      </w: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121"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4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10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Letter of Agreement with Karen Peters dated as of May 12, 2014 (Incorporated by reference to Exhibit 10.4 of registrant's Form 10-Q for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the period ending May 3, 2014)</w:t>
            </w:r>
          </w:p>
        </w:tc>
        <w:tc>
          <w:tcPr>
            <w:tcW w:w="0" w:type="dxa"/>
            <w:vAlign w:val="bottom"/>
          </w:tcPr>
          <w:p>
            <w:pPr>
              <w:spacing w:after="0"/>
              <w:rPr>
                <w:sz w:val="1"/>
                <w:szCs w:val="1"/>
                <w:color w:val="auto"/>
              </w:rPr>
            </w:pPr>
          </w:p>
        </w:tc>
      </w:tr>
      <w:tr>
        <w:trPr>
          <w:trHeight w:val="377"/>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w w:val="95"/>
              </w:rPr>
              <w:t>Vera Bradley, Inc. 2014 Executive Severance Plan (Incorporated by reference to Exhibit 10.5 of registrant's Form 10-Q for the period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ending May 3, 2014)</w:t>
            </w:r>
          </w:p>
        </w:tc>
        <w:tc>
          <w:tcPr>
            <w:tcW w:w="0" w:type="dxa"/>
            <w:vAlign w:val="bottom"/>
          </w:tcPr>
          <w:p>
            <w:pPr>
              <w:spacing w:after="0"/>
              <w:rPr>
                <w:sz w:val="1"/>
                <w:szCs w:val="1"/>
                <w:color w:val="auto"/>
              </w:rPr>
            </w:pPr>
          </w:p>
        </w:tc>
      </w:tr>
      <w:tr>
        <w:trPr>
          <w:trHeight w:val="392"/>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Letter of Agreement with Angel Ilagan dated as of May 21, 2014</w:t>
            </w:r>
          </w:p>
        </w:tc>
        <w:tc>
          <w:tcPr>
            <w:tcW w:w="0" w:type="dxa"/>
            <w:vAlign w:val="bottom"/>
          </w:tcPr>
          <w:p>
            <w:pPr>
              <w:spacing w:after="0"/>
              <w:rPr>
                <w:sz w:val="1"/>
                <w:szCs w:val="1"/>
                <w:color w:val="auto"/>
              </w:rPr>
            </w:pPr>
          </w:p>
        </w:tc>
      </w:tr>
      <w:tr>
        <w:trPr>
          <w:trHeight w:val="377"/>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w w:val="96"/>
              </w:rPr>
              <w:t>Amendment No. 5 to Amended and Restated Credit Agreement, dated as of September 9, 2014, among Vera Bradley Designs, Inc.,</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JPMorgan Chase Bank N.A. and the lenders party thereto</w:t>
            </w:r>
          </w:p>
        </w:tc>
        <w:tc>
          <w:tcPr>
            <w:tcW w:w="0" w:type="dxa"/>
            <w:vAlign w:val="bottom"/>
          </w:tcPr>
          <w:p>
            <w:pPr>
              <w:spacing w:after="0"/>
              <w:rPr>
                <w:sz w:val="1"/>
                <w:szCs w:val="1"/>
                <w:color w:val="auto"/>
              </w:rPr>
            </w:pPr>
          </w:p>
        </w:tc>
      </w:tr>
      <w:tr>
        <w:trPr>
          <w:trHeight w:val="392"/>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80" w:right="120" w:hanging="1245"/>
        <w:spacing w:after="0" w:line="255"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materials from the Vera Bradley, Inc.’s Quarterly Report on Form 10-Q for the quarter ended August 2, 2014 formatted in Extensible Business Reporting Language (XBRL): (i) Consolidated Statements of Income for the Thirteen and Twenty-Six Weeks ended August 2, 2014 and August 3, 2013; (ii) Consolidated Statements of Comprehensive Income for the Thirteen and Twenty-Six Weeks ended August 2, 2014 and August 3, 2013; (iii) Consolidated Balance Sheets as of August 2, 2014 and February 1, 2014; (iv) Consolidated Statements of Cash Flows for the Twenty-Six Weeks ended August 2, 2014 and August 3, 2013, and (v) Notes to Consolidated Financial Statements. **</w:t>
      </w:r>
    </w:p>
    <w:p>
      <w:pPr>
        <w:spacing w:after="0" w:line="153" w:lineRule="exact"/>
        <w:rPr>
          <w:sz w:val="20"/>
          <w:szCs w:val="20"/>
          <w:color w:val="auto"/>
        </w:rPr>
      </w:pPr>
    </w:p>
    <w:p>
      <w:pPr>
        <w:ind w:left="740" w:hanging="705"/>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color w:val="auto"/>
        </w:rPr>
        <w:t>Date: September 10, 2014</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93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121"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4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10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Letter of Agreement with Karen Peters dated as of May 12, 2014 (Incorporated by reference to Exhibit 10.4 of registrant's Form 10-Q for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the period ending May 3, 2014)</w:t>
            </w:r>
          </w:p>
        </w:tc>
        <w:tc>
          <w:tcPr>
            <w:tcW w:w="0" w:type="dxa"/>
            <w:vAlign w:val="bottom"/>
          </w:tcPr>
          <w:p>
            <w:pPr>
              <w:spacing w:after="0"/>
              <w:rPr>
                <w:sz w:val="1"/>
                <w:szCs w:val="1"/>
                <w:color w:val="auto"/>
              </w:rPr>
            </w:pPr>
          </w:p>
        </w:tc>
      </w:tr>
      <w:tr>
        <w:trPr>
          <w:trHeight w:val="377"/>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w w:val="95"/>
              </w:rPr>
              <w:t>Vera Bradley, Inc. 2014 Executive Severance Plan (Incorporated by reference to Exhibit 10.5 of registrant's Form 10-Q for the period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ending May 3, 2014)</w:t>
            </w:r>
          </w:p>
        </w:tc>
        <w:tc>
          <w:tcPr>
            <w:tcW w:w="0" w:type="dxa"/>
            <w:vAlign w:val="bottom"/>
          </w:tcPr>
          <w:p>
            <w:pPr>
              <w:spacing w:after="0"/>
              <w:rPr>
                <w:sz w:val="1"/>
                <w:szCs w:val="1"/>
                <w:color w:val="auto"/>
              </w:rPr>
            </w:pPr>
          </w:p>
        </w:tc>
      </w:tr>
      <w:tr>
        <w:trPr>
          <w:trHeight w:val="392"/>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Letter of Agreement with Angel Ilagan dated as of May 21, 2014</w:t>
            </w:r>
          </w:p>
        </w:tc>
        <w:tc>
          <w:tcPr>
            <w:tcW w:w="0" w:type="dxa"/>
            <w:vAlign w:val="bottom"/>
          </w:tcPr>
          <w:p>
            <w:pPr>
              <w:spacing w:after="0"/>
              <w:rPr>
                <w:sz w:val="1"/>
                <w:szCs w:val="1"/>
                <w:color w:val="auto"/>
              </w:rPr>
            </w:pPr>
          </w:p>
        </w:tc>
      </w:tr>
      <w:tr>
        <w:trPr>
          <w:trHeight w:val="377"/>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w w:val="96"/>
              </w:rPr>
              <w:t>Amendment No. 5 to Amended and Restated Credit Agreement, dated as of September 9, 2014, among Vera Bradley Designs, Inc.,</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JPMorgan Chase Bank N.A. and the lenders party thereto</w:t>
            </w:r>
          </w:p>
        </w:tc>
        <w:tc>
          <w:tcPr>
            <w:tcW w:w="0" w:type="dxa"/>
            <w:vAlign w:val="bottom"/>
          </w:tcPr>
          <w:p>
            <w:pPr>
              <w:spacing w:after="0"/>
              <w:rPr>
                <w:sz w:val="1"/>
                <w:szCs w:val="1"/>
                <w:color w:val="auto"/>
              </w:rPr>
            </w:pPr>
          </w:p>
        </w:tc>
      </w:tr>
      <w:tr>
        <w:trPr>
          <w:trHeight w:val="392"/>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40" w:type="dxa"/>
            <w:vAlign w:val="bottom"/>
          </w:tcPr>
          <w:p>
            <w:pPr>
              <w:jc w:val="right"/>
              <w:ind w:right="694"/>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80" w:right="120" w:hanging="1245"/>
        <w:spacing w:after="0" w:line="255"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materials from the Vera Bradley, Inc.’s Quarterly Report on Form 10-Q for the quarter ended August 2, 2014 formatted in Extensible Business Reporting Language (XBRL): (i) Consolidated Statements of Income for the Thirteen and Twenty-Six Weeks ended August 2, 2014 and August 3, 2013; (ii) Consolidated Statements of Comprehensive Income for the Thirteen and Twenty-Six Weeks ended August 2, 2014 and August 3, 2013; (iii) Consolidated Balance Sheets as of August 2, 2014 and February 1, 2014; (iv) Consolidated Statements of Cash Flows for the Twenty-Six Weeks ended August 2, 2014 and August 3, 2013, and (v) Notes to Consolidated Financial Statements. **</w:t>
      </w:r>
    </w:p>
    <w:p>
      <w:pPr>
        <w:spacing w:after="0" w:line="153" w:lineRule="exact"/>
        <w:rPr>
          <w:sz w:val="20"/>
          <w:szCs w:val="20"/>
          <w:color w:val="auto"/>
        </w:rPr>
      </w:pPr>
    </w:p>
    <w:p>
      <w:pPr>
        <w:ind w:left="740" w:hanging="705"/>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21,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Angel,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am pleased to offer you the position of Executive Vice President, Chief Marketing Officer at Vera Bradley, Inc. and its subsidiaries effective as of July 21, 2014 reporting to the President &amp; Chief Executive Officer, with duties and responsibilities commensurate with such position. Your work location will be Ft. Wayne, Indiana. A detailed overview of the compensation and benefits associated with this offer follows. Please note that this offer is contingent upon the successful completion of your background check and pre-employment drug screen. The offer will expire at noon on Thursday, May 22, 2014.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acceptance of this offer, please sign a copy of this letter and return it to Julie North, Vice President, Human Resources. Please feel free to contact me should you have any questions regarding the offer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thrilled you are joining Vera Bradley! Your experience, qualifications, and positive energy will be an excellent addition to our team!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Your bi-weekly base salary will be $15,385 which equates to an annual base salary of $400,010.</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You will be eligible for an Annual Incentive and a Long-term Incentive for Vera Bradley's fiscal year 2015. Your annual incentive for FY 2015 will be guaranteed at the target of $200,005. The fiscal 2015 Annual Incentive is anticipated to be paid on March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2015. Thereafter, your target incentive under the Annual Incentive Plan will be set by the Compensation Committee.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in fiscal 2015, you will be eligible for a Long-Term Incentive, with a target grant of $240,006. Both the Annual Incentive and the Long-Term Incentive grants are subject to specific plan documents, which will be provided to you at your time of hire. These incentives are also described in further detail in the attached Total Rewards Summary.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additional consideration, you will receive a cash hiring bonus of $300,000 which will be payable on March 31, 2015. You will also receive a one-time special equity grant of 30,000 time based restricted share units which will vest ratably over three years from the grant date. Should you be involuntarily terminated for any reason other than cause, any unpaid cash hiring bonus will be payable upon your exit and unvested time-based restricted shares, that are a part of the one-time special equity grant, will immediately vest upon your exit. Should you voluntarily resign prior to July 21, 2015, any paid cash hiring bonuses will require repayment and all unpaid cash hiring bonuses and unvested equity will be immediately forfeited.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7" w:lineRule="exact"/>
        <w:rPr>
          <w:sz w:val="20"/>
          <w:szCs w:val="20"/>
          <w:color w:val="auto"/>
        </w:rPr>
      </w:pPr>
    </w:p>
    <w:p>
      <w:pPr>
        <w:ind w:right="2120"/>
        <w:spacing w:after="0" w:line="250" w:lineRule="auto"/>
        <w:rPr>
          <w:sz w:val="20"/>
          <w:szCs w:val="20"/>
          <w:color w:val="auto"/>
        </w:rPr>
      </w:pPr>
      <w:r>
        <w:rPr>
          <w:rFonts w:ascii="Arial" w:cs="Arial" w:eastAsia="Arial" w:hAnsi="Arial"/>
          <w:sz w:val="18"/>
          <w:szCs w:val="18"/>
          <w:color w:val="auto"/>
        </w:rPr>
        <w:t>Listed below is information regarding our complete benefits package based on a tentative July 21, 2014 start date. Further details can be found in the attached Vera Bradley Employee Benefits Guide.</w:t>
      </w:r>
    </w:p>
    <w:p>
      <w:pPr>
        <w:spacing w:after="0" w:line="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Nine (9) paid holidays 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 days (200 hours) of paid managed time off (MTO) per calendar year. MTO provides for time away from work for any purpose.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Short-term disability insurance (one year waiting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disability insurance (one year waiting period)</w:t>
      </w:r>
    </w:p>
    <w:p>
      <w:pPr>
        <w:spacing w:after="0" w:line="9" w:lineRule="exact"/>
        <w:rPr>
          <w:rFonts w:ascii="Arial" w:cs="Arial" w:eastAsia="Arial" w:hAnsi="Arial"/>
          <w:sz w:val="18"/>
          <w:szCs w:val="18"/>
          <w:color w:val="auto"/>
        </w:rPr>
      </w:pPr>
    </w:p>
    <w:p>
      <w:pPr>
        <w:ind w:left="660" w:right="23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Health/Dental insurance through Anthem. Vera Bradley pays a portion of both the employee and dependent premium after a 30 day waiting period</w:t>
      </w: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Life insurance coverage equal to one times your annual salary with a minimum of $50,000, and a maximum of $200,000 (30 day waiting period)</w:t>
      </w:r>
    </w:p>
    <w:p>
      <w:pPr>
        <w:spacing w:after="0" w:line="32" w:lineRule="exact"/>
        <w:rPr>
          <w:rFonts w:ascii="Arial" w:cs="Arial" w:eastAsia="Arial" w:hAnsi="Arial"/>
          <w:sz w:val="16"/>
          <w:szCs w:val="16"/>
          <w:color w:val="auto"/>
        </w:rPr>
      </w:pPr>
    </w:p>
    <w:p>
      <w:pPr>
        <w:ind w:left="660" w:right="31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125 Flexible Spending Plan (30 day waiting period). You can create a non-taxable account to pay non-reimbursable medical expenses and dependent care expenses.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401(k) Profit Sharing Plan (one year waiting period). Your eligibility date will be January,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purchase on account, Vera Bradley product at discounted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Participation in the Vera Bradley, Inc. 2014 Executive Severance Plan</w:t>
      </w:r>
    </w:p>
    <w:p>
      <w:pPr>
        <w:sectPr>
          <w:pgSz w:w="11900" w:h="16838" w:orient="portrait"/>
          <w:cols w:equalWidth="0" w:num="1">
            <w:col w:w="11420"/>
          </w:cols>
          <w:pgMar w:left="240" w:top="580" w:right="23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Angel, please note that this letter merely memorializes our offer to you and does not constitute a written employment contract for any specific term. Your employment with Vera Bradley will be on an "at will" basis, which means that either party may end the employment relationship at any time without notice, for any reason.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Robert T. Wallstrom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Accepted by Angel Ilagan</w:t>
            </w:r>
          </w:p>
        </w:tc>
        <w:tc>
          <w:tcPr>
            <w:tcW w:w="2220" w:type="dxa"/>
            <w:vAlign w:val="bottom"/>
          </w:tcPr>
          <w:p>
            <w:pPr>
              <w:spacing w:after="0"/>
              <w:rPr>
                <w:sz w:val="20"/>
                <w:szCs w:val="20"/>
                <w:color w:val="auto"/>
              </w:rPr>
            </w:pPr>
          </w:p>
        </w:tc>
      </w:tr>
      <w:tr>
        <w:trPr>
          <w:trHeight w:val="378"/>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/s/ Angel Ilagan</w:t>
            </w:r>
          </w:p>
        </w:tc>
        <w:tc>
          <w:tcPr>
            <w:tcW w:w="2220" w:type="dxa"/>
            <w:vAlign w:val="bottom"/>
          </w:tcPr>
          <w:p>
            <w:pPr>
              <w:ind w:left="20"/>
              <w:spacing w:after="0"/>
              <w:rPr>
                <w:sz w:val="20"/>
                <w:szCs w:val="20"/>
                <w:color w:val="auto"/>
              </w:rPr>
            </w:pPr>
            <w:r>
              <w:rPr>
                <w:rFonts w:ascii="Arial" w:cs="Arial" w:eastAsia="Arial" w:hAnsi="Arial"/>
                <w:sz w:val="18"/>
                <w:szCs w:val="18"/>
                <w:color w:val="auto"/>
              </w:rPr>
              <w:t>5/21/2014</w:t>
            </w:r>
          </w:p>
        </w:tc>
      </w:tr>
      <w:tr>
        <w:trPr>
          <w:trHeight w:val="27"/>
        </w:trPr>
        <w:tc>
          <w:tcPr>
            <w:tcW w:w="250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Angel Ilagan</w:t>
            </w:r>
          </w:p>
        </w:tc>
        <w:tc>
          <w:tcPr>
            <w:tcW w:w="222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040"/>
          </w:cols>
          <w:pgMar w:left="240" w:top="800" w:right="6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Total Awards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Angel Ilagan - EVP, Chief Marketing Officer</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4460" w:type="dxa"/>
            <w:vAlign w:val="bottom"/>
            <w:tcBorders>
              <w:top w:val="single" w:sz="8" w:color="auto"/>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Total Cash and Awards</w:t>
            </w:r>
          </w:p>
        </w:tc>
        <w:tc>
          <w:tcPr>
            <w:tcW w:w="120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Value</w:t>
            </w:r>
          </w:p>
        </w:tc>
        <w:tc>
          <w:tcPr>
            <w:tcW w:w="5780" w:type="dxa"/>
            <w:vAlign w:val="bottom"/>
            <w:tcBorders>
              <w:top w:val="single" w:sz="8" w:color="auto"/>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37"/>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Annual Base Salary</w:t>
            </w:r>
          </w:p>
        </w:tc>
        <w:tc>
          <w:tcPr>
            <w:tcW w:w="1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$400,010</w:t>
            </w:r>
          </w:p>
        </w:tc>
        <w:tc>
          <w:tcPr>
            <w:tcW w:w="5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$15,385 paid bi-weekly</w:t>
            </w: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Targeted Annual Cash Incentive - FY2015</w:t>
            </w:r>
          </w:p>
        </w:tc>
        <w:tc>
          <w:tcPr>
            <w:tcW w:w="1200" w:type="dxa"/>
            <w:vAlign w:val="bottom"/>
            <w:tcBorders>
              <w:right w:val="single" w:sz="8" w:color="auto"/>
            </w:tcBorders>
          </w:tcPr>
          <w:p>
            <w:pPr>
              <w:spacing w:after="0"/>
              <w:rPr>
                <w:sz w:val="19"/>
                <w:szCs w:val="19"/>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Target based on 50% of annual salary. The payout for FY2015 will be</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vMerge w:val="continue"/>
          </w:tcPr>
          <w:p>
            <w:pPr>
              <w:spacing w:after="0"/>
              <w:rPr>
                <w:sz w:val="18"/>
                <w:szCs w:val="18"/>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$200,005</w:t>
            </w: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guaranteed at $200,005 and will be payable on the normal payout date</w:t>
            </w: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anticipated in March 2015.</w:t>
            </w: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Borders>
              <w:left w:val="single" w:sz="8" w:color="auto"/>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Target based on 60% of annual salary (60% performance based restricted stock</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4"/>
              </w:rPr>
              <w:t>Targeted Annual Long-Term Equity Incentive - FY2015</w:t>
            </w:r>
          </w:p>
        </w:tc>
        <w:tc>
          <w:tcPr>
            <w:tcW w:w="1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$240,006</w:t>
            </w: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units, vesting after completion of 3 year performance cycle and the</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5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4"/>
              </w:rPr>
              <w:t>achievement of performance metrics; 40% time based restricted stock units,</w:t>
            </w:r>
          </w:p>
        </w:tc>
        <w:tc>
          <w:tcPr>
            <w:tcW w:w="0" w:type="dxa"/>
            <w:vAlign w:val="bottom"/>
          </w:tcPr>
          <w:p>
            <w:pPr>
              <w:spacing w:after="0"/>
              <w:rPr>
                <w:sz w:val="1"/>
                <w:szCs w:val="1"/>
                <w:color w:val="auto"/>
              </w:rPr>
            </w:pPr>
          </w:p>
        </w:tc>
      </w:tr>
      <w:tr>
        <w:trPr>
          <w:trHeight w:val="94"/>
        </w:trPr>
        <w:tc>
          <w:tcPr>
            <w:tcW w:w="4460" w:type="dxa"/>
            <w:vAlign w:val="bottom"/>
            <w:tcBorders>
              <w:left w:val="single" w:sz="8" w:color="auto"/>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5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vesting ratably over three years)</w:t>
            </w: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Total Direct Annual Compensation</w:t>
            </w:r>
          </w:p>
        </w:tc>
        <w:tc>
          <w:tcPr>
            <w:tcW w:w="120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$840,021</w:t>
            </w:r>
          </w:p>
        </w:tc>
        <w:tc>
          <w:tcPr>
            <w:tcW w:w="5780" w:type="dxa"/>
            <w:vAlign w:val="bottom"/>
            <w:tcBorders>
              <w:bottom w:val="single" w:sz="8" w:color="BFBFBF"/>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44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57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6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Retirement and Employee Health &amp; Welfare</w:t>
            </w:r>
          </w:p>
        </w:tc>
        <w:tc>
          <w:tcPr>
            <w:tcW w:w="120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Value</w:t>
            </w:r>
          </w:p>
        </w:tc>
        <w:tc>
          <w:tcPr>
            <w:tcW w:w="578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22"/>
        </w:trPr>
        <w:tc>
          <w:tcPr>
            <w:tcW w:w="44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Company 401k match contributions</w:t>
            </w:r>
          </w:p>
        </w:tc>
        <w:tc>
          <w:tcPr>
            <w:tcW w:w="12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$12,500</w:t>
            </w:r>
          </w:p>
        </w:tc>
        <w:tc>
          <w:tcPr>
            <w:tcW w:w="5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Assumes participation at maximum IRS contribution of $17,500. One year</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5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waiting period to participate in 401K.</w:t>
            </w:r>
          </w:p>
        </w:tc>
        <w:tc>
          <w:tcPr>
            <w:tcW w:w="0" w:type="dxa"/>
            <w:vAlign w:val="bottom"/>
          </w:tcPr>
          <w:p>
            <w:pPr>
              <w:spacing w:after="0"/>
              <w:rPr>
                <w:sz w:val="1"/>
                <w:szCs w:val="1"/>
                <w:color w:val="auto"/>
              </w:rPr>
            </w:pPr>
          </w:p>
        </w:tc>
      </w:tr>
      <w:tr>
        <w:trPr>
          <w:trHeight w:val="108"/>
        </w:trPr>
        <w:tc>
          <w:tcPr>
            <w:tcW w:w="4460" w:type="dxa"/>
            <w:vAlign w:val="bottom"/>
            <w:tcBorders>
              <w:left w:val="single" w:sz="8" w:color="auto"/>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5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Company provided health and welfare benefits</w:t>
            </w:r>
          </w:p>
        </w:tc>
        <w:tc>
          <w:tcPr>
            <w:tcW w:w="1200" w:type="dxa"/>
            <w:vAlign w:val="bottom"/>
            <w:tcBorders>
              <w:right w:val="single" w:sz="8" w:color="auto"/>
            </w:tcBorders>
          </w:tcPr>
          <w:p>
            <w:pPr>
              <w:spacing w:after="0"/>
              <w:rPr>
                <w:sz w:val="19"/>
                <w:szCs w:val="19"/>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Estimated annual average contribution paid by Vera Bradley for employee's</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vMerge w:val="continue"/>
          </w:tcPr>
          <w:p>
            <w:pPr>
              <w:spacing w:after="0"/>
              <w:rPr>
                <w:sz w:val="18"/>
                <w:szCs w:val="18"/>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$18,200</w:t>
            </w: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behalf for health, dental, life and AD&amp;D coverages. Assumes employee plus</w:t>
            </w: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family medical and dental coverage elected.</w:t>
            </w: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60" w:type="dxa"/>
            <w:vAlign w:val="bottom"/>
            <w:tcBorders>
              <w:left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Estimated Annual Company Contributions of</w:t>
            </w:r>
          </w:p>
        </w:tc>
        <w:tc>
          <w:tcPr>
            <w:tcW w:w="1200" w:type="dxa"/>
            <w:vAlign w:val="bottom"/>
            <w:tcBorders>
              <w:right w:val="single" w:sz="8" w:color="auto"/>
            </w:tcBorders>
            <w:vMerge w:val="restart"/>
            <w:shd w:val="clear" w:color="auto" w:fill="BFBFBF"/>
          </w:tcPr>
          <w:p>
            <w:pPr>
              <w:ind w:left="20"/>
              <w:spacing w:after="0"/>
              <w:rPr>
                <w:sz w:val="20"/>
                <w:szCs w:val="20"/>
                <w:color w:val="auto"/>
              </w:rPr>
            </w:pPr>
            <w:r>
              <w:rPr>
                <w:rFonts w:ascii="Arial" w:cs="Arial" w:eastAsia="Arial" w:hAnsi="Arial"/>
                <w:sz w:val="18"/>
                <w:szCs w:val="18"/>
                <w:b w:val="1"/>
                <w:bCs w:val="1"/>
                <w:color w:val="auto"/>
              </w:rPr>
              <w:t>$30,700</w:t>
            </w:r>
          </w:p>
        </w:tc>
        <w:tc>
          <w:tcPr>
            <w:tcW w:w="578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460" w:type="dxa"/>
            <w:vAlign w:val="bottom"/>
            <w:tcBorders>
              <w:left w:val="single" w:sz="8" w:color="auto"/>
              <w:right w:val="single" w:sz="8" w:color="auto"/>
            </w:tcBorders>
            <w:vMerge w:val="restart"/>
            <w:shd w:val="clear" w:color="auto" w:fill="BFBFBF"/>
          </w:tcPr>
          <w:p>
            <w:pPr>
              <w:ind w:left="40"/>
              <w:spacing w:after="0"/>
              <w:rPr>
                <w:sz w:val="20"/>
                <w:szCs w:val="20"/>
                <w:color w:val="auto"/>
              </w:rPr>
            </w:pPr>
            <w:r>
              <w:rPr>
                <w:rFonts w:ascii="Arial" w:cs="Arial" w:eastAsia="Arial" w:hAnsi="Arial"/>
                <w:sz w:val="18"/>
                <w:szCs w:val="18"/>
                <w:b w:val="1"/>
                <w:bCs w:val="1"/>
                <w:color w:val="auto"/>
                <w:w w:val="98"/>
              </w:rPr>
              <w:t>Retirement and Employee Health &amp; Welfare Benefits</w:t>
            </w:r>
          </w:p>
        </w:tc>
        <w:tc>
          <w:tcPr>
            <w:tcW w:w="1200" w:type="dxa"/>
            <w:vAlign w:val="bottom"/>
            <w:tcBorders>
              <w:right w:val="single" w:sz="8" w:color="auto"/>
            </w:tcBorders>
            <w:vMerge w:val="continue"/>
            <w:shd w:val="clear" w:color="auto" w:fill="BFBFBF"/>
          </w:tcPr>
          <w:p>
            <w:pPr>
              <w:spacing w:after="0"/>
              <w:rPr>
                <w:sz w:val="10"/>
                <w:szCs w:val="10"/>
                <w:color w:val="auto"/>
              </w:rPr>
            </w:pPr>
          </w:p>
        </w:tc>
        <w:tc>
          <w:tcPr>
            <w:tcW w:w="578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60" w:type="dxa"/>
            <w:vAlign w:val="bottom"/>
            <w:tcBorders>
              <w:left w:val="single" w:sz="8" w:color="auto"/>
              <w:bottom w:val="single" w:sz="8" w:color="BFBFBF"/>
              <w:right w:val="single" w:sz="8" w:color="auto"/>
            </w:tcBorders>
            <w:vMerge w:val="continue"/>
            <w:shd w:val="clear" w:color="auto" w:fill="BFBFBF"/>
          </w:tcPr>
          <w:p>
            <w:pPr>
              <w:spacing w:after="0"/>
              <w:rPr>
                <w:sz w:val="11"/>
                <w:szCs w:val="11"/>
                <w:color w:val="auto"/>
              </w:rPr>
            </w:pPr>
          </w:p>
        </w:tc>
        <w:tc>
          <w:tcPr>
            <w:tcW w:w="1200" w:type="dxa"/>
            <w:vAlign w:val="bottom"/>
            <w:tcBorders>
              <w:bottom w:val="single" w:sz="8" w:color="BFBFBF"/>
              <w:right w:val="single" w:sz="8" w:color="auto"/>
            </w:tcBorders>
            <w:shd w:val="clear" w:color="auto" w:fill="BFBFBF"/>
          </w:tcPr>
          <w:p>
            <w:pPr>
              <w:spacing w:after="0"/>
              <w:rPr>
                <w:sz w:val="11"/>
                <w:szCs w:val="11"/>
                <w:color w:val="auto"/>
              </w:rPr>
            </w:pPr>
          </w:p>
        </w:tc>
        <w:tc>
          <w:tcPr>
            <w:tcW w:w="578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4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57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6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One-time Awards</w:t>
            </w:r>
          </w:p>
        </w:tc>
        <w:tc>
          <w:tcPr>
            <w:tcW w:w="120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Value</w:t>
            </w:r>
          </w:p>
        </w:tc>
        <w:tc>
          <w:tcPr>
            <w:tcW w:w="578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22"/>
        </w:trPr>
        <w:tc>
          <w:tcPr>
            <w:tcW w:w="4460" w:type="dxa"/>
            <w:vAlign w:val="bottom"/>
            <w:tcBorders>
              <w:top w:val="single" w:sz="8" w:color="auto"/>
              <w:left w:val="single" w:sz="8" w:color="auto"/>
              <w:right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c>
          <w:tcPr>
            <w:tcW w:w="5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$300,000 paid on March 31, 2015 subject to employment on the payout date.</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Cash hiring bonus payable on March 31, 2015</w:t>
            </w:r>
          </w:p>
        </w:tc>
        <w:tc>
          <w:tcPr>
            <w:tcW w:w="1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$300,000</w:t>
            </w: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Payment will be accelerated if you are terminated involuntarily for any reason</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5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2"/>
              </w:rPr>
              <w:t>other than cause. If you voluntarily terminate your employment before July 21,</w:t>
            </w:r>
          </w:p>
        </w:tc>
        <w:tc>
          <w:tcPr>
            <w:tcW w:w="0" w:type="dxa"/>
            <w:vAlign w:val="bottom"/>
          </w:tcPr>
          <w:p>
            <w:pPr>
              <w:spacing w:after="0"/>
              <w:rPr>
                <w:sz w:val="1"/>
                <w:szCs w:val="1"/>
                <w:color w:val="auto"/>
              </w:rPr>
            </w:pPr>
          </w:p>
        </w:tc>
      </w:tr>
      <w:tr>
        <w:trPr>
          <w:trHeight w:val="94"/>
        </w:trPr>
        <w:tc>
          <w:tcPr>
            <w:tcW w:w="4460" w:type="dxa"/>
            <w:vAlign w:val="bottom"/>
            <w:tcBorders>
              <w:left w:val="single" w:sz="8" w:color="auto"/>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5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2015, repayment of the gross amount of this hiring bonus is required.</w:t>
            </w: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Borders>
              <w:left w:val="single" w:sz="8" w:color="auto"/>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The amount of the grant is fixed; for purposes of the value estimate only we</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have assumed a $28 stock price. Shares vest ratably over three years on the</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30,000 Time-based restricted stock units</w:t>
            </w:r>
          </w:p>
        </w:tc>
        <w:tc>
          <w:tcPr>
            <w:tcW w:w="1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$840,000</w:t>
            </w: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anniversary of your date of hire. Vesting will accelerate if you are terminated</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5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3"/>
              </w:rPr>
              <w:t>involuntarily for any reason other than cause. If you voluntarily terminate your</w:t>
            </w:r>
          </w:p>
        </w:tc>
        <w:tc>
          <w:tcPr>
            <w:tcW w:w="0" w:type="dxa"/>
            <w:vAlign w:val="bottom"/>
          </w:tcPr>
          <w:p>
            <w:pPr>
              <w:spacing w:after="0"/>
              <w:rPr>
                <w:sz w:val="1"/>
                <w:szCs w:val="1"/>
                <w:color w:val="auto"/>
              </w:rPr>
            </w:pPr>
          </w:p>
        </w:tc>
      </w:tr>
      <w:tr>
        <w:trPr>
          <w:trHeight w:val="94"/>
        </w:trPr>
        <w:tc>
          <w:tcPr>
            <w:tcW w:w="4460" w:type="dxa"/>
            <w:vAlign w:val="bottom"/>
            <w:tcBorders>
              <w:left w:val="single" w:sz="8" w:color="auto"/>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5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employment at any time, all unvested portions of this grant will be immediately</w:t>
            </w: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forfeited.</w:t>
            </w: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One-Time Awards</w:t>
            </w:r>
          </w:p>
        </w:tc>
        <w:tc>
          <w:tcPr>
            <w:tcW w:w="120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$1,140,000</w:t>
            </w:r>
          </w:p>
        </w:tc>
        <w:tc>
          <w:tcPr>
            <w:tcW w:w="5780" w:type="dxa"/>
            <w:vAlign w:val="bottom"/>
            <w:tcBorders>
              <w:bottom w:val="single" w:sz="8" w:color="BFBFBF"/>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44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57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6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Additional Considerations</w:t>
            </w:r>
          </w:p>
        </w:tc>
        <w:tc>
          <w:tcPr>
            <w:tcW w:w="120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Value</w:t>
            </w:r>
          </w:p>
        </w:tc>
        <w:tc>
          <w:tcPr>
            <w:tcW w:w="578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22"/>
        </w:trPr>
        <w:tc>
          <w:tcPr>
            <w:tcW w:w="44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Cash lump sum</w:t>
            </w:r>
          </w:p>
        </w:tc>
        <w:tc>
          <w:tcPr>
            <w:tcW w:w="12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color w:val="auto"/>
              </w:rPr>
              <w:t>$12,000</w:t>
            </w:r>
          </w:p>
        </w:tc>
        <w:tc>
          <w:tcPr>
            <w:tcW w:w="5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Cash lump sum to cover termination of Baltimore apartment lease (grossed up</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5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 tax purposes)</w:t>
            </w:r>
          </w:p>
        </w:tc>
        <w:tc>
          <w:tcPr>
            <w:tcW w:w="0" w:type="dxa"/>
            <w:vAlign w:val="bottom"/>
          </w:tcPr>
          <w:p>
            <w:pPr>
              <w:spacing w:after="0"/>
              <w:rPr>
                <w:sz w:val="1"/>
                <w:szCs w:val="1"/>
                <w:color w:val="auto"/>
              </w:rPr>
            </w:pPr>
          </w:p>
        </w:tc>
      </w:tr>
      <w:tr>
        <w:trPr>
          <w:trHeight w:val="108"/>
        </w:trPr>
        <w:tc>
          <w:tcPr>
            <w:tcW w:w="4460" w:type="dxa"/>
            <w:vAlign w:val="bottom"/>
            <w:tcBorders>
              <w:left w:val="single" w:sz="8" w:color="auto"/>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5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Moving of Household Goods</w:t>
            </w:r>
          </w:p>
        </w:tc>
        <w:tc>
          <w:tcPr>
            <w:tcW w:w="1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$10,000</w:t>
            </w: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Pay directly costs associated with moving household and personal effects from</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5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Baltimore, MD to Fort Wayne, IN (non-taxable income)</w:t>
            </w:r>
          </w:p>
        </w:tc>
        <w:tc>
          <w:tcPr>
            <w:tcW w:w="0" w:type="dxa"/>
            <w:vAlign w:val="bottom"/>
          </w:tcPr>
          <w:p>
            <w:pPr>
              <w:spacing w:after="0"/>
              <w:rPr>
                <w:sz w:val="1"/>
                <w:szCs w:val="1"/>
                <w:color w:val="auto"/>
              </w:rPr>
            </w:pPr>
          </w:p>
        </w:tc>
      </w:tr>
      <w:tr>
        <w:trPr>
          <w:trHeight w:val="108"/>
        </w:trPr>
        <w:tc>
          <w:tcPr>
            <w:tcW w:w="4460" w:type="dxa"/>
            <w:vAlign w:val="bottom"/>
            <w:tcBorders>
              <w:left w:val="single" w:sz="8" w:color="auto"/>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5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Home Purchase Assistance</w:t>
            </w:r>
          </w:p>
        </w:tc>
        <w:tc>
          <w:tcPr>
            <w:tcW w:w="1200" w:type="dxa"/>
            <w:vAlign w:val="bottom"/>
            <w:tcBorders>
              <w:right w:val="single" w:sz="8" w:color="auto"/>
            </w:tcBorders>
          </w:tcPr>
          <w:p>
            <w:pPr>
              <w:spacing w:after="0"/>
              <w:rPr>
                <w:sz w:val="19"/>
                <w:szCs w:val="19"/>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Assistance with purchase of new home in Fort Wayne, Indiana including</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vMerge w:val="continue"/>
          </w:tcPr>
          <w:p>
            <w:pPr>
              <w:spacing w:after="0"/>
              <w:rPr>
                <w:sz w:val="18"/>
                <w:szCs w:val="18"/>
                <w:color w:val="auto"/>
              </w:rPr>
            </w:pPr>
          </w:p>
        </w:tc>
        <w:tc>
          <w:tcPr>
            <w:tcW w:w="1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$50,000</w:t>
            </w: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customary closing costs, agent fees and other miscellaneous expenses provided</w:t>
            </w: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relocation occurs on or before July 21, 2015 (taxable income)</w:t>
            </w: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Severance</w:t>
            </w:r>
          </w:p>
        </w:tc>
        <w:tc>
          <w:tcPr>
            <w:tcW w:w="1200" w:type="dxa"/>
            <w:vAlign w:val="bottom"/>
            <w:tcBorders>
              <w:right w:val="single" w:sz="8" w:color="auto"/>
            </w:tcBorders>
          </w:tcPr>
          <w:p>
            <w:pPr>
              <w:spacing w:after="0"/>
              <w:rPr>
                <w:sz w:val="19"/>
                <w:szCs w:val="19"/>
                <w:color w:val="auto"/>
              </w:rPr>
            </w:pPr>
          </w:p>
        </w:tc>
        <w:tc>
          <w:tcPr>
            <w:tcW w:w="5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Eligible for participation in the Vera Bradley Severance Plan at such time as it</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5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 adopted by the Board of Directors (currently anticipated in May 2014)</w:t>
            </w:r>
          </w:p>
        </w:tc>
        <w:tc>
          <w:tcPr>
            <w:tcW w:w="0" w:type="dxa"/>
            <w:vAlign w:val="bottom"/>
          </w:tcPr>
          <w:p>
            <w:pPr>
              <w:spacing w:after="0"/>
              <w:rPr>
                <w:sz w:val="1"/>
                <w:szCs w:val="1"/>
                <w:color w:val="auto"/>
              </w:rPr>
            </w:pPr>
          </w:p>
        </w:tc>
      </w:tr>
      <w:tr>
        <w:trPr>
          <w:trHeight w:val="108"/>
        </w:trPr>
        <w:tc>
          <w:tcPr>
            <w:tcW w:w="4460" w:type="dxa"/>
            <w:vAlign w:val="bottom"/>
            <w:tcBorders>
              <w:left w:val="single" w:sz="8" w:color="auto"/>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5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Estimated Total Value</w:t>
            </w:r>
          </w:p>
        </w:tc>
        <w:tc>
          <w:tcPr>
            <w:tcW w:w="120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$72,000</w:t>
            </w:r>
          </w:p>
        </w:tc>
        <w:tc>
          <w:tcPr>
            <w:tcW w:w="5780" w:type="dxa"/>
            <w:vAlign w:val="bottom"/>
            <w:tcBorders>
              <w:bottom w:val="single" w:sz="8" w:color="BFBFBF"/>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57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580" w:right="2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5 TO AMENDED AND RESTATED CREDIT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Amendment No. 5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September 9, 2014 by and among Vera Bradley Designs, Inc., an Indiana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JPMorgan Chase Bank, N.A, individually and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64" w:lineRule="auto"/>
        <w:tabs>
          <w:tab w:leader="none" w:pos="10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Borrower, the Administrative Agent and the Lenders are party to that certain Amended and Restated Credit Agreement dated as of October 4, 2010 (as previously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Unless otherwise specified herein, capitalized terms used in this Amendment shall have the meanings ascribed to them by the Credit Agreement.</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Borrower, the Lenders party hereto and the Administrative Agent wish to amend the Credit Agreement on the terms and conditions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execution hereof and other good and valuable consideration, the parties hereto agree as follows:</w:t>
      </w:r>
    </w:p>
    <w:p>
      <w:pPr>
        <w:spacing w:after="0" w:line="237" w:lineRule="exact"/>
        <w:rPr>
          <w:sz w:val="20"/>
          <w:szCs w:val="20"/>
          <w:color w:val="auto"/>
        </w:rPr>
      </w:pPr>
    </w:p>
    <w:p>
      <w:pPr>
        <w:ind w:left="1720" w:hanging="415"/>
        <w:spacing w:after="0"/>
        <w:tabs>
          <w:tab w:leader="none" w:pos="172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Amendments to Credit Agreement</w:t>
      </w:r>
      <w:r>
        <w:rPr>
          <w:rFonts w:ascii="Arial" w:cs="Arial" w:eastAsia="Arial" w:hAnsi="Arial"/>
          <w:sz w:val="17"/>
          <w:szCs w:val="17"/>
          <w:color w:val="auto"/>
        </w:rPr>
        <w:t>. Upon the Fifth Amendment Effective Date (as defined below), the Credit Agreement shall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amended as follows:</w:t>
      </w:r>
    </w:p>
    <w:p>
      <w:pPr>
        <w:spacing w:after="0" w:line="211"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Section 6.06 shall be amended and restated in its entirety to read as follows:</w:t>
      </w:r>
    </w:p>
    <w:p>
      <w:pPr>
        <w:spacing w:after="0" w:line="225"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and will not permit any of its Subsidiaries to, declare, pay or make, or agree to declare, pay or make, directly or indirectly, any Restricted Payment, except (a) the Borrower may declare and pay dividends with respect to its Equity Interests payable solely in additional shares of its common stock, (b) Subsidiaries may declare and pay dividends ratably with respect to their Equity Interests, (c) so long as no Default exists or would result therefrom, the Borrower may declare and pay such dividends and distributions with respect to its Equity Interests so long as both before and after giving effect to such dividends and distributions, the Borrower’s Consolidated Net Worth plus the principal amount of the Subordinated Debt is at least $30,000,000 and (d) so long as no Default exists or would result therefrom, at any time prior to February 28, 2017, the Borrower may repurchase its Equity Interests for an aggregate amount not to exceed $40,000,000 pursuant to repurchase plans approved by the Borrower’s board of directors on or about September 8, 2014.</w:t>
      </w:r>
    </w:p>
    <w:p>
      <w:pPr>
        <w:spacing w:after="0" w:line="197" w:lineRule="exact"/>
        <w:rPr>
          <w:sz w:val="20"/>
          <w:szCs w:val="20"/>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that:</w:t>
      </w:r>
    </w:p>
    <w:p>
      <w:pPr>
        <w:spacing w:after="0" w:line="225" w:lineRule="exact"/>
        <w:rPr>
          <w:sz w:val="20"/>
          <w:szCs w:val="20"/>
          <w:color w:val="auto"/>
        </w:rPr>
      </w:pPr>
    </w:p>
    <w:p>
      <w:pPr>
        <w:jc w:val="both"/>
        <w:ind w:left="660" w:firstLine="645"/>
        <w:spacing w:after="0" w:line="259" w:lineRule="auto"/>
        <w:tabs>
          <w:tab w:leader="none" w:pos="17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execution, delivery and performance by the Borrower of this Amendment have been duly authorized by all necessary corporate action and that this Amendment is a legal, valid and binding obligation of the Borrower enforceable against the Borrower in accordance with its terms, except as the enforcement thereof may be subject to the effect of any applicable bankruptcy, insolvency, reorganization, moratorium or similar law affecting creditors’ rights generally or by general principles of equity;</w:t>
      </w:r>
    </w:p>
    <w:p>
      <w:pPr>
        <w:spacing w:after="0" w:line="186" w:lineRule="exact"/>
        <w:rPr>
          <w:rFonts w:ascii="Arial" w:cs="Arial" w:eastAsia="Arial" w:hAnsi="Arial"/>
          <w:sz w:val="18"/>
          <w:szCs w:val="18"/>
          <w:color w:val="auto"/>
        </w:rPr>
      </w:pPr>
    </w:p>
    <w:p>
      <w:pPr>
        <w:jc w:val="both"/>
        <w:ind w:left="660" w:firstLine="645"/>
        <w:spacing w:after="0" w:line="286" w:lineRule="auto"/>
        <w:tabs>
          <w:tab w:leader="none" w:pos="1767"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of the representations and warranties contained in the Credit Agreement (treating this Amendment as a Credit Document for purposes thereof) and the other Credit Documents is true and correct on and as of the date hereof (except to the extent that such representation or warranty expressly refers to an earlier date, in which case it shall be true and correct as of such earlier date); and</w:t>
      </w:r>
    </w:p>
    <w:p>
      <w:pPr>
        <w:spacing w:after="0" w:line="165" w:lineRule="exact"/>
        <w:rPr>
          <w:rFonts w:ascii="Arial" w:cs="Arial" w:eastAsia="Arial" w:hAnsi="Arial"/>
          <w:sz w:val="17"/>
          <w:szCs w:val="17"/>
          <w:color w:val="auto"/>
        </w:rPr>
      </w:pPr>
    </w:p>
    <w:p>
      <w:pPr>
        <w:ind w:left="1680" w:hanging="375"/>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225" w:lineRule="exact"/>
        <w:rPr>
          <w:sz w:val="20"/>
          <w:szCs w:val="20"/>
          <w:color w:val="auto"/>
        </w:rPr>
      </w:pPr>
    </w:p>
    <w:p>
      <w:pPr>
        <w:ind w:firstLine="1305"/>
        <w:spacing w:after="0" w:line="277" w:lineRule="auto"/>
        <w:tabs>
          <w:tab w:leader="none" w:pos="1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on which the following conditions have been satisfied:</w:t>
      </w:r>
    </w:p>
    <w:p>
      <w:pPr>
        <w:spacing w:after="0" w:line="170"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execution and delivery hereof by the Borrower, the Required Lenders and the Administrative Agent;</w:t>
      </w:r>
    </w:p>
    <w:p>
      <w:pPr>
        <w:sectPr>
          <w:pgSz w:w="11900" w:h="16838" w:orient="portrait"/>
          <w:cols w:equalWidth="0" w:num="1">
            <w:col w:w="11420"/>
          </w:cols>
          <w:pgMar w:left="240" w:top="580" w:right="239" w:bottom="1440" w:gutter="0" w:footer="0" w:header="0"/>
        </w:sectPr>
      </w:pPr>
    </w:p>
    <w:bookmarkStart w:id="29" w:name="page30"/>
    <w:bookmarkEnd w:id="29"/>
    <w:p>
      <w:pPr>
        <w:ind w:left="660" w:firstLine="645"/>
        <w:spacing w:after="0" w:line="277" w:lineRule="auto"/>
        <w:tabs>
          <w:tab w:leader="none" w:pos="17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execution and delivery by Holdings and each of the Subsidiary Guarantors of a Reaffirmation (the “</w:t>
      </w:r>
      <w:r>
        <w:rPr>
          <w:rFonts w:ascii="Arial" w:cs="Arial" w:eastAsia="Arial" w:hAnsi="Arial"/>
          <w:sz w:val="18"/>
          <w:szCs w:val="18"/>
          <w:u w:val="single" w:color="auto"/>
          <w:color w:val="auto"/>
        </w:rPr>
        <w:t>Reaffirmation</w:t>
      </w:r>
      <w:r>
        <w:rPr>
          <w:rFonts w:ascii="Arial" w:cs="Arial" w:eastAsia="Arial" w:hAnsi="Arial"/>
          <w:sz w:val="18"/>
          <w:szCs w:val="18"/>
          <w:color w:val="auto"/>
        </w:rPr>
        <w:t>”) substantially in the form of Exhibit A hereto.</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6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on or prior to the Fifth Amendment Effective Date, including, to the extent invoiced, reimbursement or payment of all out of pocket expenses required to be reimbursed or paid by the Borrower under the Credit Agreement; and</w:t>
      </w:r>
    </w:p>
    <w:p>
      <w:pPr>
        <w:spacing w:after="0" w:line="181" w:lineRule="exact"/>
        <w:rPr>
          <w:rFonts w:ascii="Arial" w:cs="Arial" w:eastAsia="Arial" w:hAnsi="Arial"/>
          <w:sz w:val="18"/>
          <w:szCs w:val="18"/>
          <w:color w:val="auto"/>
        </w:rPr>
      </w:pPr>
    </w:p>
    <w:p>
      <w:pPr>
        <w:ind w:left="660" w:firstLine="645"/>
        <w:spacing w:after="0" w:line="277" w:lineRule="auto"/>
        <w:tabs>
          <w:tab w:leader="none" w:pos="17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other certificates, resolutions, documents and agreements as the Administrative Agent may reasonably request.</w:t>
      </w:r>
    </w:p>
    <w:p>
      <w:pPr>
        <w:spacing w:after="0" w:line="170" w:lineRule="exact"/>
        <w:rPr>
          <w:sz w:val="20"/>
          <w:szCs w:val="20"/>
          <w:color w:val="auto"/>
        </w:rPr>
      </w:pPr>
    </w:p>
    <w:p>
      <w:pPr>
        <w:ind w:left="1620" w:hanging="31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Reference to and Effect Upon the Credit Documents</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77" w:lineRule="auto"/>
        <w:tabs>
          <w:tab w:leader="none" w:pos="17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the other Credit Documents shall remain in full force and effect and are hereby ratified and confirmed. This Amendment shall be deemed to be a Credit Document.</w:t>
      </w:r>
    </w:p>
    <w:p>
      <w:pPr>
        <w:spacing w:after="0" w:line="170" w:lineRule="exact"/>
        <w:rPr>
          <w:rFonts w:ascii="Arial" w:cs="Arial" w:eastAsia="Arial" w:hAnsi="Arial"/>
          <w:sz w:val="18"/>
          <w:szCs w:val="18"/>
          <w:color w:val="auto"/>
        </w:rPr>
      </w:pPr>
    </w:p>
    <w:p>
      <w:pPr>
        <w:jc w:val="both"/>
        <w:ind w:left="660" w:firstLine="645"/>
        <w:spacing w:after="0" w:line="257" w:lineRule="auto"/>
        <w:tabs>
          <w:tab w:leader="none" w:pos="17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the Collateral Agent or any Lender under the Credit Agreement or any Credit Document, nor constitute a waiver of any provision of the Credit Agreement or any Credit Document, except as specifically set forth herein. Upon the effectiveness of this Amendment, each reference in the Credit Agreement to “this Agreement”, “hereunder”, “hereof”, “herein” or words of similar import shall mean and be a reference to the Credit Agreement as amended hereby.</w:t>
      </w:r>
    </w:p>
    <w:p>
      <w:pPr>
        <w:spacing w:after="0" w:line="188" w:lineRule="exact"/>
        <w:rPr>
          <w:sz w:val="20"/>
          <w:szCs w:val="20"/>
          <w:color w:val="auto"/>
        </w:rPr>
      </w:pPr>
    </w:p>
    <w:p>
      <w:pPr>
        <w:jc w:val="both"/>
        <w:ind w:firstLine="1305"/>
        <w:spacing w:after="0" w:line="259" w:lineRule="auto"/>
        <w:tabs>
          <w:tab w:leader="none" w:pos="174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hereby affirms its obligation under Section 9.03 of the Credit Agreement to reimburse the Administrative Agent for all reasonable out-of-pocket expenses incurred by the Administrative Agent in connection with the preparation, negotiation, execution and delivery of this Amendment, including but not limited to the reasonable fees, charges and disbursements of attorneys for the Administrative Agent with respect thereto.</w:t>
      </w:r>
    </w:p>
    <w:p>
      <w:pPr>
        <w:spacing w:after="0" w:line="186" w:lineRule="exact"/>
        <w:rPr>
          <w:rFonts w:ascii="Arial" w:cs="Arial" w:eastAsia="Arial" w:hAnsi="Arial"/>
          <w:sz w:val="18"/>
          <w:szCs w:val="18"/>
          <w:color w:val="auto"/>
        </w:rPr>
      </w:pPr>
    </w:p>
    <w:p>
      <w:pPr>
        <w:ind w:left="1620" w:hanging="315"/>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w:t>
      </w:r>
    </w:p>
    <w:p>
      <w:pPr>
        <w:spacing w:after="0" w:line="225" w:lineRule="exact"/>
        <w:rPr>
          <w:rFonts w:ascii="Arial" w:cs="Arial" w:eastAsia="Arial" w:hAnsi="Arial"/>
          <w:sz w:val="18"/>
          <w:szCs w:val="18"/>
          <w:color w:val="auto"/>
        </w:rPr>
      </w:pPr>
    </w:p>
    <w:p>
      <w:pPr>
        <w:ind w:firstLine="1305"/>
        <w:spacing w:after="0" w:line="277" w:lineRule="auto"/>
        <w:tabs>
          <w:tab w:leader="none" w:pos="162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when so executed shall be deemed an original but all such counterparts shall constitute one and the same instrument. Delivery of an executed signature page of this Amendment by facsimile transmission or electronic mail shall be effective as delivery of manually executed counterpart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584" w:right="239" w:bottom="1440" w:gutter="0" w:footer="0" w:header="0"/>
        </w:sectPr>
      </w:pPr>
    </w:p>
    <w:bookmarkStart w:id="30" w:name="page31"/>
    <w:bookmarkEnd w:id="30"/>
    <w:p>
      <w:pPr>
        <w:ind w:left="100"/>
        <w:spacing w:after="0"/>
        <w:rPr>
          <w:sz w:val="20"/>
          <w:szCs w:val="20"/>
          <w:color w:val="auto"/>
        </w:rPr>
      </w:pPr>
      <w:r>
        <w:rPr>
          <w:rFonts w:ascii="Arial" w:cs="Arial" w:eastAsia="Arial" w:hAnsi="Arial"/>
          <w:sz w:val="18"/>
          <w:szCs w:val="18"/>
          <w:color w:val="auto"/>
        </w:rPr>
        <w:t>IN WITNESS WHEREOF, the parties have executed this Amendment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VERA BRADLEY DESIGNS, INC.</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31750</wp:posOffset>
            </wp:positionV>
            <wp:extent cx="2933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J. Sierks</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JPMORGAN CHASE BANK, N.A., as Administrative Agent</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and a Lender</w:t>
      </w:r>
    </w:p>
    <w:p>
      <w:pPr>
        <w:spacing w:after="0" w:line="4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Morgan K. Boudler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31750</wp:posOffset>
            </wp:positionV>
            <wp:extent cx="2933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Morgan K. Boudler</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[Signature Page to Amendment No. 5 to Amended and Restated Credit Agreement]</w:t>
      </w:r>
    </w:p>
    <w:p>
      <w:pPr>
        <w:sectPr>
          <w:pgSz w:w="11900" w:h="16838" w:orient="portrait"/>
          <w:cols w:equalWidth="0" w:num="1">
            <w:col w:w="10060"/>
          </w:cols>
          <w:pgMar w:left="1440" w:top="584" w:right="399" w:bottom="1440" w:gutter="0" w:footer="0" w:header="0"/>
        </w:sectPr>
      </w:pPr>
    </w:p>
    <w:bookmarkStart w:id="31" w:name="page32"/>
    <w:bookmarkEnd w:id="31"/>
    <w:p>
      <w:pPr>
        <w:ind w:left="5600"/>
        <w:spacing w:after="0"/>
        <w:rPr>
          <w:sz w:val="20"/>
          <w:szCs w:val="20"/>
          <w:color w:val="auto"/>
        </w:rPr>
      </w:pPr>
      <w:r>
        <w:rPr>
          <w:rFonts w:ascii="Arial" w:cs="Arial" w:eastAsia="Arial" w:hAnsi="Arial"/>
          <w:sz w:val="18"/>
          <w:szCs w:val="18"/>
          <w:color w:val="auto"/>
        </w:rPr>
        <w:t>WELLS FARGO BANK, N.A., as a Lender</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Ashley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31750</wp:posOffset>
            </wp:positionV>
            <wp:extent cx="2933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Ashley Hughes</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Relationship Manager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KeyBank National Association, as a Lender</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31750</wp:posOffset>
            </wp:positionV>
            <wp:extent cx="2933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Marianne T. Meil</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PNC BANK, NATIONAL ASSOCIATION as a Lender</w:t>
      </w:r>
    </w:p>
    <w:p>
      <w:pPr>
        <w:spacing w:after="0" w:line="7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Corinna Ladd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31750</wp:posOffset>
            </wp:positionV>
            <wp:extent cx="2933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Corinna Ladd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Northern Trust Company, as a Lender</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Michael Fornal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31750</wp:posOffset>
            </wp:positionV>
            <wp:extent cx="2933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Michael Fornal</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[Signature Page to Amendment No. 5 to Amended and Restated Credit Agreement]</w:t>
      </w:r>
    </w:p>
    <w:p>
      <w:pPr>
        <w:sectPr>
          <w:pgSz w:w="11900" w:h="16838" w:orient="portrait"/>
          <w:cols w:equalWidth="0" w:num="1">
            <w:col w:w="9600"/>
          </w:cols>
          <w:pgMar w:left="1440" w:top="746" w:right="8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REAFFIRMATION</w:t>
      </w:r>
    </w:p>
    <w:p>
      <w:pPr>
        <w:spacing w:after="0" w:line="200" w:lineRule="exact"/>
        <w:rPr>
          <w:sz w:val="20"/>
          <w:szCs w:val="20"/>
          <w:color w:val="auto"/>
        </w:rPr>
      </w:pPr>
    </w:p>
    <w:p>
      <w:pPr>
        <w:spacing w:after="0" w:line="24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Each of the undersigned (i) acknowledges receipt of a copy of Amendment No. 5 to Amended and Restated Credit Agreement (the “</w:t>
      </w:r>
      <w:r>
        <w:rPr>
          <w:rFonts w:ascii="Arial" w:cs="Arial" w:eastAsia="Arial" w:hAnsi="Arial"/>
          <w:sz w:val="16"/>
          <w:szCs w:val="16"/>
          <w:u w:val="single" w:color="auto"/>
          <w:color w:val="auto"/>
        </w:rPr>
        <w:t>Amendment</w:t>
      </w:r>
      <w:r>
        <w:rPr>
          <w:rFonts w:ascii="Arial" w:cs="Arial" w:eastAsia="Arial" w:hAnsi="Arial"/>
          <w:sz w:val="16"/>
          <w:szCs w:val="16"/>
          <w:color w:val="auto"/>
        </w:rPr>
        <w:t>”), amending the Amended and Restated Credit Agreement dated as of October 4, 2010 (as previously amended, restated, supplemented or otherwise modified,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(ii) consents to the Amendment and each of the transactions referenced therein, and (iii) hereby reaffirms its obligations, as applicable, under the Subsidiary Guaranty dated as of November 26, 2008 and the Parent Guaranty dated as of October 4, 2010, each, in favor of JPMorgan Chase Bank, N.A., as Administrative Agent. Capitalized terms used herein shall have the meanings ascribed to them by the Credit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as of September 9, 2014</w:t>
      </w:r>
    </w:p>
    <w:p>
      <w:pPr>
        <w:spacing w:after="0" w:line="38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VERA BRADLEY, INC.</w:t>
      </w:r>
    </w:p>
    <w:p>
      <w:pPr>
        <w:spacing w:after="0" w:line="6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31750</wp:posOffset>
            </wp:positionV>
            <wp:extent cx="2941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VERA BRADLEY SALES, LLC</w:t>
      </w:r>
    </w:p>
    <w:p>
      <w:pPr>
        <w:spacing w:after="0" w:line="6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31750</wp:posOffset>
            </wp:positionV>
            <wp:extent cx="2941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1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VERA BRADLEY INTERNATIONAL, LLC</w:t>
      </w:r>
    </w:p>
    <w:p>
      <w:pPr>
        <w:spacing w:after="0" w:line="6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31750</wp:posOffset>
            </wp:positionV>
            <wp:extent cx="2941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CFO</w:t>
      </w:r>
    </w:p>
    <w:p>
      <w:pPr>
        <w:sectPr>
          <w:pgSz w:w="11900" w:h="16838" w:orient="portrait"/>
          <w:cols w:equalWidth="0" w:num="1">
            <w:col w:w="11420"/>
          </w:cols>
          <w:pgMar w:left="240" w:top="68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color w:val="auto"/>
        </w:rPr>
        <w:t>Date: September 10, 2014</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93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color w:val="auto"/>
        </w:rPr>
        <w:t>Date: September 10, 2014</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93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August 2, 2014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93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September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93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 Kevin J. Sierks, the Executive Vice President – Chief Financial Officer of Vera Bradley, Inc., certify that (i) the quarterly report on Form 10-Q for the fiscal quarter ended August 2, 2014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93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September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93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0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0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upperLetter"/>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2"/>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3"/>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1."/>
      <w:numFmt w:val="decimal"/>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2019-12-07T22:47:12Z</dcterms:created>
  <dcterms:modified xsi:type="dcterms:W3CDTF">2019-12-07T22:47:12Z</dcterms:modified>
</cp:coreProperties>
</file>