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3,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2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3764280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 BRADLEY,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Indiana</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27-2935063</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2208 Production Road,</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2"/>
              </w:rPr>
              <w:t>Fort Wayne, Indiana</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46808</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(877) 708-8372</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registrant had 40,605,409 shares of its common stock outstanding as of September 11, 2013.</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5"/>
        </w:trPr>
        <w:tc>
          <w:tcPr>
            <w:tcW w:w="1760" w:type="dxa"/>
            <w:vAlign w:val="bottom"/>
            <w:tcBorders>
              <w:bottom w:val="single" w:sz="8" w:color="auto"/>
            </w:tcBorders>
          </w:tcPr>
          <w:p>
            <w:pPr>
              <w:spacing w:after="0"/>
              <w:rPr>
                <w:sz w:val="17"/>
                <w:szCs w:val="17"/>
                <w:color w:val="auto"/>
              </w:rPr>
            </w:pPr>
          </w:p>
        </w:tc>
        <w:tc>
          <w:tcPr>
            <w:tcW w:w="69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560" w:type="dxa"/>
            <w:vAlign w:val="bottom"/>
            <w:gridSpan w:val="7"/>
          </w:tcPr>
          <w:p>
            <w:pPr>
              <w:jc w:val="center"/>
              <w:ind w:right="3320"/>
              <w:spacing w:after="0"/>
              <w:rPr>
                <w:sz w:val="20"/>
                <w:szCs w:val="20"/>
                <w:color w:val="auto"/>
              </w:rPr>
            </w:pPr>
            <w:r>
              <w:rPr>
                <w:rFonts w:ascii="Arial" w:cs="Arial" w:eastAsia="Arial" w:hAnsi="Arial"/>
                <w:sz w:val="18"/>
                <w:szCs w:val="18"/>
                <w:b w:val="1"/>
                <w:bCs w:val="1"/>
                <w:color w:val="auto"/>
                <w:w w:val="96"/>
              </w:rPr>
              <w:t>TABLE OF CONTENTS</w:t>
            </w:r>
          </w:p>
        </w:tc>
        <w:tc>
          <w:tcPr>
            <w:tcW w:w="660" w:type="dxa"/>
            <w:vAlign w:val="bottom"/>
          </w:tcPr>
          <w:p>
            <w:pPr>
              <w:spacing w:after="0"/>
              <w:rPr>
                <w:sz w:val="19"/>
                <w:szCs w:val="19"/>
                <w:color w:val="auto"/>
              </w:rPr>
            </w:pPr>
          </w:p>
        </w:tc>
      </w:tr>
      <w:tr>
        <w:trPr>
          <w:trHeight w:val="380"/>
        </w:trPr>
        <w:tc>
          <w:tcPr>
            <w:tcW w:w="300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FINANCIAL INFORMATION</w:t>
              </w:r>
            </w:hyperlink>
          </w:p>
        </w:tc>
        <w:tc>
          <w:tcPr>
            <w:tcW w:w="766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23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Financial Statements (unaudited)</w:t>
              </w:r>
            </w:hyperlink>
          </w:p>
        </w:tc>
        <w:tc>
          <w:tcPr>
            <w:tcW w:w="756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r>
      <w:tr>
        <w:trPr>
          <w:trHeight w:val="304"/>
        </w:trPr>
        <w:tc>
          <w:tcPr>
            <w:tcW w:w="780" w:type="dxa"/>
            <w:vAlign w:val="bottom"/>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August 3, 2013, and February 2, 2013</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Income for the Thirteen and Twenty-Six Weeks Ended August 3, 2013, and July 28, 2012</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9880" w:type="dxa"/>
            <w:vAlign w:val="bottom"/>
            <w:gridSpan w:val="14"/>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Comprehensive Income for the Thirteen and Twenty-Six Weeks Ended August 3, 2013, and July 28, 2012</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80" w:type="dxa"/>
            <w:vAlign w:val="bottom"/>
          </w:tcPr>
          <w:p>
            <w:pPr>
              <w:spacing w:after="0"/>
              <w:rPr>
                <w:sz w:val="24"/>
                <w:szCs w:val="24"/>
                <w:color w:val="auto"/>
              </w:rPr>
            </w:pPr>
          </w:p>
        </w:tc>
        <w:tc>
          <w:tcPr>
            <w:tcW w:w="9400" w:type="dxa"/>
            <w:vAlign w:val="bottom"/>
            <w:tcBorders>
              <w:top w:val="single" w:sz="8" w:color="0000EE"/>
            </w:tcBorders>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for the Twenty-Six Weeks Ended August 3, 2013, and July 28, 2012</w:t>
              </w:r>
            </w:hyperlink>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80" w:type="dxa"/>
            <w:vAlign w:val="bottom"/>
          </w:tcPr>
          <w:p>
            <w:pPr>
              <w:spacing w:after="0"/>
              <w:rPr>
                <w:sz w:val="24"/>
                <w:szCs w:val="24"/>
                <w:color w:val="auto"/>
              </w:rPr>
            </w:pPr>
          </w:p>
        </w:tc>
        <w:tc>
          <w:tcPr>
            <w:tcW w:w="7620" w:type="dxa"/>
            <w:vAlign w:val="bottom"/>
            <w:tcBorders>
              <w:top w:val="single" w:sz="8" w:color="0000EE"/>
            </w:tcBorders>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Consolidated Financial Statements</w:t>
              </w:r>
            </w:hyperlink>
          </w:p>
        </w:tc>
        <w:tc>
          <w:tcPr>
            <w:tcW w:w="226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Management’s Discussion and Analysis of Financial Condition and Results of Operations</w:t>
              </w:r>
            </w:hyperlink>
          </w:p>
        </w:tc>
        <w:tc>
          <w:tcPr>
            <w:tcW w:w="358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8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564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660" w:type="dxa"/>
            <w:vAlign w:val="bottom"/>
            <w:gridSpan w:val="15"/>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OTHER INFORMATION</w:t>
              </w:r>
            </w:hyperlink>
          </w:p>
        </w:tc>
        <w:tc>
          <w:tcPr>
            <w:tcW w:w="660" w:type="dxa"/>
            <w:vAlign w:val="bottom"/>
          </w:tcPr>
          <w:p>
            <w:pPr>
              <w:spacing w:after="0"/>
              <w:rPr>
                <w:sz w:val="24"/>
                <w:szCs w:val="24"/>
                <w:color w:val="auto"/>
              </w:rPr>
            </w:pPr>
          </w:p>
        </w:tc>
      </w:tr>
      <w:tr>
        <w:trPr>
          <w:trHeight w:val="304"/>
        </w:trPr>
        <w:tc>
          <w:tcPr>
            <w:tcW w:w="7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1A.</w:t>
            </w:r>
          </w:p>
        </w:tc>
        <w:tc>
          <w:tcPr>
            <w:tcW w:w="1920" w:type="dxa"/>
            <w:vAlign w:val="bottom"/>
            <w:tcBorders>
              <w:top w:val="single" w:sz="8" w:color="0000EE"/>
            </w:tcBorders>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796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880" w:type="dxa"/>
            <w:vAlign w:val="bottom"/>
            <w:tcBorders>
              <w:top w:val="single" w:sz="8" w:color="0000EE"/>
            </w:tcBorders>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900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83"/>
        </w:trPr>
        <w:tc>
          <w:tcPr>
            <w:tcW w:w="7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540" w:type="dxa"/>
            <w:vAlign w:val="bottom"/>
            <w:gridSpan w:val="8"/>
          </w:tcPr>
          <w:p>
            <w:pPr>
              <w:jc w:val="right"/>
              <w:ind w:right="14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ORWARD</w:t>
      </w:r>
      <w:r>
        <w:rPr>
          <w:rFonts w:ascii="Arial" w:cs="Arial" w:eastAsia="Arial" w:hAnsi="Arial"/>
          <w:sz w:val="18"/>
          <w:szCs w:val="18"/>
          <w:b w:val="1"/>
          <w:bCs w:val="1"/>
          <w:color w:val="auto"/>
        </w:rPr>
        <w:t>-</w:t>
      </w:r>
      <w:r>
        <w:rPr>
          <w:rFonts w:ascii="Arial" w:cs="Arial" w:eastAsia="Arial" w:hAnsi="Arial"/>
          <w:sz w:val="14"/>
          <w:szCs w:val="14"/>
          <w:b w:val="1"/>
          <w:bCs w:val="1"/>
          <w:color w:val="auto"/>
        </w:rPr>
        <w:t>LOOKING</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17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the cost of raw materials and labor used to manufacture our products.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For a discussion of these risks and other risks and uncertainties that could cause actual results to differ materially from those contained in our forward-looking statements, please refer to “Risk Factors” in Item 1A of our Annual Report on Form 10-K for the fiscal year ended February 2, 2013.</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August 3,</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61"/>
        </w:trPr>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9,603</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34,811</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142,864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131,562</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11,016</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2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209,767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198,340</w:t>
            </w: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77,211</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293,551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277,319</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26,224</w:t>
            </w: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14,853</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employment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7,094</w:t>
            </w:r>
          </w:p>
        </w:tc>
        <w:tc>
          <w:tcPr>
            <w:tcW w:w="0" w:type="dxa"/>
            <w:vAlign w:val="bottom"/>
          </w:tcPr>
          <w:p>
            <w:pPr>
              <w:spacing w:after="0"/>
              <w:rPr>
                <w:sz w:val="1"/>
                <w:szCs w:val="1"/>
                <w:color w:val="auto"/>
              </w:rPr>
            </w:pPr>
          </w:p>
        </w:tc>
      </w:tr>
      <w:tr>
        <w:trPr>
          <w:trHeight w:val="223"/>
        </w:trPr>
        <w:tc>
          <w:tcPr>
            <w:tcW w:w="962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52,699</w:t>
            </w: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15,037</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83,064</w:t>
            </w:r>
          </w:p>
        </w:tc>
        <w:tc>
          <w:tcPr>
            <w:tcW w:w="0" w:type="dxa"/>
            <w:vAlign w:val="bottom"/>
          </w:tcPr>
          <w:p>
            <w:pPr>
              <w:spacing w:after="0"/>
              <w:rPr>
                <w:sz w:val="1"/>
                <w:szCs w:val="1"/>
                <w:color w:val="auto"/>
              </w:rPr>
            </w:pPr>
          </w:p>
        </w:tc>
      </w:tr>
      <w:tr>
        <w:trPr>
          <w:trHeight w:val="221"/>
        </w:trPr>
        <w:tc>
          <w:tcPr>
            <w:tcW w:w="9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Common stock, without par value; 200,000 shares authorized, 40,604 and 40,563 shares issued and outstanding, respectively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75,675</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143,330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119,190</w:t>
            </w:r>
          </w:p>
        </w:tc>
        <w:tc>
          <w:tcPr>
            <w:tcW w:w="0" w:type="dxa"/>
            <w:vAlign w:val="bottom"/>
          </w:tcPr>
          <w:p>
            <w:pPr>
              <w:spacing w:after="0"/>
              <w:rPr>
                <w:sz w:val="1"/>
                <w:szCs w:val="1"/>
                <w:color w:val="auto"/>
              </w:rPr>
            </w:pPr>
          </w:p>
        </w:tc>
      </w:tr>
      <w:tr>
        <w:trPr>
          <w:trHeight w:val="223"/>
        </w:trPr>
        <w:tc>
          <w:tcPr>
            <w:tcW w:w="9620" w:type="dxa"/>
            <w:vAlign w:val="bottom"/>
          </w:tcPr>
          <w:p>
            <w:pPr>
              <w:ind w:left="4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219,469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194,255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20" w:type="dxa"/>
            <w:vAlign w:val="bottom"/>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293,551</w:t>
            </w: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277,319</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15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1"/>
              </w:rPr>
              <w:t>Thirteen Weeks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spacing w:after="0"/>
              <w:rPr>
                <w:sz w:val="20"/>
                <w:szCs w:val="20"/>
                <w:color w:val="auto"/>
              </w:rPr>
            </w:pPr>
            <w:r>
              <w:rPr>
                <w:rFonts w:ascii="Arial" w:cs="Arial" w:eastAsia="Arial" w:hAnsi="Arial"/>
                <w:sz w:val="14"/>
                <w:szCs w:val="14"/>
                <w:b w:val="1"/>
                <w:bCs w:val="1"/>
                <w:color w:val="auto"/>
                <w:w w:val="97"/>
              </w:rPr>
              <w:t>Twenty-Six Weeks Ended</w:t>
            </w:r>
          </w:p>
        </w:tc>
        <w:tc>
          <w:tcPr>
            <w:tcW w:w="0" w:type="dxa"/>
            <w:vAlign w:val="bottom"/>
          </w:tcPr>
          <w:p>
            <w:pPr>
              <w:spacing w:after="0"/>
              <w:rPr>
                <w:sz w:val="1"/>
                <w:szCs w:val="1"/>
                <w:color w:val="auto"/>
              </w:rPr>
            </w:pPr>
          </w:p>
        </w:tc>
      </w:tr>
      <w:tr>
        <w:trPr>
          <w:trHeight w:val="129"/>
        </w:trPr>
        <w:tc>
          <w:tcPr>
            <w:tcW w:w="7700" w:type="dxa"/>
            <w:vAlign w:val="bottom"/>
          </w:tcPr>
          <w:p>
            <w:pPr>
              <w:spacing w:after="0"/>
              <w:rPr>
                <w:sz w:val="11"/>
                <w:szCs w:val="11"/>
                <w:color w:val="auto"/>
              </w:rPr>
            </w:pPr>
          </w:p>
        </w:tc>
        <w:tc>
          <w:tcPr>
            <w:tcW w:w="98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4"/>
              </w:rPr>
              <w:t>August 3,</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5"/>
              </w:rPr>
              <w:t>July 28,</w:t>
            </w:r>
          </w:p>
        </w:tc>
        <w:tc>
          <w:tcPr>
            <w:tcW w:w="300" w:type="dxa"/>
            <w:vAlign w:val="bottom"/>
          </w:tcPr>
          <w:p>
            <w:pPr>
              <w:spacing w:after="0"/>
              <w:rPr>
                <w:sz w:val="11"/>
                <w:szCs w:val="11"/>
                <w:color w:val="auto"/>
              </w:rPr>
            </w:pPr>
          </w:p>
        </w:tc>
        <w:tc>
          <w:tcPr>
            <w:tcW w:w="100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August 3,</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w w:val="89"/>
              </w:rPr>
              <w:t>July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125,372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123,037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248,405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53,599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54,425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108,166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71,773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140,239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48,336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103,563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24,067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21,799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39,257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23,985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21,647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39,034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9,034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14,894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14,951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13,373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24,140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40,592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40,623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40,624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1"/>
              </w:rPr>
              <w:t>Thirteen Weeks Ended</w:t>
            </w:r>
          </w:p>
        </w:tc>
        <w:tc>
          <w:tcPr>
            <w:tcW w:w="17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0"/>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6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4"/>
              </w:rPr>
              <w:t>August 3,</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July 28,</w:t>
            </w:r>
          </w:p>
        </w:tc>
        <w:tc>
          <w:tcPr>
            <w:tcW w:w="32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7"/>
              </w:rPr>
              <w:t>August 3,</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5"/>
              </w:rPr>
              <w:t>July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$14,951</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$ 13,373</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14,926</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2"/>
              </w:rPr>
              <w:t>$ 13,539</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$ 23,860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5"/>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4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0"/>
              </w:rPr>
              <w:t>August 3,</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5"/>
              </w:rPr>
              <w:t>July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24,140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6,796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1,640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11,371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and other liabilities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(11,976)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(22,704)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(11,976)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(22,704)</w:t>
            </w:r>
          </w:p>
        </w:tc>
        <w:tc>
          <w:tcPr>
            <w:tcW w:w="0" w:type="dxa"/>
            <w:vAlign w:val="bottom"/>
          </w:tcPr>
          <w:p>
            <w:pPr>
              <w:spacing w:after="0"/>
              <w:rPr>
                <w:sz w:val="1"/>
                <w:szCs w:val="1"/>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financial-institution debt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Borrowings on financial-institution debt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withholdings for equity compensation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20"/>
              <w:spacing w:after="0"/>
              <w:rPr>
                <w:sz w:val="20"/>
                <w:szCs w:val="20"/>
                <w:color w:val="auto"/>
              </w:rPr>
            </w:pPr>
            <w:r>
              <w:rPr>
                <w:rFonts w:ascii="Arial" w:cs="Arial" w:eastAsia="Arial" w:hAnsi="Arial"/>
                <w:sz w:val="18"/>
                <w:szCs w:val="18"/>
                <w:color w:val="auto"/>
              </w:rPr>
              <w:t>Other financing activities,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2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 and Basis of Presentation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terms “Company” and “Vera Bradley” refer to Vera Bradley, Inc. and its subsidiaries, except where context requires or where otherwise indicated.</w:t>
      </w:r>
    </w:p>
    <w:p>
      <w:pPr>
        <w:spacing w:after="0" w:line="113" w:lineRule="exact"/>
        <w:rPr>
          <w:rFonts w:ascii="Arial" w:cs="Arial" w:eastAsia="Arial" w:hAnsi="Arial"/>
          <w:sz w:val="18"/>
          <w:szCs w:val="18"/>
          <w:b w:val="1"/>
          <w:bCs w:val="1"/>
          <w:color w:val="auto"/>
        </w:rPr>
      </w:pPr>
    </w:p>
    <w:p>
      <w:pPr>
        <w:ind w:left="46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producer, marketer, and retailer of stylish, highly functional accessories primarily for women. The Company’s products include a wide offering of handbags, accessories, and travel and leisure items. The Company generates net revenues by selling products through two reportable segments: Direct and Indirect. The Direct business consists of sales of Vera Bradley products through the Company’s full-price and outlet stores in the United States, department store locations in Japan, its websites, verabradley.com and verabradley.co.jp, and its annual outlet sale in Fort Wayne, Indiana. As of August 3, 2013, the Company operated 80 full-price stores and 14 outlet stores. The Indirect business consists of sales of Vera Bradley products to approximately 3,400 specialty retailers, substantially all of which are located in the United States, as well as select department stores, national accounts, and third party e-commerce sites.</w:t>
      </w:r>
    </w:p>
    <w:p>
      <w:pPr>
        <w:spacing w:after="0" w:line="37" w:lineRule="exact"/>
        <w:rPr>
          <w:rFonts w:ascii="Arial" w:cs="Arial" w:eastAsia="Arial" w:hAnsi="Arial"/>
          <w:sz w:val="18"/>
          <w:szCs w:val="18"/>
          <w:b w:val="1"/>
          <w:bCs w:val="1"/>
          <w:color w:val="auto"/>
        </w:rPr>
      </w:pPr>
    </w:p>
    <w:p>
      <w:pPr>
        <w:ind w:left="46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omitted. These interim consolidated financial statements should be read in conjunction with the audited consolidated financial statements and notes included in the Company’s Annual Report on Form 10-K for the fiscal year ended February 2, 2013, filed with the SEC.</w:t>
      </w:r>
    </w:p>
    <w:p>
      <w:pPr>
        <w:spacing w:after="0" w:line="34"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twenty-six weeks ended August 3, 2013, are not necessarily indicative of the results to be expected for the full fiscal year.</w:t>
      </w:r>
    </w:p>
    <w:p>
      <w:pPr>
        <w:spacing w:after="0" w:line="21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 References to the fiscal quarters ended August 3, 2013, and July 28, 2012, refer to the thirteen-week periods ended on those dates.</w:t>
      </w:r>
    </w:p>
    <w:p>
      <w:pPr>
        <w:spacing w:after="0" w:line="20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96" w:lineRule="exact"/>
        <w:rPr>
          <w:rFonts w:ascii="Arial" w:cs="Arial" w:eastAsia="Arial" w:hAnsi="Arial"/>
          <w:sz w:val="18"/>
          <w:szCs w:val="18"/>
          <w:b w:val="1"/>
          <w:bCs w:val="1"/>
          <w:color w:val="auto"/>
        </w:rPr>
      </w:pPr>
    </w:p>
    <w:p>
      <w:pPr>
        <w:ind w:left="460" w:right="2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 xml:space="preserve">In February 2013, the Financial Accounting Standards Board (FASB) issued Accounting Standards Update (ASU) 2013-02, </w:t>
      </w:r>
      <w:r>
        <w:rPr>
          <w:rFonts w:ascii="Arial" w:cs="Arial" w:eastAsia="Arial" w:hAnsi="Arial"/>
          <w:sz w:val="15"/>
          <w:szCs w:val="15"/>
          <w:i w:val="1"/>
          <w:iCs w:val="1"/>
          <w:color w:val="auto"/>
        </w:rPr>
        <w:t>Reporting of Amounts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Reclassified Out of Accumulated Other Comprehensive Income </w:t>
      </w:r>
      <w:r>
        <w:rPr>
          <w:rFonts w:ascii="Arial" w:cs="Arial" w:eastAsia="Arial" w:hAnsi="Arial"/>
          <w:sz w:val="15"/>
          <w:szCs w:val="15"/>
          <w:color w:val="auto"/>
        </w:rPr>
        <w:t>(“ASU 2013-02”). This guidance adds new disclosure requirements for items reclassified</w:t>
      </w:r>
      <w:r>
        <w:rPr>
          <w:rFonts w:ascii="Arial" w:cs="Arial" w:eastAsia="Arial" w:hAnsi="Arial"/>
          <w:sz w:val="15"/>
          <w:szCs w:val="15"/>
          <w:i w:val="1"/>
          <w:iCs w:val="1"/>
          <w:color w:val="auto"/>
        </w:rPr>
        <w:t xml:space="preserve"> </w:t>
      </w:r>
      <w:r>
        <w:rPr>
          <w:rFonts w:ascii="Arial" w:cs="Arial" w:eastAsia="Arial" w:hAnsi="Arial"/>
          <w:sz w:val="15"/>
          <w:szCs w:val="15"/>
          <w:color w:val="auto"/>
        </w:rPr>
        <w:t>out of accumulated other comprehensive income. The additional disclosures include: (1) changes in accumulated other comprehensive income balances by component and (2) significant items reclassified out of accumulated other comprehensive income. The changes in accumulated other comprehensive income balance by component will be disaggregated to separately present reclassification adjustments and current-period other comprehensive income. Significant items reclassified out of accumulated other comprehensive income by component are required to be presented either on the face of the statement of income or as separate disclosure in the notes to the financial statements. These additional disclosures may be presented before-tax or net-of tax as long as the income tax benefit or expense attributed to each component of other comprehensive income and reclassification adjustments is presented in the financial statement or in the notes to the financial statements. The guidance is effective for interim and annual periods beginning after December 15, 2012 and should be applied prospectively. The adoption of this standard did not have an impact on the Company’s consolidated financial statements.</w:t>
      </w:r>
    </w:p>
    <w:p>
      <w:pPr>
        <w:spacing w:after="0" w:line="28"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In October 2012, the FASB issued ASU 2012-04,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adoption of this standard did not have an impact on the Company’s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Earnings per share is computed under the provisions of ASC 260, Earnings Per Share. 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The components of basic and diluted earnings per share were as follows (in thousands, except per share data):</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0"/>
              </w:rPr>
              <w:t>Thirteen Weeks Ended</w:t>
            </w:r>
          </w:p>
        </w:tc>
        <w:tc>
          <w:tcPr>
            <w:tcW w:w="500" w:type="dxa"/>
            <w:vAlign w:val="bottom"/>
          </w:tcPr>
          <w:p>
            <w:pPr>
              <w:spacing w:after="0"/>
              <w:rPr>
                <w:sz w:val="14"/>
                <w:szCs w:val="14"/>
                <w:color w:val="auto"/>
              </w:rPr>
            </w:pPr>
          </w:p>
        </w:tc>
        <w:tc>
          <w:tcPr>
            <w:tcW w:w="1800" w:type="dxa"/>
            <w:vAlign w:val="bottom"/>
            <w:gridSpan w:val="6"/>
          </w:tcPr>
          <w:p>
            <w:pPr>
              <w:ind w:left="60"/>
              <w:spacing w:after="0"/>
              <w:rPr>
                <w:sz w:val="20"/>
                <w:szCs w:val="20"/>
                <w:color w:val="auto"/>
              </w:rPr>
            </w:pPr>
            <w:r>
              <w:rPr>
                <w:rFonts w:ascii="Arial" w:cs="Arial" w:eastAsia="Arial" w:hAnsi="Arial"/>
                <w:sz w:val="14"/>
                <w:szCs w:val="14"/>
                <w:b w:val="1"/>
                <w:bCs w:val="1"/>
                <w:color w:val="auto"/>
              </w:rPr>
              <w:t>Twenty-Six Weeks Ended</w:t>
            </w:r>
          </w:p>
        </w:tc>
      </w:tr>
      <w:tr>
        <w:trPr>
          <w:trHeight w:val="129"/>
        </w:trPr>
        <w:tc>
          <w:tcPr>
            <w:tcW w:w="5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August 3,</w:t>
            </w: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July 28,</w:t>
            </w:r>
          </w:p>
        </w:tc>
        <w:tc>
          <w:tcPr>
            <w:tcW w:w="5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August 3,</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w w:val="85"/>
              </w:rPr>
              <w:t>July 28,</w:t>
            </w:r>
          </w:p>
        </w:tc>
        <w:tc>
          <w:tcPr>
            <w:tcW w:w="200" w:type="dxa"/>
            <w:vAlign w:val="bottom"/>
          </w:tcPr>
          <w:p>
            <w:pPr>
              <w:spacing w:after="0"/>
              <w:rPr>
                <w:sz w:val="11"/>
                <w:szCs w:val="11"/>
                <w:color w:val="auto"/>
              </w:rPr>
            </w:pPr>
          </w:p>
        </w:tc>
      </w:tr>
      <w:tr>
        <w:trPr>
          <w:trHeight w:val="161"/>
        </w:trPr>
        <w:tc>
          <w:tcPr>
            <w:tcW w:w="52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2013</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14,951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24,140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25,999</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40,603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40,532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40,592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40,524</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1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Weighted-average number of common shares (diluted)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40,623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40,568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40,624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40,557</w:t>
            </w:r>
          </w:p>
        </w:tc>
        <w:tc>
          <w:tcPr>
            <w:tcW w:w="2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5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Basic</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0.64</w:t>
            </w:r>
          </w:p>
        </w:tc>
        <w:tc>
          <w:tcPr>
            <w:tcW w:w="2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As of August 3, 2013 and July 28, 2012, there was an immaterial number of additional shares issuable upon the vesting of restricted stock units that were excluded from the diluted share calculations because they were anti-dilutive.</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9"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and payables as of August 3, 2013, and July 28, 2012, approximated their fair values.</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carrying amount for the amended and restated credit agreement (“credit agreement”) approximated its fair value at July 28, 2012 as the interest rates of these borrowings fluctuate with the market. The credit agreement falls within Level 2 of the fair value hierarchy.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August 3,</w:t>
            </w:r>
          </w:p>
        </w:tc>
        <w:tc>
          <w:tcPr>
            <w:tcW w:w="1300" w:type="dxa"/>
            <w:vAlign w:val="bottom"/>
            <w:gridSpan w:val="4"/>
          </w:tcPr>
          <w:p>
            <w:pPr>
              <w:ind w:left="500"/>
              <w:spacing w:after="0"/>
              <w:rPr>
                <w:sz w:val="20"/>
                <w:szCs w:val="20"/>
                <w:color w:val="auto"/>
              </w:rPr>
            </w:pPr>
            <w:r>
              <w:rPr>
                <w:rFonts w:ascii="Arial" w:cs="Arial" w:eastAsia="Arial" w:hAnsi="Arial"/>
                <w:sz w:val="14"/>
                <w:szCs w:val="14"/>
                <w:b w:val="1"/>
                <w:bCs w:val="1"/>
                <w:color w:val="auto"/>
              </w:rPr>
              <w:t>February 2,</w:t>
            </w:r>
          </w:p>
        </w:tc>
      </w:tr>
      <w:tr>
        <w:trPr>
          <w:trHeight w:val="161"/>
        </w:trPr>
        <w:tc>
          <w:tcPr>
            <w:tcW w:w="6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19,490</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122,515</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111,236</w:t>
            </w:r>
          </w:p>
        </w:tc>
        <w:tc>
          <w:tcPr>
            <w:tcW w:w="100" w:type="dxa"/>
            <w:vAlign w:val="bottom"/>
            <w:shd w:val="clear" w:color="auto" w:fill="CCEEFF"/>
          </w:tcPr>
          <w:p>
            <w:pPr>
              <w:spacing w:after="0"/>
              <w:rPr>
                <w:sz w:val="18"/>
                <w:szCs w:val="18"/>
                <w:color w:val="auto"/>
              </w:rPr>
            </w:pP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142,864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131,562</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020" w:type="dxa"/>
            <w:vAlign w:val="bottom"/>
            <w:gridSpan w:val="3"/>
          </w:tcPr>
          <w:p>
            <w:pPr>
              <w:ind w:left="2460"/>
              <w:spacing w:after="0"/>
              <w:rPr>
                <w:sz w:val="20"/>
                <w:szCs w:val="20"/>
                <w:color w:val="auto"/>
              </w:rPr>
            </w:pPr>
            <w:r>
              <w:rPr>
                <w:rFonts w:ascii="Arial" w:cs="Arial" w:eastAsia="Arial" w:hAnsi="Arial"/>
                <w:sz w:val="14"/>
                <w:szCs w:val="14"/>
                <w:b w:val="1"/>
                <w:bCs w:val="1"/>
                <w:color w:val="auto"/>
                <w:w w:val="84"/>
              </w:rPr>
              <w:t>August 3,</w:t>
            </w:r>
          </w:p>
        </w:tc>
        <w:tc>
          <w:tcPr>
            <w:tcW w:w="1440" w:type="dxa"/>
            <w:vAlign w:val="bottom"/>
            <w:gridSpan w:val="4"/>
          </w:tcPr>
          <w:p>
            <w:pPr>
              <w:ind w:left="640"/>
              <w:spacing w:after="0"/>
              <w:rPr>
                <w:sz w:val="20"/>
                <w:szCs w:val="20"/>
                <w:color w:val="auto"/>
              </w:rPr>
            </w:pPr>
            <w:r>
              <w:rPr>
                <w:rFonts w:ascii="Arial" w:cs="Arial" w:eastAsia="Arial" w:hAnsi="Arial"/>
                <w:sz w:val="14"/>
                <w:szCs w:val="14"/>
                <w:b w:val="1"/>
                <w:bCs w:val="1"/>
                <w:color w:val="auto"/>
              </w:rPr>
              <w:t>February 2,</w:t>
            </w:r>
          </w:p>
        </w:tc>
      </w:tr>
      <w:tr>
        <w:trPr>
          <w:trHeight w:val="161"/>
        </w:trPr>
        <w:tc>
          <w:tcPr>
            <w:tcW w:w="422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Financial-institution debt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15,000</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Other borrowings</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15,095</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15,037</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During the quarter ended August 3, 2013, the interest rate on outstanding borrowings under the Company’s $125.0 million credit agreement was 1.30%, and the Company had borrowing availability of $125.0 million under the agreement.</w:t>
      </w:r>
    </w:p>
    <w:p>
      <w:pPr>
        <w:spacing w:after="0" w:line="24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right="2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provision for income taxes for interim periods is based on an estimate of the annual effective tax rate adjusted to reflect the impact of discrete items. Significant management judgment is required in projecting ordinary income to estimate the Company’s annual effective tax rate.</w:t>
      </w:r>
    </w:p>
    <w:p>
      <w:pPr>
        <w:spacing w:after="0" w:line="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effective tax rate for the thirteen weeks ended August 3, 2013, was 37.7%, compared to 38.2% for the thirteen weeks ended July 28, 2012.</w:t>
      </w:r>
    </w:p>
    <w:p>
      <w:pPr>
        <w:spacing w:after="0" w:line="11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effective tax rate for the twenty-six weeks ended August 3, 2013, was 38.2%, compared to 38.5% for the twenty-six weeks ended July 28, 2012.</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accounts for stock-based compensation under the fair-value recognition provisions of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Under these provisions, for its awards of restricted stock and restricted stock units, the Company recognizes share-based compensation expense in an amount equal to the fair market value of the underlying stock on the grant date of the respective award.</w:t>
      </w:r>
    </w:p>
    <w:p>
      <w:pPr>
        <w:spacing w:after="0" w:line="59" w:lineRule="exact"/>
        <w:rPr>
          <w:rFonts w:ascii="Arial" w:cs="Arial" w:eastAsia="Arial" w:hAnsi="Arial"/>
          <w:sz w:val="18"/>
          <w:szCs w:val="18"/>
          <w:b w:val="1"/>
          <w:bCs w:val="1"/>
          <w:color w:val="auto"/>
        </w:rPr>
      </w:pPr>
    </w:p>
    <w:p>
      <w:pPr>
        <w:ind w:left="4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2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 Stock Units</w:t>
      </w:r>
    </w:p>
    <w:p>
      <w:pPr>
        <w:spacing w:after="0" w:line="90"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During the thirteen weeks ended August 3, 2013, the Company did not grant any time-based restricted stock units under the 2010 Equity and Incentive Plan compared to a total of 3,158 time-based restricted stock units with an aggregate fair value of $0.1 million granted in the same period of the prior year.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During the twenty-six weeks ended August 3, 2013, the Company granted a total of 244,814 time-based and performance-based restricted stock units with an aggregate fair value of $5.8 million to certain employees and non-employee directors under the 2010 Equity and Incentive Plan compared to a total of 177,512 time-based and performance-based restricted stock units with an aggregate fair value of $5.3 million granted in the same period of the prior year. The Company determined the fair value of the awards based on the closing price of the Company’s common stock on the grant date.</w:t>
      </w:r>
    </w:p>
    <w:p>
      <w:pPr>
        <w:spacing w:after="0" w:line="113" w:lineRule="exact"/>
        <w:rPr>
          <w:sz w:val="20"/>
          <w:szCs w:val="20"/>
          <w:color w:val="auto"/>
        </w:rPr>
      </w:pPr>
    </w:p>
    <w:p>
      <w:pPr>
        <w:ind w:left="460" w:right="80"/>
        <w:spacing w:after="0" w:line="298" w:lineRule="auto"/>
        <w:rPr>
          <w:sz w:val="20"/>
          <w:szCs w:val="20"/>
          <w:color w:val="auto"/>
        </w:rPr>
      </w:pPr>
      <w:r>
        <w:rPr>
          <w:rFonts w:ascii="Arial" w:cs="Arial" w:eastAsia="Arial" w:hAnsi="Arial"/>
          <w:sz w:val="16"/>
          <w:szCs w:val="16"/>
          <w:color w:val="auto"/>
        </w:rPr>
        <w:t>The time-based restricted stock units vest and settle in shares of the Company’s common stock, on a one-for-one basis, in equal installments on each of the first three anniversaries of the grant date. The Company is recognizing the expense relating to these units, net of estimated forfeitures, on a straight-line basis over three years. Beginning in fiscal 2014, all restricted stock awards issued to non-employee Directors vest after a one-year period from grant date. The Company is recognizing the expense relating to these units, net of estimated forfeitures, on a straight-line basis over one year.</w:t>
      </w:r>
    </w:p>
    <w:p>
      <w:pPr>
        <w:spacing w:after="0" w:line="113"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Performance-based restricted stock units vest upon the completion of a three-year period of time (cliff vesting), subject to the employee’s continuing employment throughout the three-year performance period and the Company’s achievement of annual net income targets during the three-year performance period. The Company is recognizing the expense relating to these units, net of estimated forfeitures and based on the probable outcome of achievement of the net income targets, on a straight-line basis over three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restricted stock unit activity for the period ended August 3, 2013 (units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36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Time-based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gridSpan w:val="6"/>
          </w:tcPr>
          <w:p>
            <w:pPr>
              <w:ind w:left="240"/>
              <w:spacing w:after="0"/>
              <w:rPr>
                <w:sz w:val="20"/>
                <w:szCs w:val="20"/>
                <w:color w:val="auto"/>
              </w:rPr>
            </w:pPr>
            <w:r>
              <w:rPr>
                <w:rFonts w:ascii="Arial" w:cs="Arial" w:eastAsia="Arial" w:hAnsi="Arial"/>
                <w:sz w:val="14"/>
                <w:szCs w:val="14"/>
                <w:b w:val="1"/>
                <w:bCs w:val="1"/>
                <w:color w:val="auto"/>
              </w:rPr>
              <w:t>Performance-based</w:t>
            </w: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4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Restricted Stock Units</w:t>
            </w:r>
          </w:p>
        </w:tc>
        <w:tc>
          <w:tcPr>
            <w:tcW w:w="1880" w:type="dxa"/>
            <w:vAlign w:val="bottom"/>
            <w:gridSpan w:val="6"/>
          </w:tcPr>
          <w:p>
            <w:pPr>
              <w:ind w:left="160"/>
              <w:spacing w:after="0"/>
              <w:rPr>
                <w:sz w:val="20"/>
                <w:szCs w:val="20"/>
                <w:color w:val="auto"/>
              </w:rPr>
            </w:pPr>
            <w:r>
              <w:rPr>
                <w:rFonts w:ascii="Arial" w:cs="Arial" w:eastAsia="Arial" w:hAnsi="Arial"/>
                <w:sz w:val="14"/>
                <w:szCs w:val="14"/>
                <w:b w:val="1"/>
                <w:bCs w:val="1"/>
                <w:color w:val="auto"/>
              </w:rPr>
              <w:t>Restricted Stock Units</w:t>
            </w: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6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Grant</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Date Fair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Date Fair</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Value</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4"/>
                <w:szCs w:val="14"/>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2"/>
              </w:rPr>
              <w:t>(per unit)</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4"/>
                <w:szCs w:val="14"/>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(per unit)</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units outstanding at February 2, 2013</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23.72</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23.63</w:t>
            </w: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35.97</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28.25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26.25</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 outstanding at August 3, 2013</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27.76</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2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As of August 3, 2013, there was $6.6 million of total unrecognized compensation cost, net of estimated forfeitures, related to nonvested restricted stock units. That cost is expected to be recognized over a weighted average period of 2.0 years.</w:t>
      </w:r>
    </w:p>
    <w:p>
      <w:pPr>
        <w:spacing w:after="0" w:line="2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jc w:val="both"/>
        <w:ind w:left="46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it is not reasonably possible that any of these claims will have a material adverse effect on the Company’s financial condition, results of operations, or cash flows.</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60" w:right="2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25"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Direct segment includes the Company’s full-price and outlet stores, department store locations in Japan, the Company’s websites, verabradley.com and verabradley.co.jp, and the annual outlet sale. Revenues generated through this segment are driven through the sale of Company-branded products from Vera Bradley to end consumers. The Indirect segment represents revenues generated through the distribution of Company-branded products to approximately 3,400 specialty retailers, substantially all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which are located in the United States, as well as select department stores, national accounts and third party e-commerce sites. Corporate costs represent the Company’s administrative expenses, which include, but are not limited to: human resources, legal, finance, information technology, design, merchandising, and various other corporate-level-activity-related expenses. All intercompany-related activities are eliminated in consolidation and are excluded from the segment reporting.</w:t>
      </w:r>
    </w:p>
    <w:p>
      <w:pPr>
        <w:spacing w:after="0" w:line="62"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consisted of the following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4"/>
              </w:rPr>
              <w:t>Thirteen Weeks Ended</w:t>
            </w:r>
          </w:p>
        </w:tc>
        <w:tc>
          <w:tcPr>
            <w:tcW w:w="1760" w:type="dxa"/>
            <w:vAlign w:val="bottom"/>
            <w:gridSpan w:val="6"/>
          </w:tcPr>
          <w:p>
            <w:pPr>
              <w:ind w:left="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93"/>
              </w:rPr>
              <w:t>August 3,</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5"/>
              </w:rPr>
              <w:t>July 28,</w:t>
            </w:r>
          </w:p>
        </w:tc>
        <w:tc>
          <w:tcPr>
            <w:tcW w:w="400" w:type="dxa"/>
            <w:vAlign w:val="bottom"/>
          </w:tcPr>
          <w:p>
            <w:pPr>
              <w:spacing w:after="0"/>
              <w:rPr>
                <w:sz w:val="11"/>
                <w:szCs w:val="11"/>
                <w:color w:val="auto"/>
              </w:rPr>
            </w:pPr>
          </w:p>
        </w:tc>
        <w:tc>
          <w:tcPr>
            <w:tcW w:w="88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August 3,</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5"/>
              </w:rPr>
              <w:t>July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net revenues: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Direct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75,016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65,692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148,703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124,917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115,321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125,372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123,037</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248,405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240,238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Direct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19,118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36,083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Indirect</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40,924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39,916</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75,628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77,733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40,924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39,916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75,628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77,733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(16,857)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(18,117)</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(36,371)</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(35,124)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60" w:type="dxa"/>
            <w:vAlign w:val="bottom"/>
            <w:vMerge w:val="restart"/>
          </w:tcPr>
          <w:p>
            <w:pPr>
              <w:jc w:val="right"/>
              <w:ind w:right="115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thirteen and twenty-six weeks ended August 3, 2013, and July 28, 2012. The following discussion should be read in conjunction with our Annual Report on Form 10-K for the fiscal year ended February 2, 2013, and our unaudited consolidated financial statements and the related notes included in Item 1 of this Quarterly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strategic progress and financial highlights: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Strategic Progress</w:t>
      </w:r>
    </w:p>
    <w:p>
      <w:pPr>
        <w:spacing w:after="0" w:line="9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opened eight new full-price stores and one outlet store during the second quarter in both current and new markets.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announced the expansion of our current design and distribution centers, both of which are located just outside of Fort Wayne, Indiana, to create a company campus for the majority of our office personnel increasing efficiency and ease of collaboration.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grew traffic by 20% at VeraBradley.com.</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Quarterly Financial Summary</w:t>
      </w:r>
    </w:p>
    <w:p>
      <w:pPr>
        <w:spacing w:after="0" w:line="9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revenues increased 1.9% to $125.4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segment sales increased 14.2% to $75.0 million. Comparable store net sales declined 3.7%.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Indirect segment sales decreased 12.2% to $50.4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was $71.8 million (57.2% of net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was $24.1 million (19.2% of net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income was $15.0 million or $0.37 per dilutive share.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and cash equivalents were $9.3 million at August 3, 2013.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Cash generated from operations of $27.0 million was used to fund capital expenditures of $6.2 million and pay down debt by $5 million.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Long-term debt was paid off as of August 3,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Net revenues reflect revenues from the sale of our merchandise and from distribution and shipping and handling fees, less returns and discounts. Revenues for the Direct segment reflect sales through our full-price and outlet stores, department store locations in Japan, our websites, verabradley.com and verabradley.co.jp, and our annual outlet sale in Fort Wayne, Indiana. Revenues for the Indirect segment reflect sales to specialty retail partners, department stores, national accounts and third party e-commerce sites.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 Comparable store sales do not include e-commerce sales.</w:t>
      </w:r>
    </w:p>
    <w:p>
      <w:pPr>
        <w:spacing w:after="0" w:line="1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and commodity prices such as cotton, and labor in Asia.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 and the gain on the sale of certain life insurance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periods indicated, both in dollars and as a percentage of our net revenues ($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19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7"/>
              </w:rPr>
              <w:t>Twenty-Six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00" w:type="dxa"/>
            <w:vAlign w:val="bottom"/>
            <w:tcBorders>
              <w:top w:val="single" w:sz="8" w:color="auto"/>
            </w:tcBorders>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4"/>
              </w:rPr>
              <w:t>August 3,</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5"/>
              </w:rPr>
              <w:t>July 28,</w:t>
            </w:r>
          </w:p>
        </w:tc>
        <w:tc>
          <w:tcPr>
            <w:tcW w:w="64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0"/>
              </w:rPr>
              <w:t>August 3,</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July 28,</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2013</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6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6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90"/>
              </w:rPr>
              <w:t>(unaudited)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revenues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125,372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123,037</w:t>
            </w:r>
          </w:p>
        </w:tc>
        <w:tc>
          <w:tcPr>
            <w:tcW w:w="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248,405</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240,238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53,599</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54,425</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108,166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106,324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71,773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68,612</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140,239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133,914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sales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80" w:type="dxa"/>
            <w:vAlign w:val="bottom"/>
            <w:vMerge w:val="restart"/>
          </w:tcPr>
          <w:p>
            <w:pPr>
              <w:jc w:val="right"/>
              <w:ind w:right="43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tables present net revenues and operating income by operating segment, both in dollars and as a percentage of our net revenues, and store data for the periods indicated ($ in thousands, except as otherwise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8"/>
              </w:rPr>
              <w:t>Twenty-Six Weeks Ended</w:t>
            </w:r>
          </w:p>
        </w:tc>
        <w:tc>
          <w:tcPr>
            <w:tcW w:w="0" w:type="dxa"/>
            <w:vAlign w:val="bottom"/>
          </w:tcPr>
          <w:p>
            <w:pPr>
              <w:spacing w:after="0"/>
              <w:rPr>
                <w:sz w:val="1"/>
                <w:szCs w:val="1"/>
                <w:color w:val="auto"/>
              </w:rPr>
            </w:pPr>
          </w:p>
        </w:tc>
      </w:tr>
      <w:tr>
        <w:trPr>
          <w:trHeight w:val="129"/>
        </w:trPr>
        <w:tc>
          <w:tcPr>
            <w:tcW w:w="5780" w:type="dxa"/>
            <w:vAlign w:val="bottom"/>
          </w:tcPr>
          <w:p>
            <w:pPr>
              <w:spacing w:after="0"/>
              <w:rPr>
                <w:sz w:val="11"/>
                <w:szCs w:val="11"/>
                <w:color w:val="auto"/>
              </w:rPr>
            </w:pPr>
          </w:p>
        </w:tc>
        <w:tc>
          <w:tcPr>
            <w:tcW w:w="110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4"/>
              </w:rPr>
              <w:t>August 3,</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July 28,</w:t>
            </w:r>
          </w:p>
        </w:tc>
        <w:tc>
          <w:tcPr>
            <w:tcW w:w="620" w:type="dxa"/>
            <w:vAlign w:val="bottom"/>
          </w:tcPr>
          <w:p>
            <w:pPr>
              <w:spacing w:after="0"/>
              <w:rPr>
                <w:sz w:val="11"/>
                <w:szCs w:val="11"/>
                <w:color w:val="auto"/>
              </w:rPr>
            </w:pPr>
          </w:p>
        </w:tc>
        <w:tc>
          <w:tcPr>
            <w:tcW w:w="100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August 3,</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July 28,</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2013</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7"/>
              </w:rPr>
              <w:t>(unaudited)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6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0"/>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by Segment: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Direct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75,016</w:t>
            </w:r>
          </w:p>
        </w:tc>
        <w:tc>
          <w:tcPr>
            <w:tcW w:w="4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65,692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$148,703</w:t>
            </w:r>
          </w:p>
        </w:tc>
        <w:tc>
          <w:tcPr>
            <w:tcW w:w="3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$124,917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50,356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57,345</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115,321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125,372</w:t>
            </w:r>
          </w:p>
        </w:tc>
        <w:tc>
          <w:tcPr>
            <w:tcW w:w="440" w:type="dxa"/>
            <w:vAlign w:val="bottom"/>
          </w:tcPr>
          <w:p>
            <w:pPr>
              <w:spacing w:after="0"/>
              <w:rPr>
                <w:sz w:val="19"/>
                <w:szCs w:val="19"/>
                <w:color w:val="auto"/>
              </w:rPr>
            </w:pPr>
          </w:p>
        </w:tc>
        <w:tc>
          <w:tcPr>
            <w:tcW w:w="1540" w:type="dxa"/>
            <w:vAlign w:val="bottom"/>
            <w:gridSpan w:val="4"/>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123,037</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248,405</w:t>
            </w:r>
          </w:p>
        </w:tc>
        <w:tc>
          <w:tcPr>
            <w:tcW w:w="3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240,238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Revenues by Segment: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Direct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24"/>
                <w:szCs w:val="24"/>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8"/>
              </w:rPr>
              <w:t>Twenty-Six Weeks Ended</w:t>
            </w:r>
          </w:p>
        </w:tc>
        <w:tc>
          <w:tcPr>
            <w:tcW w:w="0" w:type="dxa"/>
            <w:vAlign w:val="bottom"/>
          </w:tcPr>
          <w:p>
            <w:pPr>
              <w:spacing w:after="0"/>
              <w:rPr>
                <w:sz w:val="1"/>
                <w:szCs w:val="1"/>
                <w:color w:val="auto"/>
              </w:rPr>
            </w:pPr>
          </w:p>
        </w:tc>
      </w:tr>
      <w:tr>
        <w:trPr>
          <w:trHeight w:val="129"/>
        </w:trPr>
        <w:tc>
          <w:tcPr>
            <w:tcW w:w="5780" w:type="dxa"/>
            <w:vAlign w:val="bottom"/>
          </w:tcPr>
          <w:p>
            <w:pPr>
              <w:spacing w:after="0"/>
              <w:rPr>
                <w:sz w:val="11"/>
                <w:szCs w:val="11"/>
                <w:color w:val="auto"/>
              </w:rPr>
            </w:pPr>
          </w:p>
        </w:tc>
        <w:tc>
          <w:tcPr>
            <w:tcW w:w="110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4"/>
              </w:rPr>
              <w:t>August 3,</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July 28,</w:t>
            </w:r>
          </w:p>
        </w:tc>
        <w:tc>
          <w:tcPr>
            <w:tcW w:w="620" w:type="dxa"/>
            <w:vAlign w:val="bottom"/>
          </w:tcPr>
          <w:p>
            <w:pPr>
              <w:spacing w:after="0"/>
              <w:rPr>
                <w:sz w:val="11"/>
                <w:szCs w:val="11"/>
                <w:color w:val="auto"/>
              </w:rPr>
            </w:pPr>
          </w:p>
        </w:tc>
        <w:tc>
          <w:tcPr>
            <w:tcW w:w="100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August 3,</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July 28,</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2013</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color w:val="auto"/>
                <w:w w:val="87"/>
              </w:rPr>
              <w:t>(unaudited)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62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0"/>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by Segment: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Direct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19,118</w:t>
            </w:r>
          </w:p>
        </w:tc>
        <w:tc>
          <w:tcPr>
            <w:tcW w:w="4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16,252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36,083</w:t>
            </w:r>
          </w:p>
        </w:tc>
        <w:tc>
          <w:tcPr>
            <w:tcW w:w="3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21,806</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23,664</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40,924</w:t>
            </w:r>
          </w:p>
        </w:tc>
        <w:tc>
          <w:tcPr>
            <w:tcW w:w="4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39,916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75,628</w:t>
            </w:r>
          </w:p>
        </w:tc>
        <w:tc>
          <w:tcPr>
            <w:tcW w:w="3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77,733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Corporate unallocated</w:t>
            </w: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(16,857)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(18,117)</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(36,371)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(35,124)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24,067</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21,799</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as a Percentage of Net Revenues by Segment: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Indirect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 (1)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stores open at end of period</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Comparable-store sales increase (decrease) (2)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Total gross square footage at end of period</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195,816</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142,142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195,816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142,142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Average net revenues per gross square foot (3)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only our full-price and outlet stores</w:t>
      </w:r>
    </w:p>
    <w:p>
      <w:pPr>
        <w:spacing w:after="0" w:line="15"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 Calculation excludes e-commerce sales.</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219" w:lineRule="exact"/>
        <w:rPr>
          <w:sz w:val="20"/>
          <w:szCs w:val="20"/>
          <w:color w:val="auto"/>
        </w:rPr>
      </w:pPr>
    </w:p>
    <w:p>
      <w:pPr>
        <w:ind w:right="4640"/>
        <w:spacing w:after="0" w:line="347" w:lineRule="auto"/>
        <w:rPr>
          <w:sz w:val="20"/>
          <w:szCs w:val="20"/>
          <w:color w:val="auto"/>
        </w:rPr>
      </w:pPr>
      <w:r>
        <w:rPr>
          <w:rFonts w:ascii="Arial" w:cs="Arial" w:eastAsia="Arial" w:hAnsi="Arial"/>
          <w:sz w:val="18"/>
          <w:szCs w:val="18"/>
          <w:b w:val="1"/>
          <w:bCs w:val="1"/>
          <w:color w:val="auto"/>
        </w:rPr>
        <w:t xml:space="preserve">Thirteen Weeks Ended August 3, 2013, Compared to Thirteen Weeks Ended July 28, 2012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thirteen weeks ended August 3, 2013, net revenues increased $2.3 million, or 1.9%, to $125.4 million, from $123.0 million in the comparable prior-year period.</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thirteen weeks ended August 3, 2013, net revenues in the Direct segment increased $9.3 million, or 14.2%, to $75.0 million, from $65.7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prior-year period. This growth resulted primarily from a $9.8 million increase in revenues related to additional full-price and outlet stores, and a $0.4 million increase in e-commerce revenues due primarily to increased traffic. This growth was partially offset by a comparable-store sales decrease of $1.4 million, or 3.7%, primarily driven by an underperforming product offering and a decrease in store traffic. The aggregate number of our full-price and outlet stores grew from 70 at July 28, 2012, to 94 at August 3, 2013.</w:t>
      </w:r>
    </w:p>
    <w:p>
      <w:pPr>
        <w:spacing w:after="0" w:line="14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August 3, 2013, net revenues in the Indirect segment decreased $6.9 million, or 12.2%, to $50.4 million, from $57.3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driven by continued decreases in orders from specialty retailers across all geographies. This reduction in sales from the specialty retailers was partially offset by an increase in revenue from the department store channel.</w:t>
      </w:r>
    </w:p>
    <w:p>
      <w:pPr>
        <w:sectPr>
          <w:pgSz w:w="11900" w:h="16838" w:orient="portrait"/>
          <w:cols w:equalWidth="0" w:num="1">
            <w:col w:w="11380"/>
          </w:cols>
          <w:pgMar w:left="240" w:top="459" w:right="279" w:bottom="1440" w:gutter="0" w:footer="0" w:header="0"/>
        </w:sectPr>
      </w:pP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459" w:right="2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For the thirteen weeks ended August 3, 2013, gross profit increased $3.2 million, or 4.6%, to $71.8 million, from $68.6 million in the comparable prior-year period. As a percentage of net revenues, gross profit increased to 57.2% for the thirteen weeks ended August 3, 2013, from 55.8% in the comparable prior-year period. The increase as a percentage of net revenues was primarily due to fewer incentives offered to our specialty retailers compared to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the thirteen weeks ended August 3, 2013, SG&amp;A expenses increased $0.5 million, or 1.1%, to $48.3 million, from $47.8 million in the comparable prior-year period. As a percentage of net revenues, SG&amp;A expenses decreased to 38.6% for the thirteen weeks ended August 3, 2013, from 38.9% in the comparable prior-year period. The decrease as a percentage of net revenues was primarily due to cost management measures, as well as reductions in variable compensation expense associated with company performance, partially offset by the deleveraging of store operating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For the thirteen weeks ended August 3, 2013, other income decreased $0.4 million, or 38.2%, to $0.6 million, from $1.0 million in the comparable prior-year period. The decrease in other income was in line with a decrease in associated advertising costs related to mailers for our specialty retailers.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thirteen weeks ended August 3, 2013, operating income increased $2.3 million, or 10.4%, to $24.1 million, from $21.8 million in the comparable prior-year period. As a percentage of net revenues, operating income was 19.2% and 17.7% for the thirteen weeks ended August 3, 2013, and July 28, 2012, respectively.</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the thirteen weeks ended August 3, 2013, operating income in the Direct segment increased $2.9 million, or 17.6%. As a percentage of Direct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net revenues, operating income in the Direct segment was 25.5% and 24.7% for the thirteen weeks ended August 3, 2013, and July 28, 2012, respectively. This increase as a percentage of net revenues in the Direct segment was due primarily to improved gross margin.</w:t>
      </w:r>
    </w:p>
    <w:p>
      <w:pPr>
        <w:spacing w:after="0" w:line="107"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thirteen weeks ended August 3, 2013, operating income in the Indirect segment decreased $1.9 million, or 7.9%. As a percentage of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net revenues, operating income in the Indirect segment was 43.3% and 41.3% for the thirteen weeks ended August 3, 2013, and July 28, 2012, respectively. This increase as a percentage of net revenues in the Indirect segment resulted primarily from a decrease in variable compensation expense, the impact of additional department store doors and cost management measures.</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thirteen weeks ended August 3, 2013, unallocated expenses decreased $1.3 million, or 7.0%, primarily due to cost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as well as reductions in variable compensation expense associated with company performance, partially offset by an increase in corporate personnel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thirteen weeks ended August 3, 2013, was 37.7%, compared to 38.2% for the thirteen weeks ended July 28,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80"/>
        <w:spacing w:after="0" w:line="347" w:lineRule="auto"/>
        <w:rPr>
          <w:sz w:val="20"/>
          <w:szCs w:val="20"/>
          <w:color w:val="auto"/>
        </w:rPr>
      </w:pPr>
      <w:r>
        <w:rPr>
          <w:rFonts w:ascii="Arial" w:cs="Arial" w:eastAsia="Arial" w:hAnsi="Arial"/>
          <w:sz w:val="18"/>
          <w:szCs w:val="18"/>
          <w:b w:val="1"/>
          <w:bCs w:val="1"/>
          <w:color w:val="auto"/>
        </w:rPr>
        <w:t xml:space="preserve">Twenty-Six Weeks Ended August 3, 2013, Compared to Twenty-Six Weeks Ended July 28, 2012 </w:t>
      </w:r>
      <w:r>
        <w:rPr>
          <w:rFonts w:ascii="Arial" w:cs="Arial" w:eastAsia="Arial" w:hAnsi="Arial"/>
          <w:sz w:val="18"/>
          <w:szCs w:val="18"/>
          <w:i w:val="1"/>
          <w:iCs w:val="1"/>
          <w:color w:val="auto"/>
        </w:rPr>
        <w:t>Net Revenues</w:t>
      </w:r>
    </w:p>
    <w:p>
      <w:pPr>
        <w:spacing w:after="0" w:line="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twenty-six weeks ended August 3, 2013, net revenues increased $8.2 million, or 3.4%, to $248.4 million, from $240.2 million in the comparable prior-year period.</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twenty-six weeks ended August 3, 2012, net revenues in the Direct segment increased $23.8 million, or 19.0%, to $148.7 million, from $124.9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comparable prior-year period. This growth resulted primarily from a $17.9 million increase in revenues related to additional full-price and outlet stores, and a $5.5 million increase in e-commerce revenues due primarily to increased traffic. This growth was partially offset by a comparable-store sales decrease of $1.2 million, or 1.8%, primarily driven by a decrease in store traffic. The aggregate number of our full-price and outlet stores grew from 70 at July 28, 2012 to 94 at August 3, 2013.</w:t>
      </w:r>
    </w:p>
    <w:p>
      <w:pPr>
        <w:spacing w:after="0" w:line="14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twenty-six weeks ended August 3, 2013, net revenues in the Indirect segment decreased $15.6 million, or 13.5%, to $99.7 million, from $115.3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comparable prior-year period, driven by continued decreases in orders from specialty retailers across all geographies and all sizes of retailers. This reduction in sales from the specialty retailers was partially offset by an increase in revenue from the department store channel.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the twenty-six weeks ended August 3, 2013, gross profit increased $6.3 million, or 4.7%, to $140.2 million, from $133.9 million in the comparable prior-year period. As a percentage of net revenues, gross profit increased to 56.5% for the twenty-six weeks ended July 28, 2012, from 55.7% in the comparable prior-year period. The increase as a percentage of net revenues was primarily due to fewer incentives offered to our specialty retailers compared to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twenty-six weeks ended August 3, 2013, SG&amp;A expenses increased $8.5 million, or 9.0%, to $103.6 million, from $95.0 million in the comparable prior-year period. As a percentage of net revenues, SG&amp;A expenses were 41.7% and 39.6% for the fiscal quarters ended August 3, 2013, and July 28, 2012, respectively. The increase in SG&amp;A expenses as a percentage of net revenues was primarily due to fixed expenses being spread over lower revenues in the Indirect segment, the deleveraging of store operating expenses, and the impact of employee-related expenses from headcount added in the second half of fiscal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For the twenty-six weeks ended August 3, 2013, other income decreased $1.1 million, or 30.6%, to $2.6 million, from $3.7 million in the comparable prior-year period. The decrease in other income was in line with a decrease in associated advertising costs related to mailers for our specialty retailers.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twenty-six weeks ended August 3, 2013, operating income decreased $3.4 million, or 7.9%, to $39.3 million, from $42.6 million in the comparable prior-year period. As a percentage of net revenues, operating income was 15.8% and 17.7% for the twenty-six weeks ended August 3, 2013, and July 28, 2012, respectively.</w:t>
      </w:r>
    </w:p>
    <w:p>
      <w:pPr>
        <w:spacing w:after="0" w:line="14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the twenty-six weeks ended August 3, 2013, operating income in the Direct segment increased $4.5 million, or 14.1%. As a percentage of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net revenues, operating income in the Direct segment was 24.3% and 25.3% for the twenty-six weeks ended August 3, 2013, and July 28, 2012, respectively. This decrease as a percentage of net revenues in the Direct segment was primarily due to the gross margin impact of promotional activity in our stores, increased store payroll costs spread across lower revenue in our comparable full-price stores, and build-out costs related to four additional stores opened this year, compared to the prior year.</w:t>
      </w:r>
    </w:p>
    <w:p>
      <w:pPr>
        <w:spacing w:after="0" w:line="14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the twenty-six weeks ended August 3, 2013, operating income in the Indirect segment decreased $6.6 million, or 14.2%. As a percentage of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net revenues, operating income in the Indirect segment was consistent at 39.7% and 40.0% for the twenty-six weeks ended August 3, 2013, and July 28, 2012, respectively, reflecting lower variable compensation on the lower revenues as well as certain cost management measures.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the twenty-six weeks ended August 3, 2013, unallocated expenses increased $1.2 million, or 3.6%, primarily as a result of higher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personnel costs, which were partially offset by cost management measures, as well as reductions in variable compensation expense associated with company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the twenty-six weeks ended August 3, 2013, was 38.2%, compared to 38.5% for the twenty-six weeks ended July 28,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primary source of liquidity is cash flow from operations. We also have access to additional liquidity, if needed, through borrowings under our $125.0 million amended and restated credit agreement. Historically, our primary cash needs have been for merchandise inventories, payroll, store rent, capital expenditures associated with operational equipment, buildings, information technology, opening new stores, and debt repayments. The most significant components of our working capital are cash and cash equivalents, merchandise inventories, accounts receivable, accounts payable, and other current liabilities. We do not believe that the expansion of our Direct business will materially increase borrowings under our amended and restated credit agreement, in the near term.</w:t>
      </w:r>
    </w:p>
    <w:p>
      <w:pPr>
        <w:spacing w:after="0" w:line="116"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We believe that cash flows from operating activities and the availability of borrowings under our amended and restated credit agreement or other financing arrangements will be sufficient to meet working capital requirements, anticipated capital expenditures, and debt payments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Twenty-Six Weeks Ended</w:t>
            </w:r>
          </w:p>
        </w:tc>
      </w:tr>
      <w:tr>
        <w:trPr>
          <w:trHeight w:val="129"/>
        </w:trPr>
        <w:tc>
          <w:tcPr>
            <w:tcW w:w="47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7"/>
              </w:rPr>
              <w:t>August 3,</w:t>
            </w: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July 28,</w:t>
            </w:r>
          </w:p>
        </w:tc>
        <w:tc>
          <w:tcPr>
            <w:tcW w:w="120" w:type="dxa"/>
            <w:vAlign w:val="bottom"/>
          </w:tcPr>
          <w:p>
            <w:pPr>
              <w:spacing w:after="0"/>
              <w:rPr>
                <w:sz w:val="11"/>
                <w:szCs w:val="11"/>
                <w:color w:val="auto"/>
              </w:rPr>
            </w:pPr>
          </w:p>
        </w:tc>
      </w:tr>
      <w:tr>
        <w:trPr>
          <w:trHeight w:val="161"/>
        </w:trPr>
        <w:tc>
          <w:tcPr>
            <w:tcW w:w="4700" w:type="dxa"/>
            <w:vAlign w:val="bottom"/>
          </w:tcPr>
          <w:p>
            <w:pPr>
              <w:spacing w:after="0"/>
              <w:rPr>
                <w:sz w:val="14"/>
                <w:szCs w:val="14"/>
                <w:color w:val="auto"/>
              </w:rPr>
            </w:pPr>
          </w:p>
        </w:tc>
        <w:tc>
          <w:tcPr>
            <w:tcW w:w="2540" w:type="dxa"/>
            <w:vAlign w:val="bottom"/>
            <w:gridSpan w:val="2"/>
          </w:tcPr>
          <w:p>
            <w:pPr>
              <w:jc w:val="center"/>
              <w:ind w:left="1737"/>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14"/>
                <w:szCs w:val="14"/>
                <w:color w:val="auto"/>
              </w:rPr>
            </w:pPr>
          </w:p>
        </w:tc>
        <w:tc>
          <w:tcPr>
            <w:tcW w:w="980" w:type="dxa"/>
            <w:vAlign w:val="bottom"/>
            <w:gridSpan w:val="2"/>
          </w:tcPr>
          <w:p>
            <w:pPr>
              <w:jc w:val="center"/>
              <w:ind w:left="217"/>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2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27,004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25,461</w:t>
            </w:r>
          </w:p>
        </w:tc>
        <w:tc>
          <w:tcPr>
            <w:tcW w:w="12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80" w:type="dxa"/>
            <w:vAlign w:val="bottom"/>
            <w:gridSpan w:val="3"/>
          </w:tcPr>
          <w:p>
            <w:pPr>
              <w:jc w:val="right"/>
              <w:ind w:right="300"/>
              <w:spacing w:after="0"/>
              <w:rPr>
                <w:sz w:val="20"/>
                <w:szCs w:val="20"/>
                <w:color w:val="auto"/>
              </w:rPr>
            </w:pPr>
            <w:r>
              <w:rPr>
                <w:rFonts w:ascii="Arial" w:cs="Arial" w:eastAsia="Arial" w:hAnsi="Arial"/>
                <w:sz w:val="18"/>
                <w:szCs w:val="18"/>
                <w:color w:val="auto"/>
              </w:rPr>
              <w:t>(11,976)</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(22,704)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(15,261)</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Net cash provided by operating activities consists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cash provided by operating activities for the twenty-six weeks ended August 3, 2013 was $27.0 million, compared to $25.5 million for the twenty-six weeks ended July 28,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buildings, operational equipment, and information technology investments.</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Net cash used in investing activities was $12.0 million and $22.7 million for the twenty-six weeks ended August 3, 2013, and July 28, 2012, respectively. The $10.7 million decrease in capital expenditures was due primarily to the expansion of the distribution facility in fiscal 2013, partially offset by an increased investment in new stores, including the opening of 18 stores during the twenty-six weeks ended August 3, 2013, compared to 14 stores during the twenty-six weeks ended July 28, 2012.</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Capital expenditures for fiscal year 2014 are expected to be approximately $30.0 million, which includes approximately $10.0 million related to the design center and distribution center corporate office expansions.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consist primarily of borrowings and repayments under our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$15.3 million and less than $0.1 million for the twenty-six weeks ended August 3, 2013 and July 28, 2012,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On October 4, 2010, Vera Bradley Designs, Inc. entered into an agreement to amend and restate our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our assets. The credit agreement is also guaranteed by the Company. The credit agreement requires us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We were in compliance with these covenants as of August 3, 2013.</w:t>
      </w:r>
    </w:p>
    <w:p>
      <w:pPr>
        <w:spacing w:after="0" w:line="10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our leverage ratio. In addition, we are required to pay a quarterly facility fee (as defined in the agreement) ranging from 0.20% to 0.45% of the revolving credit commitment. During the quarter ended August 3, 2013, the interest rate on outstanding borrowings under the Company’s $125.0 million credit agreement was 1.30%. At August 3, 2013, the Company had borrowing availability of $125.0 million under the agreement.</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June 1, 2012, Vera Bradley Designs Inc., entered into an amendment to the credit agreement. The amendment extends the maturity date from October 3, 2015 to June 1, 2017. Certain permitted indebtedness covenants were also amended.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off-balance-sheet financing or unconsolidated special-purpose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2, 2013.</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of the Company’s accounting policies and estimates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2, 2013. There was no significant change to any of the critical accounting policies and estimates described in the Annual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 xml:space="preserve">In February 2013, the Financial Accounting Standards Board (FASB) issued Accounting Standards Update (ASU) 2013-02, </w:t>
      </w:r>
      <w:r>
        <w:rPr>
          <w:rFonts w:ascii="Arial" w:cs="Arial" w:eastAsia="Arial" w:hAnsi="Arial"/>
          <w:sz w:val="16"/>
          <w:szCs w:val="16"/>
          <w:i w:val="1"/>
          <w:iCs w:val="1"/>
          <w:color w:val="auto"/>
        </w:rPr>
        <w:t>Reporting of Amounts Reclassified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Out of Accumulated Other Comprehensive Income </w:t>
      </w:r>
      <w:r>
        <w:rPr>
          <w:rFonts w:ascii="Arial" w:cs="Arial" w:eastAsia="Arial" w:hAnsi="Arial"/>
          <w:sz w:val="16"/>
          <w:szCs w:val="16"/>
          <w:color w:val="auto"/>
        </w:rPr>
        <w:t>(“ASU 2013-02”). This guidance adds new disclosure requirements for items reclassified out of accumulated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comprehensive income. The additional disclosures include: (1) changes in accumulated other comprehensive income balances by component and</w:t>
      </w:r>
    </w:p>
    <w:p>
      <w:pPr>
        <w:spacing w:after="0" w:line="1" w:lineRule="exact"/>
        <w:rPr>
          <w:sz w:val="20"/>
          <w:szCs w:val="20"/>
          <w:color w:val="auto"/>
        </w:rPr>
      </w:pPr>
    </w:p>
    <w:p>
      <w:pPr>
        <w:ind w:right="40" w:firstLine="8"/>
        <w:spacing w:after="0" w:line="302"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items reclassified out of accumulated other comprehensive income. The changes in accumulated other comprehensive income balance by component will be disaggregated to separately present reclassification adjustments and current-period other comprehensive income. Significant items reclassified out of accumulated other comprehensive income by component are required to be presented either on the face of the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statement of income or as separate disclosure in the notes to the financial statements. These additional disclosures may be presented before-tax or net-of tax as long as the income tax benefit or expense attributed to each component of other comprehensive income and reclassification adjustments is presented in the financial statement or in the notes to the financial statements. The guidance is effective for interim and annual periods beginning after December 15, 2012 and should be applied prospectively. The adoption of this standard did not have an impact on the Company’s consolidated financial statements.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October 2012, the FASB issued ASU 2012-04,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adoption of this standard did not have a material impact on the Company’s consolidated financial statements.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As of August 3, 2013, there was no material change in the market risks described in “Quantitative and Qualitative Disclosures About Market Risks” in the Company’s Annual Report on Form 10-K for the fiscal year ended February 2, 2013.</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Controller, Chief Accounting Officer, and Interim Chief Financial Officer of the effectiveness of the design and operation of the Company’s disclosure controls and procedures pursuant to Rule 13a-15 of the Securities Exchange Act of 1934. Based on that evaluation, the Chief Executive Officer and Controller, Chief Accounting Officer, and Interim Chief Financial Officer concluded that the Company’s disclosure controls and procedures were effective as of August 3, 2013.</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has been no material change to our risk factors as previously set forth in the Company’s Annual Report on Form 10-K for the fiscal year ended February 2, 2013.</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46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ind w:left="1020" w:hanging="1012"/>
        <w:spacing w:after="0" w:line="294"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August 3, 2013 formatted in Extensible Business Reporting Language (XBRL): (i) Consolidated Statements of Income for the Thirteen and Twenty-Six Weeks ended August 3, 2013 and July 28, 2012; (ii) Consolidated Statements of Comprehensive Income for the Thirteen and Twenty-Six Weeks ended August 3, 2013 and July 28, 2012; (iii) Consolidated Balance Sheets at August 3, 2013 and July 28, 2012; (iv) Consolidated Statements of Cash Flows for the Twenty-Six Weeks Ended August 3, 2013 and July 28, 2012, and (v)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right="60" w:hanging="452"/>
        <w:spacing w:after="0" w:line="30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Vera Bradley, Inc.</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September 11, 2013</w:t>
      </w:r>
      <w:r>
        <w:rPr>
          <w:sz w:val="20"/>
          <w:szCs w:val="20"/>
          <w:color w:val="auto"/>
        </w:rPr>
        <w:tab/>
      </w:r>
      <w:r>
        <w:rPr>
          <w:rFonts w:ascii="Arial" w:cs="Arial" w:eastAsia="Arial" w:hAnsi="Arial"/>
          <w:sz w:val="16"/>
          <w:szCs w:val="16"/>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Kevin J. Sierks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 Controller, Chief Accounting Officer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Interim Chief Financial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240" w:top="459"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1460" w:type="dxa"/>
            <w:vAlign w:val="bottom"/>
          </w:tcPr>
          <w:p>
            <w:pPr>
              <w:spacing w:after="0"/>
              <w:rPr>
                <w:sz w:val="14"/>
                <w:szCs w:val="1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CEO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89"/>
              </w:rPr>
              <w:t>CFO Section 302 Certification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Section 906 Certifications*</w:t>
            </w:r>
          </w:p>
        </w:tc>
      </w:tr>
    </w:tbl>
    <w:p>
      <w:pPr>
        <w:spacing w:after="0" w:line="102" w:lineRule="exact"/>
        <w:rPr>
          <w:sz w:val="20"/>
          <w:szCs w:val="20"/>
          <w:color w:val="auto"/>
        </w:rPr>
      </w:pPr>
    </w:p>
    <w:p>
      <w:pPr>
        <w:ind w:left="1020" w:hanging="1012"/>
        <w:spacing w:after="0" w:line="294"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following materials from the Vera Bradley, Inc.’s Quarterly Report on Form 10-Q for the quarter ended August 3, 2013 formatted in Extensible Business Reporting Language (XBRL): (i) Consolidated Statements of Income for the Thirteen and Twenty-Six Weeks ended August 3, 2013 and July 28, 2012; (ii) Consolidated Statements of Comprehensive Income for the Thirteen and Twenty-Six Weeks ended August 3, 2013 and July 28, 2012; (iii) Consolidated Balance Sheets at August 3, 2013 and July 28, 2012; (iv) Consolidated Statements of Cash Flows for the Twenty-Six Weeks Ended August 3, 2013 and July 28, 2012, and (v)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not filed.</w:t>
      </w:r>
    </w:p>
    <w:p>
      <w:pPr>
        <w:spacing w:after="0" w:line="15" w:lineRule="exact"/>
        <w:rPr>
          <w:sz w:val="20"/>
          <w:szCs w:val="20"/>
          <w:color w:val="auto"/>
        </w:rPr>
      </w:pPr>
    </w:p>
    <w:p>
      <w:pPr>
        <w:ind w:left="460" w:right="60" w:hanging="452"/>
        <w:spacing w:after="0" w:line="30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Kevin J. Sierks,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 Bradley,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September 11, 2013</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Kevin J. Sierks</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Kevin J. Sierks</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Vice President – Controller, Chief Accounting Officer and</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i w:val="1"/>
                <w:iCs w:val="1"/>
                <w:color w:val="auto"/>
              </w:rPr>
              <w:t>Interim Chief Financial Officer</w:t>
            </w:r>
          </w:p>
        </w:tc>
      </w:tr>
    </w:tbl>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quarterly report on Form 10-Q for the fiscal quarter ended August 3, 2013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September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I, Kevin J. Sierks, the Vice President – Controller, Chief Accounting Officer and Interim Chief Financial Officer of Vera Bradley, Inc., certify that (i) the quarterly report on Form 10-Q for the fiscal quarter ended August 3, 2013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J. Sierks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J. Sierks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 – Controller, Chief Accounting</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Officer and Interim 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September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lvl w:ilvl="1">
      <w:lvlJc w:val="left"/>
      <w:lvlText w:val="•"/>
      <w:numFmt w:val="bullet"/>
      <w:start w:val="1"/>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decimal"/>
      <w:start w:val="10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2019-12-07T22:25:08Z</dcterms:created>
  <dcterms:modified xsi:type="dcterms:W3CDTF">2019-12-07T22:25:08Z</dcterms:modified>
</cp:coreProperties>
</file>