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422910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2022</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ind w:right="32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0" w:orient="portrait"/>
          <w:cols w:equalWidth="0" w:num="1">
            <w:col w:w="11260"/>
          </w:cols>
          <w:pgMar w:left="320" w:top="225"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0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5" w:lineRule="exact"/>
        <w:rPr>
          <w:sz w:val="20"/>
          <w:szCs w:val="20"/>
          <w:color w:val="auto"/>
        </w:rPr>
      </w:pPr>
    </w:p>
    <w:p>
      <w:pPr>
        <w:jc w:val="both"/>
        <w:ind w:left="2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0" w:lineRule="exact"/>
        <w:rPr>
          <w:sz w:val="20"/>
          <w:szCs w:val="20"/>
          <w:color w:val="auto"/>
        </w:rPr>
      </w:pPr>
    </w:p>
    <w:p>
      <w:pPr>
        <w:ind w:right="16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The registrant had 31,458,289 shares of its common stock outstanding as of June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922655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00"/>
          </w:cols>
          <w:pgMar w:left="320" w:top="322"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9"/>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April 30, 2022, and January 29, 2022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Thirteen Weeks Ended April 30, 2022, and May 1, 2021</w:t>
            </w:r>
          </w:p>
        </w:tc>
        <w:tc>
          <w:tcPr>
            <w:tcW w:w="1820" w:type="dxa"/>
            <w:vAlign w:val="bottom"/>
            <w:gridSpan w:val="4"/>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Thirteen Weeks Ended April 30, 2022, and May 1,</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2021</w:t>
            </w: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Thirteen Weeks Ended April 30, 2022, and May 1,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3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Thirteen Weeks Ended April 30, 2022, and May 1, 2021</w:t>
            </w:r>
          </w:p>
        </w:tc>
        <w:tc>
          <w:tcPr>
            <w:tcW w:w="640" w:type="dxa"/>
            <w:vAlign w:val="bottom"/>
            <w:tcBorders>
              <w:top w:val="single" w:sz="8" w:color="0000FF"/>
            </w:tcBorders>
            <w:gridSpan w:val="2"/>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40" w:type="dxa"/>
            <w:vAlign w:val="bottom"/>
            <w:gridSpan w:val="5"/>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5"/>
          </w:tcPr>
          <w:p>
            <w:pPr>
              <w:spacing w:after="0"/>
              <w:rPr>
                <w:sz w:val="22"/>
                <w:szCs w:val="22"/>
                <w:color w:val="auto"/>
              </w:rPr>
            </w:pPr>
          </w:p>
        </w:tc>
        <w:tc>
          <w:tcPr>
            <w:tcW w:w="5740" w:type="dxa"/>
            <w:vAlign w:val="bottom"/>
            <w:gridSpan w:val="7"/>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240" w:type="dxa"/>
            <w:vAlign w:val="bottom"/>
            <w:gridSpan w:val="11"/>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8760" w:type="dxa"/>
            <w:vAlign w:val="bottom"/>
            <w:gridSpan w:val="13"/>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40" w:type="dxa"/>
            <w:vAlign w:val="bottom"/>
            <w:gridSpan w:val="7"/>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2"/>
                <w:szCs w:val="22"/>
                <w:color w:val="auto"/>
              </w:rPr>
            </w:pPr>
          </w:p>
        </w:tc>
        <w:tc>
          <w:tcPr>
            <w:tcW w:w="8780" w:type="dxa"/>
            <w:vAlign w:val="bottom"/>
            <w:gridSpan w:val="1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jc w:val="both"/>
        <w:ind w:left="660" w:right="3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inflation, impacts related to variants of the novel coronavirus (COVID-19) outbreak, and other related matters;</w:t>
      </w:r>
    </w:p>
    <w:p>
      <w:pPr>
        <w:spacing w:after="0" w:line="4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including the continued outbreak of COVID-19 and actions to contain the spread of the virus by governmental or other actors;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that could lead to increased product costs and lower profit margins; and</w:t>
      </w:r>
    </w:p>
    <w:p>
      <w:pPr>
        <w:spacing w:after="0" w:line="10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integration strategies related to the Pura Vida business and possible inability to derive expected benefits from or to successfully integrate any future business acquisition.</w:t>
      </w:r>
    </w:p>
    <w:p>
      <w:pPr>
        <w:spacing w:after="0" w:line="1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January 29, 2022, as well as in Item 1A herein.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2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88,436</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144,881</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15,928</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279,317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517,546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39,327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16,422</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78,076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80,861</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159,132</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without par value; 200,000 shares authorized, 42,834 and 42,429 shares issued and 32,152 and 33,170</w:t>
            </w:r>
          </w:p>
        </w:tc>
        <w:tc>
          <w:tcPr>
            <w:tcW w:w="28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107,907</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334,364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(114,802)</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shareholders’ equity of Vera Bradley, Inc.</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327,440</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 redeemable noncontrolling interest, and shareholders’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503,697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517,546</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1"/>
                <w:szCs w:val="11"/>
                <w:color w:val="auto"/>
              </w:rPr>
            </w:pPr>
          </w:p>
        </w:tc>
        <w:tc>
          <w:tcPr>
            <w:tcW w:w="1140" w:type="dxa"/>
            <w:vAlign w:val="bottom"/>
          </w:tcPr>
          <w:p>
            <w:pPr>
              <w:jc w:val="right"/>
              <w:ind w:right="432"/>
              <w:spacing w:after="0" w:line="131" w:lineRule="exact"/>
              <w:rPr>
                <w:sz w:val="20"/>
                <w:szCs w:val="20"/>
                <w:color w:val="auto"/>
              </w:rPr>
            </w:pPr>
            <w:r>
              <w:rPr>
                <w:rFonts w:ascii="Times New Roman" w:cs="Times New Roman" w:eastAsia="Times New Roman" w:hAnsi="Times New Roman"/>
                <w:sz w:val="14"/>
                <w:szCs w:val="14"/>
                <w:b w:val="1"/>
                <w:bCs w:val="1"/>
                <w:color w:val="auto"/>
              </w:rPr>
              <w:t>May 1,</w:t>
            </w:r>
          </w:p>
        </w:tc>
      </w:tr>
      <w:tr>
        <w:trPr>
          <w:trHeight w:val="195"/>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49,930</w:t>
            </w:r>
          </w:p>
        </w:tc>
      </w:tr>
      <w:tr>
        <w:trPr>
          <w:trHeight w:val="22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33,590</w:t>
            </w:r>
          </w:p>
        </w:tc>
      </w:tr>
      <w:tr>
        <w:trPr>
          <w:trHeight w:val="270"/>
        </w:trPr>
        <w:tc>
          <w:tcPr>
            <w:tcW w:w="8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 available to Vera Bradley, Inc. common shareholders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per share available to Vera Bradley, Inc. common shareholders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bl>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1"/>
                <w:szCs w:val="11"/>
                <w:color w:val="auto"/>
              </w:rPr>
            </w:pPr>
          </w:p>
        </w:tc>
        <w:tc>
          <w:tcPr>
            <w:tcW w:w="114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May 1,</w:t>
            </w:r>
          </w:p>
        </w:tc>
      </w:tr>
      <w:tr>
        <w:trPr>
          <w:trHeight w:val="195"/>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available-for-sale debt investments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 attributable to Vera Bradley, Inc.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Equity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33,170,430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9,258,741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334,364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(114,802)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327,440</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404,469</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(1,423,096)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April 30,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32,151,803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10,681,837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327,390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(125,256)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240" w:type="dxa"/>
            <w:vAlign w:val="bottom"/>
          </w:tcPr>
          <w:p>
            <w:pPr>
              <w:spacing w:after="0"/>
              <w:rPr>
                <w:sz w:val="24"/>
                <w:szCs w:val="24"/>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center"/>
              <w:ind w:right="55"/>
              <w:spacing w:after="0" w:line="15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5"/>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Equity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30,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33,414,490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316,526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(107,060)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314,907</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available-for-sale debt investments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570,562</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33,985,052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314,381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312,397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1"/>
                <w:szCs w:val="11"/>
                <w:color w:val="auto"/>
              </w:rPr>
            </w:pPr>
          </w:p>
        </w:tc>
        <w:tc>
          <w:tcPr>
            <w:tcW w:w="1140" w:type="dxa"/>
            <w:vAlign w:val="bottom"/>
          </w:tcPr>
          <w:p>
            <w:pPr>
              <w:jc w:val="right"/>
              <w:ind w:right="448"/>
              <w:spacing w:after="0" w:line="131" w:lineRule="exact"/>
              <w:rPr>
                <w:sz w:val="20"/>
                <w:szCs w:val="20"/>
                <w:color w:val="auto"/>
              </w:rPr>
            </w:pPr>
            <w:r>
              <w:rPr>
                <w:rFonts w:ascii="Times New Roman" w:cs="Times New Roman" w:eastAsia="Times New Roman" w:hAnsi="Times New Roman"/>
                <w:sz w:val="14"/>
                <w:szCs w:val="14"/>
                <w:b w:val="1"/>
                <w:bCs w:val="1"/>
                <w:color w:val="auto"/>
              </w:rPr>
              <w:t>May 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4,930</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charges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non-cash gain, net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(10,040)</w:t>
            </w: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disposal of property, plant, and equipment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w:t>
            </w: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withholdings for equity compensation</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Distributions to redeemable noncontrolling interest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w:t>
            </w: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64,175</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1"/>
                <w:szCs w:val="11"/>
                <w:color w:val="auto"/>
              </w:rPr>
            </w:pPr>
          </w:p>
        </w:tc>
        <w:tc>
          <w:tcPr>
            <w:tcW w:w="1140" w:type="dxa"/>
            <w:vAlign w:val="bottom"/>
          </w:tcPr>
          <w:p>
            <w:pPr>
              <w:jc w:val="right"/>
              <w:ind w:right="448"/>
              <w:spacing w:after="0" w:line="131" w:lineRule="exact"/>
              <w:rPr>
                <w:sz w:val="20"/>
                <w:szCs w:val="20"/>
                <w:color w:val="auto"/>
              </w:rPr>
            </w:pPr>
            <w:r>
              <w:rPr>
                <w:rFonts w:ascii="Times New Roman" w:cs="Times New Roman" w:eastAsia="Times New Roman" w:hAnsi="Times New Roman"/>
                <w:sz w:val="14"/>
                <w:szCs w:val="14"/>
                <w:b w:val="1"/>
                <w:bCs w:val="1"/>
                <w:color w:val="auto"/>
              </w:rPr>
              <w:t>May 1,</w:t>
            </w:r>
          </w:p>
        </w:tc>
        <w:tc>
          <w:tcPr>
            <w:tcW w:w="0" w:type="dxa"/>
            <w:vAlign w:val="bottom"/>
          </w:tcPr>
          <w:p>
            <w:pPr>
              <w:spacing w:after="0"/>
              <w:rPr>
                <w:sz w:val="1"/>
                <w:szCs w:val="1"/>
                <w:color w:val="auto"/>
              </w:rPr>
            </w:pPr>
          </w:p>
        </w:tc>
      </w:tr>
      <w:tr>
        <w:trPr>
          <w:trHeight w:val="195"/>
        </w:trPr>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(received) paid for income taxes, net</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858</w:t>
            </w:r>
          </w:p>
        </w:tc>
        <w:tc>
          <w:tcPr>
            <w:tcW w:w="0" w:type="dxa"/>
            <w:vAlign w:val="bottom"/>
          </w:tcPr>
          <w:p>
            <w:pPr>
              <w:spacing w:after="0"/>
              <w:rPr>
                <w:sz w:val="1"/>
                <w:szCs w:val="1"/>
                <w:color w:val="auto"/>
              </w:rPr>
            </w:pP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activity</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April 30, 2022 and May 1, 2021</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January 29, 2022 and January 30, 2021</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8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April 30, 2022 and May 1, 2021</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January 29, 2022 and January 30, 2021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0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and majority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1"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Pura Vida, based in La Jolla, California, is a rapidly growing, digitally native lifestyle brand that we believe deeply resonates with its loyal consumer following. The Pura Vida brand has a differentiated and expanding offering of bracelets, jewelry, and other lifestyle accessories.</w:t>
      </w:r>
    </w:p>
    <w:p>
      <w:pPr>
        <w:spacing w:after="0" w:line="4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Vera Bradley Direct (“VB Direct”), Vera Bradley Indirect (“VB Indirect”), and Pura Vida.</w:t>
      </w:r>
    </w:p>
    <w:p>
      <w:pPr>
        <w:spacing w:after="0" w:line="103" w:lineRule="exact"/>
        <w:rPr>
          <w:rFonts w:ascii="Times New Roman" w:cs="Times New Roman" w:eastAsia="Times New Roman" w:hAnsi="Times New Roman"/>
          <w:sz w:val="18"/>
          <w:szCs w:val="18"/>
          <w:b w:val="1"/>
          <w:bCs w:val="1"/>
          <w:color w:val="auto"/>
        </w:rPr>
      </w:pPr>
    </w:p>
    <w:p>
      <w:pPr>
        <w:ind w:left="980" w:right="460" w:hanging="324"/>
        <w:spacing w:after="0" w:line="261"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business consists of sales of Vera Bradley products through Vera Bradley full-line and factory outlet stores in the United States; verabradley.com and verabradley.ca; the Vera Bradley online outlet site; and typically the Vera Bradley annual outlet sale in Fort Wayne, Indiana. As of April 30, 2022, the Company operated 67 full-line stores and 77 factory outlet stores. In light of the COVID-19 pandemic, the Company cancelled its calendar year 2022 and 2021 annual outlet sales.</w:t>
      </w:r>
    </w:p>
    <w:p>
      <w:pPr>
        <w:spacing w:after="0" w:line="58"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business consists of sales of Vera Bradley products to approximately 1,800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40"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the distribution of Pura Vida-branded products to wholesale retailers, substantially all of which are located in the United States, as well as through its first retail store which opened in August 2021.</w:t>
      </w:r>
    </w:p>
    <w:p>
      <w:pPr>
        <w:spacing w:after="0" w:line="54"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29, 2022, filed with the SEC.</w:t>
      </w:r>
    </w:p>
    <w:p>
      <w:pPr>
        <w:spacing w:after="0" w:line="6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April 30, 2022, are not necessarily indicative of the results to be expected for the full fiscal year including, in part, due to the uncertainty of macroeconomic factors on future periods, including inflation and the continued impacts of the disruptions caused by the COVID-19 pandemic, among other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wholly owned subsidiaries, and its majority owned subsidiary, Pura Vida. The Company has eliminated intercompany balances and transactions in consolidation.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April 30, 2022 and May 1, 2021 refer to the thirteen week periods ended on those dates.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There were no new accounting pronouncements issued or which became effective during the thirteen weeks ended April 30, 2022, which had, or are expected to have, a significant impact on the Company's Consolidated Financial Statements.</w:t>
      </w:r>
    </w:p>
    <w:p>
      <w:pPr>
        <w:spacing w:after="0" w:line="18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9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weeks ended April 30, 2022 and May 1,</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2021 (in thousands):</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26,132</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32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35,646</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32,127</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16,977</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98,459</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 million of net revenues related to product sales recognized at a point in time and $0.8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26,438</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34,488</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109,094</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freight, stationery,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 million of net revenues related to product sales recognized at a point in time and $0.8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right="180"/>
        <w:spacing w:after="0" w:line="256" w:lineRule="auto"/>
        <w:rPr>
          <w:sz w:val="20"/>
          <w:szCs w:val="20"/>
          <w:color w:val="auto"/>
        </w:rPr>
      </w:pPr>
      <w:r>
        <w:rPr>
          <w:rFonts w:ascii="Times New Roman" w:cs="Times New Roman" w:eastAsia="Times New Roman" w:hAnsi="Times New Roman"/>
          <w:sz w:val="18"/>
          <w:szCs w:val="18"/>
          <w:color w:val="auto"/>
        </w:rPr>
        <w:t>Contract liabilities as of April 30, 2022 and January 29, 2022, were $3.4 million and $3.9 million, respectively. The balance as of April 30, 2022 and January 29, 2022 consisted of unredeemed gift cards, unearned revenue related to the monthly bracelet and jewelry clubs of the Pura Vida segment, Pura Vida loyalty club points, Pura Vida customer deposits and payments collected before shipment, and an immaterial amount of unearned revenue for pre-payments of royalties in certain of the Company’s licensing arrangements. These contract liabilities are recognized within other accrued liabilities on the Company’s Condensed Consolidated Balance Sheets. Substantially all contract liabilities are recognized within one year. The Company did not have contract assets as of April 30, 2022 and January 29, 2022.</w:t>
      </w:r>
    </w:p>
    <w:p>
      <w:pPr>
        <w:spacing w:after="0" w:line="52"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April 30, 2022 and January 29, 2022, was $18.9 million and $18.1 million, respectively, which is recognized within accounts receivable, net, on the Company’s Condensed Consolidated Balance Sheets. The provision for doubtful accounts was $1.1 million and $1.2 million as of April 30, 2022 and January 29, 2022,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April 30, 2022.</w:t>
      </w:r>
    </w:p>
    <w:p>
      <w:pPr>
        <w:spacing w:after="0" w:line="185" w:lineRule="exact"/>
        <w:rPr>
          <w:sz w:val="20"/>
          <w:szCs w:val="20"/>
          <w:color w:val="auto"/>
        </w:rPr>
      </w:pPr>
    </w:p>
    <w:p>
      <w:pPr>
        <w:ind w:left="660" w:right="9560" w:hanging="652"/>
        <w:spacing w:after="0" w:line="383" w:lineRule="auto"/>
        <w:tabs>
          <w:tab w:leader="none" w:pos="66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i w:val="1"/>
          <w:iCs w:val="1"/>
          <w:color w:val="auto"/>
        </w:rPr>
        <w:t>Discount Rate</w:t>
      </w:r>
    </w:p>
    <w:p>
      <w:pPr>
        <w:spacing w:after="0" w:line="1" w:lineRule="exact"/>
        <w:rPr>
          <w:rFonts w:ascii="Times New Roman" w:cs="Times New Roman" w:eastAsia="Times New Roman" w:hAnsi="Times New Roman"/>
          <w:sz w:val="17"/>
          <w:szCs w:val="17"/>
          <w:b w:val="1"/>
          <w:bCs w:val="1"/>
          <w:color w:val="auto"/>
        </w:rPr>
      </w:pPr>
    </w:p>
    <w:p>
      <w:pPr>
        <w:ind w:left="660" w:right="4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weighted-average discount rate as of April 30, 2022, and May 1, 2021 was 4.9% and 4.8%, respectively. The discount rate is not readily determinable in the lease; therefore, the Company estimated the incremental borrowing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rate, at the commencement date of each lease, which is the rate of interest it would have to borrow on a collateralized basis over a similar term with similar payments.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Leases Not Yet Commenced</w:t>
      </w:r>
    </w:p>
    <w:p>
      <w:pPr>
        <w:spacing w:after="0" w:line="9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As of April 30, 2022, the Company had a total of five Vera Bradley and Pura Vida retail store leases which were executed, but it did not have control of the underlying assets; therefore, the lease liability and right-of-use asset are not recorded on the Condensed Consolidated Balance Sheet. These leases contain undiscounted lease payments, which will be included in the determination of the lease liability, totaling approximately $10.4 million and have terms of up to 10 years commencing in fiscal year 2023.</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108" w:lineRule="exact"/>
        <w:rPr>
          <w:sz w:val="20"/>
          <w:szCs w:val="20"/>
          <w:color w:val="auto"/>
        </w:rPr>
      </w:pPr>
    </w:p>
    <w:p>
      <w:pPr>
        <w:jc w:val="both"/>
        <w:ind w:left="660" w:right="10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weeks ended April 30, 2022 and May 1, 2021 (in thousands):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May 1, 2021</w:t>
            </w:r>
          </w:p>
        </w:tc>
      </w:tr>
      <w:tr>
        <w:trPr>
          <w:trHeight w:val="224"/>
        </w:trPr>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r>
      <w:tr>
        <w:trPr>
          <w:trHeight w:val="230"/>
        </w:trPr>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34"/>
        </w:trPr>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-633730</wp:posOffset>
            </wp:positionV>
            <wp:extent cx="625792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57925" cy="15430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-333375</wp:posOffset>
            </wp:positionV>
            <wp:extent cx="625792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5792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4440"/>
          </w:cols>
          <w:pgMar w:left="320" w:top="117" w:right="359" w:bottom="1440" w:gutter="0" w:footer="0" w:header="0"/>
          <w:type w:val="continuous"/>
        </w:sectPr>
      </w:pP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April 30, 2022 and May 1, 2021 was 5.5 years and 5.4 years, respectively.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4"/>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340" w:type="dxa"/>
            <w:vAlign w:val="bottom"/>
          </w:tcPr>
          <w:p>
            <w:pPr>
              <w:spacing w:after="0"/>
              <w:rPr>
                <w:sz w:val="16"/>
                <w:szCs w:val="16"/>
                <w:color w:val="auto"/>
              </w:rPr>
            </w:pPr>
          </w:p>
        </w:tc>
        <w:tc>
          <w:tcPr>
            <w:tcW w:w="15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May 1, 2021</w:t>
            </w:r>
          </w:p>
        </w:tc>
      </w:tr>
      <w:tr>
        <w:trPr>
          <w:trHeight w:val="229"/>
        </w:trPr>
        <w:tc>
          <w:tcPr>
            <w:tcW w:w="6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Cash paid for amounts included in the measurement of operating lease liabilities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w:t>
            </w:r>
          </w:p>
        </w:tc>
      </w:tr>
      <w:tr>
        <w:trPr>
          <w:trHeight w:val="184"/>
        </w:trPr>
        <w:tc>
          <w:tcPr>
            <w:tcW w:w="6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r>
    </w:tbl>
    <w:p>
      <w:pPr>
        <w:jc w:val="both"/>
        <w:ind w:left="680" w:right="920" w:hanging="6"/>
        <w:spacing w:after="0" w:line="229"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of lease liabilities were recorded within accounts payable on the Company's Consolidated Balance Sheets as of April 30, 2022. $2.5 million of lease liabilities were recorded within accounts payable on the Company's Consolidated Balance Sheets as of January 30, 2021, and were paid in the first quarter of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07" w:lineRule="exact"/>
        <w:rPr>
          <w:rFonts w:ascii="Times New Roman" w:cs="Times New Roman" w:eastAsia="Times New Roman" w:hAnsi="Times New Roman"/>
          <w:sz w:val="18"/>
          <w:szCs w:val="18"/>
          <w:b w:val="1"/>
          <w:bCs w:val="1"/>
          <w:color w:val="auto"/>
        </w:rPr>
      </w:pPr>
    </w:p>
    <w:p>
      <w:pPr>
        <w:ind w:left="660" w:right="1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22" w:lineRule="exact"/>
        <w:rPr>
          <w:rFonts w:ascii="Times New Roman" w:cs="Times New Roman" w:eastAsia="Times New Roman" w:hAnsi="Times New Roman"/>
          <w:sz w:val="18"/>
          <w:szCs w:val="18"/>
          <w:b w:val="1"/>
          <w:bCs w:val="1"/>
          <w:color w:val="auto"/>
        </w:rPr>
      </w:pPr>
    </w:p>
    <w:p>
      <w:pPr>
        <w:ind w:left="66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w:t>
      </w:r>
    </w:p>
    <w:p>
      <w:pPr>
        <w:spacing w:after="0" w:line="66" w:lineRule="exact"/>
        <w:rPr>
          <w:rFonts w:ascii="Times New Roman" w:cs="Times New Roman" w:eastAsia="Times New Roman" w:hAnsi="Times New Roman"/>
          <w:sz w:val="18"/>
          <w:szCs w:val="18"/>
          <w:b w:val="1"/>
          <w:bCs w:val="1"/>
          <w:color w:val="auto"/>
        </w:rPr>
      </w:pPr>
    </w:p>
    <w:p>
      <w:pPr>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this redemption feature, the Company recorded the noncontrolling interest as redeemable and classified it in temporary equity within its Condensed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or net income attributable to Vera Bradley, Inc. When calculating earnings per share attributable to Vera Bradley, Inc., the Company adjusts the net income attributable to Vera Bradley, Inc. for the measurement period adjustment to the extent the redemption value exceeds the fair value of the noncontrolling interest on a cumulative basis.</w:t>
      </w:r>
    </w:p>
    <w:p>
      <w:pPr>
        <w:spacing w:after="0" w:line="6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7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1"/>
        </w:trPr>
        <w:tc>
          <w:tcPr>
            <w:tcW w:w="7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20" w:type="dxa"/>
            <w:vAlign w:val="bottom"/>
          </w:tcPr>
          <w:p>
            <w:pPr>
              <w:spacing w:after="0"/>
              <w:rPr>
                <w:sz w:val="11"/>
                <w:szCs w:val="11"/>
                <w:color w:val="auto"/>
              </w:rPr>
            </w:pPr>
          </w:p>
        </w:tc>
        <w:tc>
          <w:tcPr>
            <w:tcW w:w="90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May 1,</w:t>
            </w:r>
          </w:p>
        </w:tc>
      </w:tr>
      <w:tr>
        <w:trPr>
          <w:trHeight w:val="195"/>
        </w:trPr>
        <w:tc>
          <w:tcPr>
            <w:tcW w:w="7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196"/>
        </w:trPr>
        <w:tc>
          <w:tcPr>
            <w:tcW w:w="77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loss attributable to Vera Bradley, Inc.</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(6,974)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(2,145)</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33,590</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loss per share available to Vera Bradley, Inc. common shareholders: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bl>
    <w:p>
      <w:pPr>
        <w:spacing w:after="0" w:line="171"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For the thirteen weeks ended April 30, 2022 and May 1, 2021,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7"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April 30, 2022 and January 29, 2022, approximated their fair values.</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April 30, 2022 and January 29, 2022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6"/>
                <w:szCs w:val="16"/>
                <w:color w:val="auto"/>
              </w:rPr>
            </w:pPr>
          </w:p>
        </w:tc>
        <w:tc>
          <w:tcPr>
            <w:tcW w:w="17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6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110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1220" w:type="dxa"/>
            <w:vAlign w:val="bottom"/>
            <w:tcBorders>
              <w:top w:val="single" w:sz="8" w:color="auto"/>
            </w:tcBorders>
            <w:gridSpan w:val="4"/>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88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1220" w:type="dxa"/>
            <w:vAlign w:val="bottom"/>
            <w:tcBorders>
              <w:top w:val="single" w:sz="8" w:color="auto"/>
            </w:tcBorders>
            <w:gridSpan w:val="4"/>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88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33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80" w:right="820" w:hanging="6"/>
        <w:spacing w:after="0" w:line="237" w:lineRule="auto"/>
        <w:tabs>
          <w:tab w:leader="none" w:pos="9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represent a money market fund that has a maturity of three months or less at the date of purchase. Due to the short maturity, the Company believes the carrying value approximates fair value.</w:t>
      </w:r>
    </w:p>
    <w:p>
      <w:pPr>
        <w:spacing w:after="0" w:line="172"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a lease right-of-use asset impairment charge of $0.6 million during the thirteen weeks ended April 30, 2022. There were no impairment charges for the thirteen weeks ended May 1, 2021.</w:t>
      </w:r>
    </w:p>
    <w:p>
      <w:pPr>
        <w:spacing w:after="0" w:line="55"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w:t>
      </w:r>
    </w:p>
    <w:p>
      <w:pPr>
        <w:spacing w:after="0" w:line="54"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7" w:lineRule="exact"/>
        <w:rPr>
          <w:rFonts w:ascii="Times New Roman" w:cs="Times New Roman" w:eastAsia="Times New Roman" w:hAnsi="Times New Roman"/>
          <w:sz w:val="18"/>
          <w:szCs w:val="18"/>
          <w:b w:val="1"/>
          <w:bCs w:val="1"/>
          <w:color w:val="auto"/>
        </w:rPr>
      </w:pPr>
    </w:p>
    <w:p>
      <w:pPr>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53" w:lineRule="exact"/>
        <w:rPr>
          <w:rFonts w:ascii="Times New Roman" w:cs="Times New Roman" w:eastAsia="Times New Roman" w:hAnsi="Times New Roman"/>
          <w:sz w:val="18"/>
          <w:szCs w:val="18"/>
          <w:b w:val="1"/>
          <w:bCs w:val="1"/>
          <w:color w:val="auto"/>
        </w:rPr>
      </w:pPr>
    </w:p>
    <w:p>
      <w:pPr>
        <w:ind w:left="6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67" w:lineRule="exact"/>
        <w:rPr>
          <w:rFonts w:ascii="Times New Roman" w:cs="Times New Roman" w:eastAsia="Times New Roman" w:hAnsi="Times New Roman"/>
          <w:sz w:val="18"/>
          <w:szCs w:val="18"/>
          <w:b w:val="1"/>
          <w:bCs w:val="1"/>
          <w:color w:val="auto"/>
        </w:rPr>
      </w:pPr>
    </w:p>
    <w:p>
      <w:pPr>
        <w:ind w:left="6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48"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8" w:lineRule="exact"/>
        <w:rPr>
          <w:rFonts w:ascii="Times New Roman" w:cs="Times New Roman" w:eastAsia="Times New Roman" w:hAnsi="Times New Roman"/>
          <w:sz w:val="18"/>
          <w:szCs w:val="18"/>
          <w:b w:val="1"/>
          <w:bCs w:val="1"/>
          <w:color w:val="auto"/>
        </w:rPr>
      </w:pPr>
    </w:p>
    <w:p>
      <w:pPr>
        <w:ind w:left="660" w:right="10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1" w:lineRule="exact"/>
        <w:rPr>
          <w:rFonts w:ascii="Times New Roman" w:cs="Times New Roman" w:eastAsia="Times New Roman" w:hAnsi="Times New Roman"/>
          <w:sz w:val="18"/>
          <w:szCs w:val="18"/>
          <w:b w:val="1"/>
          <w:bCs w:val="1"/>
          <w:color w:val="auto"/>
        </w:rPr>
      </w:pPr>
    </w:p>
    <w:p>
      <w:pPr>
        <w:ind w:left="660" w:right="4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90"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As of April 30, 2022 and January 29, 2022, the Company had no borrowings outstanding and availability of $75.0 million under the Credit Agreement.</w:t>
      </w:r>
    </w:p>
    <w:p>
      <w:pPr>
        <w:spacing w:after="0" w:line="18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80"/>
        <w:spacing w:after="0" w:line="250" w:lineRule="auto"/>
        <w:rPr>
          <w:sz w:val="20"/>
          <w:szCs w:val="20"/>
          <w:color w:val="auto"/>
        </w:rPr>
      </w:pPr>
      <w:r>
        <w:rPr>
          <w:rFonts w:ascii="Times New Roman" w:cs="Times New Roman" w:eastAsia="Times New Roman" w:hAnsi="Times New Roman"/>
          <w:sz w:val="18"/>
          <w:szCs w:val="18"/>
          <w:color w:val="auto"/>
        </w:rPr>
        <w:t>The effective tax rate for the thirteen weeks ended April 30, 2022, was 18.9%, compared to 25.9% for the thirteen weeks ended May 1, 2021. The year-over-year effective tax rate decrease was primarily due to the relative impact of permanent and discrete items in the current-year period compared to the prior-year period, primarily as a result of stock-based compensation.</w:t>
      </w:r>
    </w:p>
    <w:p>
      <w:pPr>
        <w:spacing w:after="0" w:line="294"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0" w:lineRule="exact"/>
        <w:rPr>
          <w:rFonts w:ascii="Times New Roman" w:cs="Times New Roman" w:eastAsia="Times New Roman" w:hAnsi="Times New Roman"/>
          <w:sz w:val="18"/>
          <w:szCs w:val="18"/>
          <w:b w:val="1"/>
          <w:bCs w:val="1"/>
          <w:color w:val="auto"/>
        </w:rPr>
      </w:pPr>
    </w:p>
    <w:p>
      <w:pPr>
        <w:jc w:val="both"/>
        <w:ind w:left="660"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3,000,000 shares of common stock for issuance or transfer under the 2020 Equity and Incentive Plan, which allows for grants of restricted stock units, as well as other equity awards. The Company maintains the 2010 Equity and Incentive Plan for awards granted prior to the effectiveness of the 2020 Equity and Incentive Plan.</w:t>
      </w:r>
    </w:p>
    <w:p>
      <w:pPr>
        <w:spacing w:after="0" w:line="20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267" w:lineRule="exact"/>
        <w:rPr>
          <w:rFonts w:ascii="Times New Roman" w:cs="Times New Roman" w:eastAsia="Times New Roman" w:hAnsi="Times New Roman"/>
          <w:sz w:val="18"/>
          <w:szCs w:val="18"/>
          <w:b w:val="1"/>
          <w:bCs w:val="1"/>
          <w:color w:val="auto"/>
        </w:rPr>
      </w:pPr>
    </w:p>
    <w:p>
      <w:pPr>
        <w:ind w:left="660" w:right="1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the thirteen weeks ended April 30, 2022, the Company granted 841,369 time-based and performance-based restricted stock units with an aggregate fair value of $6.3 million to certain employees and non-employee directors under the 2020 Equity and Incentive Plan compared to 640,007 time-based and performance-based restricted stock units with an aggregate fair value of $6.6 million in the same period of the prior year.</w:t>
      </w:r>
    </w:p>
    <w:p>
      <w:pPr>
        <w:spacing w:after="0" w:line="103"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5"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a summary of restricted stock unit activity for the thirteen weeks ended April 30, 2022 (units in thousands):</w:t>
      </w:r>
    </w:p>
    <w:p>
      <w:pPr>
        <w:spacing w:after="0" w:line="2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2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2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29,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April 30,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160"/>
        <w:spacing w:after="0" w:line="312" w:lineRule="auto"/>
        <w:rPr>
          <w:sz w:val="20"/>
          <w:szCs w:val="20"/>
          <w:color w:val="auto"/>
        </w:rPr>
      </w:pPr>
      <w:r>
        <w:rPr>
          <w:rFonts w:ascii="Times New Roman" w:cs="Times New Roman" w:eastAsia="Times New Roman" w:hAnsi="Times New Roman"/>
          <w:sz w:val="17"/>
          <w:szCs w:val="17"/>
          <w:color w:val="auto"/>
        </w:rPr>
        <w:t>As of April 30, 2022, there was $7.9 million of total unrecognized compensation cost, net of estimated forfeitures, related to nonvested restricted stock units. That cost is expected to be recognized over a weighted-average period of 1.9 years, subject to meeting performance conditions.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4"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65" w:lineRule="exact"/>
        <w:rPr>
          <w:rFonts w:ascii="Times New Roman" w:cs="Times New Roman" w:eastAsia="Times New Roman" w:hAnsi="Times New Roman"/>
          <w:sz w:val="18"/>
          <w:szCs w:val="18"/>
          <w:b w:val="1"/>
          <w:bCs w:val="1"/>
          <w:color w:val="auto"/>
        </w:rPr>
      </w:pPr>
    </w:p>
    <w:p>
      <w:pPr>
        <w:ind w:left="66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has filed a motion for summary judgement asking the Court to dismiss all claims with prejudice and grant judgement on its counterclaim. The motion is fully briefed and the Company is awaiting a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19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07"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 to $50.0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spacing w:after="0" w:line="48" w:lineRule="exact"/>
        <w:rPr>
          <w:rFonts w:ascii="Times New Roman" w:cs="Times New Roman" w:eastAsia="Times New Roman" w:hAnsi="Times New Roman"/>
          <w:sz w:val="18"/>
          <w:szCs w:val="18"/>
          <w:b w:val="1"/>
          <w:bCs w:val="1"/>
          <w:color w:val="auto"/>
        </w:rPr>
      </w:pPr>
    </w:p>
    <w:p>
      <w:pPr>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1,423,096 shares at an average price of $7.35 per share, excluding commissions, for an aggregate amount of</w:t>
      </w:r>
    </w:p>
    <w:p>
      <w:pPr>
        <w:spacing w:after="0" w:line="27" w:lineRule="exact"/>
        <w:rPr>
          <w:rFonts w:ascii="Times New Roman" w:cs="Times New Roman" w:eastAsia="Times New Roman" w:hAnsi="Times New Roman"/>
          <w:sz w:val="18"/>
          <w:szCs w:val="18"/>
          <w:b w:val="1"/>
          <w:bCs w:val="1"/>
          <w:color w:val="auto"/>
        </w:rPr>
      </w:pPr>
    </w:p>
    <w:p>
      <w:pPr>
        <w:ind w:left="660" w:right="4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$10.5 million during the thirteen weeks ended April 30, 2022 under the 2021 Share Repurchase Program. There was $35.3 million remaining available to repurchase shares of the Company's common stock under the 2021 Share Repurchase Program as of April 30, 2022.</w:t>
      </w:r>
    </w:p>
    <w:p>
      <w:pPr>
        <w:spacing w:after="0" w:line="59" w:lineRule="exact"/>
        <w:rPr>
          <w:rFonts w:ascii="Times New Roman" w:cs="Times New Roman" w:eastAsia="Times New Roman" w:hAnsi="Times New Roman"/>
          <w:sz w:val="18"/>
          <w:szCs w:val="18"/>
          <w:b w:val="1"/>
          <w:bCs w:val="1"/>
          <w:color w:val="auto"/>
        </w:rPr>
      </w:pPr>
    </w:p>
    <w:p>
      <w:pPr>
        <w:ind w:left="660" w:right="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April 30, 2022, the Company held as treasury shares 10,681,837 shares of its common stock at an average price of $11.73 per share, excluding commissions, for an aggregate carrying amount of $125.3 million. The Company’s treasury shares may be issued under the 2010 Equity and Incentive Plan (with respect to outstanding awards under that plan), under the 2020 Equity and Incentive Plan, or for other corporate purposes.</w:t>
      </w:r>
    </w:p>
    <w:p>
      <w:pPr>
        <w:spacing w:after="0" w:line="26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Cloud Computing Arrangements</w:t>
      </w:r>
    </w:p>
    <w:p>
      <w:pPr>
        <w:spacing w:after="0" w:line="107" w:lineRule="exact"/>
        <w:rPr>
          <w:rFonts w:ascii="Times New Roman" w:cs="Times New Roman" w:eastAsia="Times New Roman" w:hAnsi="Times New Roman"/>
          <w:sz w:val="18"/>
          <w:szCs w:val="18"/>
          <w:b w:val="1"/>
          <w:bCs w:val="1"/>
          <w:color w:val="auto"/>
        </w:rPr>
      </w:pPr>
    </w:p>
    <w:p>
      <w:pPr>
        <w:ind w:left="6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$7.5 million and $8.0 million as of April 30, 2022 and January 29, 2022, respectively. Of this total, $3.0 million and $2.8 million was recorded within prepaid expenses and other current assets and $4.5 million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and $5.2 million was recorded within other assets on the Company's Condensed Consolidated Balance Sheets as of April 30, 2022 and January 29, 2022, respectively. The CCA implementation costs are recorded within operating activities in the Company's Condensed Consolidated Statements of Cash Flows.</w:t>
      </w:r>
    </w:p>
    <w:p>
      <w:pPr>
        <w:spacing w:after="0" w:line="19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94"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Redeemable noncontrolling interest represents the remaining twenty-five percent (25%) interest in Pura Vida not acquired by the Company. Refer to Notes 1 and 4 herein for additional information.</w:t>
      </w:r>
    </w:p>
    <w:p>
      <w:pPr>
        <w:spacing w:after="0" w:line="4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redeemable noncontrolling interest for the thirteen weeks ended April 30, 2022, were as follows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30,974</w:t>
            </w: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30, 2022</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31,092</w:t>
            </w:r>
          </w:p>
        </w:tc>
      </w:tr>
      <w:tr>
        <w:trPr>
          <w:trHeight w:val="21"/>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redeemable noncontrolling interest for the thirteen weeks ended May 1, 2021, were as follows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30, 2021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29,809</w:t>
            </w: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May 1, 2021</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30,307</w:t>
            </w:r>
          </w:p>
        </w:tc>
      </w:tr>
      <w:tr>
        <w:trPr>
          <w:trHeight w:val="20"/>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107" w:lineRule="exact"/>
        <w:rPr>
          <w:rFonts w:ascii="Times New Roman" w:cs="Times New Roman" w:eastAsia="Times New Roman" w:hAnsi="Times New Roman"/>
          <w:sz w:val="18"/>
          <w:szCs w:val="18"/>
          <w:b w:val="1"/>
          <w:bCs w:val="1"/>
          <w:color w:val="auto"/>
        </w:rPr>
      </w:pPr>
    </w:p>
    <w:p>
      <w:pPr>
        <w:ind w:left="660" w:right="48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detail the carrying value of the Company's intangible assets other than goodwill related to the acquisition of a majority interest in Pura Vida.</w:t>
      </w: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220" w:type="dxa"/>
            <w:vAlign w:val="bottom"/>
          </w:tcPr>
          <w:p>
            <w:pPr>
              <w:spacing w:after="0"/>
              <w:rPr>
                <w:sz w:val="11"/>
                <w:szCs w:val="11"/>
                <w:color w:val="auto"/>
              </w:rPr>
            </w:pPr>
          </w:p>
        </w:tc>
        <w:tc>
          <w:tcPr>
            <w:tcW w:w="14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is recorded within the Pura Vida segment.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is recorded within selling, general, and administrative expenses in the Company's Condensed Consolidated Statement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Operations. The future amortization expense for intangible assets is as follows (in thousands):</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7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 (remaining nine months)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The total amount of the goodwill as of April 30, 2022 and January 29, 2022, of $44.3 million was recorded within the Pura Vida segment upon acquisition. Goodwill is deductible for tax purposes, limited to the Company's 75% majority ownership interest. There were no changes to goodwill for the thirteen weeks ended April 30, 2022 and May 1, 2021.</w:t>
      </w:r>
    </w:p>
    <w:p>
      <w:pPr>
        <w:spacing w:after="0" w:line="135"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Company performs its annual impairment test over goodwill and the Pura Vida brand during the second quarter of each fiscal year. There was no impairment charge recorded during the second quarter of fiscal 2022. As of April 30, 2022, the Company determined that the fair values of the Pura Vida reporting unit and the Pura Vida brand exceeded their carrying values by a nominal amount and concluded that no impairment existed for the goodwill or brand assets. This assessment considered the impact of recent lower sales volumes, particularly in the Pura Vida e-commerce channel, that have been realized in the first quarter of fiscal 2023, as well as changes to other assumptions from the Company’s fiscal 2022 analysis. While we consider our assumptions to be reasonable, they are complex and highly subjective.</w:t>
      </w:r>
    </w:p>
    <w:p>
      <w:pPr>
        <w:spacing w:after="0" w:line="160"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Adverse changes in key assumptions, even by a nominal amount, in future periods may result in a decline in the fair value estimates of goodwill, Pura Vida brand, and definite-lived intangible assets below their carrying value resulting in impairment charges, which could be material. The Company’s key assumptions may be impacted by macroeconomic conditions, including inflationary pressures and the continued disruptions caused by the COVID-19 pandemic, including but not limited to the duration and magnitude of the pandemic, as well as a sustained decline in stock price and potential changes in business strategy, which may also impact the triggering event assessment in future periods. A triggering event is an event or circumstance that indicates the fair value of an entity (or reporting unit) may be below its carrying amount. The adverse changes in key assumptions for goodwill may include, but are not limited to: a decline in the revenue growth rate; a decline in operating profit; or an increase in the discount rate. The adverse changes in key assumptions for the Pura Vida brand may include, but are not limited to: a decline in the revenue growth rate; a decline in the long-term growth rate; a decline in the royalty rate; or an increase in the discount rate. Refer to Note 5 herein for additional information regarding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07"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operating segments, which are also its reportable segments: Vera Bradley Direct (“VB Direct”), Vera Bradley Indirect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44"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Direct segment includes Vera Bradley full-line and factory outlet stores; the Vera Bradley websites, verabradley.com and verabradley.ca; the Vera Bradley online outlet site; and typically the Vera Bradley annual outlet sale. Revenues generated from this segment are driven through the sale of Vera Bradley-branded products from Vera Bradley to end consumers.</w:t>
      </w:r>
    </w:p>
    <w:p>
      <w:pPr>
        <w:spacing w:after="0" w:line="54" w:lineRule="exact"/>
        <w:rPr>
          <w:rFonts w:ascii="Times New Roman" w:cs="Times New Roman" w:eastAsia="Times New Roman" w:hAnsi="Times New Roman"/>
          <w:sz w:val="18"/>
          <w:szCs w:val="18"/>
          <w:b w:val="1"/>
          <w:bCs w:val="1"/>
          <w:color w:val="auto"/>
        </w:rPr>
      </w:pPr>
    </w:p>
    <w:p>
      <w:pPr>
        <w:ind w:left="660" w:right="2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1,800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58" w:lineRule="exact"/>
        <w:rPr>
          <w:rFonts w:ascii="Times New Roman" w:cs="Times New Roman" w:eastAsia="Times New Roman" w:hAnsi="Times New Roman"/>
          <w:sz w:val="18"/>
          <w:szCs w:val="18"/>
          <w:b w:val="1"/>
          <w:bCs w:val="1"/>
          <w:color w:val="auto"/>
        </w:rPr>
      </w:pPr>
    </w:p>
    <w:p>
      <w:pPr>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the Pura Vida retail store, and through the distribution of Pura Vida-branded products to wholesale retailers, substantially all of which are located in the United States.</w:t>
      </w:r>
    </w:p>
    <w:p>
      <w:pPr>
        <w:spacing w:after="0" w:line="40" w:lineRule="exact"/>
        <w:rPr>
          <w:rFonts w:ascii="Times New Roman" w:cs="Times New Roman" w:eastAsia="Times New Roman" w:hAnsi="Times New Roman"/>
          <w:sz w:val="18"/>
          <w:szCs w:val="18"/>
          <w:b w:val="1"/>
          <w:bCs w:val="1"/>
          <w:color w:val="auto"/>
        </w:rPr>
      </w:pPr>
    </w:p>
    <w:p>
      <w:pPr>
        <w:ind w:left="6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58" w:lineRule="exact"/>
        <w:rPr>
          <w:rFonts w:ascii="Times New Roman" w:cs="Times New Roman" w:eastAsia="Times New Roman" w:hAnsi="Times New Roman"/>
          <w:sz w:val="18"/>
          <w:szCs w:val="18"/>
          <w:b w:val="1"/>
          <w:bCs w:val="1"/>
          <w:color w:val="auto"/>
        </w:rPr>
      </w:pPr>
    </w:p>
    <w:p>
      <w:pPr>
        <w:ind w:left="660" w:right="22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weeks ended April 30, 2022 and May 1, 2021, respectively, consisted of the following (in thousands):</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40" w:type="dxa"/>
            <w:vAlign w:val="bottom"/>
          </w:tcPr>
          <w:p>
            <w:pPr>
              <w:spacing w:after="0"/>
              <w:rPr>
                <w:sz w:val="11"/>
                <w:szCs w:val="11"/>
                <w:color w:val="auto"/>
              </w:rPr>
            </w:pPr>
          </w:p>
        </w:tc>
        <w:tc>
          <w:tcPr>
            <w:tcW w:w="1240" w:type="dxa"/>
            <w:vAlign w:val="bottom"/>
          </w:tcPr>
          <w:p>
            <w:pPr>
              <w:jc w:val="right"/>
              <w:ind w:right="493"/>
              <w:spacing w:after="0" w:line="131" w:lineRule="exact"/>
              <w:rPr>
                <w:sz w:val="20"/>
                <w:szCs w:val="20"/>
                <w:color w:val="auto"/>
              </w:rPr>
            </w:pPr>
            <w:r>
              <w:rPr>
                <w:rFonts w:ascii="Times New Roman" w:cs="Times New Roman" w:eastAsia="Times New Roman" w:hAnsi="Times New Roman"/>
                <w:sz w:val="14"/>
                <w:szCs w:val="14"/>
                <w:b w:val="1"/>
                <w:bCs w:val="1"/>
                <w:color w:val="auto"/>
              </w:rPr>
              <w:t>May 1,</w:t>
            </w:r>
          </w:p>
        </w:tc>
        <w:tc>
          <w:tcPr>
            <w:tcW w:w="0" w:type="dxa"/>
            <w:vAlign w:val="bottom"/>
          </w:tcPr>
          <w:p>
            <w:pPr>
              <w:spacing w:after="0"/>
              <w:rPr>
                <w:sz w:val="1"/>
                <w:szCs w:val="1"/>
                <w:color w:val="auto"/>
              </w:rPr>
            </w:pPr>
          </w:p>
        </w:tc>
      </w:tr>
      <w:tr>
        <w:trPr>
          <w:trHeight w:val="195"/>
        </w:trPr>
        <w:tc>
          <w:tcPr>
            <w:tcW w:w="6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23"/>
        </w:trPr>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weeks ended April 30, 2022 and May 1, 2021. The following discussion should be read in conjunction with our Annual Report on Form 10-K for the fiscal year ended January 29, 2022, and our unaudited condensed consolidated financial statements and the related notes included in Item 1 of this Quarterly Report. The results of operations for the thirteen weeks ended April 30, 2022, are not necessarily indicative of the results to be expected for the full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Environment</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continue to experience challenges associated with the uncertain macroeconomic environment in which we operate our businesses. The COVID-19 pandemic caused supply chain disruptions that has resulted in continuing delivery delays and increased inbound and outbound shipping costs. We cannot predict the future impacts of the COVID-19 pandemic if cases continue to rise or new variants of the virus, or other factors, necessitate temporary closures to some, or all, of our retail stores due to guidance and mandates from governments and public health officials.</w:t>
      </w:r>
    </w:p>
    <w:p>
      <w:pPr>
        <w:spacing w:after="0" w:line="5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have also been impacted by higher tariffs from previously duty-free countries, where we source products, as a result of the Generalized System of Preferences (“GSP”) duty-free status that expired at the end of calendar year 2020. We cannot guarantee if or when the GSP duty-free status will be reinstated and retro-actively applied by Congress.</w:t>
      </w:r>
    </w:p>
    <w:p>
      <w:pPr>
        <w:spacing w:after="0" w:line="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the macroeconomic environment has been further challenged by rising inflation, including higher gas prices, and other related factors that has impacted consumer discretionary spending.</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began initiating strategic price increases across both of our brands to mitigate some of these inflationary and supply chain pressures in late fiscal 2022, and we will continue to implement price increases throughout fiscal 2023. We are also in the midst of a comprehensive cost-reduction and efficiency process. We expect we will complete the identification of cost reductions and begin implementation in the second quarter.</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While we continue to actively monitor this rapidly evolving macroeconomic environment and are working to mitigate the situation, we cannot predict the full impact these matters could have on our liquidity, operating results, and financial condition, but they could have a material adverse effect on these metrics.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strategic progress and financial results for the first quarter of fiscal 2023:</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Strategic Progress</w:t>
      </w:r>
    </w:p>
    <w:p>
      <w:pPr>
        <w:spacing w:after="0" w:line="94"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At Vera Bradley, we continued to innovate and build on our lifestyle merchandising strategy amplified by targeted marketing; focused on strategic product assortment enhancements in our back-to-campus assortment; maximized our travel category; and continued with product collaborations such as Disney. We also opened two new factory outlet locations and closed three full-line locations.</w:t>
      </w:r>
    </w:p>
    <w:p>
      <w:pPr>
        <w:spacing w:after="0" w:line="54"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At Pura Vida, we increased our focus on innovation with the launch of our expanded backpack and apparel collections during the quarter; continued to build customer excitement and engagement through collaborations such as Disney and partnering with influencers; and continued to see success in our San Diego store performance, driving our brick-and-mortar expansion plans for Pura Vida. We also focused on cost-effective marketing campaigns in reaction to the calendar year 2021 Apple IDFA update and rising digital media costs.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(all comparisons are to the first quarter of fiscal 2022)</w:t>
      </w:r>
    </w:p>
    <w:p>
      <w:pPr>
        <w:spacing w:after="0" w:line="94"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9.7% to $98.5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Direct (“VB Direct”) segment sales decreased 7.6% to $61.6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Indirect segment (“VB Indirect”) sales increased 11.2% to $17.0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segment sales decreased 26.8% to $19.8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$52.5 million, or 53.3% of net revenue.</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$(8.2) million and net loss attributable to Vera Bradley, Inc. was $(7.0)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thirteen weeks totaled $1.7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$64.0 million at April 30, 2022.</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factory outlet stores; the Vera Bradley websites verabradley.com and verabradley.ca; and our Vera Bradley online outlet site. There were no sales from our Vera Bradley annual outlet sale in Fort Wayne, Indiana for the past two years as it was cancelled due to the COVID-19 pandemic.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through the distribution of Pura Vida-branded products to wholesale retailers, and through Pura Vida's first retail store opened in August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10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Typically, comparable sales are calculated based upon our stores that have been open for at least 12 full fiscal months and net revenues from our Vera Bradley e-commerce operations. Pura Vida e-commerce operations are included within the Company's consolidated comparable sales beginning with the fiscal 2021 third quarter. Pura Vida e-commerce operations include sales from the subscription clubs.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a result of the temporary closure of all Vera Bradley stores due to COVID-19 during a portion of the fiscal 2021 first quarter, the Company's comparable store sales and comparable sales calculations for the prior-year are not meaningful and therefore are not provided.</w:t>
      </w:r>
    </w:p>
    <w:p>
      <w:pPr>
        <w:spacing w:after="0" w:line="5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Typically, measuring the change in year-over-year comparable sales allows us and our investors to evaluate how our store base and e-commerce operations are performing. Various factors affect our comparable sales, including:</w:t>
      </w:r>
    </w:p>
    <w:p>
      <w:pPr>
        <w:spacing w:after="0" w:line="4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business expenses primarily related to employee compensation.</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(loss), net primarily includes certain legal settlements and sales tax credits received for timely filings.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w:t>
      </w:r>
    </w:p>
    <w:p>
      <w:pPr>
        <w:spacing w:after="0" w:line="1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Operating loss is equal to gross profit less SG&amp;A expenses plus other income, net. Operating loss excludes interest income, interest expense,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is equal to operating loss plus interest income less interest expense and income taxes.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Redeemable Noncontrolling Interest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 represents the operating results of Pura Vida that are not attributable to Vera Bradley, Inc.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Vera Bradley,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Vera Bradley, Inc. is equal to net loss less net income attributable to redeemable noncontrolling interest.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An impairment charge of $0.6 million was recognized during the thirteen weeks ended April 30, 2022, for a lease right-of-use asset and is included in SG&amp;A expenses in the Condensed Consolidated Statements of Operations and in impairment charges in the Condensed Consolidated Statements of Cash Flows. The impairment charge is included within corporate unallocated expenses. There were no impairment charges recorded during the thirteen weeks ended May 1, 2021. We are unable to predict the extent of the impact that the inflationary environment and disruptions caused by the COVID-19 pandemic will have on our operations, the economy, or other factors; therefore, it is possible additional impairments could be identified in future periods, and such amounts could be material.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perform our annual impairment test over goodwill and the Pura Vida brand during the second quarter of each fiscal year. There was no impairment charge recorded during the second quarter of fiscal 2022. As of April 30, 2022, we determined that the fair values of the Pura Vida reporting unit and the Pura Vida brand exceeded their carrying values by a nominal amount and concluded that no impairment existed for the goodwill or brand assets. This assessment considered the impact of recent lower sales volumes, particularly in the Pura Vida e-commerce channel, that have been realized in the first quarter of fiscal 2023, as well as changes to other assumptions from the Company’s fiscal 2022 analysis. While we consider our assumptions to be reasonable, they are complex and highly subjective.</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Adverse changes in key assumptions, even by a nominal amount, in future periods may result in a decline in the fair value estimates of goodwill, Pura Vida brand, and definite-lived intangible assets below their carrying value resulting in impairment charges, which could be material. Our key assumptions may be impacted by macroeconomic conditions, including inflationary pressures and the continued disruptions caused by the COVID-19 pandemic, including but not limited to the duration and magnitude of the pandemic, as well as a sustained decline in stock price and potential changes in business strategy, which may also impact the triggering event assessment in future periods. A triggering event is an event or circumstance that indicates the fair value of an entity (or reporting unit) may be below its carrying amount. The adverse changes in key assumptions for goodwill may include, but are not limited to: a decline in the revenue growth rate; a decline in operating profit; or an increase in the discount rate. The adverse changes in key assumptions for the Pura Vida brand may include, but are not limited to: a decline in the revenue growth rate; a decline in the long-term growth rate; a decline in the royalty rate; or an increase in the discount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8"/>
        </w:trPr>
        <w:tc>
          <w:tcPr>
            <w:tcW w:w="7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20" w:type="dxa"/>
            <w:vAlign w:val="bottom"/>
          </w:tcPr>
          <w:p>
            <w:pPr>
              <w:spacing w:after="0"/>
              <w:rPr>
                <w:sz w:val="11"/>
                <w:szCs w:val="11"/>
                <w:color w:val="auto"/>
              </w:rPr>
            </w:pPr>
          </w:p>
        </w:tc>
        <w:tc>
          <w:tcPr>
            <w:tcW w:w="1220" w:type="dxa"/>
            <w:vAlign w:val="bottom"/>
          </w:tcPr>
          <w:p>
            <w:pPr>
              <w:jc w:val="right"/>
              <w:ind w:right="471"/>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r>
      <w:tr>
        <w:trPr>
          <w:trHeight w:val="196"/>
        </w:trPr>
        <w:tc>
          <w:tcPr>
            <w:tcW w:w="7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98,459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109,094</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45,945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49,930</w:t>
            </w:r>
          </w:p>
        </w:tc>
      </w:tr>
      <w:tr>
        <w:trPr>
          <w:trHeight w:val="223"/>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52,514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59,164</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60,914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60,896</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(1,959)</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(2,049)</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(531)</w:t>
            </w:r>
          </w:p>
        </w:tc>
      </w:tr>
      <w:tr>
        <w:trPr>
          <w:trHeight w:val="22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(6,710)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(1,518)</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627</w:t>
            </w:r>
          </w:p>
        </w:tc>
      </w:tr>
      <w:tr>
        <w:trPr>
          <w:trHeight w:val="22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(6,974)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(2,145)</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7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45.8 %</w:t>
            </w:r>
          </w:p>
        </w:tc>
      </w:tr>
      <w:tr>
        <w:trPr>
          <w:trHeight w:val="22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3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3"/>
        </w:trPr>
        <w:tc>
          <w:tcPr>
            <w:tcW w:w="7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8"/>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40" w:type="dxa"/>
            <w:vAlign w:val="bottom"/>
          </w:tcPr>
          <w:p>
            <w:pPr>
              <w:spacing w:after="0"/>
              <w:rPr>
                <w:sz w:val="11"/>
                <w:szCs w:val="11"/>
                <w:color w:val="auto"/>
              </w:rPr>
            </w:pPr>
          </w:p>
        </w:tc>
        <w:tc>
          <w:tcPr>
            <w:tcW w:w="1220" w:type="dxa"/>
            <w:vAlign w:val="bottom"/>
          </w:tcPr>
          <w:p>
            <w:pPr>
              <w:jc w:val="right"/>
              <w:ind w:right="496"/>
              <w:spacing w:after="0" w:line="131" w:lineRule="exact"/>
              <w:rPr>
                <w:sz w:val="20"/>
                <w:szCs w:val="20"/>
                <w:color w:val="auto"/>
              </w:rPr>
            </w:pPr>
            <w:r>
              <w:rPr>
                <w:rFonts w:ascii="Times New Roman" w:cs="Times New Roman" w:eastAsia="Times New Roman" w:hAnsi="Times New Roman"/>
                <w:sz w:val="14"/>
                <w:szCs w:val="14"/>
                <w:b w:val="1"/>
                <w:bCs w:val="1"/>
                <w:color w:val="auto"/>
              </w:rPr>
              <w:t>May 1,</w:t>
            </w:r>
          </w:p>
        </w:tc>
      </w:tr>
      <w:tr>
        <w:trPr>
          <w:trHeight w:val="194"/>
        </w:trPr>
        <w:tc>
          <w:tcPr>
            <w:tcW w:w="8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61,636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66,732</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00" w:type="dxa"/>
            <w:vAlign w:val="bottom"/>
          </w:tcPr>
          <w:p>
            <w:pPr>
              <w:spacing w:after="0"/>
              <w:rPr>
                <w:sz w:val="19"/>
                <w:szCs w:val="19"/>
                <w:color w:val="auto"/>
              </w:rPr>
            </w:pPr>
          </w:p>
        </w:tc>
        <w:tc>
          <w:tcPr>
            <w:tcW w:w="12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16,977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15,264</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19,846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27,098</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98,459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109,094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366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6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26</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3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40" w:type="dxa"/>
            <w:vAlign w:val="bottom"/>
          </w:tcPr>
          <w:p>
            <w:pPr>
              <w:spacing w:after="0"/>
              <w:rPr>
                <w:sz w:val="11"/>
                <w:szCs w:val="11"/>
                <w:color w:val="auto"/>
              </w:rPr>
            </w:pPr>
          </w:p>
        </w:tc>
        <w:tc>
          <w:tcPr>
            <w:tcW w:w="1220" w:type="dxa"/>
            <w:vAlign w:val="bottom"/>
          </w:tcPr>
          <w:p>
            <w:pPr>
              <w:jc w:val="right"/>
              <w:ind w:right="492"/>
              <w:spacing w:after="0" w:line="131" w:lineRule="exact"/>
              <w:rPr>
                <w:sz w:val="20"/>
                <w:szCs w:val="20"/>
                <w:color w:val="auto"/>
              </w:rPr>
            </w:pPr>
            <w:r>
              <w:rPr>
                <w:rFonts w:ascii="Times New Roman" w:cs="Times New Roman" w:eastAsia="Times New Roman" w:hAnsi="Times New Roman"/>
                <w:sz w:val="14"/>
                <w:szCs w:val="14"/>
                <w:b w:val="1"/>
                <w:bCs w:val="1"/>
                <w:color w:val="auto"/>
              </w:rPr>
              <w:t>May 1,</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10,860</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(20,271)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(19,788)</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as a Percentage of Net Revenues by Segment: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30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 (all stores)</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401,132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379,712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Comparable sales (including e-commerce) decrease</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Data:</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sales (including e-commerce) decrease</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hanging="552"/>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factory outlet stores.</w:t>
      </w:r>
    </w:p>
    <w:p>
      <w:pPr>
        <w:spacing w:after="0" w:line="27"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These figures do not include the Pura Vida retail store opened in August 2021.</w:t>
      </w:r>
    </w:p>
    <w:p>
      <w:pPr>
        <w:spacing w:after="0" w:line="1" w:lineRule="exact"/>
        <w:rPr>
          <w:rFonts w:ascii="Times New Roman" w:cs="Times New Roman" w:eastAsia="Times New Roman" w:hAnsi="Times New Roman"/>
          <w:sz w:val="18"/>
          <w:szCs w:val="18"/>
          <w:color w:val="auto"/>
        </w:rPr>
      </w:pPr>
    </w:p>
    <w:p>
      <w:pPr>
        <w:ind w:left="580" w:right="420" w:hanging="572"/>
        <w:spacing w:after="0" w:line="290" w:lineRule="auto"/>
        <w:tabs>
          <w:tab w:leader="none" w:pos="5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temporary closure of Vera Bradley stores due to COVID-19 during portions of the first quarter of fiscal 2021, the Company's prior-year first quarter comparable store sales and comparable sales calculations were not meaningful and therefore were not provided.</w:t>
      </w:r>
    </w:p>
    <w:p>
      <w:pPr>
        <w:spacing w:after="0" w:line="180" w:lineRule="exact"/>
        <w:rPr>
          <w:sz w:val="20"/>
          <w:szCs w:val="20"/>
          <w:color w:val="auto"/>
        </w:rPr>
      </w:pPr>
    </w:p>
    <w:p>
      <w:pPr>
        <w:ind w:right="4460"/>
        <w:spacing w:after="0" w:line="362" w:lineRule="auto"/>
        <w:rPr>
          <w:sz w:val="20"/>
          <w:szCs w:val="20"/>
          <w:color w:val="auto"/>
        </w:rPr>
      </w:pPr>
      <w:r>
        <w:rPr>
          <w:rFonts w:ascii="Times New Roman" w:cs="Times New Roman" w:eastAsia="Times New Roman" w:hAnsi="Times New Roman"/>
          <w:sz w:val="18"/>
          <w:szCs w:val="18"/>
          <w:b w:val="1"/>
          <w:bCs w:val="1"/>
          <w:color w:val="auto"/>
        </w:rPr>
        <w:t xml:space="preserve">Thirteen Weeks Ended April 30, 2022, Compared to Thirteen Weeks Ended May 1, 2021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thirteen weeks ended April 30, 2022, net revenues decreased $10.6 million, or 9.7%, to $98.5 million, from $109.1 million in the comparable prior-year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April 30, 2022, net revenues in the VB Direct segment decreased $5.1 million, or 7.6%, to $61.6 million, from</w:t>
      </w:r>
    </w:p>
    <w:p>
      <w:pPr>
        <w:spacing w:after="0" w:line="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$66.7 million in the comparable prior-year period. Vera Bradley comparable sales decreased $7.3 million, or 11.1%, which includes an 11.8% decrease in e-commerce sales and a 10.7% decrease in comparable store sales. This comparable sales decrease was partially offset by our non-comparable stores which contributed $2.0 million of revenue. There were two additional factory outlet stores opened in the current fiscal year and seven factory outlet stores opened in the last twelve months. The decrease in comparable sales and comparable store sales was impacted by reduced traffic, conversion, and units sold primarily in the factory outlet and e-commerce channels. These decreases were partially offset by price increases on certain merchandise in the current-year.</w:t>
      </w:r>
    </w:p>
    <w:p>
      <w:pPr>
        <w:spacing w:after="0" w:line="130"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April 30, 2022, net revenues in the VB Indirect segment increased $1.7 million, or 11.2%, to $17.0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$15.3 million in the comparable prior-year period. The increase was primarily due to an increase in orders from certain key accounts and specialty retailers, in part due to timing of product launches.</w:t>
      </w:r>
    </w:p>
    <w:p>
      <w:pPr>
        <w:spacing w:after="0" w:line="113"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Pura Vida. </w:t>
      </w:r>
      <w:r>
        <w:rPr>
          <w:rFonts w:ascii="Times New Roman" w:cs="Times New Roman" w:eastAsia="Times New Roman" w:hAnsi="Times New Roman"/>
          <w:sz w:val="17"/>
          <w:szCs w:val="17"/>
          <w:color w:val="auto"/>
        </w:rPr>
        <w:t>For the thirteen weeks ended April 30, 2022, net revenues in the Pura Vida segment decreased $7.3 million, or 26.8%, to $19.8 million,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$27.1 million in the comparable prior-year period. The decrease was primarily due to a decline in e-commerce sales due to a shift in social and digital media effectiveness which continued to be negatively impacted by the calendar year 2021 Apple IDFA update, as well as rising digital media costs.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For the thirteen weeks ended April 30, 2022, gross profit decreased $6.7 million, or 11.2%, to $52.5 million, from $59.2 million in the comparable prior-year period. As a percentage of net revenues, gross profit decreased to 53.3% for the thirteen weeks ended April 30, 2022, from 54.2% in the comparable prior-year period. The decrease in the gross profit as a percentage of net revenues was primarily due to inbound and outbound freight and shipping costs, partially offset by price increases on certain merchandise in the current-year.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For the thirteen weeks ended April 30, 2022, SG&amp;A expenses were $60.9 million, essentially flat with the comparable prior-year period. As a percentage of net revenues, SG&amp;A expenses increased to 61.9% for the thirteen weeks ended April 30, 2022, from 55.8% in the comparable prior-year period. SG&amp;A expenses related to Vera Bradley and corporate unallocated were $50.4 million compared to $48.1 million in the comparable prior-year period. SG&amp;A expenses related to Pura Vida were $10.5 million compared to $12.8 million in the comparable prior-year period. A decline of $2.3 million in advertising expense, primarily associated with a decrease in spending related to the Pura Vida brand, was offset by an increase of $1.2 million in professional fees and $0.9 million related to operating leases, including $0.6 million associated with a right-of-use asset impairment expense in the current-year period. There was also a reduction in expense associated with incentive compensation due to company performance estimates compared to the prior-year period which was partially offset by an increase in salary expense, primarily associated with new factory outlet stores and cost-of-living adjustments, and travel expense.</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SG&amp;A expenses as a percentage of net revenues increased primarily due to the aforementioned items, as well as SG&amp;A expense de-leverage associated with decreased sales.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thirteen weeks ended April 30, 2022, net other income increased $0.4 million to other income of $0.2 million compared to an other loss of $(0.2) million in the comparable prior-year period. The increase in net other income was primarily due to legal settlements.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w:t>
      </w:r>
    </w:p>
    <w:p>
      <w:pPr>
        <w:spacing w:after="0" w:line="10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thirteen weeks ended April 30, 2022, operating loss increased $6.2 million to $(8.2) million in the current-year period, from $(2.0) million in the comparable prior-year period. As a percentage of net revenues, operating loss was (8.4)% and (1.8)% for the thirteen weeks ended April 30, 2022 and May 1, 2021, respectively. Operating loss increased due to the factors described in the captions above.</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April 30, 2022, operating income in the VB Direct segment decreased $5.4 million, to $5.5 million from $10.9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As a percentage of VB Direct segment net revenues, operating income in the VB Direct segment was 8.9% and 16.3% for the thirteen weeks ended April 30, 2022 and May 1, 2021, respectively. The decrease in operating income as a percentage of VB Direct segment net revenues was primarily due to SG&amp;A expense de-leverage associated with decreased sales; a decrease in gross margin as a percentage of net revenues as described above; and an increase in SG&amp;A expenses compared to the prior-year period including salaries, primarily related to factory outlet store labor and cost-of-living adjustments, and an increase in expense associated with operating leases due primarily to COVID-19-related rent abatements received for certain leases in the first quarter of the prior-year.</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April 30, 2022, operating income in the VB Indirect segment increased $1.0 million, or 22.8%, to $5.5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$4.5 million in the comparable prior-year period. As a percentage of VB Indirect segment net revenues, operating income in the VB Indirect segment was 32.3% and 29.2% for the thirteen weeks ended April 30, 2022 and May 1, 2021, respectively. The increase in operating income as a percentage of VB Indirect segment net revenues was due in part to SG&amp;A expense leverage associated with increased sales.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April 30, 2022, operating income in the Pura Vida segment decreased $1.4 million to $1.1 million from</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$2.5 million in the comparable prior-year period. As a percentage of Pura Vida segment net revenues, operating income in the Pura Vida segment was 5.3% and 9.3% for the thirteen weeks ended April 30, 2022 and May 1, 2021, respectively. The decrease in operating income as a percentage of Pura Vida net revenues was primarily due to SG&amp;A expense de-leverage associated with decreased sales, partially offset by a decrease in advertising expense compared to the prior-year period.</w:t>
      </w:r>
    </w:p>
    <w:p>
      <w:pPr>
        <w:spacing w:after="0" w:line="13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April 30, 2022, unallocated expenses increased $0.5 million, or 2.4%, to $20.3 million from $19.8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The increase in unallocated expenses was primarily due to a $1.0 million increase in professional fees and $0.6 million related to a lease right-of-use asset impairment charge in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current-year period, partially offset by a $1.2 million decrease in employee-related expenses, primarily related to a decline in incentive compensation expense as a result of company performance estimates.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thirteen weeks ended April 30, 2022, was 18.9%, compared to 25.9% for the thirteen weeks ended May 1, 2021. The year-over year effective tax rate decrease was primarily due to the relative impact of permanent and discrete items in the current-year period compared to the prior-year period, primarily as a result of stock-based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thirteen weeks ended April 30, 2022, net loss increased $5.2 million to $(6.7) million from a net loss of $(1.5) million in the comparable prior-year period due to the factors described in the captions above</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Redeemable Noncontrolling Interest</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thirteen weeks ended April 30, 2022, net income attributable to redeemable noncontrolling interest was $0.3 million compared to $0.6 million in the prior-year period. This represents the allocation of the Pura Vida net income to the noncontrolling interest. The decrease in net income was due to the factors described above in the Pura Vida operating segment.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Vera Bradley, Inc.</w:t>
      </w:r>
    </w:p>
    <w:p>
      <w:pPr>
        <w:spacing w:after="0" w:line="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thirteen weeks ended April 30, 2022, net loss attributable to Vera Bradley, Inc. increased $4.9 million to $(7.0) million from a $(2.1) million loss in the comparable prior-year period due to the factors described in the captions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There was no debt outstanding as of April 30, 2022.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1"/>
                <w:szCs w:val="11"/>
                <w:color w:val="auto"/>
              </w:rPr>
            </w:pPr>
          </w:p>
        </w:tc>
        <w:tc>
          <w:tcPr>
            <w:tcW w:w="1140" w:type="dxa"/>
            <w:vAlign w:val="bottom"/>
          </w:tcPr>
          <w:p>
            <w:pPr>
              <w:jc w:val="right"/>
              <w:ind w:right="437"/>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r>
      <w:tr>
        <w:trPr>
          <w:trHeight w:val="196"/>
        </w:trPr>
        <w:tc>
          <w:tcPr>
            <w:tcW w:w="8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consists primarily of net loss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thirteen weeks ended April 30, 2022 was $11.1 million compared to net cash used in operating activities of</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$10.0 million for the thirteen weeks ended May 1, 2021. The increase in cash used in operating activities was primarily related to an increase in the net loss of $5.2 million along with the change in non-cash items, as well as the change in assets and liabilities. Changes in assets and liabilities resulting in a source of cash were primarily related to accounts payable due primarily to timing of payments and income taxes, which we received net payments of $7.4 million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current-year period. Changes in assets and liabilities resulting in a use of cash were primarily related to accounts receivable, which had increased collections from customers in the prior-year partly as a result of COVID-19 in the fiscal 2021 period. The change in inventory was also impacted by decreased sales compared to the prior-year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and capital expenditures related to new store openings, buildings, operational equipment, and information technology investments.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$1.7 million for the thirteen weeks ended April 30, 2022 compared to $0.5 million for the thirteen weeks ended May 1, 2021. The increase in cash used in investing activities was primarily a result of increased spending associated with purchases of property, plant, and equipment due mostly to timing of Vera Bradley store openings.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2023 are expected to be approximately $10.0 million to $12.0 million.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$11.6 million for the thirteen weeks ended April 30, 2022 compared to $2.3 million for the thirteen weeks ended May 1, 2021. The increase in cash used in financing activities was primarily due to $10.0 million of common stock repurchases in the current-year period that did not occur in the comparable prior-year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April 30, 2022.</w:t>
      </w:r>
    </w:p>
    <w:p>
      <w:pPr>
        <w:spacing w:after="0" w:line="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judgments; (vii) Employee Retirement Income Security Act of 1974 (“ERISA”) events that could reasonably be expected to have a material adverse effect; and (viii) a change in control (as defined in the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2022 and January 29, 2022, the Company had no borrowings outstanding and availability of $75.0 million under the Credit Agreement.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April 30, 2022, there were no material changes outside the ordinary course of business to material cash requirements, as disclosed in our Annual Report on Form 10-K for the fiscal year ended January 29,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29, 2022.</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29, 2022. There were no significant changes to any of the critical accounting policies and estimates described in the Annual Report as of April 30,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April 30, 2022, there was no material change in the market risks described in “Quantitative and Qualitative Disclosures About Market Risks” in the Company’s Annual Report on Form 10-K for the fiscal year ended January 29, 2022.</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April 30, 2022.</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has filed a motion for summary judgement asking the Court to dismiss all claims with prejudice and grant judgement on its counterclaim. The motion is fully briefed and the Company is awaiting a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5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as follows, there have been no material changes to the risk factors previously set forth in the Company’s Annual Report on Form 10-K for the fiscal year ended January 29, 2022.</w:t>
      </w:r>
    </w:p>
    <w:p>
      <w:pPr>
        <w:spacing w:after="0" w:line="23"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Pura Vida’s total assets are represented by goodwill, indefinite-lived intangible assets, and definite-lived intangible assets, we could be required to write off some or all of this goodwill and other intangibles, which may adversely affect the company’s financial condition and results of operations.</w:t>
      </w:r>
    </w:p>
    <w:p>
      <w:pPr>
        <w:spacing w:after="0" w:line="20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used the purchase method of accounting to account for the acquisition of a majority interest in Pura Vida consummated on July 16, 2019. A portion of the purchase price for this business is allocated to identifiable tangible and intangible assets and assumed liabilities based on estimated fair values at the date of acquisition. Goodwill is measured indirectly as the excess of the sum of (1) the consideration transferred (including contingent consideration, if any) and (2) the fair value of any noncontrolling interest in the acquiree over the net assets acquired and liabilities assumed. The purchase price allocation resulted in a goodwill value of $44.3 million and a value of $61.7 million related to other intangible assets. The carrying value of these assets as of April 30, 2022, was $44.3 million and $43.5 million, respectively. We test goodwill and indefinite-lived intangible assets for impairment annually, or more frequently if events or changes in circumstances indicate that goodwill may be impaired. Definite-lived intangible assets are subject to impairment testing, similar to our long-lived assets. As of April 30, 2022, we determined that the fair values of goodwill and the Pura Vida brand exceeded their carrying values by a nominal amount and concluded that no impairment existed for the assets. This assessment considered the impact of recent lower sales volumes, particularly in the Pura Vida e-commerce channel, that have been realized in the first quarter of fiscal 2023, as well as changes to other assumptions from our fiscal 2022 analysis. While we consider our assumptions to be reasonable, they are complex and highly subjective. Adverse changes in key assumptions, even by a nominal amount, in future periods may result in a decline in the fair value estimates of goodwill, Pura Vida brand, and definite-lived intangible assets below their carrying value resulting in impairment charges, which could be material. Our key assumptions may be impacted by macroeconomic conditions, including inflationary pressures and the continued disruptions caused by the COVID-19 pandemic, including but not limited to the duration and magnitude of the pandemic, as well as a sustained decline in stock price and potential changes in business strategy, which may also impact the triggering event assessment in future periods. Once these assets are adjusted to their respective fair value, there can be no assurance that there will not be further adjustments for impairment in future periods.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was effective beginning December 13, 2021 and expires in December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program during the thirteen weeks ended April 30, 2022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98"/>
        </w:trPr>
        <w:tc>
          <w:tcPr>
            <w:tcW w:w="3540" w:type="dxa"/>
            <w:vAlign w:val="bottom"/>
            <w:vMerge w:val="continue"/>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w:t>
            </w:r>
          </w:p>
        </w:tc>
        <w:tc>
          <w:tcPr>
            <w:tcW w:w="0" w:type="dxa"/>
            <w:vAlign w:val="bottom"/>
          </w:tcPr>
          <w:p>
            <w:pPr>
              <w:spacing w:after="0"/>
              <w:rPr>
                <w:sz w:val="1"/>
                <w:szCs w:val="1"/>
                <w:color w:val="auto"/>
              </w:rPr>
            </w:pPr>
          </w:p>
        </w:tc>
      </w:tr>
      <w:tr>
        <w:trPr>
          <w:trHeight w:val="228"/>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30, 2022 - February 26, 2022</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43,255,217</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2022 - April 2, 2022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39,483,707</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3, 2022 - April 30,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35,338,287</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1,423,096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1,423,096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9, 2022, the Company and Chief Executive Officer, Robert Wallstrom, entered into the Third Amended and Restated Employment Agreement (“Agreement”) , which is attached as Exhibit 10.3 to this filing. The Agreement amended the terms of Mr. Wallstrom’s current employment agreement by updating the retirement benefits. Retirement eligibility occurs after Mr. Wallstrom has surpassed ten years of service and reached the age of fifty-five. It would allow Mr. Wallstrom to terminate his employment for retirement by providing 180 days' notice or allow The Company to terminate without cause by giving Mr. Wallstrom 90 calendar days' prior written notice. In the event he terminates his employment due to retirement or the Company terminates without cause, within 18 months of when Mr. Wallstrom would be eligible for retirement, the Company would be obligated to pay Mr. Wallstrom compensation and benefits the same as if his employment were terminated without cause. Additionally, if either Party terminates due to retirement, Mr. Wallstrom would also have the right to receive any other Company retirement benefits, including those outlined in award agreements made under the Company’s Equity Plan. Finally, the Agreement deleted provisions no longer applicable and amended certain provisions to be consistent with current practice and policy, such as related to Mr. Wallstrom’s current salary of $871,250 and his allotted managed time off of 26 days.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92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gridSpan w:val="12"/>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8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Fiscal 2023 Annual Incentive Compensation Plan (Executives)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Form of Restricted Stock Unit/Performance Unit Terms and Conditions Under the 2020 Equity and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78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Incentive Plan (Revised)</w:t>
            </w:r>
          </w:p>
        </w:tc>
        <w:tc>
          <w:tcPr>
            <w:tcW w:w="5360" w:type="dxa"/>
            <w:vAlign w:val="bottom"/>
            <w:tcBorders>
              <w:top w:val="single" w:sz="8" w:color="0000FF"/>
            </w:tcBorders>
            <w:gridSpan w:val="6"/>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Third Amended and Restated Employment Agreement for Robert Wallstrom dated June 9, 2022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CEO Section 302 Certification</w:t>
            </w:r>
          </w:p>
        </w:tc>
        <w:tc>
          <w:tcPr>
            <w:tcW w:w="4680" w:type="dxa"/>
            <w:vAlign w:val="bottom"/>
            <w:tcBorders>
              <w:top w:val="single" w:sz="8" w:color="0000FF"/>
            </w:tcBorders>
            <w:gridSpan w:val="2"/>
          </w:tcPr>
          <w:p>
            <w:pPr>
              <w:spacing w:after="0"/>
              <w:rPr>
                <w:sz w:val="22"/>
                <w:szCs w:val="22"/>
                <w:color w:val="auto"/>
              </w:rPr>
            </w:pPr>
          </w:p>
        </w:tc>
        <w:tc>
          <w:tcPr>
            <w:tcW w:w="7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CFO Section 302 Certification</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Section 906 Certifications*</w:t>
            </w:r>
          </w:p>
        </w:tc>
        <w:tc>
          <w:tcPr>
            <w:tcW w:w="540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20" w:hanging="694"/>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2022</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Enwright</w:t>
            </w:r>
          </w:p>
        </w:tc>
      </w:tr>
      <w:tr>
        <w:trPr>
          <w:trHeight w:val="218"/>
        </w:trPr>
        <w:tc>
          <w:tcPr>
            <w:tcW w:w="56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John Enwright</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17" w:right="359" w:bottom="1440" w:gutter="0" w:footer="0" w:header="0"/>
        </w:sectPr>
      </w:pPr>
    </w:p>
    <w:bookmarkStart w:id="37" w:name="page38"/>
    <w:bookmarkEnd w:id="37"/>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Officer Annual Incentive Compensation Plan</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Fiscal 2023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Plan Overview</w:t>
      </w:r>
    </w:p>
    <w:p>
      <w:pPr>
        <w:spacing w:after="0" w:line="2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auto"/>
        </w:rPr>
        <w:t>Awards under this Annual Incentive Compensation Plan ("Annual Plan") are granted under and governed by the terms and conditions of the Vera Bradley, Inc. 2020 Equity and Incentive Plan (the “2020 Plan”), as amended. Any term capitalized herein but not defined will have the meaning set forth in the 2020 Plan.</w:t>
      </w:r>
    </w:p>
    <w:p>
      <w:pPr>
        <w:spacing w:after="0" w:line="19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color w:val="auto"/>
        </w:rPr>
        <w:t>This Annual Plan is designed to give each eligible Participant (as defined in the attached Administrative Guidelines) an opportunity to share in the Company's success for the fiscal year ending January 28, 2023 (the "Performance Period"). The incentive is intended to be an inducement for future faithful service as well as a reward for performance. The incentive opportunity for the Performance Period is based on a percentage of each Participant's Base Salary (as defined herein) and will be earned based on three independent performance measures: (1) Brand/Enterprise Performance (made up of net revenue and operating income), (2) Brand/ Enterprise Strategic Objectives, and (3) Individual Financial Goals. Collectively, these are referred to as the “FY23 Performance Measures.”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Incentive Opportunity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incentive opportunity for each Participant is determined based on a percentage of each Participant's Base Salary (as defined below) based upon the</w:t>
      </w:r>
    </w:p>
    <w:tbl>
      <w:tblPr>
        <w:tblLayout w:type="fixed"/>
        <w:tblInd w:w="1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Participant’s</w:t>
            </w:r>
          </w:p>
        </w:tc>
        <w:tc>
          <w:tcPr>
            <w:tcW w:w="1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94"/>
              </w:rPr>
              <w:t>level:</w:t>
            </w:r>
          </w:p>
        </w:tc>
      </w:tr>
      <w:tr>
        <w:trPr>
          <w:trHeight w:val="277"/>
        </w:trPr>
        <w:tc>
          <w:tcPr>
            <w:tcW w:w="6280" w:type="dxa"/>
            <w:vAlign w:val="bottom"/>
          </w:tcPr>
          <w:p>
            <w:pPr>
              <w:spacing w:after="0"/>
              <w:rPr>
                <w:sz w:val="24"/>
                <w:szCs w:val="24"/>
                <w:color w:val="auto"/>
              </w:rPr>
            </w:pPr>
          </w:p>
        </w:tc>
        <w:tc>
          <w:tcPr>
            <w:tcW w:w="4960" w:type="dxa"/>
            <w:vAlign w:val="bottom"/>
            <w:gridSpan w:val="4"/>
          </w:tcPr>
          <w:p>
            <w:pPr>
              <w:spacing w:after="0"/>
              <w:rPr>
                <w:sz w:val="24"/>
                <w:szCs w:val="24"/>
                <w:color w:val="auto"/>
              </w:rPr>
            </w:pPr>
          </w:p>
        </w:tc>
      </w:tr>
      <w:tr>
        <w:trPr>
          <w:trHeight w:val="244"/>
        </w:trPr>
        <w:tc>
          <w:tcPr>
            <w:tcW w:w="62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940" w:type="dxa"/>
            <w:vAlign w:val="bottom"/>
            <w:tcBorders>
              <w:top w:val="single" w:sz="8" w:color="auto"/>
              <w:bottom w:val="single" w:sz="8" w:color="auto"/>
              <w:right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Incentive Opportunity as a Percentage of Base Salary</w:t>
            </w:r>
          </w:p>
        </w:tc>
        <w:tc>
          <w:tcPr>
            <w:tcW w:w="20" w:type="dxa"/>
            <w:vAlign w:val="bottom"/>
          </w:tcPr>
          <w:p>
            <w:pPr>
              <w:spacing w:after="0"/>
              <w:rPr>
                <w:sz w:val="21"/>
                <w:szCs w:val="21"/>
                <w:color w:val="auto"/>
              </w:rPr>
            </w:pPr>
          </w:p>
        </w:tc>
      </w:tr>
      <w:tr>
        <w:trPr>
          <w:trHeight w:val="250"/>
        </w:trPr>
        <w:tc>
          <w:tcPr>
            <w:tcW w:w="6280" w:type="dxa"/>
            <w:vAlign w:val="bottom"/>
            <w:tcBorders>
              <w:left w:val="single" w:sz="8" w:color="auto"/>
              <w:bottom w:val="single" w:sz="8" w:color="auto"/>
              <w:right w:val="single" w:sz="8" w:color="auto"/>
            </w:tcBorders>
          </w:tcPr>
          <w:p>
            <w:pPr>
              <w:ind w:left="2480"/>
              <w:spacing w:after="0"/>
              <w:rPr>
                <w:sz w:val="20"/>
                <w:szCs w:val="20"/>
                <w:color w:val="auto"/>
              </w:rPr>
            </w:pPr>
            <w:r>
              <w:rPr>
                <w:rFonts w:ascii="Times New Roman" w:cs="Times New Roman" w:eastAsia="Times New Roman" w:hAnsi="Times New Roman"/>
                <w:sz w:val="18"/>
                <w:szCs w:val="18"/>
                <w:b w:val="1"/>
                <w:bCs w:val="1"/>
                <w:color w:val="auto"/>
              </w:rPr>
              <w:t>Participant Level</w:t>
            </w:r>
          </w:p>
        </w:tc>
        <w:tc>
          <w:tcPr>
            <w:tcW w:w="164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66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64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Excellence</w:t>
            </w:r>
          </w:p>
        </w:tc>
        <w:tc>
          <w:tcPr>
            <w:tcW w:w="20" w:type="dxa"/>
            <w:vAlign w:val="bottom"/>
          </w:tcPr>
          <w:p>
            <w:pPr>
              <w:spacing w:after="0"/>
              <w:rPr>
                <w:sz w:val="21"/>
                <w:szCs w:val="21"/>
                <w:color w:val="auto"/>
              </w:rPr>
            </w:pPr>
          </w:p>
        </w:tc>
      </w:tr>
      <w:tr>
        <w:trPr>
          <w:trHeight w:val="234"/>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20" w:type="dxa"/>
            <w:vAlign w:val="bottom"/>
          </w:tcPr>
          <w:p>
            <w:pPr>
              <w:spacing w:after="0"/>
              <w:rPr>
                <w:sz w:val="20"/>
                <w:szCs w:val="20"/>
                <w:color w:val="auto"/>
              </w:rPr>
            </w:pPr>
          </w:p>
        </w:tc>
      </w:tr>
      <w:tr>
        <w:trPr>
          <w:trHeight w:val="22"/>
        </w:trPr>
        <w:tc>
          <w:tcPr>
            <w:tcW w:w="6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Brand President</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26.25%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w:t>
            </w:r>
          </w:p>
        </w:tc>
        <w:tc>
          <w:tcPr>
            <w:tcW w:w="20" w:type="dxa"/>
            <w:vAlign w:val="bottom"/>
          </w:tcPr>
          <w:p>
            <w:pPr>
              <w:spacing w:after="0"/>
              <w:rPr>
                <w:sz w:val="19"/>
                <w:szCs w:val="19"/>
                <w:color w:val="auto"/>
              </w:rPr>
            </w:pPr>
          </w:p>
        </w:tc>
      </w:tr>
      <w:tr>
        <w:trPr>
          <w:trHeight w:val="22"/>
        </w:trPr>
        <w:tc>
          <w:tcPr>
            <w:tcW w:w="6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Officer II</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18.75%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19"/>
                <w:szCs w:val="19"/>
                <w:color w:val="auto"/>
              </w:rPr>
            </w:pPr>
          </w:p>
        </w:tc>
      </w:tr>
      <w:tr>
        <w:trPr>
          <w:trHeight w:val="22"/>
        </w:trPr>
        <w:tc>
          <w:tcPr>
            <w:tcW w:w="6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Officer I</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20" w:type="dxa"/>
            <w:vAlign w:val="bottom"/>
          </w:tcPr>
          <w:p>
            <w:pPr>
              <w:spacing w:after="0"/>
              <w:rPr>
                <w:sz w:val="19"/>
                <w:szCs w:val="19"/>
                <w:color w:val="auto"/>
              </w:rPr>
            </w:pPr>
          </w:p>
        </w:tc>
      </w:tr>
      <w:tr>
        <w:trPr>
          <w:trHeight w:val="22"/>
        </w:trPr>
        <w:tc>
          <w:tcPr>
            <w:tcW w:w="6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 Salary" is defined as the Participant's gross base salary (before taxes and deductions) paid by the Company to the Participant during the Performance Period.</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Each Participant will have the opportunity to earn the incentive set forth above based on the level of achievement against the FY23 Performance Measures. The applicability and weighting of the FY23 Performance Measures relative to the total incentive opportunity is also based upon the Participant’s level as follows: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 Bradley/Pura Vida Brand - 80% Brand; 20% Enterprise</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960" w:type="dxa"/>
            <w:vAlign w:val="bottom"/>
            <w:tcBorders>
              <w:top w:val="single" w:sz="8" w:color="auto"/>
              <w:left w:val="single" w:sz="8" w:color="auto"/>
              <w:right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6840" w:type="dxa"/>
            <w:vAlign w:val="bottom"/>
            <w:tcBorders>
              <w:top w:val="single" w:sz="8" w:color="auto"/>
              <w:right w:val="single" w:sz="8" w:color="auto"/>
            </w:tcBorders>
            <w:gridSpan w:val="5"/>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8"/>
              </w:rPr>
              <w:t>As a Percentage of Total Target Incentive Opportunity Shown Above</w:t>
            </w:r>
          </w:p>
        </w:tc>
        <w:tc>
          <w:tcPr>
            <w:tcW w:w="0" w:type="dxa"/>
            <w:vAlign w:val="bottom"/>
          </w:tcPr>
          <w:p>
            <w:pPr>
              <w:spacing w:after="0"/>
              <w:rPr>
                <w:sz w:val="1"/>
                <w:szCs w:val="1"/>
                <w:color w:val="auto"/>
              </w:rPr>
            </w:pPr>
          </w:p>
        </w:tc>
      </w:tr>
      <w:tr>
        <w:trPr>
          <w:trHeight w:val="68"/>
        </w:trPr>
        <w:tc>
          <w:tcPr>
            <w:tcW w:w="2960" w:type="dxa"/>
            <w:vAlign w:val="bottom"/>
            <w:tcBorders>
              <w:left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960" w:type="dxa"/>
            <w:vAlign w:val="bottom"/>
            <w:tcBorders>
              <w:left w:val="single" w:sz="8" w:color="auto"/>
              <w:right w:val="single" w:sz="8" w:color="auto"/>
            </w:tcBorders>
          </w:tcPr>
          <w:p>
            <w:pPr>
              <w:spacing w:after="0"/>
              <w:rPr>
                <w:sz w:val="16"/>
                <w:szCs w:val="16"/>
                <w:color w:val="auto"/>
              </w:rPr>
            </w:pPr>
          </w:p>
        </w:tc>
        <w:tc>
          <w:tcPr>
            <w:tcW w:w="3320" w:type="dxa"/>
            <w:vAlign w:val="bottom"/>
            <w:tcBorders>
              <w:right w:val="single" w:sz="8" w:color="auto"/>
            </w:tcBorders>
            <w:gridSpan w:val="3"/>
            <w:vMerge w:val="restart"/>
          </w:tcPr>
          <w:p>
            <w:pPr>
              <w:ind w:left="940"/>
              <w:spacing w:after="0"/>
              <w:rPr>
                <w:sz w:val="20"/>
                <w:szCs w:val="20"/>
                <w:color w:val="auto"/>
              </w:rPr>
            </w:pPr>
            <w:r>
              <w:rPr>
                <w:rFonts w:ascii="Times New Roman" w:cs="Times New Roman" w:eastAsia="Times New Roman" w:hAnsi="Times New Roman"/>
                <w:sz w:val="18"/>
                <w:szCs w:val="18"/>
                <w:b w:val="1"/>
                <w:bCs w:val="1"/>
                <w:color w:val="auto"/>
              </w:rPr>
              <w:t>Brand Performance</w:t>
            </w:r>
          </w:p>
        </w:tc>
        <w:tc>
          <w:tcPr>
            <w:tcW w:w="166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Enterprise</w:t>
            </w:r>
          </w:p>
        </w:tc>
        <w:tc>
          <w:tcPr>
            <w:tcW w:w="16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60" w:type="dxa"/>
            <w:vAlign w:val="bottom"/>
            <w:tcBorders>
              <w:left w:val="single" w:sz="8" w:color="auto"/>
              <w:right w:val="single" w:sz="8" w:color="auto"/>
            </w:tcBorders>
          </w:tcPr>
          <w:p>
            <w:pPr>
              <w:spacing w:after="0"/>
              <w:rPr>
                <w:sz w:val="11"/>
                <w:szCs w:val="11"/>
                <w:color w:val="auto"/>
              </w:rPr>
            </w:pPr>
          </w:p>
        </w:tc>
        <w:tc>
          <w:tcPr>
            <w:tcW w:w="3320" w:type="dxa"/>
            <w:vAlign w:val="bottom"/>
            <w:tcBorders>
              <w:right w:val="single" w:sz="8" w:color="auto"/>
            </w:tcBorders>
            <w:gridSpan w:val="3"/>
            <w:vMerge w:val="continue"/>
          </w:tcPr>
          <w:p>
            <w:pPr>
              <w:spacing w:after="0"/>
              <w:rPr>
                <w:sz w:val="11"/>
                <w:szCs w:val="11"/>
                <w:color w:val="auto"/>
              </w:rPr>
            </w:pPr>
          </w:p>
        </w:tc>
        <w:tc>
          <w:tcPr>
            <w:tcW w:w="166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6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Brand Strategic</w:t>
            </w:r>
          </w:p>
        </w:tc>
        <w:tc>
          <w:tcPr>
            <w:tcW w:w="16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Individual Financial</w:t>
            </w:r>
          </w:p>
        </w:tc>
        <w:tc>
          <w:tcPr>
            <w:tcW w:w="0" w:type="dxa"/>
            <w:vAlign w:val="bottom"/>
          </w:tcPr>
          <w:p>
            <w:pPr>
              <w:spacing w:after="0"/>
              <w:rPr>
                <w:sz w:val="1"/>
                <w:szCs w:val="1"/>
                <w:color w:val="auto"/>
              </w:rPr>
            </w:pPr>
          </w:p>
        </w:tc>
      </w:tr>
      <w:tr>
        <w:trPr>
          <w:trHeight w:val="81"/>
        </w:trPr>
        <w:tc>
          <w:tcPr>
            <w:tcW w:w="2960" w:type="dxa"/>
            <w:vAlign w:val="bottom"/>
            <w:tcBorders>
              <w:left w:val="single" w:sz="8" w:color="auto"/>
              <w:right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960" w:type="dxa"/>
            <w:vAlign w:val="bottom"/>
            <w:tcBorders>
              <w:left w:val="single" w:sz="8" w:color="auto"/>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660" w:type="dxa"/>
            <w:vAlign w:val="bottom"/>
            <w:tcBorders>
              <w:right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Objectives</w:t>
            </w:r>
          </w:p>
        </w:tc>
        <w:tc>
          <w:tcPr>
            <w:tcW w:w="166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Goals</w:t>
            </w:r>
          </w:p>
        </w:tc>
        <w:tc>
          <w:tcPr>
            <w:tcW w:w="0" w:type="dxa"/>
            <w:vAlign w:val="bottom"/>
          </w:tcPr>
          <w:p>
            <w:pPr>
              <w:spacing w:after="0"/>
              <w:rPr>
                <w:sz w:val="1"/>
                <w:szCs w:val="1"/>
                <w:color w:val="auto"/>
              </w:rPr>
            </w:pPr>
          </w:p>
        </w:tc>
      </w:tr>
      <w:tr>
        <w:trPr>
          <w:trHeight w:val="164"/>
        </w:trPr>
        <w:tc>
          <w:tcPr>
            <w:tcW w:w="2960" w:type="dxa"/>
            <w:vAlign w:val="bottom"/>
            <w:tcBorders>
              <w:left w:val="single" w:sz="8" w:color="auto"/>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Participant Level</w:t>
            </w:r>
          </w:p>
        </w:tc>
        <w:tc>
          <w:tcPr>
            <w:tcW w:w="146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0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60" w:type="dxa"/>
            <w:vAlign w:val="bottom"/>
            <w:tcBorders>
              <w:right w:val="single" w:sz="8" w:color="auto"/>
            </w:tcBorders>
            <w:vMerge w:val="continue"/>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960" w:type="dxa"/>
            <w:vAlign w:val="bottom"/>
            <w:tcBorders>
              <w:left w:val="single" w:sz="8" w:color="auto"/>
              <w:right w:val="single" w:sz="8" w:color="auto"/>
            </w:tcBorders>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96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9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Brand President</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25%</w:t>
            </w:r>
          </w:p>
        </w:tc>
        <w:tc>
          <w:tcPr>
            <w:tcW w:w="16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
        </w:trPr>
        <w:tc>
          <w:tcPr>
            <w:tcW w:w="2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9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Executive Officer II</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25%</w:t>
            </w:r>
          </w:p>
        </w:tc>
        <w:tc>
          <w:tcPr>
            <w:tcW w:w="16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
        </w:trPr>
        <w:tc>
          <w:tcPr>
            <w:tcW w:w="2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96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Executive Officer I</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25%</w:t>
            </w:r>
          </w:p>
        </w:tc>
        <w:tc>
          <w:tcPr>
            <w:tcW w:w="16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
        </w:trPr>
        <w:tc>
          <w:tcPr>
            <w:tcW w:w="2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0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Enterprise - 100% Enterprise Performance; 0% Brand Performance</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680" w:type="dxa"/>
            <w:vAlign w:val="bottom"/>
            <w:tcBorders>
              <w:top w:val="single" w:sz="8" w:color="auto"/>
              <w:left w:val="single" w:sz="8" w:color="auto"/>
              <w:right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7340" w:type="dxa"/>
            <w:vAlign w:val="bottom"/>
            <w:tcBorders>
              <w:top w:val="single" w:sz="8" w:color="auto"/>
              <w:bottom w:val="single" w:sz="8" w:color="auto"/>
              <w:right w:val="single" w:sz="8" w:color="auto"/>
            </w:tcBorders>
            <w:gridSpan w:val="6"/>
          </w:tcPr>
          <w:p>
            <w:pPr>
              <w:jc w:val="center"/>
              <w:ind w:right="1190"/>
              <w:spacing w:after="0"/>
              <w:rPr>
                <w:sz w:val="20"/>
                <w:szCs w:val="20"/>
                <w:color w:val="auto"/>
              </w:rPr>
            </w:pPr>
            <w:r>
              <w:rPr>
                <w:rFonts w:ascii="Times New Roman" w:cs="Times New Roman" w:eastAsia="Times New Roman" w:hAnsi="Times New Roman"/>
                <w:sz w:val="22"/>
                <w:szCs w:val="22"/>
                <w:color w:val="auto"/>
                <w:w w:val="97"/>
              </w:rPr>
              <w:t>As a Percentage of Total Target Incentive Opportunity Shown Above</w:t>
            </w:r>
          </w:p>
        </w:tc>
        <w:tc>
          <w:tcPr>
            <w:tcW w:w="0" w:type="dxa"/>
            <w:vAlign w:val="bottom"/>
          </w:tcPr>
          <w:p>
            <w:pPr>
              <w:spacing w:after="0"/>
              <w:rPr>
                <w:sz w:val="1"/>
                <w:szCs w:val="1"/>
                <w:color w:val="auto"/>
              </w:rPr>
            </w:pPr>
          </w:p>
        </w:tc>
      </w:tr>
      <w:tr>
        <w:trPr>
          <w:trHeight w:val="194"/>
        </w:trPr>
        <w:tc>
          <w:tcPr>
            <w:tcW w:w="2680" w:type="dxa"/>
            <w:vAlign w:val="bottom"/>
            <w:tcBorders>
              <w:left w:val="single" w:sz="8" w:color="auto"/>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2000" w:type="dxa"/>
            <w:vAlign w:val="bottom"/>
            <w:tcBorders>
              <w:right w:val="single" w:sz="8" w:color="auto"/>
            </w:tcBorders>
            <w:gridSpan w:val="3"/>
          </w:tcPr>
          <w:p>
            <w:pPr>
              <w:jc w:val="center"/>
              <w:ind w:right="810"/>
              <w:spacing w:after="0" w:line="194" w:lineRule="exact"/>
              <w:rPr>
                <w:sz w:val="20"/>
                <w:szCs w:val="20"/>
                <w:color w:val="auto"/>
              </w:rPr>
            </w:pPr>
            <w:r>
              <w:rPr>
                <w:rFonts w:ascii="Times New Roman" w:cs="Times New Roman" w:eastAsia="Times New Roman" w:hAnsi="Times New Roman"/>
                <w:sz w:val="18"/>
                <w:szCs w:val="18"/>
                <w:b w:val="1"/>
                <w:bCs w:val="1"/>
                <w:color w:val="auto"/>
              </w:rPr>
              <w:t>Brand</w:t>
            </w:r>
          </w:p>
        </w:tc>
        <w:tc>
          <w:tcPr>
            <w:tcW w:w="28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Enterprise Performance</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Enterprise</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00" w:type="dxa"/>
            <w:vAlign w:val="bottom"/>
            <w:tcBorders>
              <w:right w:val="single" w:sz="8" w:color="auto"/>
            </w:tcBorders>
            <w:gridSpan w:val="3"/>
            <w:vMerge w:val="restart"/>
          </w:tcPr>
          <w:p>
            <w:pPr>
              <w:jc w:val="center"/>
              <w:ind w:right="7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2860" w:type="dxa"/>
            <w:vAlign w:val="bottom"/>
            <w:tcBorders>
              <w:right w:val="single" w:sz="8" w:color="auto"/>
            </w:tcBorders>
            <w:gridSpan w:val="2"/>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Individual</w:t>
            </w:r>
          </w:p>
        </w:tc>
        <w:tc>
          <w:tcPr>
            <w:tcW w:w="0" w:type="dxa"/>
            <w:vAlign w:val="bottom"/>
          </w:tcPr>
          <w:p>
            <w:pPr>
              <w:spacing w:after="0"/>
              <w:rPr>
                <w:sz w:val="1"/>
                <w:szCs w:val="1"/>
                <w:color w:val="auto"/>
              </w:rPr>
            </w:pPr>
          </w:p>
        </w:tc>
      </w:tr>
      <w:tr>
        <w:trPr>
          <w:trHeight w:val="54"/>
        </w:trPr>
        <w:tc>
          <w:tcPr>
            <w:tcW w:w="2680" w:type="dxa"/>
            <w:vAlign w:val="bottom"/>
            <w:tcBorders>
              <w:left w:val="single" w:sz="8" w:color="auto"/>
              <w:right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2000" w:type="dxa"/>
            <w:vAlign w:val="bottom"/>
            <w:tcBorders>
              <w:right w:val="single" w:sz="8" w:color="auto"/>
            </w:tcBorders>
            <w:gridSpan w:val="3"/>
            <w:vMerge w:val="continue"/>
          </w:tcPr>
          <w:p>
            <w:pPr>
              <w:spacing w:after="0"/>
              <w:rPr>
                <w:sz w:val="4"/>
                <w:szCs w:val="4"/>
                <w:color w:val="auto"/>
              </w:rPr>
            </w:pPr>
          </w:p>
        </w:tc>
        <w:tc>
          <w:tcPr>
            <w:tcW w:w="1420" w:type="dxa"/>
            <w:vAlign w:val="bottom"/>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80" w:type="dxa"/>
            <w:vAlign w:val="bottom"/>
            <w:tcBorders>
              <w:left w:val="single" w:sz="8" w:color="auto"/>
              <w:bottom w:val="single" w:sz="8" w:color="auto"/>
              <w:right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2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Strategic</w:t>
            </w:r>
          </w:p>
        </w:tc>
        <w:tc>
          <w:tcPr>
            <w:tcW w:w="1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680" w:type="dxa"/>
            <w:vAlign w:val="bottom"/>
            <w:tcBorders>
              <w:left w:val="single" w:sz="8" w:color="auto"/>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42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420" w:type="dxa"/>
            <w:vAlign w:val="bottom"/>
            <w:tcBorders>
              <w:right w:val="single" w:sz="8" w:color="auto"/>
            </w:tcBorders>
            <w:vMerge w:val="continue"/>
          </w:tcPr>
          <w:p>
            <w:pPr>
              <w:spacing w:after="0"/>
              <w:rPr>
                <w:sz w:val="6"/>
                <w:szCs w:val="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Goals</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right w:val="single" w:sz="8" w:color="auto"/>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Participant Level</w:t>
            </w:r>
          </w:p>
        </w:tc>
        <w:tc>
          <w:tcPr>
            <w:tcW w:w="124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Net Revenue</w:t>
            </w:r>
          </w:p>
        </w:tc>
        <w:tc>
          <w:tcPr>
            <w:tcW w:w="144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Objectives</w:t>
            </w:r>
          </w:p>
        </w:tc>
        <w:tc>
          <w:tcPr>
            <w:tcW w:w="14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80" w:type="dxa"/>
            <w:vAlign w:val="bottom"/>
            <w:tcBorders>
              <w:left w:val="single" w:sz="8" w:color="auto"/>
              <w:right w:val="single" w:sz="8" w:color="auto"/>
            </w:tcBorders>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2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2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680" w:type="dxa"/>
            <w:vAlign w:val="bottom"/>
            <w:tcBorders>
              <w:left w:val="single" w:sz="8" w:color="auto"/>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8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8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0%</w:t>
            </w:r>
          </w:p>
        </w:tc>
        <w:tc>
          <w:tcPr>
            <w:tcW w:w="3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
        </w:trPr>
        <w:tc>
          <w:tcPr>
            <w:tcW w:w="2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Officer II</w:t>
            </w:r>
          </w:p>
        </w:tc>
        <w:tc>
          <w:tcPr>
            <w:tcW w:w="8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0%</w:t>
            </w:r>
          </w:p>
        </w:tc>
        <w:tc>
          <w:tcPr>
            <w:tcW w:w="3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
        </w:trPr>
        <w:tc>
          <w:tcPr>
            <w:tcW w:w="2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Officer I</w:t>
            </w:r>
          </w:p>
        </w:tc>
        <w:tc>
          <w:tcPr>
            <w:tcW w:w="8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0%</w:t>
            </w:r>
          </w:p>
        </w:tc>
        <w:tc>
          <w:tcPr>
            <w:tcW w:w="3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
        </w:trPr>
        <w:tc>
          <w:tcPr>
            <w:tcW w:w="2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and Enterprise Financial Performance</w:t>
      </w:r>
    </w:p>
    <w:p>
      <w:pPr>
        <w:spacing w:after="0" w:line="20"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Payouts for Financial Performance are based on meeting two independent financial metrics, which are net revenue and operating income. Assuming at least threshold levels of performance against the Performance goals are met during the Performance Period, the actual payout levels will range from 25%-200% of target. The actual amount of Financial Performance goals is considered to be confidential information and is not included in this document, but can be obtained from Human Resources.</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Revenue Performance Level</w:t>
            </w:r>
          </w:p>
        </w:tc>
        <w:tc>
          <w:tcPr>
            <w:tcW w:w="6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as a Percentage of the Portion of Incentive Tied to Corporate</w:t>
            </w:r>
          </w:p>
        </w:tc>
      </w:tr>
      <w:tr>
        <w:trPr>
          <w:trHeight w:val="238"/>
        </w:trPr>
        <w:tc>
          <w:tcPr>
            <w:tcW w:w="5060" w:type="dxa"/>
            <w:vAlign w:val="bottom"/>
            <w:tcBorders>
              <w:left w:val="single" w:sz="8" w:color="auto"/>
              <w:right w:val="single" w:sz="8" w:color="auto"/>
            </w:tcBorders>
          </w:tcPr>
          <w:p>
            <w:pPr>
              <w:spacing w:after="0"/>
              <w:rPr>
                <w:sz w:val="20"/>
                <w:szCs w:val="20"/>
                <w:color w:val="auto"/>
              </w:rPr>
            </w:pPr>
          </w:p>
        </w:tc>
        <w:tc>
          <w:tcPr>
            <w:tcW w:w="6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6200" w:type="dxa"/>
            <w:vAlign w:val="bottom"/>
            <w:tcBorders>
              <w:bottom w:val="single" w:sz="8" w:color="auto"/>
              <w:right w:val="single" w:sz="8" w:color="auto"/>
            </w:tcBorders>
          </w:tcPr>
          <w:p>
            <w:pPr>
              <w:spacing w:after="0"/>
              <w:rPr>
                <w:sz w:val="2"/>
                <w:szCs w:val="2"/>
                <w:color w:val="auto"/>
              </w:rPr>
            </w:pPr>
          </w:p>
        </w:tc>
      </w:tr>
      <w:tr>
        <w:trPr>
          <w:trHeight w:val="228"/>
        </w:trPr>
        <w:tc>
          <w:tcPr>
            <w:tcW w:w="5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6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2"/>
        </w:trPr>
        <w:tc>
          <w:tcPr>
            <w:tcW w:w="5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6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Excellence</w:t>
            </w:r>
          </w:p>
        </w:tc>
        <w:tc>
          <w:tcPr>
            <w:tcW w:w="6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2"/>
        </w:trPr>
        <w:tc>
          <w:tcPr>
            <w:tcW w:w="5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0" w:type="dxa"/>
            <w:vAlign w:val="bottom"/>
            <w:tcBorders>
              <w:bottom w:val="single" w:sz="8" w:color="auto"/>
              <w:right w:val="single" w:sz="8" w:color="auto"/>
            </w:tcBorders>
          </w:tcPr>
          <w:p>
            <w:pPr>
              <w:spacing w:after="0" w:line="20" w:lineRule="exact"/>
              <w:rPr>
                <w:sz w:val="1"/>
                <w:szCs w:val="1"/>
                <w:color w:val="auto"/>
              </w:rPr>
            </w:pPr>
          </w:p>
        </w:tc>
      </w:tr>
      <w:tr>
        <w:trPr>
          <w:trHeight w:val="187"/>
        </w:trPr>
        <w:tc>
          <w:tcPr>
            <w:tcW w:w="506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Operating Income Performance Level</w:t>
            </w:r>
          </w:p>
        </w:tc>
        <w:tc>
          <w:tcPr>
            <w:tcW w:w="62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Payout as a Percentage of the Portion of Incentive Tied to Corporate</w:t>
            </w:r>
          </w:p>
        </w:tc>
      </w:tr>
      <w:tr>
        <w:trPr>
          <w:trHeight w:val="238"/>
        </w:trPr>
        <w:tc>
          <w:tcPr>
            <w:tcW w:w="5060" w:type="dxa"/>
            <w:vAlign w:val="bottom"/>
            <w:tcBorders>
              <w:left w:val="single" w:sz="8" w:color="auto"/>
              <w:right w:val="single" w:sz="8" w:color="auto"/>
            </w:tcBorders>
          </w:tcPr>
          <w:p>
            <w:pPr>
              <w:spacing w:after="0"/>
              <w:rPr>
                <w:sz w:val="20"/>
                <w:szCs w:val="20"/>
                <w:color w:val="auto"/>
              </w:rPr>
            </w:pPr>
          </w:p>
        </w:tc>
        <w:tc>
          <w:tcPr>
            <w:tcW w:w="6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6200" w:type="dxa"/>
            <w:vAlign w:val="bottom"/>
            <w:tcBorders>
              <w:bottom w:val="single" w:sz="8" w:color="auto"/>
              <w:right w:val="single" w:sz="8" w:color="auto"/>
            </w:tcBorders>
          </w:tcPr>
          <w:p>
            <w:pPr>
              <w:spacing w:after="0"/>
              <w:rPr>
                <w:sz w:val="2"/>
                <w:szCs w:val="2"/>
                <w:color w:val="auto"/>
              </w:rPr>
            </w:pPr>
          </w:p>
        </w:tc>
      </w:tr>
      <w:tr>
        <w:trPr>
          <w:trHeight w:val="228"/>
        </w:trPr>
        <w:tc>
          <w:tcPr>
            <w:tcW w:w="5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6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2"/>
        </w:trPr>
        <w:tc>
          <w:tcPr>
            <w:tcW w:w="5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6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Excellence</w:t>
            </w:r>
          </w:p>
        </w:tc>
        <w:tc>
          <w:tcPr>
            <w:tcW w:w="6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2"/>
        </w:trPr>
        <w:tc>
          <w:tcPr>
            <w:tcW w:w="5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0" w:type="dxa"/>
            <w:vAlign w:val="bottom"/>
            <w:tcBorders>
              <w:bottom w:val="single" w:sz="8" w:color="auto"/>
              <w:right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*Payout levels are determined using linear interpolation for results falling between the three performance levels.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and Enterprise Strategic Objectives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Payouts for performance against the Brand and Enterprise Strategic Objectives will be based on performance against the following objectives: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 Bradley Brand Strategic Objectives:</w:t>
      </w:r>
    </w:p>
    <w:p>
      <w:pPr>
        <w:ind w:left="640" w:hanging="308"/>
        <w:spacing w:after="0" w:line="237"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 Achieve gross margin goal</w:t>
      </w:r>
    </w:p>
    <w:p>
      <w:pPr>
        <w:ind w:left="660" w:hanging="328"/>
        <w:spacing w:after="0" w:line="23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 Achieve Direct traffic goal</w:t>
      </w:r>
    </w:p>
    <w:p>
      <w:pPr>
        <w:ind w:left="640" w:hanging="308"/>
        <w:spacing w:after="0" w:line="234"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 Achieve cross-channel shopping initiatives</w:t>
      </w:r>
    </w:p>
    <w:p>
      <w:pPr>
        <w:ind w:left="660" w:hanging="328"/>
        <w:spacing w:after="0" w:line="23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 Achieve revenue by channel goal</w:t>
      </w: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Management – Execute plan and achieve targets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Pura Vida Brand Strategic Objectives:</w:t>
      </w:r>
    </w:p>
    <w:p>
      <w:pPr>
        <w:spacing w:after="0" w:line="11"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&amp; Positioning – Achieve customer count plan</w:t>
      </w:r>
    </w:p>
    <w:p>
      <w:pPr>
        <w:ind w:left="660" w:hanging="328"/>
        <w:spacing w:after="0" w:line="23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 Achieve gross margin and revenue goals</w:t>
      </w:r>
    </w:p>
    <w:p>
      <w:pPr>
        <w:ind w:left="640" w:hanging="308"/>
        <w:spacing w:after="0" w:line="234"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Brand Marketing – Achieve goal</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Channels – Achieve new store revenue plan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Strategic Objectives:</w:t>
      </w:r>
    </w:p>
    <w:p>
      <w:pPr>
        <w:spacing w:after="0" w:line="11"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Management &amp; Cost Containment – Achieve gross margin goal</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Return – Achieve overall M&amp;A efforts</w:t>
      </w:r>
    </w:p>
    <w:p>
      <w:pPr>
        <w:sectPr>
          <w:pgSz w:w="11900" w:h="16838" w:orient="portrait"/>
          <w:cols w:equalWidth="0" w:num="1">
            <w:col w:w="11260"/>
          </w:cols>
          <w:pgMar w:left="320" w:top="1400" w:right="319" w:bottom="1440" w:gutter="0" w:footer="0" w:header="0"/>
        </w:sectPr>
      </w:pPr>
    </w:p>
    <w:bookmarkStart w:id="39" w:name="page40"/>
    <w:bookmarkEnd w:id="39"/>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Management – Achieve engagement score goal</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Strategy Execution – Achieve ISS ESG corporate initiatives</w:t>
      </w: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Management – Execute plan and achieve targets</w:t>
      </w:r>
    </w:p>
    <w:p>
      <w:pPr>
        <w:spacing w:after="0" w:line="200" w:lineRule="exact"/>
        <w:rPr>
          <w:sz w:val="20"/>
          <w:szCs w:val="20"/>
          <w:color w:val="auto"/>
        </w:rPr>
      </w:pPr>
    </w:p>
    <w:p>
      <w:pPr>
        <w:spacing w:after="0" w:line="2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Assuming threshold levels of performance against the Brand and Enterprise Strategic Objectives are met during the Performance Period, the actual payout levels will range from 25%-200% of target. The Compensation Committee of the Board of Directors of the Company (the “Compensation Committee”) shall determine the level of performance achieved against the Brand and Enterprise Strategic Objectives in its sole discretion.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Financial Goals</w:t>
      </w:r>
    </w:p>
    <w:p>
      <w:pPr>
        <w:spacing w:after="0" w:line="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Payouts for performance against the Individual Financial Goals will be based on a Participant’s overall achievement of personal objectives, as determined by the Participant’s supervisor and approved by the Compensation Committee. Payout levels for achievement of the Individual Financial Goals range from 0%-200% of that portion of incentive tied to the Individual Financial Goals.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Guidelines</w:t>
      </w:r>
    </w:p>
    <w:p>
      <w:pPr>
        <w:spacing w:after="0" w:line="243" w:lineRule="exact"/>
        <w:rPr>
          <w:sz w:val="20"/>
          <w:szCs w:val="20"/>
          <w:color w:val="auto"/>
        </w:rPr>
      </w:pPr>
    </w:p>
    <w:p>
      <w:pPr>
        <w:jc w:val="both"/>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direct reports at an Executive Officer level and certain designated Executive Officers are eligible to participate in this Annual Plan. Any question regarding eligibility for participation in this Annual Plan shall be resolved by the Compensation Committee, in the Committee’s sole discretion.</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this Annual Plan neither gives any employee the right to be retained as an employee nor limits the Company's right to discharge or discipline any employee.</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payout of any bonus under this Plan is subject to the final approval of the Chief Financial Officer and Vice President, Human Resources and as necessary the Compensation Committee.</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placed on a Performance Improvement Plan or who are on Step 3 Probation within six months of when payment is made under this Plan will not be eligible for such payment.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Results. Before any Awards under the Annual Plan are deemed earned with respect to a Performance Period, the Compensation Committee shall certify, in accordance with Section 9.5 of the 2020 Plan, in writing (i) that the performance goals have been met for the Performance Period, and (ii) the calculation of "Operating Income" and "Net Revenue" for the Performance Period.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34"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4" w:lineRule="exact"/>
        <w:rPr>
          <w:rFonts w:ascii="Times New Roman" w:cs="Times New Roman" w:eastAsia="Times New Roman" w:hAnsi="Times New Roman"/>
          <w:sz w:val="18"/>
          <w:szCs w:val="18"/>
          <w:color w:val="auto"/>
        </w:rPr>
      </w:pPr>
    </w:p>
    <w:p>
      <w:pPr>
        <w:ind w:left="1300" w:hanging="320"/>
        <w:spacing w:after="0" w:line="243"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"Net Revenue". For purposes of this Annual Plan, the term "Net Revenue" means, with respect to the Performance Period related to any Awards, the Company's consolidated net revenue, as determined in accordance with U.S. GAAP.</w:t>
      </w:r>
    </w:p>
    <w:p>
      <w:pPr>
        <w:spacing w:after="0" w:line="208"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(a) no Participant will be entitled to an incentive payment under the Plan unless the Participant is employed by the Company or an Affiliate in an eligible position on the day the incentive payment is made, and (b) a Participant who separates from Service for any reason prior to the date of payment of such incentive will not be entitled to a prorated award, unless otherwise required by applicable state law. By way of clarification, should a Participant separate from Service and be rehired within the same Performance Period, the Participant shall not be given credit for prior periods Service. Notwithstanding the preceding provisions, the following provisions will apply if, during the Performance Period (or after the Performance Period and prior to the date of payment), you cease providing Services due to death, Disability or Retirement (and provided that you have not otherwise engaged in an act that would constitute Cause):</w:t>
      </w:r>
    </w:p>
    <w:p>
      <w:pPr>
        <w:sectPr>
          <w:pgSz w:w="11900" w:h="16838" w:orient="portrait"/>
          <w:cols w:equalWidth="0" w:num="1">
            <w:col w:w="11240"/>
          </w:cols>
          <w:pgMar w:left="320" w:top="1404" w:right="339" w:bottom="1440" w:gutter="0" w:footer="0" w:header="0"/>
        </w:sectPr>
      </w:pPr>
    </w:p>
    <w:bookmarkStart w:id="40" w:name="page41"/>
    <w:bookmarkEnd w:id="40"/>
    <w:p>
      <w:pPr>
        <w:spacing w:after="0" w:line="207" w:lineRule="exact"/>
        <w:rPr>
          <w:sz w:val="20"/>
          <w:szCs w:val="20"/>
          <w:color w:val="auto"/>
        </w:rPr>
      </w:pPr>
    </w:p>
    <w:p>
      <w:pPr>
        <w:jc w:val="both"/>
        <w:ind w:left="968" w:hanging="320"/>
        <w:spacing w:after="0" w:line="245" w:lineRule="auto"/>
        <w:tabs>
          <w:tab w:leader="none" w:pos="9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Disability: In the event a Participant's Service terminates as a result of death or Disability prior to the date on which the incentive payment is made, the outstanding Award shall be treated as earned at the actual level for both the Company performance and at the target level for individual performance with any such earned Awards becoming fully vested and paid out as provided in section 8, below.</w:t>
      </w:r>
    </w:p>
    <w:p>
      <w:pPr>
        <w:spacing w:after="0" w:line="207" w:lineRule="exact"/>
        <w:rPr>
          <w:rFonts w:ascii="Times New Roman" w:cs="Times New Roman" w:eastAsia="Times New Roman" w:hAnsi="Times New Roman"/>
          <w:sz w:val="18"/>
          <w:szCs w:val="18"/>
          <w:color w:val="auto"/>
        </w:rPr>
      </w:pPr>
    </w:p>
    <w:p>
      <w:pPr>
        <w:jc w:val="both"/>
        <w:ind w:left="968" w:hanging="320"/>
        <w:spacing w:after="0"/>
        <w:tabs>
          <w:tab w:leader="none" w:pos="9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In the event a Participant's Service with the Company terminates as a result of Retirement during the Performance Period, the outstanding Award shall be earned based on the actual Company performance level obtained (determined at the end of the Performance Period) and target individual performance level, with any such earned Awards becoming fully vested and paid out as provided in section 8, below.</w:t>
      </w:r>
    </w:p>
    <w:p>
      <w:pPr>
        <w:spacing w:after="0" w:line="21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Annual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w:t>
      </w:r>
    </w:p>
    <w:p>
      <w:pPr>
        <w:spacing w:after="0" w:line="217" w:lineRule="exact"/>
        <w:rPr>
          <w:rFonts w:ascii="Times New Roman" w:cs="Times New Roman" w:eastAsia="Times New Roman" w:hAnsi="Times New Roman"/>
          <w:sz w:val="18"/>
          <w:szCs w:val="18"/>
          <w:color w:val="auto"/>
        </w:rPr>
      </w:pPr>
    </w:p>
    <w:p>
      <w:pPr>
        <w:ind w:left="328" w:right="2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becoming fully vested and paid out on a as soon as practicable (but not later than 30 calendar days) following the Change in Control. For purposes of this Annual Plan, the term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Participants will receive an award that is prorated based on Base Salary earned during the Performance Period.</w:t>
      </w:r>
    </w:p>
    <w:p>
      <w:pPr>
        <w:spacing w:after="0" w:line="238"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Participant joins the Company at any time during the final three fiscal months of the Performance Period, such participant will not be eligible to participate in this Plan.</w:t>
      </w:r>
    </w:p>
    <w:p>
      <w:pPr>
        <w:spacing w:after="0" w:line="18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goal attainment calculations will follow normal rounding guidelines (i.e., 93.1% to 93.49% = 93%; 93.5% to 93.9% = 94%).</w:t>
      </w:r>
    </w:p>
    <w:p>
      <w:pPr>
        <w:spacing w:after="0" w:line="238" w:lineRule="exact"/>
        <w:rPr>
          <w:rFonts w:ascii="Times New Roman" w:cs="Times New Roman" w:eastAsia="Times New Roman" w:hAnsi="Times New Roman"/>
          <w:sz w:val="18"/>
          <w:szCs w:val="18"/>
          <w:color w:val="auto"/>
        </w:rPr>
      </w:pPr>
    </w:p>
    <w:p>
      <w:pPr>
        <w:ind w:left="328" w:hanging="328"/>
        <w:spacing w:after="0" w:line="266" w:lineRule="auto"/>
        <w:tabs>
          <w:tab w:leader="none" w:pos="3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spacing w:after="0" w:line="189" w:lineRule="exact"/>
        <w:rPr>
          <w:rFonts w:ascii="Times New Roman" w:cs="Times New Roman" w:eastAsia="Times New Roman" w:hAnsi="Times New Roman"/>
          <w:sz w:val="18"/>
          <w:szCs w:val="18"/>
          <w:color w:val="auto"/>
        </w:rPr>
      </w:pPr>
    </w:p>
    <w:p>
      <w:pPr>
        <w:ind w:left="328" w:right="20" w:hanging="328"/>
        <w:spacing w:after="0" w:line="266"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ectPr>
          <w:pgSz w:w="11900" w:h="16838" w:orient="portrait"/>
          <w:cols w:equalWidth="0" w:num="1">
            <w:col w:w="10908"/>
          </w:cols>
          <w:pgMar w:left="652" w:top="1440" w:right="339" w:bottom="1440" w:gutter="0" w:footer="0" w:header="0"/>
        </w:sectPr>
      </w:pPr>
    </w:p>
    <w:bookmarkStart w:id="41" w:name="page42"/>
    <w:bookmarkEnd w:id="41"/>
    <w:p>
      <w:pPr>
        <w:ind w:left="328" w:hanging="328"/>
        <w:spacing w:after="0" w:line="266"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and computation required by this Annual Plan will be subject to review by third-party auditors, and by the Compensation Committee.</w:t>
      </w:r>
    </w:p>
    <w:p>
      <w:pPr>
        <w:spacing w:after="0" w:line="189" w:lineRule="exact"/>
        <w:rPr>
          <w:rFonts w:ascii="Times New Roman" w:cs="Times New Roman" w:eastAsia="Times New Roman" w:hAnsi="Times New Roman"/>
          <w:sz w:val="18"/>
          <w:szCs w:val="18"/>
          <w:color w:val="auto"/>
        </w:rPr>
      </w:pPr>
    </w:p>
    <w:p>
      <w:pPr>
        <w:jc w:val="both"/>
        <w:ind w:left="328" w:hanging="328"/>
        <w:spacing w:after="0" w:line="238"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spacing w:after="0" w:line="212"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the intent of the Company to continue this Annual Plan as stated herein, the Company reserves the right to amend or discontinue the plan at any time in its sole discretion.</w:t>
      </w:r>
    </w:p>
    <w:p>
      <w:pPr>
        <w:spacing w:after="0" w:line="189" w:lineRule="exact"/>
        <w:rPr>
          <w:rFonts w:ascii="Times New Roman" w:cs="Times New Roman" w:eastAsia="Times New Roman" w:hAnsi="Times New Roman"/>
          <w:sz w:val="18"/>
          <w:szCs w:val="18"/>
          <w:color w:val="auto"/>
        </w:rPr>
      </w:pPr>
    </w:p>
    <w:p>
      <w:pPr>
        <w:ind w:left="328" w:right="20" w:hanging="328"/>
        <w:spacing w:after="0" w:line="266"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89"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under this document are in all respects subject to the provisions of the 2020 Plan to the same extent and with the same effect as if they were set forth fully therein. If the terms of this document or the Award conflict with the terms of the 2020 Plan, the 2020 Plan will control.</w:t>
      </w:r>
    </w:p>
    <w:p>
      <w:pPr>
        <w:spacing w:after="0" w:line="189"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this Plan shall be subject to all other Company policies, as amended, including but not limited to the Vera Bradley Compensation Recoupment Policy.</w:t>
      </w:r>
    </w:p>
    <w:p>
      <w:pPr>
        <w:sectPr>
          <w:pgSz w:w="11900" w:h="16838" w:orient="portrait"/>
          <w:cols w:equalWidth="0" w:num="1">
            <w:col w:w="10908"/>
          </w:cols>
          <w:pgMar w:left="652" w:top="140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3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Vera Bradley, Inc.</w:t>
      </w:r>
    </w:p>
    <w:p>
      <w:pPr>
        <w:spacing w:after="0" w:line="2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2020 Equity and Incentive Plan</w:t>
      </w: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LONG TERM INCENTIVE PLAN</w:t>
      </w:r>
    </w:p>
    <w:p>
      <w:pPr>
        <w:spacing w:after="0" w:line="2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UNIT/PERFORMANCE UNIT TERMS AND CONDITIONS</w:t>
      </w:r>
    </w:p>
    <w:p>
      <w:pPr>
        <w:spacing w:after="0" w:line="219" w:lineRule="exact"/>
        <w:rPr>
          <w:sz w:val="20"/>
          <w:szCs w:val="20"/>
          <w:color w:val="auto"/>
        </w:rPr>
      </w:pPr>
    </w:p>
    <w:p>
      <w:pPr>
        <w:ind w:left="328" w:hanging="328"/>
        <w:spacing w:after="0" w:line="266"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Any term capitalized herein but not defined will have the meaning set forth in the Vera Bradley, Inc. 2020 Equity and Incentive Plan (the "Plan").</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Vesting of Restricted Stock Units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968" w:hanging="320"/>
        <w:spacing w:after="0" w:line="245" w:lineRule="auto"/>
        <w:tabs>
          <w:tab w:leader="none" w:pos="95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grant date specified in the Award Agreement (the "Grant Date"), the Participant will be credited with the number of Restricted Stock Units set forth in the Award Agreement.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207"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will vest in accordance with the terms of the Award Agreement. If the Participant's Service with the Company and all of its Affiliates terminates before the date that a grant of Restricted Stock Units vests, his or her right to receive the Shares underlying such unvested Restricted Stock Units will be only as provided in Section 5.</w:t>
      </w:r>
    </w:p>
    <w:p>
      <w:pPr>
        <w:spacing w:after="0" w:line="2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Vesting of Performance Units ("Performance RSUs")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968" w:hanging="320"/>
        <w:spacing w:after="0" w:line="245" w:lineRule="auto"/>
        <w:tabs>
          <w:tab w:leader="none" w:pos="95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Grant Date, the Participant will be credited with the number of Performance RSUs set forth in the Award Agreement. Each Performance RSU is a notional amount that represents one unvested share of Common Stock. Each Performance RSU constitutes the right, subject to the terms and conditions of the Plan and this document, to the distribution of a Share if and when the Performance RSU is deemed earned and vested.</w:t>
      </w:r>
    </w:p>
    <w:p>
      <w:pPr>
        <w:spacing w:after="0" w:line="194" w:lineRule="exact"/>
        <w:rPr>
          <w:rFonts w:ascii="Times New Roman" w:cs="Times New Roman" w:eastAsia="Times New Roman" w:hAnsi="Times New Roman"/>
          <w:sz w:val="18"/>
          <w:szCs w:val="18"/>
          <w:color w:val="auto"/>
        </w:rPr>
      </w:pPr>
    </w:p>
    <w:p>
      <w:pPr>
        <w:jc w:val="both"/>
        <w:ind w:left="968" w:hanging="320"/>
        <w:spacing w:after="0" w:line="24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RSUs granted under the Plan will become earned only if the Company achieves a stated level of "Earnings Per Share" (as defined below) during the applicable Performance Year within the Performance Period as set forth in the Award Agreement. Except as provided in Section 5, any earned Performance RSUs (and the Participant's right to receive the Shares underlying such Performance RSUs) will become vested only if the Participant remains continuously employed with the Company during the Performance Period. The following additional provisions apply to grants of Performance RSUs:</w:t>
      </w:r>
    </w:p>
    <w:p>
      <w:pPr>
        <w:spacing w:after="0" w:line="209" w:lineRule="exact"/>
        <w:rPr>
          <w:rFonts w:ascii="Times New Roman" w:cs="Times New Roman" w:eastAsia="Times New Roman" w:hAnsi="Times New Roman"/>
          <w:sz w:val="18"/>
          <w:szCs w:val="18"/>
          <w:color w:val="auto"/>
        </w:rPr>
      </w:pPr>
    </w:p>
    <w:p>
      <w:pPr>
        <w:jc w:val="both"/>
        <w:ind w:left="1628" w:hanging="427"/>
        <w:spacing w:after="0" w:line="246" w:lineRule="auto"/>
        <w:tabs>
          <w:tab w:leader="none" w:pos="162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Certification of Results. </w:t>
      </w:r>
      <w:r>
        <w:rPr>
          <w:rFonts w:ascii="Times New Roman" w:cs="Times New Roman" w:eastAsia="Times New Roman" w:hAnsi="Times New Roman"/>
          <w:sz w:val="18"/>
          <w:szCs w:val="18"/>
          <w:color w:val="auto"/>
        </w:rPr>
        <w:t>Before any award of Performance RSUs is deemed earned with respect to a Performance Period,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shall certify, in accordance with Section 9.5 of the Plan, in writing (i) that the performance goals described in the Award Agreement has been achieved for the Performance Period, and (ii) the calculation of "Earnings Per Share" (as defined below) for each Performance Year within the Performance Period.</w:t>
      </w:r>
    </w:p>
    <w:p>
      <w:pPr>
        <w:spacing w:after="0" w:line="204" w:lineRule="exact"/>
        <w:rPr>
          <w:rFonts w:ascii="Times New Roman" w:cs="Times New Roman" w:eastAsia="Times New Roman" w:hAnsi="Times New Roman"/>
          <w:sz w:val="18"/>
          <w:szCs w:val="18"/>
          <w:color w:val="auto"/>
        </w:rPr>
      </w:pPr>
    </w:p>
    <w:p>
      <w:pPr>
        <w:jc w:val="both"/>
        <w:ind w:left="1628" w:hanging="477"/>
        <w:spacing w:after="0" w:line="236" w:lineRule="auto"/>
        <w:tabs>
          <w:tab w:leader="none" w:pos="162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of "Earnings Per Share." </w:t>
      </w:r>
      <w:r>
        <w:rPr>
          <w:rFonts w:ascii="Times New Roman" w:cs="Times New Roman" w:eastAsia="Times New Roman" w:hAnsi="Times New Roman"/>
          <w:sz w:val="18"/>
          <w:szCs w:val="18"/>
          <w:color w:val="auto"/>
        </w:rPr>
        <w:t>For purposes of this Subsection 3(b), the term "Earnings Per Share" means,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Awards of Performance RSUs, the Company's consolidated earnings per share,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(iv) the benefit related to tariff savings from Generalized System of Preferences (“GSP”) countries, and</w:t>
      </w:r>
    </w:p>
    <w:p>
      <w:pPr>
        <w:spacing w:after="0" w:line="1" w:lineRule="exact"/>
        <w:rPr>
          <w:rFonts w:ascii="Times New Roman" w:cs="Times New Roman" w:eastAsia="Times New Roman" w:hAnsi="Times New Roman"/>
          <w:sz w:val="18"/>
          <w:szCs w:val="18"/>
          <w:color w:val="auto"/>
        </w:rPr>
      </w:pPr>
    </w:p>
    <w:p>
      <w:pPr>
        <w:ind w:left="16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cumulative effect of changes to U.S. GAAP accounting.</w:t>
      </w:r>
    </w:p>
    <w:p>
      <w:pPr>
        <w:sectPr>
          <w:pgSz w:w="11900" w:h="16838" w:orient="portrait"/>
          <w:cols w:equalWidth="0" w:num="1">
            <w:col w:w="10908"/>
          </w:cols>
          <w:pgMar w:left="652" w:top="1400" w:right="339" w:bottom="1440" w:gutter="0" w:footer="0" w:header="0"/>
        </w:sectPr>
      </w:pPr>
    </w:p>
    <w:bookmarkStart w:id="43" w:name="page44"/>
    <w:bookmarkEnd w:id="43"/>
    <w:p>
      <w:pPr>
        <w:spacing w:after="0" w:line="205" w:lineRule="exact"/>
        <w:rPr>
          <w:sz w:val="20"/>
          <w:szCs w:val="20"/>
          <w:color w:val="auto"/>
        </w:rPr>
      </w:pPr>
    </w:p>
    <w:p>
      <w:pPr>
        <w:ind w:left="1628" w:hanging="526"/>
        <w:spacing w:after="0" w:line="268" w:lineRule="auto"/>
        <w:tabs>
          <w:tab w:leader="none" w:pos="162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of "Performance Year." </w:t>
      </w:r>
      <w:r>
        <w:rPr>
          <w:rFonts w:ascii="Times New Roman" w:cs="Times New Roman" w:eastAsia="Times New Roman" w:hAnsi="Times New Roman"/>
          <w:sz w:val="18"/>
          <w:szCs w:val="18"/>
          <w:color w:val="auto"/>
        </w:rPr>
        <w:t>For purposes of this Subsection 3(b), the term "Performance Year" means, with respect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of Performance RSUs, each fiscal year of the Company ending within the Performance Period.</w:t>
      </w:r>
    </w:p>
    <w:p>
      <w:pPr>
        <w:spacing w:after="0" w:line="185" w:lineRule="exact"/>
        <w:rPr>
          <w:rFonts w:ascii="Times New Roman" w:cs="Times New Roman" w:eastAsia="Times New Roman" w:hAnsi="Times New Roman"/>
          <w:sz w:val="18"/>
          <w:szCs w:val="18"/>
          <w:color w:val="auto"/>
        </w:rPr>
      </w:pPr>
    </w:p>
    <w:p>
      <w:pPr>
        <w:jc w:val="both"/>
        <w:ind w:left="1628" w:hanging="517"/>
        <w:spacing w:after="0" w:line="237" w:lineRule="auto"/>
        <w:tabs>
          <w:tab w:leader="none" w:pos="161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Finality of Committee Determinations. </w:t>
      </w:r>
      <w:r>
        <w:rPr>
          <w:rFonts w:ascii="Times New Roman" w:cs="Times New Roman" w:eastAsia="Times New Roman" w:hAnsi="Times New Roman"/>
          <w:sz w:val="18"/>
          <w:szCs w:val="18"/>
          <w:color w:val="auto"/>
        </w:rPr>
        <w:t>Any determination by the Committee of Earnings per Share and the level and entitlement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Award of Performance RSUs, and any interpretation, rule, or decision adopted by the Committee under the Plan or in carrying out or administering the Plan, is final and binding for all purposes and upon all interested persons, their heirs, and personal representatives. The Committee may rely conclusively on determinations made by the Company and its auditors to determine Earnings per Share and related information for purposes of administration of the Plan, whether such information is determined by the Company, its auditors, or a third-party vendor engaged to provide such information to the Company. This Subsection is not intended to limit the Committee's power, to the extent it deems proper in its sole discretion, to take any action permitted under the Plan.</w:t>
      </w:r>
    </w:p>
    <w:p>
      <w:pPr>
        <w:spacing w:after="0" w:line="21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5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a Restricted Stock Unit or an earned Performance RSU, as applicable, has vested and the Share underlying it has been distributed to the Participant, the Participant will not be entitled to vote in respect of that Restricted Stock Unit or Performance RSU (as applicable) or that Share.</w:t>
      </w:r>
    </w:p>
    <w:p>
      <w:pPr>
        <w:spacing w:after="0" w:line="203" w:lineRule="exact"/>
        <w:rPr>
          <w:rFonts w:ascii="Times New Roman" w:cs="Times New Roman" w:eastAsia="Times New Roman" w:hAnsi="Times New Roman"/>
          <w:sz w:val="18"/>
          <w:szCs w:val="18"/>
          <w:color w:val="auto"/>
        </w:rPr>
      </w:pPr>
    </w:p>
    <w:p>
      <w:pPr>
        <w:jc w:val="both"/>
        <w:ind w:left="968" w:hanging="320"/>
        <w:spacing w:after="0" w:line="236" w:lineRule="auto"/>
        <w:tabs>
          <w:tab w:leader="none" w:pos="9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or Performance RSUs (as applicable)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Performance RSUs, as applicable, awarded under the applicable Award Agreement, and will be paid in cash in a single sum at the time that the Shares associated with the Participant's Restricted Stock Units or Performance RSUs, as applicable, are delivered (or forfeited at the time that the Participant's Restricted Stock Units or Performance RSUs, as applicable, are forfeited).</w:t>
      </w:r>
    </w:p>
    <w:p>
      <w:pPr>
        <w:spacing w:after="0" w:line="217"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Change in Control</w:t>
      </w:r>
      <w:r>
        <w:rPr>
          <w:rFonts w:ascii="Times New Roman" w:cs="Times New Roman" w:eastAsia="Times New Roman" w:hAnsi="Times New Roman"/>
          <w:sz w:val="18"/>
          <w:szCs w:val="18"/>
          <w:color w:val="auto"/>
        </w:rPr>
        <w:t>. If a Participant's Service is terminated for any reason during the applicable Restricted Period or Performance Period, the terms and conditions of the underlying Award Agreement will govern when and whether the Participant will forfeit the right to receive Shares underlying any Restricted Stock Units or Performance RSUs, as applicable, that have not yet vested. To the extent provided in the underlying Award Agreement, all or a portion of the previously unvested Restricted Stock Units or Performance RSUs, as applicable, then outstanding will vest immediately prior to or upon the consummation of a Change in Control.</w:t>
      </w:r>
    </w:p>
    <w:p>
      <w:pPr>
        <w:spacing w:after="0" w:line="1" w:lineRule="exact"/>
        <w:rPr>
          <w:rFonts w:ascii="Times New Roman" w:cs="Times New Roman" w:eastAsia="Times New Roman" w:hAnsi="Times New Roman"/>
          <w:sz w:val="18"/>
          <w:szCs w:val="18"/>
          <w:color w:val="auto"/>
        </w:rPr>
      </w:pPr>
    </w:p>
    <w:p>
      <w:pPr>
        <w:jc w:val="both"/>
        <w:ind w:left="328"/>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w:t>
      </w:r>
    </w:p>
    <w:p>
      <w:pPr>
        <w:sectPr>
          <w:pgSz w:w="11900" w:h="16838" w:orient="portrait"/>
          <w:cols w:equalWidth="0" w:num="1">
            <w:col w:w="10908"/>
          </w:cols>
          <w:pgMar w:left="652" w:top="1440" w:right="339" w:bottom="1440" w:gutter="0" w:footer="0" w:header="0"/>
        </w:sectPr>
      </w:pPr>
    </w:p>
    <w:bookmarkStart w:id="44" w:name="page45"/>
    <w:bookmarkEnd w:id="44"/>
    <w:p>
      <w:pPr>
        <w:jc w:val="both"/>
        <w:ind w:left="328"/>
        <w:spacing w:after="0"/>
        <w:rPr>
          <w:sz w:val="20"/>
          <w:szCs w:val="20"/>
          <w:color w:val="auto"/>
        </w:rPr>
      </w:pPr>
      <w:r>
        <w:rPr>
          <w:rFonts w:ascii="Times New Roman" w:cs="Times New Roman" w:eastAsia="Times New Roman" w:hAnsi="Times New Roman"/>
          <w:sz w:val="18"/>
          <w:szCs w:val="18"/>
          <w:color w:val="auto"/>
        </w:rPr>
        <w:t>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98" w:lineRule="exact"/>
        <w:rPr>
          <w:sz w:val="20"/>
          <w:szCs w:val="20"/>
          <w:color w:val="auto"/>
        </w:rPr>
      </w:pPr>
    </w:p>
    <w:p>
      <w:pPr>
        <w:jc w:val="both"/>
        <w:ind w:left="328" w:hanging="328"/>
        <w:spacing w:after="0" w:line="230"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and Form of Payment</w:t>
      </w:r>
      <w:r>
        <w:rPr>
          <w:rFonts w:ascii="Times New Roman" w:cs="Times New Roman" w:eastAsia="Times New Roman" w:hAnsi="Times New Roman"/>
          <w:sz w:val="18"/>
          <w:szCs w:val="18"/>
          <w:color w:val="auto"/>
        </w:rPr>
        <w:t>. Except as provided in this Section or in clauses 2(b) or 3(b) or Section 5, above, once a Restricted Stock Unit vests or a Performance RSU is earned and vested, as applicable, the Participant will be entitled to receive a Share in its place. Delivery of the Share will be made, including delivery with respect to a Disabled Participant, or to the estate of a deceased Participant, after the end of the Restricted Period or Performance Period, as applicable, and not later than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the third month following the end of the Restricted Period or Performance Period, as applicable. Shares will be credited to an account established for the benefit of the Participant with the Company's administrative agent. The Participant will have full legal and beneficial ownership with respect to the Shares at that time.</w:t>
      </w:r>
    </w:p>
    <w:p>
      <w:pPr>
        <w:spacing w:after="0" w:line="212"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Transfers</w:t>
      </w:r>
      <w:r>
        <w:rPr>
          <w:rFonts w:ascii="Times New Roman" w:cs="Times New Roman" w:eastAsia="Times New Roman" w:hAnsi="Times New Roman"/>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89" w:lineRule="exact"/>
        <w:rPr>
          <w:rFonts w:ascii="Times New Roman" w:cs="Times New Roman" w:eastAsia="Times New Roman" w:hAnsi="Times New Roman"/>
          <w:sz w:val="18"/>
          <w:szCs w:val="18"/>
          <w:color w:val="auto"/>
        </w:rPr>
      </w:pPr>
    </w:p>
    <w:p>
      <w:pPr>
        <w:jc w:val="both"/>
        <w:ind w:left="328" w:hanging="328"/>
        <w:spacing w:after="0" w:line="245"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w:t>
      </w:r>
      <w:r>
        <w:rPr>
          <w:rFonts w:ascii="Times New Roman" w:cs="Times New Roman" w:eastAsia="Times New Roman" w:hAnsi="Times New Roman"/>
          <w:sz w:val="18"/>
          <w:szCs w:val="18"/>
          <w:color w:val="auto"/>
        </w:rPr>
        <w:t>. The Company shall have the power and the right to deduct or withhold an amount sufficient to satisfy federal, state, and local taxes (including FICA obligations), domestic or foreign, and other deductions required by law to be withheld with respect to the Award. Unless the Committee or its designee agrees to a different method for withholding such taxes, the number of Shares (underlying the Award) necessary to cover applicable withholdings will be withheld from the issuance of any Shares of exchange for the Award.</w:t>
      </w:r>
    </w:p>
    <w:p>
      <w:pPr>
        <w:spacing w:after="0" w:line="2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Requirements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41" w:lineRule="auto"/>
        <w:tabs>
          <w:tab w:leader="none" w:pos="95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Performance RSUs are subject to the further requirement that, if at any time the Committee determines in its sole discretion that the listing or qualification of the Shares subject to the Restricted Stock Units and Performance RSUs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and Performance RSUs, unless the necessary listing, qualification, consent or approval has been effected or obtained free of any conditions not acceptable to the Committee.</w:t>
      </w:r>
    </w:p>
    <w:p>
      <w:pPr>
        <w:spacing w:after="0" w:line="210" w:lineRule="exact"/>
        <w:rPr>
          <w:rFonts w:ascii="Times New Roman" w:cs="Times New Roman" w:eastAsia="Times New Roman" w:hAnsi="Times New Roman"/>
          <w:sz w:val="18"/>
          <w:szCs w:val="18"/>
          <w:color w:val="auto"/>
        </w:rPr>
      </w:pPr>
    </w:p>
    <w:p>
      <w:pPr>
        <w:jc w:val="both"/>
        <w:ind w:left="968" w:hanging="320"/>
        <w:spacing w:after="0" w:line="237" w:lineRule="auto"/>
        <w:tabs>
          <w:tab w:leader="none" w:pos="9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214"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Limitation on Rights of the Company</w:t>
      </w:r>
      <w:r>
        <w:rPr>
          <w:rFonts w:ascii="Times New Roman" w:cs="Times New Roman" w:eastAsia="Times New Roman" w:hAnsi="Times New Roman"/>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ectPr>
          <w:pgSz w:w="11900" w:h="16838" w:orient="portrait"/>
          <w:cols w:equalWidth="0" w:num="1">
            <w:col w:w="10908"/>
          </w:cols>
          <w:pgMar w:left="652" w:top="1404" w:right="339" w:bottom="1440" w:gutter="0" w:footer="0" w:header="0"/>
        </w:sectPr>
      </w:pPr>
    </w:p>
    <w:bookmarkStart w:id="45" w:name="page46"/>
    <w:bookmarkEnd w:id="45"/>
    <w:p>
      <w:pPr>
        <w:jc w:val="both"/>
        <w:ind w:left="328" w:hanging="328"/>
        <w:spacing w:after="0"/>
        <w:tabs>
          <w:tab w:leader="none" w:pos="3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Restricted Stock Units, Performance RSUs and Award Not a Contract of Employment</w:t>
      </w:r>
      <w:r>
        <w:rPr>
          <w:rFonts w:ascii="Times New Roman" w:cs="Times New Roman" w:eastAsia="Times New Roman" w:hAnsi="Times New Roman"/>
          <w:sz w:val="18"/>
          <w:szCs w:val="18"/>
          <w:color w:val="auto"/>
        </w:rPr>
        <w:t>. Neither the Plan, the Restricted Stock Units, the Performance RSUs nor any other right or interest that is part of the Award granted under the Plan or this document is a contract of employment, and no terms of employment or Service of the Participant will be affected in any way by the Plan, the Restricted Stock Units, the Performance RSUs,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98"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to Have No Rights as a Stockholder</w:t>
      </w:r>
      <w:r>
        <w:rPr>
          <w:rFonts w:ascii="Times New Roman" w:cs="Times New Roman" w:eastAsia="Times New Roman" w:hAnsi="Times New Roman"/>
          <w:sz w:val="18"/>
          <w:szCs w:val="18"/>
          <w:color w:val="auto"/>
        </w:rPr>
        <w:t>. Except as provided in Section 4 above, the Participant will have no rights as a stockholder with respect to any Shares subject to the Restricted Stock Units or Performance RSUs, as applicable, prior to the date on which he or she is recorded as the holder of those Shares on the records of the Company.</w:t>
      </w:r>
    </w:p>
    <w:p>
      <w:pPr>
        <w:spacing w:after="0" w:line="203" w:lineRule="exact"/>
        <w:rPr>
          <w:rFonts w:ascii="Times New Roman" w:cs="Times New Roman" w:eastAsia="Times New Roman" w:hAnsi="Times New Roman"/>
          <w:sz w:val="18"/>
          <w:szCs w:val="18"/>
          <w:color w:val="auto"/>
        </w:rPr>
      </w:pPr>
    </w:p>
    <w:p>
      <w:pPr>
        <w:jc w:val="both"/>
        <w:ind w:left="328" w:hanging="328"/>
        <w:spacing w:after="0" w:line="245"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12420 Stonebridge Road, Roanoke, Indiana 46783, Attn: Corporate Secretary, and, in the case of the Participant, to the last known address of the Participant in the Company's records.</w:t>
      </w:r>
    </w:p>
    <w:p>
      <w:pPr>
        <w:spacing w:after="0" w:line="207"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document and the Award will be construed and enforced in accordance with, and governed by, the laws of the State of Indiana, determined without regard to its conflict of law rules.</w:t>
      </w:r>
    </w:p>
    <w:p>
      <w:pPr>
        <w:spacing w:after="0" w:line="189" w:lineRule="exact"/>
        <w:rPr>
          <w:rFonts w:ascii="Times New Roman" w:cs="Times New Roman" w:eastAsia="Times New Roman" w:hAnsi="Times New Roman"/>
          <w:sz w:val="18"/>
          <w:szCs w:val="18"/>
          <w:color w:val="auto"/>
        </w:rPr>
      </w:pPr>
    </w:p>
    <w:p>
      <w:pPr>
        <w:jc w:val="both"/>
        <w:ind w:left="328" w:hanging="328"/>
        <w:spacing w:after="0" w:line="245"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94" w:lineRule="exact"/>
        <w:rPr>
          <w:rFonts w:ascii="Times New Roman" w:cs="Times New Roman" w:eastAsia="Times New Roman" w:hAnsi="Times New Roman"/>
          <w:sz w:val="18"/>
          <w:szCs w:val="18"/>
          <w:color w:val="auto"/>
        </w:rPr>
      </w:pPr>
    </w:p>
    <w:p>
      <w:pPr>
        <w:jc w:val="both"/>
        <w:ind w:left="328" w:right="20" w:hanging="328"/>
        <w:spacing w:after="0" w:line="250"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Document Controls</w:t>
      </w:r>
      <w:r>
        <w:rPr>
          <w:rFonts w:ascii="Times New Roman" w:cs="Times New Roman" w:eastAsia="Times New Roman" w:hAnsi="Times New Roman"/>
          <w:sz w:val="18"/>
          <w:szCs w:val="18"/>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ectPr>
          <w:pgSz w:w="11900" w:h="16838" w:orient="portrait"/>
          <w:cols w:equalWidth="0" w:num="1">
            <w:col w:w="10908"/>
          </w:cols>
          <w:pgMar w:left="652" w:top="140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AMENDED AND RESTATED EMPLOYMENT AGREEMENT</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This Third Amended and Restated Employment Agreement (“Agreement”), executed on this 9th day of June 2022, effective as of June 9, 2022 (the “Effective Date”), by and between Vera Bradley, Inc., an Indiana corporation (the “Corporation”), and Robert Wallstrom (“Executive”). The Corporation and Executive are referred to jointly below as the “Parties.” This Agreement supersedes and replaces the Employment Agreement entered between the Parties on November 4, 2013 and any subsequent amendments to such Employment Agreement.</w:t>
      </w:r>
    </w:p>
    <w:p>
      <w:pPr>
        <w:spacing w:after="0" w:line="20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 desires to employ Executive and Executive desires to accept employment with the Corporation on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this Agreement.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employment of Executive, the mutual terms and conditions set forth below,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is hereby acknowledged, the Parties agree as follows:</w:t>
      </w:r>
    </w:p>
    <w:p>
      <w:pPr>
        <w:spacing w:after="0" w:line="185" w:lineRule="exact"/>
        <w:rPr>
          <w:sz w:val="20"/>
          <w:szCs w:val="20"/>
          <w:color w:val="auto"/>
        </w:rPr>
      </w:pPr>
    </w:p>
    <w:p>
      <w:pPr>
        <w:jc w:val="both"/>
        <w:ind w:left="660" w:hanging="328"/>
        <w:spacing w:after="0" w:line="23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Duties</w:t>
      </w:r>
      <w:r>
        <w:rPr>
          <w:rFonts w:ascii="Times New Roman" w:cs="Times New Roman" w:eastAsia="Times New Roman" w:hAnsi="Times New Roman"/>
          <w:sz w:val="18"/>
          <w:szCs w:val="18"/>
          <w:color w:val="auto"/>
        </w:rPr>
        <w:t>. Executive will be employed by the Corporation in the position of President and Chief Executive Officer. Executive will report to the Corporation’s Board of Directors (the “Board”). Executive’s primary responsibility will be executive management of the business and affairs of the Corporation and its Affiliates (as defined below). Executive will have all of the authority, duties and responsibilities commensurate with the position, and will carry out such duties commensurate with the position as shall be assigned from time to time by the Board, subject to applicable laws, and ethical duties. During the Term (as defined below), Executive shall devote Executive’s reasonable best efforts, energies and abilities and Executive’s full business time, skill and attention to the business and affairs of the Corporation and its Affiliates, and shall act at all times according to the highest professional standards, for the purpose of advancing the business of the Corporation and its Affiliates. However, Executive may devote reasonable time to activities such as supervision of personal investments and activities involving professional, charitable, educational, civic, religious and similar types of activities, speaking engagements and membership on other boards of directors, provided such activities do not interfere in any material way with the business of the Corporation, and provided further that Executive cannot serve on a board of directors of a publicly traded company without the written consent of the Board. The time involved in such activities shall not be treated as vacation time. Executive shall be entitled to keep any amounts paid to him in connection with such activities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director fees and honoraria). Executive’s principal place of employment will be the Corporation’s headquarters in Fort Wayne, Indiana. During the Term, Executive also agrees to serve, if elected, as an officer and director of any Affiliate of the Corporation. For purposes of this Agreement, an “Affiliate” shall mean a corporation that, for purposes of Section 422 of the Internal Revenue Code of 1986, as amended (the “Code”), is a Parent or Subsidiary of the Corporation within the meaning of Code Sections 424(e) and 424(f).</w:t>
      </w:r>
    </w:p>
    <w:p>
      <w:pPr>
        <w:spacing w:after="0" w:line="21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On the Effective Date, the Board shall elect Executive to the Board. In accordance with the Corporation’s by-laws, the Corporation shall nominate Executive as a director for shareholder approval at the 2014 annual meeting and at each annual meeting thereafter during the Term in which his term as a director is due to expire.</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Employment under this Agreement shall commence on the Effective Date and shall expire at 5:00 p.m. E.S.T. at the end of the fiscal year ending on or about January 31, 2017 (the “Initial Term”), unless terminated earlier pursuant to the provisions of Sections 7, 8, 9 or 11 hereof. The term of employment shall be renewed automatically for successive fiscal year periods (each a “Renewal Term”) after the expiration of the Initial Term, unless the Corporation provides Executive, or Executive provides the Corporation, with written notice to the contrary at least one hundred eighty (180) calendar days prior to the end of the Initial Term or any Renewal Term. The Initial Term and any Renewal Terms are collectively referred to herein as the “Term.” If either the Corporation or Executive elects not to renew the Term of this Agreement in accordance with this Section 3 and Executive thereafter continues in employment with the Corporation or its Affiliates, Executive shall be employed on an at-will basis and the terms of such employment and any subsequent termination of employment shall be subject solely to the Corporation’s general employment practices and policies. In the event of a “Change in Control” of the Corporation (as such term is defined in</w:t>
      </w:r>
    </w:p>
    <w:p>
      <w:pPr>
        <w:sectPr>
          <w:pgSz w:w="11900" w:h="16838" w:orient="portrait"/>
          <w:cols w:equalWidth="0" w:num="1">
            <w:col w:w="11240"/>
          </w:cols>
          <w:pgMar w:left="320" w:top="1413" w:right="339" w:bottom="1440" w:gutter="0" w:footer="0" w:header="0"/>
        </w:sectPr>
      </w:pPr>
    </w:p>
    <w:bookmarkStart w:id="47" w:name="page48"/>
    <w:bookmarkEnd w:id="47"/>
    <w:p>
      <w:pPr>
        <w:jc w:val="both"/>
        <w:ind w:left="328"/>
        <w:spacing w:after="0" w:line="250" w:lineRule="auto"/>
        <w:rPr>
          <w:sz w:val="20"/>
          <w:szCs w:val="20"/>
          <w:color w:val="auto"/>
        </w:rPr>
      </w:pPr>
      <w:r>
        <w:rPr>
          <w:rFonts w:ascii="Times New Roman" w:cs="Times New Roman" w:eastAsia="Times New Roman" w:hAnsi="Times New Roman"/>
          <w:sz w:val="18"/>
          <w:szCs w:val="18"/>
          <w:color w:val="auto"/>
        </w:rPr>
        <w:t>the Vera Bradley, Inc. 2020 Equity and Incentive Plan, as amended or any successor thereto (the “Equity Plan”)) during the Term, the Term automatically will be extended until the later of (i) the second anniversary of the Change in Control, or (ii) the scheduled expiration of the then-current Term.</w:t>
      </w:r>
    </w:p>
    <w:p>
      <w:pPr>
        <w:spacing w:after="0" w:line="204" w:lineRule="exact"/>
        <w:rPr>
          <w:sz w:val="20"/>
          <w:szCs w:val="20"/>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15" w:lineRule="exact"/>
        <w:rPr>
          <w:rFonts w:ascii="Times New Roman" w:cs="Times New Roman" w:eastAsia="Times New Roman" w:hAnsi="Times New Roman"/>
          <w:sz w:val="18"/>
          <w:szCs w:val="18"/>
          <w:color w:val="auto"/>
        </w:rPr>
      </w:pPr>
    </w:p>
    <w:p>
      <w:pPr>
        <w:jc w:val="both"/>
        <w:ind w:left="968" w:hanging="320"/>
        <w:spacing w:after="0" w:line="232" w:lineRule="auto"/>
        <w:tabs>
          <w:tab w:leader="none" w:pos="95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Corporation shall pay to Executive an annual base salary (“Base Salary”) of eight hundred seventy-one thousand two-hundred fifty dollars (U.S. $871,250) effective as of the Effective Date. The Corporation will pay Executive’s Base Salary in equal installments in accordance with the Corporation’s standard payroll policies and schedule, subject to tax and elective withholding and deductions. Thereafter, the Compensation Committee of the Board (the “Committee”) shall review Executive’s performance and Base Salary annually no later than March of each year, in light of competitive data, the Corporation’s performance, and Executive’s performance, and determine whether to adjust Executive’s Base Salary on a prospective basis, subject to Section 7(b). Such adjusted annual salary then shall become Executive’s “Base Salary” for purposes of this Agreement and shall become effective in accordance with the same schedule as applied for all annual employee base salary changes.</w:t>
      </w:r>
    </w:p>
    <w:p>
      <w:pPr>
        <w:spacing w:after="0" w:line="5" w:lineRule="exact"/>
        <w:rPr>
          <w:rFonts w:ascii="Times New Roman" w:cs="Times New Roman" w:eastAsia="Times New Roman" w:hAnsi="Times New Roman"/>
          <w:sz w:val="18"/>
          <w:szCs w:val="18"/>
          <w:color w:val="auto"/>
        </w:rPr>
      </w:pPr>
    </w:p>
    <w:p>
      <w:pPr>
        <w:jc w:val="both"/>
        <w:ind w:left="968" w:hanging="320"/>
        <w:spacing w:after="0" w:line="233" w:lineRule="auto"/>
        <w:tabs>
          <w:tab w:leader="none" w:pos="9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Executive will be eligible for an annual cash bonus (the “Bonus”), based on performance, and calculated as a percentage of Executive’s Base Salary, subject to the performance goals and procedures established by the Committee annually after consultation with Executive. Subject to the terms and conditions of the annual cash bonus plan, Executive’s target bonus opportunity for each fiscal year shall be one hundred percent (100%) of Base Salary and the maximum bonus opportunity shall be two hundred percent (200%) of Base Salary. Executive will become eligible for participation in the annual bonus plan for the 2015 fiscal year and Executive’s guaranteed annual bonus for that fiscal year shall be one hundred percent (100%) of Base Salary. Thereafter, the Committee shall establish a minimum performance level each year, below which no bonus will be paid. Actual payments under the annual bonus plan will be determined by the Committee, in its discretion, and will be based upon the level of achievement of the pre-established performance goals. The Bonus will be paid at the time payment is made to other similarly situated executives of the Corporation, but in no event later than two and one-half (2½) months after the close of the fiscal year in which Executive becomes vested in such Bonus, and is intended to qualify for the short-term deferral exception to Code Section 409A. The Corporation may make changes to the design, vehicles and weighting of the annual bonus plan if such changes are applicable to all executives generally.</w:t>
      </w:r>
    </w:p>
    <w:p>
      <w:pPr>
        <w:spacing w:after="0" w:line="5" w:lineRule="exact"/>
        <w:rPr>
          <w:rFonts w:ascii="Times New Roman" w:cs="Times New Roman" w:eastAsia="Times New Roman" w:hAnsi="Times New Roman"/>
          <w:sz w:val="18"/>
          <w:szCs w:val="18"/>
          <w:color w:val="auto"/>
        </w:rPr>
      </w:pPr>
    </w:p>
    <w:p>
      <w:pPr>
        <w:jc w:val="both"/>
        <w:ind w:left="968" w:hanging="320"/>
        <w:spacing w:after="0" w:line="237" w:lineRule="auto"/>
        <w:tabs>
          <w:tab w:leader="none" w:pos="95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 Executive will be eligible to participate in any long-term incentive plans, and/or equity-based compensation plans established or maintained by the Corporation for its senior executive officers or employees, including, but not limited to, the Equity Plan. For the Corporation’s 2015 fiscal year, the equity-based compensation grant shall have an economic value at grant of eight hundred thousand dollars ($800,000), and shall be made as part of the regular annual grant cycle for all executives of the Corporation (generally in the first quarter). The Corporation may make changes to the design, vehicles and weighting of the Equity Plan if such changes are applicable to all executives generally.</w:t>
      </w:r>
    </w:p>
    <w:p>
      <w:pPr>
        <w:spacing w:after="0" w:line="21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w:t>
      </w:r>
    </w:p>
    <w:p>
      <w:pPr>
        <w:spacing w:after="0" w:line="15" w:lineRule="exact"/>
        <w:rPr>
          <w:rFonts w:ascii="Times New Roman" w:cs="Times New Roman" w:eastAsia="Times New Roman" w:hAnsi="Times New Roman"/>
          <w:sz w:val="18"/>
          <w:szCs w:val="18"/>
          <w:color w:val="auto"/>
        </w:rPr>
      </w:pPr>
    </w:p>
    <w:p>
      <w:pPr>
        <w:jc w:val="both"/>
        <w:ind w:left="968" w:hanging="320"/>
        <w:spacing w:after="0" w:line="232" w:lineRule="auto"/>
        <w:tabs>
          <w:tab w:leader="none" w:pos="95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the extent eligible to participate in any benefit plans as may be adopted and modified by the Corporation from time to time, including without limitation health, dental and medical plans, life and disability insurance, paid MTO, holiday, and retirement plans. The benefits available to Executive shall be no less favorable than those available to other executives at similar levels within the organization or to the employees of the Corporation at the location where Executive works. Benefits provided under this Agreement shall be subject to the terms and conditions of any applicable benefit plan, including any eligibility and vesting requirements, as such plans may be in effect or modified by the Corporation from time to time.</w:t>
      </w:r>
    </w:p>
    <w:p>
      <w:pPr>
        <w:jc w:val="both"/>
        <w:ind w:left="968" w:hanging="320"/>
        <w:spacing w:after="0" w:line="234" w:lineRule="auto"/>
        <w:tabs>
          <w:tab w:leader="none" w:pos="9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twenty-six (26) days of paid managed time off (“MTO”) each year. The maximum number of accrued MTO hours that Executive can have at any point in time is equal to the total MTO hours earned in the last twelve (12) months, plus one (1) week of MTO carried over from the prior twelve (12) months of service.</w:t>
      </w:r>
    </w:p>
    <w:p>
      <w:pPr>
        <w:spacing w:after="0" w:line="2" w:lineRule="exact"/>
        <w:rPr>
          <w:rFonts w:ascii="Times New Roman" w:cs="Times New Roman" w:eastAsia="Times New Roman" w:hAnsi="Times New Roman"/>
          <w:sz w:val="18"/>
          <w:szCs w:val="18"/>
          <w:color w:val="auto"/>
        </w:rPr>
      </w:pPr>
    </w:p>
    <w:p>
      <w:pPr>
        <w:jc w:val="both"/>
        <w:ind w:left="968" w:hanging="320"/>
        <w:spacing w:after="0" w:line="239" w:lineRule="auto"/>
        <w:tabs>
          <w:tab w:leader="none" w:pos="95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reimburse Executive for all reasonable and necessary travel, business entertainment, professional membership and other business expenses incurred by Executive in connection with the performance of Executive’s duties under this Agreement, on a basis upon</w:t>
      </w:r>
    </w:p>
    <w:p>
      <w:pPr>
        <w:sectPr>
          <w:pgSz w:w="11900" w:h="16838" w:orient="portrait"/>
          <w:cols w:equalWidth="0" w:num="1">
            <w:col w:w="10908"/>
          </w:cols>
          <w:pgMar w:left="652" w:top="1404" w:right="339" w:bottom="1440" w:gutter="0" w:footer="0" w:header="0"/>
        </w:sectPr>
      </w:pPr>
    </w:p>
    <w:bookmarkStart w:id="48" w:name="page49"/>
    <w:bookmarkEnd w:id="48"/>
    <w:p>
      <w:pPr>
        <w:jc w:val="center"/>
        <w:ind w:right="12"/>
        <w:spacing w:after="0"/>
        <w:rPr>
          <w:sz w:val="20"/>
          <w:szCs w:val="20"/>
          <w:color w:val="auto"/>
        </w:rPr>
      </w:pPr>
      <w:r>
        <w:rPr>
          <w:rFonts w:ascii="Times New Roman" w:cs="Times New Roman" w:eastAsia="Times New Roman" w:hAnsi="Times New Roman"/>
          <w:sz w:val="18"/>
          <w:szCs w:val="18"/>
          <w:color w:val="auto"/>
        </w:rPr>
        <w:t>timely submission by Executive of vouchers therefor in accordance with the Corporation’s standard policies and procedures.</w:t>
      </w:r>
    </w:p>
    <w:p>
      <w:pPr>
        <w:spacing w:after="0" w:line="16" w:lineRule="exact"/>
        <w:rPr>
          <w:sz w:val="20"/>
          <w:szCs w:val="20"/>
          <w:color w:val="auto"/>
        </w:rPr>
      </w:pPr>
    </w:p>
    <w:p>
      <w:pPr>
        <w:jc w:val="both"/>
        <w:ind w:left="968" w:hanging="320"/>
        <w:spacing w:after="0" w:line="238" w:lineRule="auto"/>
        <w:tabs>
          <w:tab w:leader="none" w:pos="9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provide Executive with the following relocation reimbursements and benefits during the Initial Term, which, except as provided below, shall be paid or reimbursed within thirty (30) days of the date such expenses were incurred, but in no event later than the last day of Executive’s taxable year following the taxable year in which the expense was incurred, provided that Executive has submitted vouchers therefor (other than the Cash Lump Sum Bonus) in accordance with the Corporation’s standard policies and</w:t>
      </w:r>
    </w:p>
    <w:p>
      <w:pPr>
        <w:spacing w:after="0" w:line="8" w:lineRule="exact"/>
        <w:rPr>
          <w:sz w:val="20"/>
          <w:szCs w:val="20"/>
          <w:color w:val="auto"/>
        </w:rPr>
      </w:pPr>
    </w:p>
    <w:tbl>
      <w:tblPr>
        <w:tblLayout w:type="fixed"/>
        <w:tblInd w:w="968" w:type="dxa"/>
        <w:tblCellMar>
          <w:top w:w="0" w:type="dxa"/>
          <w:left w:w="0" w:type="dxa"/>
          <w:bottom w:w="0" w:type="dxa"/>
          <w:right w:w="0" w:type="dxa"/>
        </w:tblCellMar>
      </w:tblPr>
      <w:tr>
        <w:trPr>
          <w:trHeight w:val="263"/>
        </w:trPr>
        <w:tc>
          <w:tcPr>
            <w:tcW w:w="900" w:type="dxa"/>
            <w:vAlign w:val="bottom"/>
          </w:tcPr>
          <w:p>
            <w:pPr>
              <w:spacing w:after="0"/>
              <w:rPr>
                <w:sz w:val="22"/>
                <w:szCs w:val="22"/>
                <w:color w:val="auto"/>
              </w:rPr>
            </w:pPr>
          </w:p>
        </w:tc>
        <w:tc>
          <w:tcPr>
            <w:tcW w:w="2780" w:type="dxa"/>
            <w:vAlign w:val="bottom"/>
            <w:tcBorders>
              <w:top w:val="single" w:sz="8" w:color="auto"/>
              <w:left w:val="single" w:sz="8" w:color="auto"/>
              <w:bottom w:val="single" w:sz="8" w:color="auto"/>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8"/>
                <w:szCs w:val="18"/>
                <w:b w:val="1"/>
                <w:bCs w:val="1"/>
                <w:color w:val="auto"/>
              </w:rPr>
              <w:t>Relocation Assistance</w:t>
            </w:r>
          </w:p>
        </w:tc>
        <w:tc>
          <w:tcPr>
            <w:tcW w:w="5720" w:type="dxa"/>
            <w:vAlign w:val="bottom"/>
            <w:tcBorders>
              <w:top w:val="single" w:sz="8" w:color="auto"/>
              <w:bottom w:val="single" w:sz="8" w:color="auto"/>
              <w:right w:val="single" w:sz="8" w:color="auto"/>
            </w:tcBorders>
            <w:shd w:val="clear" w:color="auto" w:fill="EEECE1"/>
          </w:tcPr>
          <w:p>
            <w:pPr>
              <w:spacing w:after="0"/>
              <w:rPr>
                <w:sz w:val="20"/>
                <w:szCs w:val="20"/>
                <w:color w:val="auto"/>
              </w:rPr>
            </w:pPr>
            <w:r>
              <w:rPr>
                <w:rFonts w:ascii="Times New Roman" w:cs="Times New Roman" w:eastAsia="Times New Roman" w:hAnsi="Times New Roman"/>
                <w:sz w:val="18"/>
                <w:szCs w:val="18"/>
                <w:b w:val="1"/>
                <w:bCs w:val="1"/>
                <w:color w:val="auto"/>
              </w:rPr>
              <w:t>Details</w:t>
            </w: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27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Temporary Living</w:t>
            </w:r>
          </w:p>
        </w:tc>
        <w:tc>
          <w:tcPr>
            <w:tcW w:w="572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Interim living expenses reimbursed up to $3,000 per month for the first six (6)</w:t>
            </w:r>
          </w:p>
        </w:tc>
        <w:tc>
          <w:tcPr>
            <w:tcW w:w="0" w:type="dxa"/>
            <w:vAlign w:val="bottom"/>
          </w:tcPr>
          <w:p>
            <w:pPr>
              <w:spacing w:after="0"/>
              <w:rPr>
                <w:sz w:val="1"/>
                <w:szCs w:val="1"/>
                <w:color w:val="auto"/>
              </w:rPr>
            </w:pPr>
          </w:p>
        </w:tc>
      </w:tr>
      <w:tr>
        <w:trPr>
          <w:trHeight w:val="126"/>
        </w:trPr>
        <w:tc>
          <w:tcPr>
            <w:tcW w:w="900" w:type="dxa"/>
            <w:vAlign w:val="bottom"/>
          </w:tcPr>
          <w:p>
            <w:pPr>
              <w:spacing w:after="0"/>
              <w:rPr>
                <w:sz w:val="10"/>
                <w:szCs w:val="10"/>
                <w:color w:val="auto"/>
              </w:rPr>
            </w:pPr>
          </w:p>
        </w:tc>
        <w:tc>
          <w:tcPr>
            <w:tcW w:w="2780" w:type="dxa"/>
            <w:vAlign w:val="bottom"/>
            <w:tcBorders>
              <w:left w:val="single" w:sz="8" w:color="auto"/>
              <w:right w:val="single" w:sz="8" w:color="auto"/>
            </w:tcBorders>
            <w:vMerge w:val="continue"/>
          </w:tcPr>
          <w:p>
            <w:pPr>
              <w:spacing w:after="0"/>
              <w:rPr>
                <w:sz w:val="10"/>
                <w:szCs w:val="10"/>
                <w:color w:val="auto"/>
              </w:rPr>
            </w:pPr>
          </w:p>
        </w:tc>
        <w:tc>
          <w:tcPr>
            <w:tcW w:w="5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months of employment</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2780" w:type="dxa"/>
            <w:vAlign w:val="bottom"/>
            <w:tcBorders>
              <w:left w:val="single" w:sz="8" w:color="auto"/>
              <w:right w:val="single" w:sz="8" w:color="auto"/>
            </w:tcBorders>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27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Moving of Household Goods</w:t>
            </w:r>
          </w:p>
        </w:tc>
        <w:tc>
          <w:tcPr>
            <w:tcW w:w="5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Reimbursement prior to March 15, 2014 of costs associated with moving</w:t>
            </w:r>
          </w:p>
        </w:tc>
        <w:tc>
          <w:tcPr>
            <w:tcW w:w="0" w:type="dxa"/>
            <w:vAlign w:val="bottom"/>
          </w:tcPr>
          <w:p>
            <w:pPr>
              <w:spacing w:after="0"/>
              <w:rPr>
                <w:sz w:val="1"/>
                <w:szCs w:val="1"/>
                <w:color w:val="auto"/>
              </w:rPr>
            </w:pPr>
          </w:p>
        </w:tc>
      </w:tr>
      <w:tr>
        <w:trPr>
          <w:trHeight w:val="126"/>
        </w:trPr>
        <w:tc>
          <w:tcPr>
            <w:tcW w:w="900" w:type="dxa"/>
            <w:vAlign w:val="bottom"/>
          </w:tcPr>
          <w:p>
            <w:pPr>
              <w:spacing w:after="0"/>
              <w:rPr>
                <w:sz w:val="10"/>
                <w:szCs w:val="10"/>
                <w:color w:val="auto"/>
              </w:rPr>
            </w:pPr>
          </w:p>
        </w:tc>
        <w:tc>
          <w:tcPr>
            <w:tcW w:w="2780" w:type="dxa"/>
            <w:vAlign w:val="bottom"/>
            <w:tcBorders>
              <w:left w:val="single" w:sz="8" w:color="auto"/>
              <w:right w:val="single" w:sz="8" w:color="auto"/>
            </w:tcBorders>
            <w:vMerge w:val="continue"/>
          </w:tcPr>
          <w:p>
            <w:pPr>
              <w:spacing w:after="0"/>
              <w:rPr>
                <w:sz w:val="10"/>
                <w:szCs w:val="10"/>
                <w:color w:val="auto"/>
              </w:rPr>
            </w:pPr>
          </w:p>
        </w:tc>
        <w:tc>
          <w:tcPr>
            <w:tcW w:w="5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household and personal effects (estimated to be approximately $25,000)</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2780" w:type="dxa"/>
            <w:vAlign w:val="bottom"/>
            <w:tcBorders>
              <w:left w:val="single" w:sz="8" w:color="auto"/>
              <w:right w:val="single" w:sz="8" w:color="auto"/>
            </w:tcBorders>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2780" w:type="dxa"/>
            <w:vAlign w:val="bottom"/>
            <w:tcBorders>
              <w:left w:val="single" w:sz="8" w:color="auto"/>
              <w:right w:val="single" w:sz="8" w:color="auto"/>
            </w:tcBorders>
          </w:tcPr>
          <w:p>
            <w:pPr>
              <w:spacing w:after="0"/>
              <w:rPr>
                <w:sz w:val="16"/>
                <w:szCs w:val="16"/>
                <w:color w:val="auto"/>
              </w:rPr>
            </w:pPr>
          </w:p>
        </w:tc>
        <w:tc>
          <w:tcPr>
            <w:tcW w:w="5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Reimbursement prior to March 15, 2014 of expenses relating to two (2) pre-</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2780" w:type="dxa"/>
            <w:vAlign w:val="bottom"/>
            <w:tcBorders>
              <w:left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House Hunting</w:t>
            </w:r>
          </w:p>
        </w:tc>
        <w:tc>
          <w:tcPr>
            <w:tcW w:w="572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move house hunting trips for you and your family (estimated to be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2780" w:type="dxa"/>
            <w:vAlign w:val="bottom"/>
            <w:tcBorders>
              <w:left w:val="single" w:sz="8" w:color="auto"/>
              <w:right w:val="single" w:sz="8" w:color="auto"/>
            </w:tcBorders>
          </w:tcPr>
          <w:p>
            <w:pPr>
              <w:spacing w:after="0"/>
              <w:rPr>
                <w:sz w:val="20"/>
                <w:szCs w:val="20"/>
                <w:color w:val="auto"/>
              </w:rPr>
            </w:pPr>
          </w:p>
        </w:tc>
        <w:tc>
          <w:tcPr>
            <w:tcW w:w="5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approximately $3,000)</w:t>
            </w:r>
          </w:p>
        </w:tc>
        <w:tc>
          <w:tcPr>
            <w:tcW w:w="0" w:type="dxa"/>
            <w:vAlign w:val="bottom"/>
          </w:tcPr>
          <w:p>
            <w:pPr>
              <w:spacing w:after="0"/>
              <w:rPr>
                <w:sz w:val="1"/>
                <w:szCs w:val="1"/>
                <w:color w:val="auto"/>
              </w:rPr>
            </w:pPr>
          </w:p>
        </w:tc>
      </w:tr>
      <w:tr>
        <w:trPr>
          <w:trHeight w:val="41"/>
        </w:trPr>
        <w:tc>
          <w:tcPr>
            <w:tcW w:w="900" w:type="dxa"/>
            <w:vAlign w:val="bottom"/>
          </w:tcPr>
          <w:p>
            <w:pPr>
              <w:spacing w:after="0"/>
              <w:rPr>
                <w:sz w:val="3"/>
                <w:szCs w:val="3"/>
                <w:color w:val="auto"/>
              </w:rPr>
            </w:pPr>
          </w:p>
        </w:tc>
        <w:tc>
          <w:tcPr>
            <w:tcW w:w="278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2780" w:type="dxa"/>
            <w:vAlign w:val="bottom"/>
            <w:tcBorders>
              <w:left w:val="single" w:sz="8" w:color="auto"/>
              <w:right w:val="single" w:sz="8" w:color="auto"/>
            </w:tcBorders>
          </w:tcPr>
          <w:p>
            <w:pPr>
              <w:spacing w:after="0"/>
              <w:rPr>
                <w:sz w:val="16"/>
                <w:szCs w:val="16"/>
                <w:color w:val="auto"/>
              </w:rPr>
            </w:pPr>
          </w:p>
        </w:tc>
        <w:tc>
          <w:tcPr>
            <w:tcW w:w="5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Reimbursement of expenses to assist with sale of current (in 2014) and</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27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Home Sale/Purchase Assistance</w:t>
            </w:r>
          </w:p>
        </w:tc>
        <w:tc>
          <w:tcPr>
            <w:tcW w:w="572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purchase of new (prior to March 15, 2014) home including customary closing</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2780" w:type="dxa"/>
            <w:vAlign w:val="bottom"/>
            <w:tcBorders>
              <w:left w:val="single" w:sz="8" w:color="auto"/>
              <w:right w:val="single" w:sz="8" w:color="auto"/>
            </w:tcBorders>
            <w:vMerge w:val="continue"/>
          </w:tcPr>
          <w:p>
            <w:pPr>
              <w:spacing w:after="0"/>
              <w:rPr>
                <w:sz w:val="12"/>
                <w:szCs w:val="12"/>
                <w:color w:val="auto"/>
              </w:rPr>
            </w:pPr>
          </w:p>
        </w:tc>
        <w:tc>
          <w:tcPr>
            <w:tcW w:w="5720" w:type="dxa"/>
            <w:vAlign w:val="bottom"/>
            <w:tcBorders>
              <w:right w:val="single" w:sz="8" w:color="auto"/>
            </w:tcBorders>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costs, agent fees and base expenses associated with sale and purchase</w:t>
            </w:r>
          </w:p>
        </w:tc>
        <w:tc>
          <w:tcPr>
            <w:tcW w:w="0" w:type="dxa"/>
            <w:vAlign w:val="bottom"/>
          </w:tcPr>
          <w:p>
            <w:pPr>
              <w:spacing w:after="0"/>
              <w:rPr>
                <w:sz w:val="1"/>
                <w:szCs w:val="1"/>
                <w:color w:val="auto"/>
              </w:rPr>
            </w:pPr>
          </w:p>
        </w:tc>
      </w:tr>
      <w:tr>
        <w:trPr>
          <w:trHeight w:val="63"/>
        </w:trPr>
        <w:tc>
          <w:tcPr>
            <w:tcW w:w="900" w:type="dxa"/>
            <w:vAlign w:val="bottom"/>
          </w:tcPr>
          <w:p>
            <w:pPr>
              <w:spacing w:after="0"/>
              <w:rPr>
                <w:sz w:val="5"/>
                <w:szCs w:val="5"/>
                <w:color w:val="auto"/>
              </w:rPr>
            </w:pPr>
          </w:p>
        </w:tc>
        <w:tc>
          <w:tcPr>
            <w:tcW w:w="2780" w:type="dxa"/>
            <w:vAlign w:val="bottom"/>
            <w:tcBorders>
              <w:left w:val="single" w:sz="8" w:color="auto"/>
              <w:right w:val="single" w:sz="8" w:color="auto"/>
            </w:tcBorders>
          </w:tcPr>
          <w:p>
            <w:pPr>
              <w:spacing w:after="0"/>
              <w:rPr>
                <w:sz w:val="5"/>
                <w:szCs w:val="5"/>
                <w:color w:val="auto"/>
              </w:rPr>
            </w:pPr>
          </w:p>
        </w:tc>
        <w:tc>
          <w:tcPr>
            <w:tcW w:w="57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2780" w:type="dxa"/>
            <w:vAlign w:val="bottom"/>
            <w:tcBorders>
              <w:left w:val="single" w:sz="8" w:color="auto"/>
              <w:right w:val="single" w:sz="8" w:color="auto"/>
            </w:tcBorders>
          </w:tcPr>
          <w:p>
            <w:pPr>
              <w:spacing w:after="0"/>
              <w:rPr>
                <w:sz w:val="20"/>
                <w:szCs w:val="20"/>
                <w:color w:val="auto"/>
              </w:rPr>
            </w:pPr>
          </w:p>
        </w:tc>
        <w:tc>
          <w:tcPr>
            <w:tcW w:w="5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(estimated to be an aggregate of $80,000).</w:t>
            </w:r>
          </w:p>
        </w:tc>
        <w:tc>
          <w:tcPr>
            <w:tcW w:w="0" w:type="dxa"/>
            <w:vAlign w:val="bottom"/>
          </w:tcPr>
          <w:p>
            <w:pPr>
              <w:spacing w:after="0"/>
              <w:rPr>
                <w:sz w:val="1"/>
                <w:szCs w:val="1"/>
                <w:color w:val="auto"/>
              </w:rPr>
            </w:pPr>
          </w:p>
        </w:tc>
      </w:tr>
      <w:tr>
        <w:trPr>
          <w:trHeight w:val="41"/>
        </w:trPr>
        <w:tc>
          <w:tcPr>
            <w:tcW w:w="900" w:type="dxa"/>
            <w:vAlign w:val="bottom"/>
          </w:tcPr>
          <w:p>
            <w:pPr>
              <w:spacing w:after="0"/>
              <w:rPr>
                <w:sz w:val="3"/>
                <w:szCs w:val="3"/>
                <w:color w:val="auto"/>
              </w:rPr>
            </w:pPr>
          </w:p>
        </w:tc>
        <w:tc>
          <w:tcPr>
            <w:tcW w:w="278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2780" w:type="dxa"/>
            <w:vAlign w:val="bottom"/>
            <w:tcBorders>
              <w:left w:val="single" w:sz="8" w:color="auto"/>
              <w:right w:val="single" w:sz="8" w:color="auto"/>
            </w:tcBorders>
          </w:tcPr>
          <w:p>
            <w:pPr>
              <w:spacing w:after="0"/>
              <w:rPr>
                <w:sz w:val="16"/>
                <w:szCs w:val="16"/>
                <w:color w:val="auto"/>
              </w:rPr>
            </w:pPr>
          </w:p>
        </w:tc>
        <w:tc>
          <w:tcPr>
            <w:tcW w:w="5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Reimbursement prior to March 15, 2014 for weekend family travel for up to</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2780" w:type="dxa"/>
            <w:vAlign w:val="bottom"/>
            <w:tcBorders>
              <w:left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Weekend Family Travel</w:t>
            </w:r>
          </w:p>
        </w:tc>
        <w:tc>
          <w:tcPr>
            <w:tcW w:w="572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the first eight (8) weeks following the Effective Date, to be booked pursuant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2780" w:type="dxa"/>
            <w:vAlign w:val="bottom"/>
            <w:tcBorders>
              <w:left w:val="single" w:sz="8" w:color="auto"/>
              <w:right w:val="single" w:sz="8" w:color="auto"/>
            </w:tcBorders>
          </w:tcPr>
          <w:p>
            <w:pPr>
              <w:spacing w:after="0"/>
              <w:rPr>
                <w:sz w:val="20"/>
                <w:szCs w:val="20"/>
                <w:color w:val="auto"/>
              </w:rPr>
            </w:pPr>
          </w:p>
        </w:tc>
        <w:tc>
          <w:tcPr>
            <w:tcW w:w="5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 the Corporation’s then effective travel policies</w:t>
            </w:r>
          </w:p>
        </w:tc>
        <w:tc>
          <w:tcPr>
            <w:tcW w:w="0" w:type="dxa"/>
            <w:vAlign w:val="bottom"/>
          </w:tcPr>
          <w:p>
            <w:pPr>
              <w:spacing w:after="0"/>
              <w:rPr>
                <w:sz w:val="1"/>
                <w:szCs w:val="1"/>
                <w:color w:val="auto"/>
              </w:rPr>
            </w:pPr>
          </w:p>
        </w:tc>
      </w:tr>
      <w:tr>
        <w:trPr>
          <w:trHeight w:val="41"/>
        </w:trPr>
        <w:tc>
          <w:tcPr>
            <w:tcW w:w="900" w:type="dxa"/>
            <w:vAlign w:val="bottom"/>
          </w:tcPr>
          <w:p>
            <w:pPr>
              <w:spacing w:after="0"/>
              <w:rPr>
                <w:sz w:val="3"/>
                <w:szCs w:val="3"/>
                <w:color w:val="auto"/>
              </w:rPr>
            </w:pPr>
          </w:p>
        </w:tc>
        <w:tc>
          <w:tcPr>
            <w:tcW w:w="278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27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Lump Sum Bonus</w:t>
            </w:r>
          </w:p>
        </w:tc>
        <w:tc>
          <w:tcPr>
            <w:tcW w:w="57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Lump sum cash bonus on January 15, 2014 of $80,000 to help offset taxes</w:t>
            </w:r>
          </w:p>
        </w:tc>
        <w:tc>
          <w:tcPr>
            <w:tcW w:w="0" w:type="dxa"/>
            <w:vAlign w:val="bottom"/>
          </w:tcPr>
          <w:p>
            <w:pPr>
              <w:spacing w:after="0"/>
              <w:rPr>
                <w:sz w:val="1"/>
                <w:szCs w:val="1"/>
                <w:color w:val="auto"/>
              </w:rPr>
            </w:pPr>
          </w:p>
        </w:tc>
      </w:tr>
      <w:tr>
        <w:trPr>
          <w:trHeight w:val="126"/>
        </w:trPr>
        <w:tc>
          <w:tcPr>
            <w:tcW w:w="900" w:type="dxa"/>
            <w:vAlign w:val="bottom"/>
          </w:tcPr>
          <w:p>
            <w:pPr>
              <w:spacing w:after="0"/>
              <w:rPr>
                <w:sz w:val="10"/>
                <w:szCs w:val="10"/>
                <w:color w:val="auto"/>
              </w:rPr>
            </w:pPr>
          </w:p>
        </w:tc>
        <w:tc>
          <w:tcPr>
            <w:tcW w:w="2780" w:type="dxa"/>
            <w:vAlign w:val="bottom"/>
            <w:tcBorders>
              <w:left w:val="single" w:sz="8" w:color="auto"/>
              <w:right w:val="single" w:sz="8" w:color="auto"/>
            </w:tcBorders>
            <w:vMerge w:val="continue"/>
          </w:tcPr>
          <w:p>
            <w:pPr>
              <w:spacing w:after="0"/>
              <w:rPr>
                <w:sz w:val="10"/>
                <w:szCs w:val="10"/>
                <w:color w:val="auto"/>
              </w:rPr>
            </w:pPr>
          </w:p>
        </w:tc>
        <w:tc>
          <w:tcPr>
            <w:tcW w:w="5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incurred relative to relocation expenses and other miscellaneous expenses</w:t>
            </w:r>
          </w:p>
        </w:tc>
        <w:tc>
          <w:tcPr>
            <w:tcW w:w="0" w:type="dxa"/>
            <w:vAlign w:val="bottom"/>
          </w:tcPr>
          <w:p>
            <w:pPr>
              <w:spacing w:after="0"/>
              <w:rPr>
                <w:sz w:val="1"/>
                <w:szCs w:val="1"/>
                <w:color w:val="auto"/>
              </w:rPr>
            </w:pPr>
          </w:p>
        </w:tc>
      </w:tr>
      <w:tr>
        <w:trPr>
          <w:trHeight w:val="108"/>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procedures:</w:t>
            </w:r>
          </w:p>
        </w:tc>
        <w:tc>
          <w:tcPr>
            <w:tcW w:w="2780" w:type="dxa"/>
            <w:vAlign w:val="bottom"/>
            <w:tcBorders>
              <w:left w:val="single" w:sz="8" w:color="auto"/>
              <w:right w:val="single" w:sz="8" w:color="auto"/>
            </w:tcBorders>
          </w:tcPr>
          <w:p>
            <w:pPr>
              <w:spacing w:after="0"/>
              <w:rPr>
                <w:sz w:val="9"/>
                <w:szCs w:val="9"/>
                <w:color w:val="auto"/>
              </w:rPr>
            </w:pPr>
          </w:p>
        </w:tc>
        <w:tc>
          <w:tcPr>
            <w:tcW w:w="5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00" w:type="dxa"/>
            <w:vAlign w:val="bottom"/>
            <w:vMerge w:val="continue"/>
          </w:tcPr>
          <w:p>
            <w:pPr>
              <w:spacing w:after="0"/>
              <w:rPr>
                <w:sz w:val="2"/>
                <w:szCs w:val="2"/>
                <w:color w:val="auto"/>
              </w:rPr>
            </w:pPr>
          </w:p>
        </w:tc>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900" w:type="dxa"/>
            <w:vAlign w:val="bottom"/>
            <w:vMerge w:val="continue"/>
          </w:tcPr>
          <w:p>
            <w:pPr>
              <w:spacing w:after="0"/>
              <w:rPr>
                <w:sz w:val="7"/>
                <w:szCs w:val="7"/>
                <w:color w:val="auto"/>
              </w:rPr>
            </w:pPr>
          </w:p>
        </w:tc>
        <w:tc>
          <w:tcPr>
            <w:tcW w:w="2780" w:type="dxa"/>
            <w:vAlign w:val="bottom"/>
          </w:tcPr>
          <w:p>
            <w:pPr>
              <w:spacing w:after="0"/>
              <w:rPr>
                <w:sz w:val="7"/>
                <w:szCs w:val="7"/>
                <w:color w:val="auto"/>
              </w:rPr>
            </w:pPr>
          </w:p>
        </w:tc>
        <w:tc>
          <w:tcPr>
            <w:tcW w:w="5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968"/>
        <w:spacing w:after="0" w:line="242" w:lineRule="auto"/>
        <w:rPr>
          <w:sz w:val="20"/>
          <w:szCs w:val="20"/>
          <w:color w:val="auto"/>
        </w:rPr>
      </w:pPr>
      <w:r>
        <w:rPr>
          <w:rFonts w:ascii="Times New Roman" w:cs="Times New Roman" w:eastAsia="Times New Roman" w:hAnsi="Times New Roman"/>
          <w:sz w:val="18"/>
          <w:szCs w:val="18"/>
          <w:color w:val="auto"/>
        </w:rPr>
        <w:t>The amount of expenses eligible for reimbursement under this Section 5(d), during Executive’s taxable year may not affect the expenses eligible for reimbursement in any other taxable year. Executive’s right to reimbursement is not subject to liquidation or exchange for another benefit.</w:t>
      </w:r>
    </w:p>
    <w:p>
      <w:pPr>
        <w:spacing w:after="0" w:line="1" w:lineRule="exact"/>
        <w:rPr>
          <w:sz w:val="20"/>
          <w:szCs w:val="20"/>
          <w:color w:val="auto"/>
        </w:rPr>
      </w:pPr>
    </w:p>
    <w:p>
      <w:pPr>
        <w:ind w:left="968" w:hanging="320"/>
        <w:spacing w:after="0" w:line="243" w:lineRule="auto"/>
        <w:tabs>
          <w:tab w:leader="none" w:pos="95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pay Executive’s reasonable attorneys’ fees incurred to negotiate this Agreement up to twenty-five thousand dollars ($25,000). Executive’s right to payment of legal fees under this Section 5(e) may not be liquidated or exchanged for any other benefit.</w:t>
      </w:r>
    </w:p>
    <w:p>
      <w:pPr>
        <w:spacing w:after="0" w:line="20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Corporation</w:t>
      </w:r>
      <w:r>
        <w:rPr>
          <w:rFonts w:ascii="Times New Roman" w:cs="Times New Roman" w:eastAsia="Times New Roman" w:hAnsi="Times New Roman"/>
          <w:sz w:val="18"/>
          <w:szCs w:val="18"/>
          <w:color w:val="auto"/>
        </w:rPr>
        <w:t>. The Corporation may terminate Executive’s employment during the Term:</w:t>
      </w:r>
    </w:p>
    <w:p>
      <w:pPr>
        <w:spacing w:after="0" w:line="15" w:lineRule="exact"/>
        <w:rPr>
          <w:rFonts w:ascii="Times New Roman" w:cs="Times New Roman" w:eastAsia="Times New Roman" w:hAnsi="Times New Roman"/>
          <w:sz w:val="18"/>
          <w:szCs w:val="18"/>
          <w:color w:val="auto"/>
        </w:rPr>
      </w:pPr>
    </w:p>
    <w:p>
      <w:pPr>
        <w:ind w:left="968" w:hanging="320"/>
        <w:spacing w:after="0" w:line="234" w:lineRule="auto"/>
        <w:tabs>
          <w:tab w:leader="none" w:pos="9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Cause (as defined below) by giving Executive ninety (90) calendar days’ prior written notice, or</w:t>
      </w:r>
    </w:p>
    <w:p>
      <w:pPr>
        <w:jc w:val="both"/>
        <w:ind w:left="968" w:hanging="320"/>
        <w:spacing w:after="0" w:line="234" w:lineRule="auto"/>
        <w:tabs>
          <w:tab w:leader="none" w:pos="9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Cause (as defined below) by delivering to Executive a copy of a resolution duly adopted by the affirmative vote of a majority of the directors of the Board then in office at a meeting of the Board called and held for such purpose, finding that Executive has committed an act set forth below in this Section 6. Nothing herein shall limit Executive’s right or Executive’s beneficiaries’ right to contest the validity or propriety of any such determination. For purposes of this Agreement, “Cause” shall mean: (i) an intentional act of fraud, embezzlement or theft by Executive in connection with Executive’s duties or in the course of Executive’s employment with the Corporation or an Affiliate; (ii) Executive’s intentional wrongful material damage to the property of the Corporation or its Affiliates; (iii) Executive’s intentional material breach of Section 12 hereof while Executive remains in the employ of the Corporation or an Affiliate; (iv) an act of Gross Misconduct (as defined below); or (v) a conviction for a misdemeanor involving moral turpitude or a charge of a felony; and, in each case, the reasonable, good faith determination by the Board as hereafter provided that any such act or omission may be harmful to the Corporation or an Affiliate. For purposes of this Agreement, “Gross Misconduct” shall mean a willful or grossly</w:t>
      </w:r>
    </w:p>
    <w:p>
      <w:pPr>
        <w:sectPr>
          <w:pgSz w:w="11900" w:h="16838" w:orient="portrait"/>
          <w:cols w:equalWidth="0" w:num="1">
            <w:col w:w="10908"/>
          </w:cols>
          <w:pgMar w:left="652" w:top="1404" w:right="339" w:bottom="1440" w:gutter="0" w:footer="0" w:header="0"/>
        </w:sectPr>
      </w:pPr>
    </w:p>
    <w:bookmarkStart w:id="49" w:name="page50"/>
    <w:bookmarkEnd w:id="49"/>
    <w:p>
      <w:pPr>
        <w:jc w:val="both"/>
        <w:ind w:left="968"/>
        <w:spacing w:after="0"/>
        <w:rPr>
          <w:sz w:val="20"/>
          <w:szCs w:val="20"/>
          <w:color w:val="auto"/>
        </w:rPr>
      </w:pPr>
      <w:r>
        <w:rPr>
          <w:rFonts w:ascii="Times New Roman" w:cs="Times New Roman" w:eastAsia="Times New Roman" w:hAnsi="Times New Roman"/>
          <w:sz w:val="18"/>
          <w:szCs w:val="18"/>
          <w:color w:val="auto"/>
        </w:rPr>
        <w:t>negligent act or omission that has or will have a material and adverse impact on the business or reputation of the Corporation or its Affiliates, or on the business of the customers or suppliers of the Corporation or its Affiliates as such relate to the Corporation. In addition, Executive’s employment shall be deemed to have terminated for Cause if, based on facts and circumstances discovered after Executive’s employment has terminated, the Board determines in reasonable good faith, within one (1) year after Executive’s employment terminated, and after appropriate investigation and an opportunity for Executive to be interviewed (with or without counsel as Executive may determine) by a subcommittee of the independent Board members or its representative, that Executive committed an act during the Term that would have justified a termination for Cause.</w:t>
      </w:r>
    </w:p>
    <w:p>
      <w:pPr>
        <w:spacing w:after="0" w:line="198" w:lineRule="exact"/>
        <w:rPr>
          <w:sz w:val="20"/>
          <w:szCs w:val="20"/>
          <w:color w:val="auto"/>
        </w:rPr>
      </w:pPr>
    </w:p>
    <w:p>
      <w:pPr>
        <w:jc w:val="both"/>
        <w:ind w:left="328" w:hanging="328"/>
        <w:spacing w:after="0" w:line="236"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Executive</w:t>
      </w:r>
      <w:r>
        <w:rPr>
          <w:rFonts w:ascii="Times New Roman" w:cs="Times New Roman" w:eastAsia="Times New Roman" w:hAnsi="Times New Roman"/>
          <w:sz w:val="18"/>
          <w:szCs w:val="18"/>
          <w:color w:val="auto"/>
        </w:rPr>
        <w:t>. Executive may terminate his employment during the Term by giving the Corporation thirty (30) calendar days’ prior written notice or in the case of Retirement (as defined below) by providing one hundred-eighty (180) calendar days’ prior written notice ; provided that, if Executive purports to terminate his employment during the Term for Good Reason (as defined below), Executive must give the Corporation written notice of his intent to terminate for Good Reason within sixty (60) calendar days of the occurrence of the event that allegedly constitutes Good Reason. The Corporation shall have a right to cure the event(s) or omission(s) alleged to constitute Good Reason for a period of thirty (30) calendar days after notice from Executive of his intention to terminate for Good Reason and, if not cured, Executive may terminate his employment within one hundred twenty (120) days of the occurrence of the event that allegedly constitutes Good Reason. In the event of termination by notice under the first sentence of this Section 7, the Corporation in its discretion may elect a termination date that is earlier than the conclusion of the sixty (60) calendar day or one hundred-eighty (180) calendar day notice period, but the termination shall still be deemed either a Retirement or a voluntary termination by Executive with Good Reason under this Section. “Good Reason” means the occurrence of any of the following events without Executive’s express written consent:</w:t>
      </w:r>
    </w:p>
    <w:p>
      <w:pPr>
        <w:spacing w:after="0" w:line="8" w:lineRule="exact"/>
        <w:rPr>
          <w:rFonts w:ascii="Times New Roman" w:cs="Times New Roman" w:eastAsia="Times New Roman" w:hAnsi="Times New Roman"/>
          <w:sz w:val="18"/>
          <w:szCs w:val="18"/>
          <w:color w:val="auto"/>
        </w:rPr>
      </w:pPr>
    </w:p>
    <w:p>
      <w:pPr>
        <w:ind w:left="968" w:hanging="320"/>
        <w:spacing w:after="0" w:line="234"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reduction of Executive’s authorities, duties, or responsibilities with the Corporation;</w:t>
      </w:r>
    </w:p>
    <w:p>
      <w:pPr>
        <w:jc w:val="both"/>
        <w:ind w:left="968" w:hanging="320"/>
        <w:spacing w:after="0" w:line="229"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Corporation of Executive’s Base Salary, other than a reduction approved by the Compensation Committee that similarly applies to all Executive Vice Presidents of the Corporation, provided that such a reduction in Base Salary shall not exceed more than ten percent (10%) from Executive’s highest Base Salary;</w:t>
      </w:r>
    </w:p>
    <w:p>
      <w:pPr>
        <w:spacing w:after="0" w:line="1" w:lineRule="exact"/>
        <w:rPr>
          <w:rFonts w:ascii="Times New Roman" w:cs="Times New Roman" w:eastAsia="Times New Roman" w:hAnsi="Times New Roman"/>
          <w:sz w:val="18"/>
          <w:szCs w:val="18"/>
          <w:color w:val="auto"/>
        </w:rPr>
      </w:pPr>
    </w:p>
    <w:p>
      <w:pPr>
        <w:jc w:val="both"/>
        <w:ind w:left="968" w:hanging="320"/>
        <w:spacing w:after="0" w:line="234" w:lineRule="auto"/>
        <w:tabs>
          <w:tab w:leader="none" w:pos="95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Corporation of Executive’s annual bonus opportunity, other than a reduction approved by the Compensation Committee that similarly applies to all Executive Vice Presidents of the Corporation, provided that such a reduction in annual target bonus opportunity shall not exceed more than ten percent (10%) from Executive’s highest target bonus opportunity;</w:t>
      </w:r>
    </w:p>
    <w:p>
      <w:pPr>
        <w:spacing w:after="0" w:line="2" w:lineRule="exact"/>
        <w:rPr>
          <w:rFonts w:ascii="Times New Roman" w:cs="Times New Roman" w:eastAsia="Times New Roman" w:hAnsi="Times New Roman"/>
          <w:sz w:val="18"/>
          <w:szCs w:val="18"/>
          <w:color w:val="auto"/>
        </w:rPr>
      </w:pPr>
    </w:p>
    <w:p>
      <w:pPr>
        <w:ind w:left="968" w:right="20" w:hanging="320"/>
        <w:spacing w:after="0" w:line="234"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the offices of Executive to a place greater than thirty-five (35) miles in distance from the current executive offices of the Corporation in Fort Wayne, Indiana; or</w:t>
      </w:r>
    </w:p>
    <w:p>
      <w:pPr>
        <w:spacing w:after="0" w:line="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inaction that constitutes a material breach by the Corporation of this Agreement.</w:t>
      </w:r>
    </w:p>
    <w:p>
      <w:pPr>
        <w:spacing w:after="0" w:line="219" w:lineRule="exact"/>
        <w:rPr>
          <w:sz w:val="20"/>
          <w:szCs w:val="20"/>
          <w:color w:val="auto"/>
        </w:rPr>
      </w:pPr>
    </w:p>
    <w:p>
      <w:pPr>
        <w:jc w:val="both"/>
        <w:ind w:left="328"/>
        <w:spacing w:after="0" w:line="236" w:lineRule="auto"/>
        <w:rPr>
          <w:sz w:val="20"/>
          <w:szCs w:val="20"/>
          <w:color w:val="auto"/>
        </w:rPr>
      </w:pPr>
      <w:r>
        <w:rPr>
          <w:rFonts w:ascii="Times New Roman" w:cs="Times New Roman" w:eastAsia="Times New Roman" w:hAnsi="Times New Roman"/>
          <w:sz w:val="18"/>
          <w:szCs w:val="18"/>
          <w:color w:val="auto"/>
        </w:rPr>
        <w:t>Notwithstanding the foregoing, any reduction in Executive’s Base Salary, annual bonus opportunity or severance payment in anticipation of, upon or within two (2) years following a Change in Control, shall constitute a material breach of the terms of this Agreement. The Corporation shall have no obligations to Executive after Executive’s last day of employment following termination of employment under this Section, except as specifically set forth in this Agreement or under any applicable plans, programs or arrangements of the Corporation including, without limitation, the Corporation’s Certificate of Incorporation or By-Laws, as either may be amended from time to time, the Equity Plan and any agreements thereunder, and the indemnification agreement described in Section 14.</w:t>
      </w:r>
    </w:p>
    <w:p>
      <w:pPr>
        <w:jc w:val="both"/>
        <w:ind w:left="328"/>
        <w:spacing w:after="0" w:line="239" w:lineRule="auto"/>
        <w:rPr>
          <w:sz w:val="20"/>
          <w:szCs w:val="20"/>
          <w:color w:val="auto"/>
        </w:rPr>
      </w:pPr>
      <w:r>
        <w:rPr>
          <w:rFonts w:ascii="Times New Roman" w:cs="Times New Roman" w:eastAsia="Times New Roman" w:hAnsi="Times New Roman"/>
          <w:sz w:val="18"/>
          <w:szCs w:val="18"/>
          <w:color w:val="auto"/>
        </w:rPr>
        <w:t>“Retirement” shall mean a voluntary termination by Executive any time after having surpassed ten (10) years of service with the Corporation and reached the age of fifty-five (55) or a Termination by the Company without cause occurring any time after the date eighteen (18) months prior to when the Executive will surpass ten (10) years of service with the Corporation and reach the age of fifty-five (55).</w:t>
      </w:r>
    </w:p>
    <w:p>
      <w:pPr>
        <w:spacing w:after="0" w:line="212" w:lineRule="exact"/>
        <w:rPr>
          <w:sz w:val="20"/>
          <w:szCs w:val="20"/>
          <w:color w:val="auto"/>
        </w:rPr>
      </w:pPr>
    </w:p>
    <w:p>
      <w:pPr>
        <w:jc w:val="both"/>
        <w:ind w:left="328" w:hanging="328"/>
        <w:spacing w:after="0" w:line="245"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Termination</w:t>
      </w:r>
      <w:r>
        <w:rPr>
          <w:rFonts w:ascii="Times New Roman" w:cs="Times New Roman" w:eastAsia="Times New Roman" w:hAnsi="Times New Roman"/>
          <w:sz w:val="18"/>
          <w:szCs w:val="18"/>
          <w:color w:val="auto"/>
        </w:rPr>
        <w:t>. Notwithstanding the provisions of Section 3, Executive’s employment shall automatically terminate upon Executive’s death or upon notice from the Corporation because of Disability (as defined below) while he remains Disabled. Executive shall be deemed to have a “Disability” for purposes of this Agreement if Executive is unable to perform substantially, by reason of physical or mental incapacity, Executive’s duties or obligations under this Agreement, with or without reasonable</w:t>
      </w:r>
    </w:p>
    <w:p>
      <w:pPr>
        <w:sectPr>
          <w:pgSz w:w="11900" w:h="16838" w:orient="portrait"/>
          <w:cols w:equalWidth="0" w:num="1">
            <w:col w:w="10908"/>
          </w:cols>
          <w:pgMar w:left="652" w:top="1404" w:right="339" w:bottom="1440" w:gutter="0" w:footer="0" w:header="0"/>
        </w:sectPr>
      </w:pPr>
    </w:p>
    <w:bookmarkStart w:id="50" w:name="page51"/>
    <w:bookmarkEnd w:id="50"/>
    <w:p>
      <w:pPr>
        <w:ind w:left="328"/>
        <w:spacing w:after="0" w:line="266" w:lineRule="auto"/>
        <w:rPr>
          <w:sz w:val="20"/>
          <w:szCs w:val="20"/>
          <w:color w:val="auto"/>
        </w:rPr>
      </w:pPr>
      <w:r>
        <w:rPr>
          <w:rFonts w:ascii="Times New Roman" w:cs="Times New Roman" w:eastAsia="Times New Roman" w:hAnsi="Times New Roman"/>
          <w:sz w:val="18"/>
          <w:szCs w:val="18"/>
          <w:color w:val="auto"/>
        </w:rPr>
        <w:t>accommodation as defined in the Americans with Disabilities Act and implementing regulations, for a period of one hundred and eighty (180) consecutive calendar days in any 360-calendar day period.</w:t>
      </w:r>
    </w:p>
    <w:p>
      <w:pPr>
        <w:spacing w:after="0" w:line="189" w:lineRule="exact"/>
        <w:rPr>
          <w:sz w:val="20"/>
          <w:szCs w:val="20"/>
          <w:color w:val="auto"/>
        </w:rPr>
      </w:pPr>
    </w:p>
    <w:p>
      <w:pPr>
        <w:jc w:val="both"/>
        <w:ind w:left="328" w:hanging="328"/>
        <w:spacing w:after="0" w:line="238"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Any termination of Executive’s employment shall also end the Term. For purposes of this Agreement, Executive’s employment with the Corporation and its Affiliates shall be deemed to be terminated when Executive has a “separation from service” within the meaning of Code Section 409A, and references in this Agreement to termination of employment shall be deemed to refer to such a separation from service. Upon Executive’s separation from service for any reason, Executive shall be deemed to have resigned as of the date of Executive’s separation from service from all offices, directorships and fiduciary positions with the Corporation, its Affiliates, and employee benefit plans of the Corporation unless Executive is affirmatively re-appointed or re-elected to such position as of the date of Executive’s separation from service.</w:t>
      </w:r>
    </w:p>
    <w:p>
      <w:pPr>
        <w:spacing w:after="0" w:line="212" w:lineRule="exact"/>
        <w:rPr>
          <w:rFonts w:ascii="Times New Roman" w:cs="Times New Roman" w:eastAsia="Times New Roman" w:hAnsi="Times New Roman"/>
          <w:sz w:val="18"/>
          <w:szCs w:val="18"/>
          <w:color w:val="auto"/>
        </w:rPr>
      </w:pPr>
    </w:p>
    <w:p>
      <w:pPr>
        <w:jc w:val="both"/>
        <w:ind w:left="328" w:hanging="328"/>
        <w:spacing w:after="0"/>
        <w:tabs>
          <w:tab w:leader="none" w:pos="3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Obligations of the Corporation Following Termination of Executive’s Employment</w:t>
      </w:r>
      <w:r>
        <w:rPr>
          <w:rFonts w:ascii="Times New Roman" w:cs="Times New Roman" w:eastAsia="Times New Roman" w:hAnsi="Times New Roman"/>
          <w:sz w:val="18"/>
          <w:szCs w:val="18"/>
          <w:color w:val="auto"/>
        </w:rPr>
        <w:t>. Following termination of Executive’s employment during the Term under the circumstances described below, the Corporation will pay to Executive the following compensation and provide the following benefits in addition to any benefits to which Executive may be entitled by law in full satisfaction and final settlement of any and all claims and demands that Executive or the Corporation may have against the other under this Agreement:</w:t>
      </w:r>
    </w:p>
    <w:p>
      <w:pPr>
        <w:spacing w:after="0" w:line="2" w:lineRule="exact"/>
        <w:rPr>
          <w:rFonts w:ascii="Times New Roman" w:cs="Times New Roman" w:eastAsia="Times New Roman" w:hAnsi="Times New Roman"/>
          <w:sz w:val="18"/>
          <w:szCs w:val="18"/>
          <w:color w:val="auto"/>
        </w:rPr>
      </w:pPr>
    </w:p>
    <w:p>
      <w:pPr>
        <w:jc w:val="both"/>
        <w:ind w:left="968" w:hanging="320"/>
        <w:spacing w:after="0" w:line="234" w:lineRule="auto"/>
        <w:tabs>
          <w:tab w:leader="none" w:pos="95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for Any Reason</w:t>
      </w:r>
      <w:r>
        <w:rPr>
          <w:rFonts w:ascii="Times New Roman" w:cs="Times New Roman" w:eastAsia="Times New Roman" w:hAnsi="Times New Roman"/>
          <w:sz w:val="18"/>
          <w:szCs w:val="18"/>
          <w:color w:val="auto"/>
        </w:rPr>
        <w:t>. In the event of Executive’s termination of employment for any reason, the Corporation shall pay or provide Executive (a) any unpaid Base Salary through the date of termination and (b) any benefits (including, without limitation, any unused vacation accrued in accordance with Section 5(b)) accrued, earned or vested, and any unreimbursed expenses incurred, up to and including the effective date of such termination to which Executive may be entitled under the terms of any applicable arrangement, plan or program (collectively, the “Accrued Amounts”).</w:t>
      </w:r>
    </w:p>
    <w:p>
      <w:pPr>
        <w:spacing w:after="0" w:line="3" w:lineRule="exact"/>
        <w:rPr>
          <w:rFonts w:ascii="Times New Roman" w:cs="Times New Roman" w:eastAsia="Times New Roman" w:hAnsi="Times New Roman"/>
          <w:sz w:val="18"/>
          <w:szCs w:val="18"/>
          <w:color w:val="auto"/>
        </w:rPr>
      </w:pPr>
    </w:p>
    <w:p>
      <w:pPr>
        <w:jc w:val="both"/>
        <w:ind w:left="968" w:hanging="320"/>
        <w:spacing w:after="0" w:line="231" w:lineRule="auto"/>
        <w:tabs>
          <w:tab w:leader="none" w:pos="96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by the Corporation or for Good Reason by Executive or Termination due to Retirement by either Party</w:t>
      </w:r>
      <w:r>
        <w:rPr>
          <w:rFonts w:ascii="Times New Roman" w:cs="Times New Roman" w:eastAsia="Times New Roman" w:hAnsi="Times New Roman"/>
          <w:sz w:val="18"/>
          <w:szCs w:val="18"/>
          <w:color w:val="auto"/>
        </w:rPr>
        <w:t>. If, during the Term, the Corporation terminates Executive’s employment without Cause under Section 6(a) hereof or Executive terminates his employment for Good Reason or either Party terminates Executive’s employment by Retirement under Section 7 hereof and it is not on or within twenty-four (24) months after a Change in Control, Executive shall be entitled to the following payments and benefits, subject to Section 13:</w:t>
      </w:r>
    </w:p>
    <w:p>
      <w:pPr>
        <w:spacing w:after="0" w:line="2" w:lineRule="exact"/>
        <w:rPr>
          <w:rFonts w:ascii="Times New Roman" w:cs="Times New Roman" w:eastAsia="Times New Roman" w:hAnsi="Times New Roman"/>
          <w:sz w:val="18"/>
          <w:szCs w:val="18"/>
          <w:color w:val="auto"/>
        </w:rPr>
      </w:pPr>
    </w:p>
    <w:p>
      <w:pPr>
        <w:ind w:left="1628" w:hanging="427"/>
        <w:spacing w:after="0" w:line="234" w:lineRule="auto"/>
        <w:tabs>
          <w:tab w:leader="none" w:pos="1628" w:val="left"/>
        </w:tabs>
        <w:numPr>
          <w:ilvl w:val="3"/>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 as soon as reasonably practicable following the date of termination;</w:t>
      </w:r>
    </w:p>
    <w:p>
      <w:pPr>
        <w:jc w:val="both"/>
        <w:ind w:left="1628" w:hanging="477"/>
        <w:spacing w:after="0" w:line="234" w:lineRule="auto"/>
        <w:tabs>
          <w:tab w:leader="none" w:pos="1628" w:val="left"/>
        </w:tabs>
        <w:numPr>
          <w:ilvl w:val="3"/>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that has been earned in the fiscal year prior to the employment termination that has not yet been paid, shall be payable at the time payment is made to other similarly situated executives of the Corporation, but in no event later than two and one-half (2½) months after the close of the year in which Executive becomes vested in such Bonus;</w:t>
      </w:r>
    </w:p>
    <w:p>
      <w:pPr>
        <w:spacing w:after="0" w:line="2" w:lineRule="exact"/>
        <w:rPr>
          <w:rFonts w:ascii="Times New Roman" w:cs="Times New Roman" w:eastAsia="Times New Roman" w:hAnsi="Times New Roman"/>
          <w:sz w:val="18"/>
          <w:szCs w:val="18"/>
          <w:color w:val="auto"/>
        </w:rPr>
      </w:pPr>
    </w:p>
    <w:p>
      <w:pPr>
        <w:jc w:val="both"/>
        <w:ind w:left="1628" w:hanging="526"/>
        <w:spacing w:after="0" w:line="233" w:lineRule="auto"/>
        <w:tabs>
          <w:tab w:leader="none" w:pos="1628" w:val="left"/>
        </w:tabs>
        <w:numPr>
          <w:ilvl w:val="3"/>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rata portion of the amount of Bonus, if any, Executive would have received pursuant to Section 4(b) for the year in which Executive’s employment terminated (hereinafter, the “Prorated Bonus”). The Corporation shall determine what annual Bonus, if any, Executive would have earned had he been employed through the end of the applicable period (the “Base Incentive Amount”), in accordance with the methods used to calculate the annual Bonus for the Corporation’s other similarly situated executives. The pro rata portion to be paid pursuant to this Section shall be determined by multiplying the Base Incentive Amount by a fraction, the numerator of which is the number of calendar days from the beginning of the applicable annual period in which the termination occurred through the date of termination and the denominator of which is 365. Any Prorated Bonus payment due under this Section shall be paid at the time payment is made to other similarly situated executives of the Corporation, but in no event later than two and one-half (2½) months after the close of the fiscal year in which Executive would have become vested in such Bonus;</w:t>
      </w:r>
    </w:p>
    <w:p>
      <w:pPr>
        <w:spacing w:after="0" w:line="2" w:lineRule="exact"/>
        <w:rPr>
          <w:rFonts w:ascii="Times New Roman" w:cs="Times New Roman" w:eastAsia="Times New Roman" w:hAnsi="Times New Roman"/>
          <w:sz w:val="18"/>
          <w:szCs w:val="18"/>
          <w:color w:val="auto"/>
        </w:rPr>
      </w:pPr>
    </w:p>
    <w:p>
      <w:pPr>
        <w:jc w:val="both"/>
        <w:ind w:left="1628" w:hanging="517"/>
        <w:spacing w:after="0" w:line="234" w:lineRule="auto"/>
        <w:tabs>
          <w:tab w:leader="none" w:pos="1616"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two (2) times the sum of (A) Base Salary (B) target Bonus for the fiscal year of termination, payable within ten (10) calendar days after Executive’s delivery to the Corporation and non-revocation of an executed and enforceable Release, in accordance with and subject to Section 13;</w:t>
      </w:r>
    </w:p>
    <w:p>
      <w:pPr>
        <w:spacing w:after="0" w:line="2" w:lineRule="exact"/>
        <w:rPr>
          <w:rFonts w:ascii="Times New Roman" w:cs="Times New Roman" w:eastAsia="Times New Roman" w:hAnsi="Times New Roman"/>
          <w:sz w:val="18"/>
          <w:szCs w:val="18"/>
          <w:color w:val="auto"/>
        </w:rPr>
      </w:pPr>
    </w:p>
    <w:p>
      <w:pPr>
        <w:ind w:left="1628" w:hanging="467"/>
        <w:spacing w:after="0" w:line="243" w:lineRule="auto"/>
        <w:tabs>
          <w:tab w:leader="none" w:pos="1616"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Cash reimbursement of Executive’s COBRA premiums (or an amount equal to Executive’s COBRA premiums) (sufficient to cover full family health care) for a period</w:t>
      </w:r>
    </w:p>
    <w:p>
      <w:pPr>
        <w:sectPr>
          <w:pgSz w:w="11900" w:h="16838" w:orient="portrait"/>
          <w:cols w:equalWidth="0" w:num="1">
            <w:col w:w="10908"/>
          </w:cols>
          <w:pgMar w:left="652" w:top="1404" w:right="339" w:bottom="1440" w:gutter="0" w:footer="0" w:header="0"/>
        </w:sectPr>
      </w:pPr>
    </w:p>
    <w:bookmarkStart w:id="51" w:name="page52"/>
    <w:bookmarkEnd w:id="51"/>
    <w:p>
      <w:pPr>
        <w:jc w:val="both"/>
        <w:ind w:left="980"/>
        <w:spacing w:after="0" w:line="235" w:lineRule="auto"/>
        <w:rPr>
          <w:sz w:val="20"/>
          <w:szCs w:val="20"/>
          <w:color w:val="auto"/>
        </w:rPr>
      </w:pPr>
      <w:r>
        <w:rPr>
          <w:rFonts w:ascii="Times New Roman" w:cs="Times New Roman" w:eastAsia="Times New Roman" w:hAnsi="Times New Roman"/>
          <w:sz w:val="18"/>
          <w:szCs w:val="18"/>
          <w:color w:val="auto"/>
        </w:rPr>
        <w:t>of eighteen (18) months following the termination of Executive’s employment if Executive elects such COBRA coverage. The foregoing notwithstanding, the Corporation’s obligation to reimburse described in the preceding sentence shall cease on the date Executive becomes eligible for coverage under another group health plan offered by a new employer of Executive or covered under a group health plan of the employer of Executive’s spouse, in either case, which does not impose pre-existing condition limitations on Executive’s coverage. Nothing herein shall be construed to extend the period of time over which COBRA continuation coverage shall be provided to Executive or his dependents beyond that mandated by law. (The foregoing (vii) is hereinafter referred to as the “COBRA Benefits”).</w:t>
      </w:r>
    </w:p>
    <w:p>
      <w:pPr>
        <w:spacing w:after="0" w:line="5" w:lineRule="exact"/>
        <w:rPr>
          <w:sz w:val="20"/>
          <w:szCs w:val="20"/>
          <w:color w:val="auto"/>
        </w:rPr>
      </w:pPr>
    </w:p>
    <w:p>
      <w:pPr>
        <w:jc w:val="both"/>
        <w:ind w:left="980" w:hanging="517"/>
        <w:spacing w:after="0" w:line="239"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by either Party is due to Retirement, Executive shall have the right to any retirement benefits as have been or may be adopted and modified by the Corporation from time to time, including without limitation any retirement provisions outlined in award agreements made pursuant to the Equity Plan.</w:t>
      </w:r>
    </w:p>
    <w:p>
      <w:pPr>
        <w:spacing w:after="0" w:line="212" w:lineRule="exact"/>
        <w:rPr>
          <w:rFonts w:ascii="Times New Roman" w:cs="Times New Roman" w:eastAsia="Times New Roman" w:hAnsi="Times New Roman"/>
          <w:sz w:val="18"/>
          <w:szCs w:val="18"/>
          <w:color w:val="auto"/>
        </w:rPr>
      </w:pPr>
    </w:p>
    <w:p>
      <w:pPr>
        <w:jc w:val="both"/>
        <w:ind w:left="320" w:hanging="320"/>
        <w:spacing w:after="0"/>
        <w:tabs>
          <w:tab w:leader="none" w:pos="3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Executive Without Good Reason or by the Corporation for Cause</w:t>
      </w:r>
      <w:r>
        <w:rPr>
          <w:rFonts w:ascii="Times New Roman" w:cs="Times New Roman" w:eastAsia="Times New Roman" w:hAnsi="Times New Roman"/>
          <w:sz w:val="18"/>
          <w:szCs w:val="18"/>
          <w:color w:val="auto"/>
        </w:rPr>
        <w:t>. If, during the Term, Executive terminates employment under Section 7(a) hereof without Good Reason or the Corporation terminates Executive’s employment under Section 6(b) hereof for Cause, Executive shall be entitled to no further compensation or other benefits under this Agreement except for the Accrued Amounts, payable in a single lump sum as soon as practicable following the date of termination.</w:t>
      </w:r>
    </w:p>
    <w:p>
      <w:pPr>
        <w:spacing w:after="0" w:line="2" w:lineRule="exact"/>
        <w:rPr>
          <w:rFonts w:ascii="Times New Roman" w:cs="Times New Roman" w:eastAsia="Times New Roman" w:hAnsi="Times New Roman"/>
          <w:sz w:val="18"/>
          <w:szCs w:val="18"/>
          <w:color w:val="auto"/>
        </w:rPr>
      </w:pPr>
    </w:p>
    <w:p>
      <w:pPr>
        <w:ind w:left="320" w:hanging="320"/>
        <w:spacing w:after="0" w:line="234"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Disability</w:t>
      </w:r>
      <w:r>
        <w:rPr>
          <w:rFonts w:ascii="Times New Roman" w:cs="Times New Roman" w:eastAsia="Times New Roman" w:hAnsi="Times New Roman"/>
          <w:sz w:val="18"/>
          <w:szCs w:val="18"/>
          <w:color w:val="auto"/>
        </w:rPr>
        <w:t>. If Executive’s employment is terminated during the Term by reason of Executive’s death or for Disability, Executive or Executive’s estate, as the case may be, shall be entitled to the following payments and benefits, subject to Section 13:</w:t>
      </w:r>
    </w:p>
    <w:p>
      <w:pPr>
        <w:spacing w:after="0" w:line="1" w:lineRule="exact"/>
        <w:rPr>
          <w:rFonts w:ascii="Times New Roman" w:cs="Times New Roman" w:eastAsia="Times New Roman" w:hAnsi="Times New Roman"/>
          <w:sz w:val="18"/>
          <w:szCs w:val="18"/>
          <w:color w:val="auto"/>
        </w:rPr>
      </w:pPr>
    </w:p>
    <w:p>
      <w:pPr>
        <w:ind w:left="980" w:hanging="427"/>
        <w:spacing w:after="0" w:line="234" w:lineRule="auto"/>
        <w:tabs>
          <w:tab w:leader="none" w:pos="980"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 as soon as reasonably practicable following the date of termination. Except as provided in subsection</w:t>
      </w:r>
    </w:p>
    <w:p>
      <w:pPr>
        <w:jc w:val="both"/>
        <w:ind w:left="980" w:hanging="8"/>
        <w:spacing w:after="0" w:line="229" w:lineRule="auto"/>
        <w:tabs>
          <w:tab w:leader="none" w:pos="1306" w:val="left"/>
        </w:tabs>
        <w:numPr>
          <w:ilvl w:val="4"/>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10(d), if Executive’s employment is terminated during the Term by reason of Executive’s death or for Disability, the treatment of any equity compensation awards held by Executive shall be governed by the terms of the plan or agreement under which such awards were granted;</w:t>
      </w:r>
    </w:p>
    <w:p>
      <w:pPr>
        <w:spacing w:after="0" w:line="1" w:lineRule="exact"/>
        <w:rPr>
          <w:rFonts w:ascii="Times New Roman" w:cs="Times New Roman" w:eastAsia="Times New Roman" w:hAnsi="Times New Roman"/>
          <w:sz w:val="18"/>
          <w:szCs w:val="18"/>
          <w:color w:val="auto"/>
        </w:rPr>
      </w:pPr>
    </w:p>
    <w:p>
      <w:pPr>
        <w:jc w:val="both"/>
        <w:ind w:left="980" w:hanging="477"/>
        <w:spacing w:after="0" w:line="234" w:lineRule="auto"/>
        <w:tabs>
          <w:tab w:leader="none" w:pos="980"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that has been earned in the fiscal year prior to the employment termination that has not yet been paid, shall be payable at the time payment is made to other similarly situated executives of the Corporation, but in no event later than two and one-half (2½) months after the close of the year in which Executive becomes vested in such Bonus;</w:t>
      </w:r>
    </w:p>
    <w:p>
      <w:pPr>
        <w:spacing w:after="0" w:line="2" w:lineRule="exact"/>
        <w:rPr>
          <w:rFonts w:ascii="Times New Roman" w:cs="Times New Roman" w:eastAsia="Times New Roman" w:hAnsi="Times New Roman"/>
          <w:sz w:val="18"/>
          <w:szCs w:val="18"/>
          <w:color w:val="auto"/>
        </w:rPr>
      </w:pPr>
    </w:p>
    <w:p>
      <w:pPr>
        <w:jc w:val="both"/>
        <w:ind w:left="980" w:hanging="526"/>
        <w:spacing w:after="0" w:line="234" w:lineRule="auto"/>
        <w:tabs>
          <w:tab w:leader="none" w:pos="980"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Prorated Bonus, if any, Executive would have received for the year in which Executive’s employment terminated, payable at the time payment is made to other similarly situated executives of the Corporation, but in no event later than two and one-half (2½) months after the close of the fiscal year in which Executive’s employment terminated;</w:t>
      </w:r>
    </w:p>
    <w:p>
      <w:pPr>
        <w:spacing w:after="0" w:line="2" w:lineRule="exact"/>
        <w:rPr>
          <w:rFonts w:ascii="Times New Roman" w:cs="Times New Roman" w:eastAsia="Times New Roman" w:hAnsi="Times New Roman"/>
          <w:sz w:val="18"/>
          <w:szCs w:val="18"/>
          <w:color w:val="auto"/>
        </w:rPr>
      </w:pPr>
    </w:p>
    <w:p>
      <w:pPr>
        <w:ind w:left="960" w:hanging="497"/>
        <w:spacing w:after="0" w:line="234" w:lineRule="auto"/>
        <w:tabs>
          <w:tab w:leader="none" w:pos="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COBRA Benefits.</w:t>
      </w:r>
    </w:p>
    <w:p>
      <w:pPr>
        <w:jc w:val="both"/>
        <w:ind w:left="320" w:hanging="320"/>
        <w:spacing w:after="0" w:line="234" w:lineRule="auto"/>
        <w:tabs>
          <w:tab w:leader="none" w:pos="3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in Connection With a Change in Control</w:t>
      </w:r>
      <w:r>
        <w:rPr>
          <w:rFonts w:ascii="Times New Roman" w:cs="Times New Roman" w:eastAsia="Times New Roman" w:hAnsi="Times New Roman"/>
          <w:sz w:val="18"/>
          <w:szCs w:val="18"/>
          <w:color w:val="auto"/>
        </w:rPr>
        <w:t>. If Executive’s employment is terminated in anticipation of, upon or within twenty-four (24) months following a Change in Control (as defined in the Equity Plan), by the Corporation without Cause under Section 6(a) hereof or by Executive for Good Reason under Section 7 hereof, Executive shall be entitled to the following payments, subject to Sections 12 and 13:</w:t>
      </w:r>
    </w:p>
    <w:p>
      <w:pPr>
        <w:spacing w:after="0" w:line="2" w:lineRule="exact"/>
        <w:rPr>
          <w:rFonts w:ascii="Times New Roman" w:cs="Times New Roman" w:eastAsia="Times New Roman" w:hAnsi="Times New Roman"/>
          <w:sz w:val="18"/>
          <w:szCs w:val="18"/>
          <w:color w:val="auto"/>
        </w:rPr>
      </w:pPr>
    </w:p>
    <w:p>
      <w:pPr>
        <w:ind w:left="980" w:hanging="427"/>
        <w:spacing w:after="0" w:line="234" w:lineRule="auto"/>
        <w:tabs>
          <w:tab w:leader="none" w:pos="980"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 as soon as reasonably practicable following the date of termination;</w:t>
      </w:r>
    </w:p>
    <w:p>
      <w:pPr>
        <w:jc w:val="both"/>
        <w:ind w:left="980" w:hanging="477"/>
        <w:spacing w:after="0" w:line="229" w:lineRule="auto"/>
        <w:tabs>
          <w:tab w:leader="none" w:pos="980"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that has been earned in the fiscal year prior to the employment termination that has not yet been paid, shall be payable at the time payment is made to other similarly situated executives of the Corporation, but in no event later than two and one-half (2½) months after the close of the year in which Executive becomes vested in such Bonus;</w:t>
      </w:r>
    </w:p>
    <w:p>
      <w:pPr>
        <w:spacing w:after="0" w:line="1" w:lineRule="exact"/>
        <w:rPr>
          <w:rFonts w:ascii="Times New Roman" w:cs="Times New Roman" w:eastAsia="Times New Roman" w:hAnsi="Times New Roman"/>
          <w:sz w:val="18"/>
          <w:szCs w:val="18"/>
          <w:color w:val="auto"/>
        </w:rPr>
      </w:pPr>
    </w:p>
    <w:p>
      <w:pPr>
        <w:ind w:left="980" w:hanging="526"/>
        <w:spacing w:after="0" w:line="234" w:lineRule="auto"/>
        <w:tabs>
          <w:tab w:leader="none" w:pos="980"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Rated Bonus;</w:t>
      </w:r>
    </w:p>
    <w:p>
      <w:pPr>
        <w:jc w:val="both"/>
        <w:ind w:left="980" w:hanging="517"/>
        <w:spacing w:after="0" w:line="234" w:lineRule="auto"/>
        <w:tabs>
          <w:tab w:leader="none" w:pos="9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two (2) times the sum of (A) Base Salary (B) target Bonus for the fiscal year of termination, payable within ten (10) calendar days after Executive’s delivery to the Corporation and non-revocation of an executed and enforceable Release, in accordance with and subject to Section 13;</w:t>
      </w:r>
    </w:p>
    <w:p>
      <w:pPr>
        <w:spacing w:after="0" w:line="2" w:lineRule="exact"/>
        <w:rPr>
          <w:rFonts w:ascii="Times New Roman" w:cs="Times New Roman" w:eastAsia="Times New Roman" w:hAnsi="Times New Roman"/>
          <w:sz w:val="18"/>
          <w:szCs w:val="18"/>
          <w:color w:val="auto"/>
        </w:rPr>
      </w:pPr>
    </w:p>
    <w:p>
      <w:pPr>
        <w:jc w:val="both"/>
        <w:ind w:left="980" w:hanging="467"/>
        <w:spacing w:after="0" w:line="239" w:lineRule="auto"/>
        <w:tabs>
          <w:tab w:leader="none" w:pos="968"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Executive’s continued compliance with the Restrictive Covenants in Section 12 after the date of the Change in Control, an additional lump sum payment equal to the sum of (A) Base Salary and (B) target Bonus for the fiscal year of termination,</w:t>
      </w:r>
    </w:p>
    <w:p>
      <w:pPr>
        <w:sectPr>
          <w:pgSz w:w="11900" w:h="16838" w:orient="portrait"/>
          <w:cols w:equalWidth="0" w:num="1">
            <w:col w:w="10260"/>
          </w:cols>
          <w:pgMar w:left="1300" w:top="1404" w:right="339" w:bottom="1440" w:gutter="0" w:footer="0" w:header="0"/>
        </w:sectPr>
      </w:pPr>
    </w:p>
    <w:bookmarkStart w:id="52" w:name="page53"/>
    <w:bookmarkEnd w:id="52"/>
    <w:p>
      <w:pPr>
        <w:jc w:val="both"/>
        <w:ind w:left="840"/>
        <w:spacing w:after="0" w:line="235" w:lineRule="auto"/>
        <w:rPr>
          <w:sz w:val="20"/>
          <w:szCs w:val="20"/>
          <w:color w:val="auto"/>
        </w:rPr>
      </w:pPr>
      <w:r>
        <w:rPr>
          <w:rFonts w:ascii="Times New Roman" w:cs="Times New Roman" w:eastAsia="Times New Roman" w:hAnsi="Times New Roman"/>
          <w:sz w:val="18"/>
          <w:szCs w:val="18"/>
          <w:color w:val="auto"/>
        </w:rPr>
        <w:t>payable after the date of termination and within ten (10) calendar days after Executive’s delivery to the Corporation and non-revocation of an executed and enforceable Release, in accordance with and subject to Section 13, or, if the termination was in anticipation of a Change in Control, payable after the date of the Change in Control and within ten (10) calendar days after Executive’s delivery to the Corporation and non-revocation of an executed and enforceable Release, in accordance with and subject to Section 13; provided that, if Executive previously has delivered and not revoked an executed and enforceable Release in connection with his termination of employment before the Change in Control, the additional Release required by this clause shall only apply to the period between the execution and delivery of an enforceable Release upon Executive’s termination of employment and the date of the Change in Control;</w:t>
      </w:r>
    </w:p>
    <w:p>
      <w:pPr>
        <w:spacing w:after="0" w:line="1" w:lineRule="exact"/>
        <w:rPr>
          <w:sz w:val="20"/>
          <w:szCs w:val="20"/>
          <w:color w:val="auto"/>
        </w:rPr>
      </w:pPr>
    </w:p>
    <w:p>
      <w:pPr>
        <w:ind w:left="840" w:hanging="517"/>
        <w:spacing w:after="0"/>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COBRA Benefits; and</w:t>
      </w:r>
    </w:p>
    <w:p>
      <w:pPr>
        <w:ind w:left="840" w:hanging="567"/>
        <w:spacing w:after="0" w:line="234" w:lineRule="auto"/>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outplacement assistance up to a maximum amount of $50,000, for no longer than one year.</w:t>
      </w:r>
    </w:p>
    <w:p>
      <w:pPr>
        <w:ind w:left="840" w:right="20" w:hanging="617"/>
        <w:spacing w:after="0" w:line="234" w:lineRule="auto"/>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any equity compensation awards held by Executive shall be governed by the terms of the plan or agreement under which such awards were granted.</w:t>
      </w:r>
    </w:p>
    <w:p>
      <w:pPr>
        <w:spacing w:after="0" w:line="1" w:lineRule="exact"/>
        <w:rPr>
          <w:rFonts w:ascii="Times New Roman" w:cs="Times New Roman" w:eastAsia="Times New Roman" w:hAnsi="Times New Roman"/>
          <w:sz w:val="18"/>
          <w:szCs w:val="18"/>
          <w:color w:val="auto"/>
        </w:rPr>
      </w:pPr>
    </w:p>
    <w:p>
      <w:pPr>
        <w:jc w:val="both"/>
        <w:ind w:left="840" w:hanging="517"/>
        <w:spacing w:after="0" w:line="233" w:lineRule="auto"/>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occurs and payments are made under this Section 10(e), and a final determination is made by legislation, regulation, or ruling directed to Executive or the Corporation, by court decision, or by independent tax counsel, that the aggregate amount of any payments made to Executive under this Agreement and any other agreement, plan, program or policy of the Corporation in connection with, on account of, or as a result of, such Change in Control (“Total Payments”) will be subject to an excise tax under the provisions of Code Section 4999, or any successor section thereof (“Excise Tax”), the Total Payments shall be reduced (beginning with those that are exempt from Code Section 409A) so that the maximum amount of the Total Payments (after reduction) shall be one dollar ($1.00) less than the amount that would cause the Total Payments to be subject to the Excise Tax; provided, however, that the Total Payments shall only be reduced to the extent that the after-tax value of amounts received by Executive after application of the above reduction would exceed the after-tax value of the Total Payments received without application of such reduction. For this purpose, the after-tax value of an amount shall be determined taking into account all federal, state, and local income, employment, and excise taxes applicable to such amount. In making any determination as to whether the Total Payments would be subject to an Excise Tax, consideration shall be given to whether any portion of the Total Payments could reasonably be considered, based on the relevant facts and circumstances, to be reasonable compensation for services rendered (whether before or after the consummation of the applicable Change in Control). To the extent Total Payments must be reduced pursuant to this Section, the Corporation, without consulting Executive, will reduce the Total Payments to achieve the best economic benefit, and to the extent economically equivalent, on a pro-rata basis.</w:t>
      </w:r>
    </w:p>
    <w:p>
      <w:pPr>
        <w:spacing w:after="0" w:line="11" w:lineRule="exact"/>
        <w:rPr>
          <w:rFonts w:ascii="Times New Roman" w:cs="Times New Roman" w:eastAsia="Times New Roman" w:hAnsi="Times New Roman"/>
          <w:sz w:val="18"/>
          <w:szCs w:val="18"/>
          <w:color w:val="auto"/>
        </w:rPr>
      </w:pPr>
    </w:p>
    <w:p>
      <w:pPr>
        <w:jc w:val="both"/>
        <w:ind w:left="1480" w:hanging="324"/>
        <w:spacing w:after="0" w:line="234" w:lineRule="auto"/>
        <w:tabs>
          <w:tab w:leader="none" w:pos="14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upon any audit by the Internal Revenue Service, or by a state or local taxing authority, of the Total Payments, a change is determined to be required in the amount of taxes paid by, or Total Payments made to, Executive, appropriate adjustments will be made under this Agreement such that the net amount that is payable to Executive after taking into account the provisions of Code Section 4999 will reflect the intent of the parties as expressed in this Section 10(e)(x). Executive shall notify the Corporation in writing of any claim by the Internal Revenue Service that, if successful, would require payment of an Excise Tax or an additional Excise Tax on the Total Payments (a “Claim”). Such notification shall be given as soon as practicable but no later than ten (10) business days after Executive is informed in writing of such Claim and shall apprise the Corporation of the nature of such Claim and the date on which such Claim is requested to be paid. Executive shall not pay such Claim prior to the expiration of the thirty (30) calendar day period following the date on which Executive gives such notice to the Corporation (or such shorter period ending on the date that any payment of taxes with respect to such Claim is due). If the Corporation notifies Executive in writing prior to the expiration of such period that it desires to contest such Claim, Executive shall: (1) give the Corporation any information reasonably requested by the Corporation relating to such Claim,</w:t>
      </w:r>
    </w:p>
    <w:p>
      <w:pPr>
        <w:sectPr>
          <w:pgSz w:w="11900" w:h="16838" w:orient="portrait"/>
          <w:cols w:equalWidth="0" w:num="1">
            <w:col w:w="10120"/>
          </w:cols>
          <w:pgMar w:left="1440" w:top="1404" w:right="339" w:bottom="1440" w:gutter="0" w:footer="0" w:header="0"/>
        </w:sectPr>
      </w:pPr>
    </w:p>
    <w:bookmarkStart w:id="53" w:name="page54"/>
    <w:bookmarkEnd w:id="53"/>
    <w:p>
      <w:pPr>
        <w:jc w:val="both"/>
        <w:ind w:left="1620"/>
        <w:spacing w:after="0" w:line="234" w:lineRule="auto"/>
        <w:tabs>
          <w:tab w:leader="none" w:pos="189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in connection with contesting such Claim as the Corporation shall reasonably request in writing from time to time, including, without limitation, accepting legal representation with respect to such Claim by an attorney reasonably selected by the Corporation, (3) cooperate with the Corporation in good faith in order to contest effectively such Claim, and (4) permit the Corporation to participate in any proceedings relating to such Claim; provided, however, that the Corporation shall bear and pay directly all costs and expenses (including additional interest and penalties) incurred in connection with such contest and shall indemnify and hold Executive harmless for any Excise Tax, additional Excise Tax, or income tax (including interest and penalties with respect thereto) imposed as a result of such representation and payment of costs and expenses. Without limitation on the foregoing provisions of this Section 10(e)(x)(A), the Corporation,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(1) or more appellate courts, as the Corporation shall determine, provided, however, that if the Corporation directs Executive to pay such Claim and sue for a refund, the Corporation shall advance the amount of such payment to Executive on an interest-free basis or, if such an advance is not permissible under applicable law, pay the amount of such payment to Executive as additional compensation, and shall indemnify and hold Executive harmless from any Excise Tax, additional Excise Tax, or income tax (including interest or penalties with respect thereto) imposed with respect to such advance or additional compensation; and further provided that any extension of the statute of limitations relating to payment of taxes for the taxable year of Executive with respect to which such contested amount is claimed to be due is limited solely to such contested amount. The Corporation shall reimburse any fees and expenses provided for under this Section 10(e)(x) on or before the last day of Executive’s taxable year following the taxable year in which the fee or expense was incurred, and in accordance with the other requirements of Code Section 409A and Treasury Regulation §1.409A-3(i)(1)(v) (or any similar or successor provisions).</w:t>
      </w:r>
    </w:p>
    <w:p>
      <w:pPr>
        <w:spacing w:after="0" w:line="8" w:lineRule="exact"/>
        <w:rPr>
          <w:rFonts w:ascii="Times New Roman" w:cs="Times New Roman" w:eastAsia="Times New Roman" w:hAnsi="Times New Roman"/>
          <w:sz w:val="18"/>
          <w:szCs w:val="18"/>
          <w:color w:val="auto"/>
        </w:rPr>
      </w:pPr>
    </w:p>
    <w:p>
      <w:pPr>
        <w:jc w:val="both"/>
        <w:ind w:left="1620" w:hanging="324"/>
        <w:spacing w:after="0" w:line="234"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receipt by Executive of an amount advanced or paid by the Corporation pursuant to Section 10(e)(x)(A) above, Executive becomes entitled to receive any refund with respect to such Claim, Executive shall (subject to the Corporation’s complying with the requirements of Section 10(e)(x)(A)) promptly pay to the Corporation the amount of such refund (together with any interest paid or credited thereon after taxes applicable thereto). If, after the receipt by Executive of an amount advanced by the Corporation pursuant to Section 10(e)(x)(A), a determination is made that Executive shall not be entitled to any refund with respect to such Claim and the Corporation does not notify Executive in writing of its intent to contest such denial of refund prior to the expiration of sixty (60) calendar days after such determination, then such advance shall be forgiven and shall not be required to be repaid.</w:t>
      </w:r>
    </w:p>
    <w:p>
      <w:pPr>
        <w:spacing w:after="0" w:line="5" w:lineRule="exact"/>
        <w:rPr>
          <w:rFonts w:ascii="Times New Roman" w:cs="Times New Roman" w:eastAsia="Times New Roman" w:hAnsi="Times New Roman"/>
          <w:sz w:val="18"/>
          <w:szCs w:val="18"/>
          <w:color w:val="auto"/>
        </w:rPr>
      </w:pPr>
    </w:p>
    <w:p>
      <w:pPr>
        <w:jc w:val="both"/>
        <w:ind w:left="320" w:hanging="320"/>
        <w:spacing w:after="0" w:line="234" w:lineRule="auto"/>
        <w:tabs>
          <w:tab w:leader="none" w:pos="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Following Notice of Non-Renewal</w:t>
      </w:r>
      <w:r>
        <w:rPr>
          <w:rFonts w:ascii="Times New Roman" w:cs="Times New Roman" w:eastAsia="Times New Roman" w:hAnsi="Times New Roman"/>
          <w:sz w:val="18"/>
          <w:szCs w:val="18"/>
          <w:color w:val="auto"/>
        </w:rPr>
        <w:t>. If the Term of this Agreement expires due the Corporation electing not to renew the Term in accordance with Section 3, it shall be treated as a termination of Executive’s employment by the Corporation without Cause at the end of the then Term and Executive shall be entitled to those amounts set forth in Section 10(b) or 10 (e) of this Agreement, as applicable, subject to and in accordance with the terms of Section 13. If the Term of this Agreement expires due to Executive electing not to renew the Term in accordance with Section 3, Executive shall receive, subject to Section 13, (i) the Accrued Amounts, as soon as reasonably practicable following the date of termination; and (ii) any Bonus that has been earned in the year prior to the employment termination that has not yet been paid, which Bonus shall be payable at the time payment is made to other similarly situated executives of the Corporation, but</w:t>
      </w:r>
    </w:p>
    <w:p>
      <w:pPr>
        <w:sectPr>
          <w:pgSz w:w="11900" w:h="16838" w:orient="portrait"/>
          <w:cols w:equalWidth="0" w:num="1">
            <w:col w:w="10260"/>
          </w:cols>
          <w:pgMar w:left="1300" w:top="1404" w:right="339" w:bottom="1440" w:gutter="0" w:footer="0" w:header="0"/>
        </w:sectPr>
      </w:pPr>
    </w:p>
    <w:bookmarkStart w:id="54" w:name="page55"/>
    <w:bookmarkEnd w:id="54"/>
    <w:p>
      <w:pPr>
        <w:ind w:left="968"/>
        <w:spacing w:after="0"/>
        <w:rPr>
          <w:sz w:val="20"/>
          <w:szCs w:val="20"/>
          <w:color w:val="auto"/>
        </w:rPr>
      </w:pPr>
      <w:r>
        <w:rPr>
          <w:rFonts w:ascii="Times New Roman" w:cs="Times New Roman" w:eastAsia="Times New Roman" w:hAnsi="Times New Roman"/>
          <w:sz w:val="18"/>
          <w:szCs w:val="18"/>
          <w:color w:val="auto"/>
        </w:rPr>
        <w:t>in no event later than two and one-half (2½) months after the close of the year in which Executive becomes vested in such Bonus.</w:t>
      </w:r>
    </w:p>
    <w:p>
      <w:pPr>
        <w:spacing w:after="0" w:line="16" w:lineRule="exact"/>
        <w:rPr>
          <w:sz w:val="20"/>
          <w:szCs w:val="20"/>
          <w:color w:val="auto"/>
        </w:rPr>
      </w:pPr>
    </w:p>
    <w:p>
      <w:pPr>
        <w:jc w:val="both"/>
        <w:ind w:left="968" w:hanging="320"/>
        <w:spacing w:after="0" w:line="234" w:lineRule="auto"/>
        <w:tabs>
          <w:tab w:leader="none" w:pos="9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 or Offset</w:t>
      </w:r>
      <w:r>
        <w:rPr>
          <w:rFonts w:ascii="Times New Roman" w:cs="Times New Roman" w:eastAsia="Times New Roman" w:hAnsi="Times New Roman"/>
          <w:sz w:val="18"/>
          <w:szCs w:val="18"/>
          <w:color w:val="auto"/>
        </w:rPr>
        <w:t>. In the event of any termination of Executive’s employment under this Section 10, Executive shall be under no obligation to seek other employment or otherwise mitigate his damages, and there shall be no offset against amounts due to Executive under this Agreement on account of any remuneration or benefit attributable to any subsequent employment obtained by Executive, except as provided in Sections 10(b)(vii), 10(d)(v), 10(e)(vii), and 10(f)(v).</w:t>
      </w:r>
    </w:p>
    <w:p>
      <w:pPr>
        <w:spacing w:after="0" w:line="2" w:lineRule="exact"/>
        <w:rPr>
          <w:rFonts w:ascii="Times New Roman" w:cs="Times New Roman" w:eastAsia="Times New Roman" w:hAnsi="Times New Roman"/>
          <w:sz w:val="18"/>
          <w:szCs w:val="18"/>
          <w:color w:val="auto"/>
        </w:rPr>
      </w:pPr>
    </w:p>
    <w:p>
      <w:pPr>
        <w:ind w:left="968" w:right="20" w:hanging="320"/>
        <w:spacing w:after="0" w:line="243" w:lineRule="auto"/>
        <w:tabs>
          <w:tab w:leader="none" w:pos="9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Recovery Policy</w:t>
      </w:r>
      <w:r>
        <w:rPr>
          <w:rFonts w:ascii="Times New Roman" w:cs="Times New Roman" w:eastAsia="Times New Roman" w:hAnsi="Times New Roman"/>
          <w:sz w:val="18"/>
          <w:szCs w:val="18"/>
          <w:color w:val="auto"/>
        </w:rPr>
        <w:t>. Notwithstanding any provision in this Agreement to the contrary, payments under this Agreement will be subject to any Compensation Recovery Policy established by the Corporation and amended from time to time.</w:t>
      </w:r>
    </w:p>
    <w:p>
      <w:pPr>
        <w:spacing w:after="0" w:line="195" w:lineRule="exact"/>
        <w:rPr>
          <w:rFonts w:ascii="Times New Roman" w:cs="Times New Roman" w:eastAsia="Times New Roman" w:hAnsi="Times New Roman"/>
          <w:sz w:val="18"/>
          <w:szCs w:val="18"/>
          <w:color w:val="auto"/>
        </w:rPr>
      </w:pPr>
    </w:p>
    <w:p>
      <w:pPr>
        <w:jc w:val="both"/>
        <w:ind w:left="328" w:hanging="328"/>
        <w:spacing w:after="0" w:line="245" w:lineRule="auto"/>
        <w:tabs>
          <w:tab w:leader="none" w:pos="3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Payments</w:t>
      </w:r>
      <w:r>
        <w:rPr>
          <w:rFonts w:ascii="Times New Roman" w:cs="Times New Roman" w:eastAsia="Times New Roman" w:hAnsi="Times New Roman"/>
          <w:sz w:val="18"/>
          <w:szCs w:val="18"/>
          <w:color w:val="auto"/>
        </w:rPr>
        <w:t>. Upon termination of employment pursuant to Sections 6, 7, 8, 9, or 10, Executive will be released from any duties and obligations to the Corporation set forth in this Agreement (except the duties and obligations under the Restrictive Covenants as set forth in Section 12 hereof and the obligation under Sections 13 and 22) and the obligations of the Corporation to Executive under this Agreement will be as set forth in Section 10.</w:t>
      </w:r>
    </w:p>
    <w:p>
      <w:pPr>
        <w:spacing w:after="0" w:line="2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15" w:lineRule="exact"/>
        <w:rPr>
          <w:rFonts w:ascii="Times New Roman" w:cs="Times New Roman" w:eastAsia="Times New Roman" w:hAnsi="Times New Roman"/>
          <w:sz w:val="18"/>
          <w:szCs w:val="18"/>
          <w:color w:val="auto"/>
        </w:rPr>
      </w:pPr>
    </w:p>
    <w:p>
      <w:pPr>
        <w:jc w:val="both"/>
        <w:ind w:left="968" w:hanging="320"/>
        <w:spacing w:after="0" w:line="234" w:lineRule="auto"/>
        <w:tabs>
          <w:tab w:leader="none" w:pos="95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the global nature of the Corporation’s businesses and the effort the Corporation undertakes to develop and protect its business, goodwill, confidential information and competitive advantage. Accordingly, Executive recognizes and agrees that the scope and duration of the restrictions described in this Section 12 are reasonable and necessary to protect the legitimate business interests of the Corporation. All payments and benefits to Executive under this Agreement are conditioned expressly on Executive’s compliance with each of the provisions of this Section 12. During the period of Executive’s employment and for a period of two (2) years following Executive’s termination of employment for any reason, Executive shall not:</w:t>
      </w:r>
    </w:p>
    <w:p>
      <w:pPr>
        <w:spacing w:after="0" w:line="4" w:lineRule="exact"/>
        <w:rPr>
          <w:rFonts w:ascii="Times New Roman" w:cs="Times New Roman" w:eastAsia="Times New Roman" w:hAnsi="Times New Roman"/>
          <w:sz w:val="18"/>
          <w:szCs w:val="18"/>
          <w:color w:val="auto"/>
        </w:rPr>
      </w:pPr>
    </w:p>
    <w:p>
      <w:pPr>
        <w:jc w:val="both"/>
        <w:ind w:left="1628" w:hanging="427"/>
        <w:spacing w:after="0" w:line="233" w:lineRule="auto"/>
        <w:tabs>
          <w:tab w:leader="none" w:pos="162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singly, jointly, or in any other capacity, in a manner that contributes to any research, design, development, strategy, marketing, promotion, or sales, or that relates to Executive’s employment with the Corporation, directly or beneficially engage in, manage, join, participate in the management, operation or control of, or work for (as an employee, consultant or independent contractor), or permit the use of his name by, or provide financial or other assistance to, any person or entity that engages in the design, production, marketing,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retailing of (A) handbags and other bags and related accessories (“Handbag Competitive Activities”), or (B) accessories such as jewelry, travel and leisure items, and baby clothes and accessories (“Other Competitive Activities”), and, in the case of either (A) or ((B), has received in the prior fiscal year at least twenty-five percent (25%) of its revenues from Handbag Competitive Activities and more than fifty (50%) of its revenues from the combination of Handbag and Other Competitive Activities (a “Competitor”), provided that the foregoing shall not limit Executive from providing services or assistance to a subsidiary or affiliate of a Competitor, in a situation where Executive provides no services or assistance whatsoever to the subsidiary or affiliate that is a Competitor, without the express written approval of the Chairman of the Board;</w:t>
      </w:r>
    </w:p>
    <w:p>
      <w:pPr>
        <w:spacing w:after="0" w:line="3" w:lineRule="exact"/>
        <w:rPr>
          <w:rFonts w:ascii="Times New Roman" w:cs="Times New Roman" w:eastAsia="Times New Roman" w:hAnsi="Times New Roman"/>
          <w:sz w:val="18"/>
          <w:szCs w:val="18"/>
          <w:color w:val="auto"/>
        </w:rPr>
      </w:pPr>
    </w:p>
    <w:p>
      <w:pPr>
        <w:jc w:val="both"/>
        <w:ind w:left="1628" w:hanging="477"/>
        <w:spacing w:after="0" w:line="232" w:lineRule="auto"/>
        <w:tabs>
          <w:tab w:leader="none" w:pos="162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service or assistance to a Competitor, (A) that is of the general type of service or assistance provided by Executive to the Corporation, subject to the proviso in Section 12(a)(i) above (B) that relates to any design, product, project or piece of work with which Executive was involved during his employment, (C) that contributes to causing an entity to design, manufacture, sell and market any product or service that competes with or that is similar to the handbags and other bags, jewelry, travel and leisure items, and baby clothes and accessories that are designed, produced, sold or marketed by the Corporation, or (D) in which there is a reasonable possibility that Executive may, intentionally or inadvertently, use or rely upon the Corporation’s secret or confidential information;</w:t>
      </w:r>
    </w:p>
    <w:p>
      <w:pPr>
        <w:spacing w:after="0" w:line="3" w:lineRule="exact"/>
        <w:rPr>
          <w:rFonts w:ascii="Times New Roman" w:cs="Times New Roman" w:eastAsia="Times New Roman" w:hAnsi="Times New Roman"/>
          <w:sz w:val="18"/>
          <w:szCs w:val="18"/>
          <w:color w:val="auto"/>
        </w:rPr>
      </w:pPr>
    </w:p>
    <w:p>
      <w:pPr>
        <w:jc w:val="both"/>
        <w:ind w:left="1628" w:hanging="526"/>
        <w:spacing w:after="0" w:line="238" w:lineRule="auto"/>
        <w:tabs>
          <w:tab w:leader="none" w:pos="162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solicit or accept if offered to Executive, with or without solicitation, on his own behalf or on behalf of any other person, the services of any person who is a then-current employee of the Corporation (or was an employee of the Corporation during the year preceding such solicitation), (B) solicit any of the Corporation’s then-current employees (or an individual who was employed by or engaged by the Corporation during the year</w:t>
      </w:r>
    </w:p>
    <w:p>
      <w:pPr>
        <w:sectPr>
          <w:pgSz w:w="11900" w:h="16838" w:orient="portrait"/>
          <w:cols w:equalWidth="0" w:num="1">
            <w:col w:w="10908"/>
          </w:cols>
          <w:pgMar w:left="652" w:top="1404" w:right="339" w:bottom="1440" w:gutter="0" w:footer="0" w:header="0"/>
        </w:sectPr>
      </w:pPr>
    </w:p>
    <w:bookmarkStart w:id="55" w:name="page56"/>
    <w:bookmarkEnd w:id="55"/>
    <w:p>
      <w:pPr>
        <w:jc w:val="both"/>
        <w:ind w:left="980"/>
        <w:spacing w:after="0" w:line="239" w:lineRule="auto"/>
        <w:rPr>
          <w:sz w:val="20"/>
          <w:szCs w:val="20"/>
          <w:color w:val="auto"/>
        </w:rPr>
      </w:pPr>
      <w:r>
        <w:rPr>
          <w:rFonts w:ascii="Times New Roman" w:cs="Times New Roman" w:eastAsia="Times New Roman" w:hAnsi="Times New Roman"/>
          <w:sz w:val="18"/>
          <w:szCs w:val="18"/>
          <w:color w:val="auto"/>
        </w:rPr>
        <w:t>preceding such solicitation) to terminate employment or an engagement with the Corporation, not including any general, non-targeted advertising, or (C) agree to hire any then-current employee (or an individual who was an employee of the Corporation during the year preceding such hire) of the Corporation into employment with Executive or any company, individual or other entity; provided that the foregoing shall not be violated by a hiring with respect to which Executive had no personal involvement in any manner or by Executive serving as a reference upon request; or</w:t>
      </w:r>
    </w:p>
    <w:p>
      <w:pPr>
        <w:spacing w:after="0" w:line="2" w:lineRule="exact"/>
        <w:rPr>
          <w:sz w:val="20"/>
          <w:szCs w:val="20"/>
          <w:color w:val="auto"/>
        </w:rPr>
      </w:pPr>
    </w:p>
    <w:p>
      <w:pPr>
        <w:jc w:val="both"/>
        <w:ind w:left="980" w:hanging="517"/>
        <w:spacing w:after="0" w:line="229" w:lineRule="auto"/>
        <w:tabs>
          <w:tab w:leader="none" w:pos="9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a Competitor, directly or indirectly divert or attempt to divert from the Corporation any business in which the Corporation has been actively engaged during Executive’s employment, nor interfere with the relationships of the Corporation or with their sources of business;</w:t>
      </w:r>
    </w:p>
    <w:p>
      <w:pPr>
        <w:spacing w:after="0" w:line="1" w:lineRule="exact"/>
        <w:rPr>
          <w:rFonts w:ascii="Times New Roman" w:cs="Times New Roman" w:eastAsia="Times New Roman" w:hAnsi="Times New Roman"/>
          <w:sz w:val="18"/>
          <w:szCs w:val="18"/>
          <w:color w:val="auto"/>
        </w:rPr>
      </w:pPr>
    </w:p>
    <w:p>
      <w:pPr>
        <w:jc w:val="both"/>
        <w:ind w:left="320" w:hanging="320"/>
        <w:spacing w:after="0" w:line="234"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Executive recognizes that the Corporation will disclose secret or confidential information to Executive during the period of Executive’s employment to enable Executive to perform his duties. Subject to the following sentence, Executive shall not during his employment (except in connection with the proper performance of his duties) and thereafter, without the prior written consent of the Board, disclose to any person or entity, or use for any reason or purpose, any material or significant secret or confidential information concerning the business of the Corporation that Executive obtained in the course of Executive’s employment. This Section shall not be applicable if and to the extent Executive is required to testify in a legislative, judicial or regulatory proceeding pursuant to an order of Congress, any state or local legislature, a judge, or an administrative law judge, or if such secret or confidential information is required to be disclosed by Executive by any law, regulation or order of any court or regulatory commission, department or agency; provided, however, that Executive shall provide the Corporation with prompt notice thereof so that the Corporation may seek an appropriate protective order and/or waive compliance with this Section with respect to such requirement. In the absence of a protective order or the receipt of waiver hereunder, if Executive is nonetheless, in the opinion of Executive’s counsel, compelled to furnish the Corporation’s confidential information to any third party or else stand liable for contempt or suffer other censure or penalty, such party may furnish such information without liability under this Section or otherwise. Executive further agrees that if Executive’s employment is terminated for any reason, Executive will not take, but will leave with the Corporation, all records and papers and all matter of whatever nature that bears secret or confidential information of the Corporation. For purposes of this Agreement, the term “secret or confidential information” shall include, but not be limited to, product assortment, product design, prints, any and all records, notes, memoranda, data, writings, research, personnel information, customer information, pricing, sales and marketing information, product information or designs, supplier lists, the Corporation’s financial information and plans, processes, methods, techniques, systems, formulas, patents, models, devices, compilations or any other information of whatever nature in the possession or control of the Corporation, that has not been published or disclosed to the general public, the fashion industry or the design industry. For purposes of this Agreement, the term “secret or confidential information” shall not include Executive’s personal address book.</w:t>
      </w:r>
    </w:p>
    <w:p>
      <w:pPr>
        <w:spacing w:after="0" w:line="1" w:lineRule="exact"/>
        <w:rPr>
          <w:rFonts w:ascii="Times New Roman" w:cs="Times New Roman" w:eastAsia="Times New Roman" w:hAnsi="Times New Roman"/>
          <w:sz w:val="18"/>
          <w:szCs w:val="18"/>
          <w:color w:val="auto"/>
        </w:rPr>
      </w:pPr>
    </w:p>
    <w:p>
      <w:pPr>
        <w:jc w:val="both"/>
        <w:ind w:left="320" w:hanging="320"/>
        <w:spacing w:after="0" w:line="232" w:lineRule="auto"/>
        <w:tabs>
          <w:tab w:leader="none" w:pos="3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Judicial Modification</w:t>
      </w:r>
      <w:r>
        <w:rPr>
          <w:rFonts w:ascii="Times New Roman" w:cs="Times New Roman" w:eastAsia="Times New Roman" w:hAnsi="Times New Roman"/>
          <w:sz w:val="18"/>
          <w:szCs w:val="18"/>
          <w:color w:val="auto"/>
        </w:rPr>
        <w:t>. If a court of competent jurisdiction declares that any term or provision of this Section 12 is invalid or unenforceable, the Corporation and Executive intend that (i) the court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(ii) the Corporation and Executive shall request that the court exercise that power, and (iii) the Agreement shall be enforceable as so modified after the expiration of the time within which the judgment or decision may be appealed.</w:t>
      </w:r>
    </w:p>
    <w:p>
      <w:pPr>
        <w:spacing w:after="0" w:line="3" w:lineRule="exact"/>
        <w:rPr>
          <w:rFonts w:ascii="Times New Roman" w:cs="Times New Roman" w:eastAsia="Times New Roman" w:hAnsi="Times New Roman"/>
          <w:sz w:val="18"/>
          <w:szCs w:val="18"/>
          <w:color w:val="auto"/>
        </w:rPr>
      </w:pPr>
    </w:p>
    <w:p>
      <w:pPr>
        <w:jc w:val="both"/>
        <w:ind w:left="320" w:hanging="320"/>
        <w:spacing w:after="0" w:line="236"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not to make, repeat, authorize, or permit any person under his control to make, directly or indirectly, any public statements (whether oral or written), comments, remarks, or publications of any type or of any nature, to anyone, including but not limited to the news media, investors, potential investors, industry analysts, competitors, strategic partners, vendors, employees (past and present), and customers, which would defame or disparage the business reputation, practices, or conduct of the Corporation or its Affiliates (including its products, services or its business decisions), or their employees, directors or officers, or any of them, at any time now or in the future. The Corporation agrees that its Board of Directors, Executive Vice Presidents and Chief Executive Officer will not, directly or indirectly, make,</w:t>
      </w:r>
    </w:p>
    <w:p>
      <w:pPr>
        <w:sectPr>
          <w:pgSz w:w="11900" w:h="16838" w:orient="portrait"/>
          <w:cols w:equalWidth="0" w:num="1">
            <w:col w:w="10260"/>
          </w:cols>
          <w:pgMar w:left="1300" w:top="1404" w:right="339" w:bottom="1440" w:gutter="0" w:footer="0" w:header="0"/>
        </w:sectPr>
      </w:pPr>
    </w:p>
    <w:bookmarkStart w:id="56" w:name="page57"/>
    <w:bookmarkEnd w:id="56"/>
    <w:p>
      <w:pPr>
        <w:jc w:val="both"/>
        <w:ind w:left="968"/>
        <w:spacing w:after="0" w:line="235" w:lineRule="auto"/>
        <w:rPr>
          <w:sz w:val="20"/>
          <w:szCs w:val="20"/>
          <w:color w:val="auto"/>
        </w:rPr>
      </w:pPr>
      <w:r>
        <w:rPr>
          <w:rFonts w:ascii="Times New Roman" w:cs="Times New Roman" w:eastAsia="Times New Roman" w:hAnsi="Times New Roman"/>
          <w:sz w:val="18"/>
          <w:szCs w:val="18"/>
          <w:color w:val="auto"/>
        </w:rPr>
        <w:t>repeat, authorize or permit any person under its, his or her control to make any public statements (whether oral or written), comments, remarks, or publications of any type or of any nature to anyone, including but not limited to the news media, industry analysts, competitors, strategic partners, vendors, employees (past and present), and customers, which would defame or disparage the reputation of Executive at any time now or in the future. Nothing set forth in this Section 12(d) shall be interpreted to prohibit Executive, the Corporation, the Corporation’s Affiliates, or the directors, partners, officers and employees of the Corporation and its Affiliates from making truthful statements (i) in the good faith normal performance of his or their duties, (ii) when required by law, subpoena or court order and/or from responding to any inquiry by any regulatory or investigatory organization, (iii) of a normal competitive nature, or (iv) in direct rebuttal to a disparaging statement made by another.</w:t>
      </w:r>
    </w:p>
    <w:p>
      <w:pPr>
        <w:spacing w:after="0" w:line="5" w:lineRule="exact"/>
        <w:rPr>
          <w:sz w:val="20"/>
          <w:szCs w:val="20"/>
          <w:color w:val="auto"/>
        </w:rPr>
      </w:pPr>
    </w:p>
    <w:p>
      <w:pPr>
        <w:jc w:val="both"/>
        <w:ind w:left="968" w:hanging="320"/>
        <w:spacing w:after="0" w:line="234" w:lineRule="auto"/>
        <w:tabs>
          <w:tab w:leader="none" w:pos="95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If Executive violates or threatens to violate any provision of this Section 12, the Corporation or its successors in interest shall be entitled, in addition to any other remedies that they may have, including money damages, to (i) an injunction to be issued by a court of competent jurisdiction restraining Executive from committing or continuing any violation of this Section 12 and, in the event of a material violation, (ii) cessation of the severance payments and benefits provided under Section 10. In the event that Executive is found to have breached any provision set forth in this Section 12, the time period provided for in that provision shall be deemed tolled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 will not begin to run) for so long as Executive was in violation of that provision.</w:t>
      </w:r>
    </w:p>
    <w:p>
      <w:pPr>
        <w:spacing w:after="0" w:line="4" w:lineRule="exact"/>
        <w:rPr>
          <w:rFonts w:ascii="Times New Roman" w:cs="Times New Roman" w:eastAsia="Times New Roman" w:hAnsi="Times New Roman"/>
          <w:sz w:val="18"/>
          <w:szCs w:val="18"/>
          <w:color w:val="auto"/>
        </w:rPr>
      </w:pPr>
    </w:p>
    <w:p>
      <w:pPr>
        <w:ind w:left="968" w:hanging="320"/>
        <w:spacing w:after="0" w:line="243" w:lineRule="auto"/>
        <w:tabs>
          <w:tab w:leader="none" w:pos="96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restrictive covenants in any grant or award under the Equity Plan can be broader or more limiting than those set forth in this Section 12 and shall be considered limited accordingly.</w:t>
      </w:r>
    </w:p>
    <w:p>
      <w:pPr>
        <w:spacing w:after="0" w:line="208" w:lineRule="exact"/>
        <w:rPr>
          <w:rFonts w:ascii="Times New Roman" w:cs="Times New Roman" w:eastAsia="Times New Roman" w:hAnsi="Times New Roman"/>
          <w:sz w:val="18"/>
          <w:szCs w:val="18"/>
          <w:color w:val="auto"/>
        </w:rPr>
      </w:pPr>
    </w:p>
    <w:p>
      <w:pPr>
        <w:jc w:val="both"/>
        <w:ind w:left="328" w:hanging="328"/>
        <w:spacing w:after="0" w:line="236" w:lineRule="auto"/>
        <w:tabs>
          <w:tab w:leader="none" w:pos="3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Any and all amounts payable and benefits or additional rights provided pursuant to this Agreement beyond Accrued Amounts shall only be payable if Executive delivers to the Corporation an original, signed release of claims of Executive occurring up to the release date, in a form substantially the same as attached hereto as Exhibit A (the “Release”). The Corporation shall deliver the Release to Executive within ten (10) calendar days of the date Executive’s employment terminates and Executive must deliver to the Corporation and not revoke an executed and enforceable Release no later than thirty (30) calendar days after the date Executive’s employment terminates (the “Release Deadline”). Payment of the amounts described in Section 10 shall commence no earlier than the date on which Executive delivers to the Corporation and does not revoke an executed and enforceable release as described herein. Payment of any severance or benefits that are not exempt from Code Section 409A shall be delayed until the Release Deadline, irrespective of when Executive executes the Release; provided, however, that where Executive’s termination of employment and the Release Deadline occur within the same fiscal year, the payment may be made up to thirty (30) calendar days prior to the Release Deadline, and provided further that where Executive’s termination of employment and the Release Deadline occur in two separate fiscal years, payment may not be made before the later of January 1 of the second year or the date that is thirty (30) calendar days prior to the Release Deadline. As part of the Release, Executive shall affirm that Executive (a) has advised the Corporation, in writing, of any facts that Executive is aware of that constitute or might constitute a violation of any ethical, legal or contractual standards or obligations of the Corporation or any Affiliate, and (b) is not aware of any existing or threatened claims, charges, or lawsuits that Executive has not disclosed to the Corporation.</w:t>
      </w:r>
    </w:p>
    <w:p>
      <w:pPr>
        <w:spacing w:after="0" w:line="215"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Corporation shall maintain a directors’ and officers’ liability insurance policy covering Executive on the same basis as in effect for other senior executive employees, and shall provide indemnity to Executive by a separate, written indemnification agreement.</w:t>
      </w:r>
    </w:p>
    <w:p>
      <w:pPr>
        <w:spacing w:after="0" w:line="189"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requests, demands, and other communications provided for herein shall be sufficient if in writing and shall be deemed to have been duly given if delivered by hand or if sent by registered or certified mail, return receipt requested. Notice shall be deemed to have been given when notice is received by the party on whom the notice was served. Notice to the Corporation shall be addressed to the Corporation at its principal office, with attention to the General Counsel, and notice to Executive shall be addressed to Executive at Executive’s last address as shown on the records of the Corporation.</w:t>
      </w:r>
    </w:p>
    <w:p>
      <w:pPr>
        <w:spacing w:after="0" w:line="211"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construed and enforced in accordance with the substantive laws of the State of Indiana, without regard to its internal conflicts of law provisions.</w:t>
      </w:r>
    </w:p>
    <w:p>
      <w:pPr>
        <w:sectPr>
          <w:pgSz w:w="11900" w:h="16838" w:orient="portrait"/>
          <w:cols w:equalWidth="0" w:num="1">
            <w:col w:w="10908"/>
          </w:cols>
          <w:pgMar w:left="652" w:top="1404" w:right="339" w:bottom="1440" w:gutter="0" w:footer="0" w:header="0"/>
        </w:sectPr>
      </w:pPr>
    </w:p>
    <w:bookmarkStart w:id="57" w:name="page58"/>
    <w:bookmarkEnd w:id="57"/>
    <w:p>
      <w:pPr>
        <w:ind w:left="328" w:hanging="328"/>
        <w:spacing w:after="0" w:line="266" w:lineRule="auto"/>
        <w:tabs>
          <w:tab w:leader="none" w:pos="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shall be determined to be invalid, illegal or otherwise unenforceable or contrary to law or public policy, the enforceability of the other provisions in this Agreement shall not be affected thereby.</w:t>
      </w:r>
    </w:p>
    <w:p>
      <w:pPr>
        <w:spacing w:after="0" w:line="189"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Executive recognizes that this is an agreement for personal services and that Executive may not assign this Agreement. The Agreement shall inure to the benefit of and be binding upon the Corporation’s successors and assigns.</w:t>
      </w:r>
    </w:p>
    <w:p>
      <w:pPr>
        <w:spacing w:after="0" w:line="189" w:lineRule="exact"/>
        <w:rPr>
          <w:rFonts w:ascii="Times New Roman" w:cs="Times New Roman" w:eastAsia="Times New Roman" w:hAnsi="Times New Roman"/>
          <w:sz w:val="18"/>
          <w:szCs w:val="18"/>
          <w:color w:val="auto"/>
        </w:rPr>
      </w:pPr>
    </w:p>
    <w:p>
      <w:pPr>
        <w:jc w:val="both"/>
        <w:ind w:left="328" w:hanging="328"/>
        <w:spacing w:after="0"/>
        <w:tabs>
          <w:tab w:leader="none" w:pos="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Agreement/Amendment</w:t>
      </w:r>
      <w:r>
        <w:rPr>
          <w:rFonts w:ascii="Times New Roman" w:cs="Times New Roman" w:eastAsia="Times New Roman" w:hAnsi="Times New Roman"/>
          <w:sz w:val="18"/>
          <w:szCs w:val="18"/>
          <w:color w:val="auto"/>
        </w:rPr>
        <w:t>. This Agreement and the Confidentiality, Non-Competition and Confirmatory Assignment Agreement referred to in Section 12 constitute the entire agreement between the Parties with respect to the subject matter hereof and supersedes any and all other agreements, either oral or in writing, among the Parties hereto with respect to the subject matter hereof. This Agreement may not be amended except by written agreement signed by both Parties.</w:t>
      </w:r>
    </w:p>
    <w:p>
      <w:pPr>
        <w:spacing w:after="0" w:line="211" w:lineRule="exact"/>
        <w:rPr>
          <w:rFonts w:ascii="Times New Roman" w:cs="Times New Roman" w:eastAsia="Times New Roman" w:hAnsi="Times New Roman"/>
          <w:sz w:val="18"/>
          <w:szCs w:val="18"/>
          <w:color w:val="auto"/>
        </w:rPr>
      </w:pPr>
    </w:p>
    <w:p>
      <w:pPr>
        <w:jc w:val="both"/>
        <w:ind w:left="328" w:hanging="328"/>
        <w:spacing w:after="0" w:line="245" w:lineRule="auto"/>
        <w:tabs>
          <w:tab w:leader="none" w:pos="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one or more counterparts, and by the different Parties in separate counterparts, each of which shall be deemed to be an original but all of which taken together shall constitute one and the same agreement (and all signatures need not appear on any one counterpart), and this Agreement shall become effective when one or more counterparts has been signed by each of the Parties hereto and delivered to each of the other Parties hereto.</w:t>
      </w:r>
    </w:p>
    <w:p>
      <w:pPr>
        <w:spacing w:after="0" w:line="207" w:lineRule="exact"/>
        <w:rPr>
          <w:rFonts w:ascii="Times New Roman" w:cs="Times New Roman" w:eastAsia="Times New Roman" w:hAnsi="Times New Roman"/>
          <w:sz w:val="18"/>
          <w:szCs w:val="18"/>
          <w:color w:val="auto"/>
        </w:rPr>
      </w:pPr>
    </w:p>
    <w:p>
      <w:pPr>
        <w:jc w:val="both"/>
        <w:ind w:left="328" w:hanging="328"/>
        <w:spacing w:after="0" w:line="242" w:lineRule="auto"/>
        <w:tabs>
          <w:tab w:leader="none" w:pos="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failure of either of the Parties to at any time enforce any of the provisions of this Agreement shall not be deemed or construed to be a waiver of any such provision, nor to in any way affect the validity of this Agreement or any provision hereof or the right of either of the Parties to enforce each and every provision of this Agreement. No waiver of any breach of any of the provisions of this Agreement shall be effective unless set forth in a written instrument executed by the party against whom or which enforcement of such waiver is sought, and no waiver of any such breach shall be construed or deemed to be a waiver of any other or subsequent breach.</w:t>
      </w:r>
    </w:p>
    <w:p>
      <w:pPr>
        <w:spacing w:after="0" w:line="211"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Capacity</w:t>
      </w:r>
      <w:r>
        <w:rPr>
          <w:rFonts w:ascii="Times New Roman" w:cs="Times New Roman" w:eastAsia="Times New Roman" w:hAnsi="Times New Roman"/>
          <w:sz w:val="18"/>
          <w:szCs w:val="18"/>
          <w:color w:val="auto"/>
        </w:rPr>
        <w:t>. Executive and the Corporation hereby represent and warrant to the other that: (i) Executive or the Corporation has full power, authority and capacity to execute and deliver this Agreement, and to perform Executive’s or the Corporation’s obligations hereunder; (ii) such execution, delivery and performance will not (and with the giving of notice or lapse of time or both would not) result in the breach of any agreements or other obligations to which Executive or the Corporation is a party or Executive or the Corporation is otherwise bound; and (iii) this Agreement is Executive’s or the Corporation’s valid and binding obligation in accordance with its terms.</w:t>
      </w:r>
    </w:p>
    <w:p>
      <w:pPr>
        <w:spacing w:after="0" w:line="211" w:lineRule="exact"/>
        <w:rPr>
          <w:rFonts w:ascii="Times New Roman" w:cs="Times New Roman" w:eastAsia="Times New Roman" w:hAnsi="Times New Roman"/>
          <w:sz w:val="18"/>
          <w:szCs w:val="18"/>
          <w:color w:val="auto"/>
        </w:rPr>
      </w:pPr>
    </w:p>
    <w:p>
      <w:pPr>
        <w:jc w:val="both"/>
        <w:ind w:left="328" w:hanging="328"/>
        <w:spacing w:after="0" w:line="236" w:lineRule="auto"/>
        <w:tabs>
          <w:tab w:leader="none" w:pos="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controversy or claim arising out of or relating to this Agreement or the breach thereof or otherwise arising out of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Fort Wayne, Indiana, in accordance with the Employment Dispute Resolution Rules of the AAA, including, but not limited to, the rules and procedures applicable to the selection of arbitrators. In the event that any person or entity other than Executive or the Corporation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23 shall be specifically enforceable. Notwithstanding the foregoing, this Section 23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23. Punitive and consequential damages shall not be permitted as an award and each party shall bear the fees and expenses of its own counsel and expert witnesses; provided that the arbitrator(s), in its sole discretion, may award attorneys’ fees, expenses, and costs to Executive if he prevails in the arbitration.</w:t>
      </w:r>
    </w:p>
    <w:p>
      <w:pPr>
        <w:spacing w:after="0" w:line="216"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To the extent that any court action is permitted consistent with or to enforce this Agreement, the parties hereby consent to the jurisdiction of the court of the State of Indiana, including the federal Courts located therein. Accordingly, with respect to any such court action, Executive (a) submits to</w:t>
      </w:r>
    </w:p>
    <w:p>
      <w:pPr>
        <w:sectPr>
          <w:pgSz w:w="11900" w:h="16838" w:orient="portrait"/>
          <w:cols w:equalWidth="0" w:num="1">
            <w:col w:w="10908"/>
          </w:cols>
          <w:pgMar w:left="652" w:top="1404" w:right="339" w:bottom="1440" w:gutter="0" w:footer="0" w:header="0"/>
        </w:sectPr>
      </w:pPr>
    </w:p>
    <w:bookmarkStart w:id="58" w:name="page59"/>
    <w:bookmarkEnd w:id="58"/>
    <w:p>
      <w:pPr>
        <w:ind w:left="328"/>
        <w:spacing w:after="0" w:line="266" w:lineRule="auto"/>
        <w:rPr>
          <w:sz w:val="20"/>
          <w:szCs w:val="20"/>
          <w:color w:val="auto"/>
        </w:rPr>
      </w:pPr>
      <w:r>
        <w:rPr>
          <w:rFonts w:ascii="Times New Roman" w:cs="Times New Roman" w:eastAsia="Times New Roman" w:hAnsi="Times New Roman"/>
          <w:sz w:val="18"/>
          <w:szCs w:val="18"/>
          <w:color w:val="auto"/>
        </w:rPr>
        <w:t>the personal jurisdiction of such courts; (b) consents to service of process; and (c) waives any other requirement (whether imposed by statute, rule of court, or otherwise) with respect to personal jurisdiction or service of process.</w:t>
      </w:r>
    </w:p>
    <w:p>
      <w:pPr>
        <w:spacing w:after="0" w:line="189" w:lineRule="exact"/>
        <w:rPr>
          <w:sz w:val="20"/>
          <w:szCs w:val="20"/>
          <w:color w:val="auto"/>
        </w:rPr>
      </w:pPr>
    </w:p>
    <w:p>
      <w:pPr>
        <w:ind w:left="328" w:hanging="328"/>
        <w:spacing w:after="0"/>
        <w:tabs>
          <w:tab w:leader="none" w:pos="3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Sections of this Agreement survive beyond the Term, except those in Section 1 through 6, and as otherwise specifically stated.</w:t>
      </w:r>
    </w:p>
    <w:p>
      <w:pPr>
        <w:spacing w:after="0" w:line="238" w:lineRule="exact"/>
        <w:rPr>
          <w:rFonts w:ascii="Times New Roman" w:cs="Times New Roman" w:eastAsia="Times New Roman" w:hAnsi="Times New Roman"/>
          <w:sz w:val="18"/>
          <w:szCs w:val="18"/>
          <w:color w:val="auto"/>
        </w:rPr>
      </w:pPr>
    </w:p>
    <w:p>
      <w:pPr>
        <w:jc w:val="both"/>
        <w:ind w:left="328" w:hanging="328"/>
        <w:spacing w:after="0" w:line="235" w:lineRule="auto"/>
        <w:tabs>
          <w:tab w:leader="none" w:pos="32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This Agreement is intended to comply with Code Section 409A and the interpretative guidance thereunder, including the exceptions for short-term deferrals, separation pay arrangements, reimbursements, and in-kind distributions, and shall be administered accordingly. This Agreement shall be construed and interpreted with such intent. Each payment under Section 11 of this Agreement or any Corporation benefit plan is intended to be treated as one of a series of separate payments for purposes of Code Section 409A and Treasury Regulation §1.409A-2(b)(2)(iii). Any payment under Section 10 that is subject to Code Section 409A and not exempt under the short-term deferral rule, will not be made before the date that is six (6) months after the date of termination or, if earlier, the date of Executive’s death (the “Six-Month Delay Rule”) if Executive is a Specified Employee (as defined below) as of his termination of employment. Payments to which Executive otherwise would be entitled during the first six (6) months following his termination of employment (the “Six-Month Delay”) will be accumulated and paid on the first day of the seventh month following his termination of employment. Notwithstanding the Six-Month Delay Rule, to the maximum extent permitted under Code Section 409A and Treasury Regulation §1.409A-1(b)(9)(iii) (or any similar or successor provisions), during the Six-Month Delay and as soon as practicable after satisfaction of Section 13 of this Agreement, the Corporation will pay Executive an amount equal to the lesser of (A) the total severance scheduled to be provided under Section 10 above, or (B) two times the lesser of (1) the maximum amount that may be taken into account under a qualified plan pursuant to Code Section 401(a)(17) for the year in which Executive’s termination of employment occurs, and (2) the sum of Executive’s annualized compensation based upon the annual rate of pay for services provided to the Corporation for the taxable year of Executive preceding the taxable year of Executive in which his termination of employment occurs; provided that amounts paid under this sentence will count toward, and will not be in addition to, the total payment amount required to be made to Executive by the Corporation under Section 10 above. For purposes of this Agreement, the term “Specified Employee” has the meaning given to that term in Code Section 409A and Treasury Regulation §1.409A-1(i) (or other similar or successor provisions). The Corporation’s “specified employee identification date” (as described in Treasury Regulation §1.409A-1(i)(3) or any similar or successor provisions) will be December 31 of each year, and the Corporation’s “specified employee effective date” (as described in Treasury Regulation §1.409A-1(i)(4) or any similar or successor provisions) will be April 1 of each succeeding year.</w:t>
      </w:r>
    </w:p>
    <w:p>
      <w:pPr>
        <w:spacing w:after="0" w:line="208"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Employment Agreement has been duly executed:</w:t>
      </w:r>
    </w:p>
    <w:p>
      <w:pPr>
        <w:spacing w:after="0" w:line="200" w:lineRule="exact"/>
        <w:rPr>
          <w:sz w:val="20"/>
          <w:szCs w:val="20"/>
          <w:color w:val="auto"/>
        </w:rPr>
      </w:pPr>
    </w:p>
    <w:p>
      <w:pPr>
        <w:spacing w:after="0" w:line="336"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VERA BRADLEY, INC.</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194"/>
        </w:trPr>
        <w:tc>
          <w:tcPr>
            <w:tcW w:w="6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By: /s/ Robert J Hall</w:t>
            </w:r>
          </w:p>
        </w:tc>
        <w:tc>
          <w:tcPr>
            <w:tcW w:w="39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/s/ Robert Wallstrom</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22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 Chairman of the Board of Directors</w:t>
            </w:r>
          </w:p>
        </w:tc>
        <w:tc>
          <w:tcPr>
            <w:tcW w:w="2240" w:type="dxa"/>
            <w:vAlign w:val="bottom"/>
          </w:tcPr>
          <w:p>
            <w:pPr>
              <w:spacing w:after="0"/>
              <w:rPr>
                <w:sz w:val="19"/>
                <w:szCs w:val="19"/>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Robert Wallstrom</w:t>
            </w:r>
          </w:p>
        </w:tc>
      </w:tr>
    </w:tbl>
    <w:p>
      <w:pPr>
        <w:sectPr>
          <w:pgSz w:w="11900" w:h="16838" w:orient="portrait"/>
          <w:cols w:equalWidth="0" w:num="1">
            <w:col w:w="10908"/>
          </w:cols>
          <w:pgMar w:left="652" w:top="14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RELEASE AND WAIVER AGREEMENT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Release and Waiver Agreement (“Agreement”) is entered into this ___ day of ________________, 20__ by and between Vera Bradley,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Indiana corporation (the “Corporation”) and Robert Wallstrom (hereinafter “Executive”).</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Executive’s employment with the Corporation is terminated effective __________________, 20__ (“Termination Date”) and the</w:t>
      </w:r>
    </w:p>
    <w:p>
      <w:pPr>
        <w:spacing w:after="0" w:line="2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Corporation and Executive have voluntarily agreed to the terms of this Agreement in exchange for severance benefits under the Employment Agreement between the parties effective November 11, 2013, as it may be amended (“Employment Agreement”), to which Executive otherwise would not be entitled;</w:t>
      </w:r>
    </w:p>
    <w:p>
      <w:pPr>
        <w:spacing w:after="0" w:line="19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accordingly the Corporation has determined that Executive will receive severance pay if Executive executes and complies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 and</w:t>
      </w:r>
    </w:p>
    <w:p>
      <w:pPr>
        <w:spacing w:after="0" w:line="18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acknowledges that the consideration received by Executive under the terms of this Agreement and the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the release and waiver contained herein is in addition to any consideration the Corporation is otherwise required to provide Executive.</w:t>
      </w:r>
    </w:p>
    <w:p>
      <w:pPr>
        <w:spacing w:after="0" w:line="18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the mutual covenants and agreements set forth below, the parties hereby acknowledge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85" w:lineRule="exact"/>
        <w:rPr>
          <w:sz w:val="20"/>
          <w:szCs w:val="20"/>
          <w:color w:val="auto"/>
        </w:rPr>
      </w:pPr>
    </w:p>
    <w:p>
      <w:pPr>
        <w:jc w:val="both"/>
        <w:ind w:left="660" w:hanging="328"/>
        <w:spacing w:after="0" w:line="237"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In consideration for Executive’s agreements contained herein and Executive’s compliance with Executive’s continuing obligations under the Employment Agreement, including his obligations under Section 12, the Corporation will pay Executive the applicable severance provided in Section 10 </w:t>
      </w:r>
      <w:r>
        <w:rPr>
          <w:rFonts w:ascii="Times New Roman" w:cs="Times New Roman" w:eastAsia="Times New Roman" w:hAnsi="Times New Roman"/>
          <w:sz w:val="18"/>
          <w:szCs w:val="18"/>
          <w:b w:val="1"/>
          <w:bCs w:val="1"/>
          <w:color w:val="auto"/>
        </w:rPr>
        <w:t>[Note—actual agreement to specify the applicable subsections of Section 10]</w:t>
      </w:r>
      <w:r>
        <w:rPr>
          <w:rFonts w:ascii="Times New Roman" w:cs="Times New Roman" w:eastAsia="Times New Roman" w:hAnsi="Times New Roman"/>
          <w:sz w:val="18"/>
          <w:szCs w:val="18"/>
          <w:color w:val="auto"/>
        </w:rPr>
        <w:t xml:space="preserve"> of the Employment Agreement. Except as specifically provided in this Agreement, the Employment Agreement and any applicable plans, programs or arrangements of the Corporation including, without limitation, the Corporation’s Certificate of Incorporation or By-laws, as either may be amended from time to time, the Vera Bradley, Inc. 2010 Equity and Incentive Plan, as amended or any successor thereto (the “Equity Plan”) and any agreements thereunder, and the indemnification agreement dated effective as of November 11, 2013 between the Corporation and Executive (the “Indemnification Agreement”), Executive shall not be entitled to any other payment, benefits or other consideration from the Corporation.</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and Release</w:t>
      </w:r>
      <w:r>
        <w:rPr>
          <w:rFonts w:ascii="Times New Roman" w:cs="Times New Roman" w:eastAsia="Times New Roman" w:hAnsi="Times New Roman"/>
          <w:sz w:val="18"/>
          <w:szCs w:val="18"/>
          <w:color w:val="auto"/>
        </w:rPr>
        <w:t>. In consideration for the payments and benefits to be provided to Executive as set forth herein and the Employment Agreement, Executive, himself and for any person or entity that may claim by him or through him, including Executive’s heirs, executors, administrators, successors and assigns, hereby knowingly, irrevocably, unconditionally and voluntarily waives, releases and forever discharges the Corporation, its Affiliates, and each of its individual or collective past, present and future parent, subsidiaries, divisions and affiliates, its and their joint ventures and its and their respective directors, officers, associates, employees, representatives, partners, consultants insurers, attorneys, administrators, accountants, executors, heirs, successors, and agents, and each of its and their respective predecessors, successors and assigns and all persons acting by, through or in concert with any of them (hereinafter collectively referred to as “Releasees”), from any and all claims, causes of action or liabilities relating to Executive’s employment with the Corporation or the termination thereof, known or unknown, suspected or unsuspected, arising from any omissions, acts or facts that have occurred up until and including the date Executive executes this Agreement which have been or could be asserted against the Releasees, including but not limited to:</w:t>
      </w:r>
    </w:p>
    <w:p>
      <w:pPr>
        <w:spacing w:after="0" w:line="1" w:lineRule="exact"/>
        <w:rPr>
          <w:rFonts w:ascii="Times New Roman" w:cs="Times New Roman" w:eastAsia="Times New Roman" w:hAnsi="Times New Roman"/>
          <w:sz w:val="18"/>
          <w:szCs w:val="18"/>
          <w:color w:val="auto"/>
        </w:rPr>
      </w:pPr>
    </w:p>
    <w:p>
      <w:pPr>
        <w:ind w:left="1300" w:hanging="324"/>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causes of action or liabilities relating to Executive’s employment with the Corporation or the termination thereof arising under Title VII of the Civil Rights Act, the Age Discrimination in Employment Act (the “ADEA”), the Employee Retirement Income Security Act, the Worker Adjustment and Retraining Notification Act, the American with Disabilities Act, the Equal Pay Act, the Family and Medical Leave Act, and the Delaware General Corporations Act as such Acts have been amended, and/or any other foreign, federal, state, municipal, or local employment discrimination statutes (including, but not limited to, claims based on age, sex, attainment of</w:t>
      </w:r>
    </w:p>
    <w:p>
      <w:pPr>
        <w:sectPr>
          <w:pgSz w:w="11900" w:h="16838" w:orient="portrait"/>
          <w:cols w:equalWidth="0" w:num="1">
            <w:col w:w="11240"/>
          </w:cols>
          <w:pgMar w:left="320" w:top="1400" w:right="339" w:bottom="1440" w:gutter="0" w:footer="0" w:header="0"/>
        </w:sectPr>
      </w:pPr>
    </w:p>
    <w:bookmarkStart w:id="60" w:name="page61"/>
    <w:bookmarkEnd w:id="60"/>
    <w:p>
      <w:pPr>
        <w:ind w:left="968"/>
        <w:spacing w:after="0" w:line="246" w:lineRule="auto"/>
        <w:rPr>
          <w:sz w:val="20"/>
          <w:szCs w:val="20"/>
          <w:color w:val="auto"/>
        </w:rPr>
      </w:pPr>
      <w:r>
        <w:rPr>
          <w:rFonts w:ascii="Times New Roman" w:cs="Times New Roman" w:eastAsia="Times New Roman" w:hAnsi="Times New Roman"/>
          <w:sz w:val="18"/>
          <w:szCs w:val="18"/>
          <w:color w:val="auto"/>
        </w:rPr>
        <w:t>benefit plan rights, race, religion, national origin, marital status, sexual orientation, ancestry, harassment, parental status, handicap, disability, retaliation, and veteran status); and/or</w:t>
      </w:r>
    </w:p>
    <w:p>
      <w:pPr>
        <w:spacing w:after="0" w:line="1" w:lineRule="exact"/>
        <w:rPr>
          <w:sz w:val="20"/>
          <w:szCs w:val="20"/>
          <w:color w:val="auto"/>
        </w:rPr>
      </w:pPr>
    </w:p>
    <w:p>
      <w:pPr>
        <w:ind w:left="968" w:right="20" w:hanging="320"/>
        <w:spacing w:after="0" w:line="234" w:lineRule="auto"/>
        <w:tabs>
          <w:tab w:leader="none" w:pos="96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of action or liabilities related to Executive’s employment with the Corporation or the termination thereof arising under any other federal, state, municipal, or local statute, law, ordinance or regulation; and/or</w:t>
      </w:r>
    </w:p>
    <w:p>
      <w:pPr>
        <w:spacing w:after="0" w:line="1" w:lineRule="exact"/>
        <w:rPr>
          <w:rFonts w:ascii="Times New Roman" w:cs="Times New Roman" w:eastAsia="Times New Roman" w:hAnsi="Times New Roman"/>
          <w:sz w:val="18"/>
          <w:szCs w:val="18"/>
          <w:color w:val="auto"/>
        </w:rPr>
      </w:pPr>
    </w:p>
    <w:p>
      <w:pPr>
        <w:ind w:left="968" w:hanging="320"/>
        <w:spacing w:after="0" w:line="234" w:lineRule="auto"/>
        <w:tabs>
          <w:tab w:leader="none" w:pos="95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of action or liabilities relating to rights to or claims for pension, profit-sharing, wages, bonuses or other compensation or benefits; and/or</w:t>
      </w:r>
    </w:p>
    <w:p>
      <w:pPr>
        <w:spacing w:after="0" w:line="1" w:lineRule="exact"/>
        <w:rPr>
          <w:rFonts w:ascii="Times New Roman" w:cs="Times New Roman" w:eastAsia="Times New Roman" w:hAnsi="Times New Roman"/>
          <w:sz w:val="18"/>
          <w:szCs w:val="18"/>
          <w:color w:val="auto"/>
        </w:rPr>
      </w:pPr>
    </w:p>
    <w:p>
      <w:pPr>
        <w:jc w:val="both"/>
        <w:ind w:left="968" w:hanging="320"/>
        <w:spacing w:after="0" w:line="234" w:lineRule="auto"/>
        <w:tabs>
          <w:tab w:leader="none" w:pos="96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cause of action relating to Executive’s employment with the Corporation or the termination thereof including, but not limited to, actions seeking severance pay, except as provided herein, actions based upon breach of contract, wrongful termination, defamation, intentional infliction of emotional distress, tort, personal injury, invasion of privacy, defamation, discrimination, retaliation, promissory estoppel, fraud, violation of public policy, negligence and/or any other common law, or other cause of action whatsoever arising out of or relating to employment with and/or separation from employment with the Corporation and/or any of the other Releasees.</w:t>
      </w:r>
    </w:p>
    <w:p>
      <w:pPr>
        <w:spacing w:after="0" w:line="212" w:lineRule="exact"/>
        <w:rPr>
          <w:rFonts w:ascii="Times New Roman" w:cs="Times New Roman" w:eastAsia="Times New Roman" w:hAnsi="Times New Roman"/>
          <w:sz w:val="18"/>
          <w:szCs w:val="18"/>
          <w:color w:val="auto"/>
        </w:rPr>
      </w:pPr>
    </w:p>
    <w:p>
      <w:pPr>
        <w:jc w:val="both"/>
        <w:ind w:left="968"/>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limit or impede Executive’s right to file or pursue an administrative charge with, or participate in, any investigation before the Equal Employment Opportunity Commission, or any other local, state or federal agency, and/or any causes of action which by law Executive may not legally waive. Executive agrees, however, that if Executive or anyone acting on Executive’s behalf, brings any action concerning or related to any cause of action or liability released in this Agreement, Executive waives any right to, and will not accept, any payments, monies, damages, or other relief, awarded in connection therewith.</w:t>
      </w:r>
    </w:p>
    <w:p>
      <w:pPr>
        <w:spacing w:after="0" w:line="211" w:lineRule="exact"/>
        <w:rPr>
          <w:rFonts w:ascii="Times New Roman" w:cs="Times New Roman" w:eastAsia="Times New Roman" w:hAnsi="Times New Roman"/>
          <w:sz w:val="18"/>
          <w:szCs w:val="18"/>
          <w:color w:val="auto"/>
        </w:rPr>
      </w:pPr>
    </w:p>
    <w:p>
      <w:pPr>
        <w:jc w:val="both"/>
        <w:ind w:left="96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constitute a waiver or release of any of Executive’s rights under this Agreement, any other applicable plans, programs or arrangements of the Corporation including, without limitation, the Corporation’s Certificate of Incorporation or By-laws, as either may be amended from time to time, the Equity Plan and any agreements thereunder, or under the Indemnification Agreement.</w:t>
      </w:r>
    </w:p>
    <w:p>
      <w:pPr>
        <w:spacing w:after="0" w:line="203" w:lineRule="exact"/>
        <w:rPr>
          <w:rFonts w:ascii="Times New Roman" w:cs="Times New Roman" w:eastAsia="Times New Roman" w:hAnsi="Times New Roman"/>
          <w:sz w:val="18"/>
          <w:szCs w:val="18"/>
          <w:color w:val="auto"/>
        </w:rPr>
      </w:pPr>
    </w:p>
    <w:p>
      <w:pPr>
        <w:ind w:left="96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expressly waives the benefits of any statute or rule of law that, if applied to this Agreement, would otherwise exclude from its binding effect any claims against the Corporation not now known by Executive to exist.</w:t>
      </w:r>
    </w:p>
    <w:p>
      <w:pPr>
        <w:spacing w:after="0" w:line="203"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 of Action</w:t>
      </w:r>
      <w:r>
        <w:rPr>
          <w:rFonts w:ascii="Times New Roman" w:cs="Times New Roman" w:eastAsia="Times New Roman" w:hAnsi="Times New Roman"/>
          <w:sz w:val="18"/>
          <w:szCs w:val="18"/>
          <w:color w:val="auto"/>
        </w:rPr>
        <w:t>. As used in this Agreement, the phrase “cause of action” includes all claims, covenants, warranties, promises, agreements, undertakings, actions, suits, counterclaims, causes of action, complaints, charges, obligations, duties, demands, debts, accounts, judgments, costs, expenses, losses, damages and liabilities, of whatsoever kind or nature, in law, equity or otherwise.</w:t>
      </w:r>
    </w:p>
    <w:p>
      <w:pPr>
        <w:spacing w:after="0" w:line="203"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of Causes of Action</w:t>
      </w:r>
      <w:r>
        <w:rPr>
          <w:rFonts w:ascii="Times New Roman" w:cs="Times New Roman" w:eastAsia="Times New Roman" w:hAnsi="Times New Roman"/>
          <w:sz w:val="18"/>
          <w:szCs w:val="18"/>
          <w:color w:val="auto"/>
        </w:rPr>
        <w:t>. Executive represents and warrants that he has not filed or caused to be filed against the Releasees any claims, actions or lawsuits. Executive further represents and warrants that he has not sold, assigned, transferred, conveyed or otherwise disposed of to any third party, by operation of law or otherwise, any claim of any nature whatsoever relating to any matter covered by this Agreement.</w:t>
      </w:r>
    </w:p>
    <w:p>
      <w:pPr>
        <w:spacing w:after="0" w:line="203" w:lineRule="exact"/>
        <w:rPr>
          <w:rFonts w:ascii="Times New Roman" w:cs="Times New Roman" w:eastAsia="Times New Roman" w:hAnsi="Times New Roman"/>
          <w:sz w:val="18"/>
          <w:szCs w:val="18"/>
          <w:color w:val="auto"/>
        </w:rPr>
      </w:pPr>
    </w:p>
    <w:p>
      <w:pPr>
        <w:jc w:val="both"/>
        <w:ind w:left="328" w:hanging="328"/>
        <w:spacing w:after="0" w:line="245" w:lineRule="auto"/>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Corporation</w:t>
      </w:r>
      <w:r>
        <w:rPr>
          <w:rFonts w:ascii="Times New Roman" w:cs="Times New Roman" w:eastAsia="Times New Roman" w:hAnsi="Times New Roman"/>
          <w:sz w:val="18"/>
          <w:szCs w:val="18"/>
          <w:color w:val="auto"/>
        </w:rPr>
        <w:t>. The Corporation represents that it is not presently aware of any cause of action that it or any of the other Releasees have against Executive as of the date hereof. The Corporation acknowledges that the release granted by Executive in Section 2 above will be null and void in the event the Corporation subsequently seeks to treat Executive’s termination of employment as “for Cause” under the last sentence of Section 6(b) of the Employment Agreement.</w:t>
      </w:r>
    </w:p>
    <w:p>
      <w:pPr>
        <w:spacing w:after="0" w:line="207"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Executive</w:t>
      </w:r>
      <w:r>
        <w:rPr>
          <w:rFonts w:ascii="Times New Roman" w:cs="Times New Roman" w:eastAsia="Times New Roman" w:hAnsi="Times New Roman"/>
          <w:sz w:val="18"/>
          <w:szCs w:val="18"/>
          <w:color w:val="auto"/>
        </w:rPr>
        <w:t>. Executive represents that Executive has been given an adequate opportunity to advise the Corporation’s human resources, legal, or other relevant management division, and has so advised such division in writing, of any facts that Executive is aware of that constitute or might constitute a violation of any ethical, legal or contractual standards or obligations of the Corporation or any Affiliate. Executive further represents that Executive is not aware of any existing or threatened claims, charges, or lawsuits that he/she has not disclosed to the Corporation.</w:t>
      </w:r>
    </w:p>
    <w:p>
      <w:pPr>
        <w:sectPr>
          <w:pgSz w:w="11900" w:h="16838" w:orient="portrait"/>
          <w:cols w:equalWidth="0" w:num="1">
            <w:col w:w="10908"/>
          </w:cols>
          <w:pgMar w:left="652" w:top="1404" w:right="339" w:bottom="1440" w:gutter="0" w:footer="0" w:header="0"/>
        </w:sectPr>
      </w:pPr>
    </w:p>
    <w:bookmarkStart w:id="61" w:name="page62"/>
    <w:bookmarkEnd w:id="61"/>
    <w:p>
      <w:pPr>
        <w:jc w:val="both"/>
        <w:ind w:left="328" w:hanging="328"/>
        <w:spacing w:after="0" w:line="236" w:lineRule="auto"/>
        <w:tabs>
          <w:tab w:leader="none" w:pos="3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Seek Counsel, Consideration Period, Revocation Period</w:t>
      </w:r>
      <w:r>
        <w:rPr>
          <w:rFonts w:ascii="Times New Roman" w:cs="Times New Roman" w:eastAsia="Times New Roman" w:hAnsi="Times New Roman"/>
          <w:sz w:val="18"/>
          <w:szCs w:val="18"/>
          <w:color w:val="auto"/>
        </w:rPr>
        <w:t>. Executive acknowledges that Executive has been advised in writing hereby to consult with an attorney before signing this document and that Executive has had at least twenty-one (21) calendar days after receipt of this document to consider whether to accept or reject this Agreement. Executive understands that Executive may sign this Agreement prior to the end of such twenty-one (21) calendar day period, but is not required to do so. Under ADEA, Executive has seven (7) calendar days after Executive signs this Agreement to revoke it. Such revocation must be in writing and delivered either by hand or mailed and postmarked within the seven (7) calendar day period. If sent by mail, it is requested that it be sent by certified mail, return receipt requested to the Corporation’s General Counsel Office at 5620 Industrial Road, Fort Wayne, Indiana 46825. If Executive revokes this Agreement as provided herein, it shall be null and void and Executive shall not be entitled to receive the payments as described in the first sentence of Section 1 herein. If Executive does not revoke this Agreement within seven (7) calendar days of signing it, this Agreement shall become enforceable and effective on the seventh (7th) day after Executive signs this Agreement (“Effective Date”).</w:t>
      </w:r>
    </w:p>
    <w:p>
      <w:pPr>
        <w:spacing w:after="0" w:line="219"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Disputes</w:t>
      </w:r>
      <w:r>
        <w:rPr>
          <w:rFonts w:ascii="Times New Roman" w:cs="Times New Roman" w:eastAsia="Times New Roman" w:hAnsi="Times New Roman"/>
          <w:sz w:val="18"/>
          <w:szCs w:val="18"/>
          <w:color w:val="auto"/>
        </w:rPr>
        <w:t>. Except as provided in Section 23 of the Employment Agreement, or as provided below, jurisdiction and venue over disputes with regard to this Agreement shall be exclusively in the courts of the State of Indiana or the United States District Court for the Northern District of Indiana. This Agreement shall be construed and interpreted in accordance with and governed by the laws of the State of Indiana, without regard to the choice of laws provisions of such laws. The parties agree that any action brought by a party to enforce or interpret this Agreement shall be brought in a State or Federal Court sitting in Indiana; except that an action by the Corporation to enforce its rights under Section 12 of the Employment Agreement may also be brought in Executive’s state of residency or any other forum in which Executive is subject to personal jurisdiction. In addition, Executive and the Corporation specifically consent to personal jurisdiction in the State of Indiana for purposes of this Agreement.</w:t>
      </w:r>
    </w:p>
    <w:p>
      <w:pPr>
        <w:spacing w:after="0" w:line="214" w:lineRule="exact"/>
        <w:rPr>
          <w:rFonts w:ascii="Times New Roman" w:cs="Times New Roman" w:eastAsia="Times New Roman" w:hAnsi="Times New Roman"/>
          <w:sz w:val="18"/>
          <w:szCs w:val="18"/>
          <w:color w:val="auto"/>
        </w:rPr>
      </w:pPr>
    </w:p>
    <w:p>
      <w:pPr>
        <w:jc w:val="both"/>
        <w:ind w:left="328" w:hanging="328"/>
        <w:spacing w:after="0" w:line="242" w:lineRule="auto"/>
        <w:tabs>
          <w:tab w:leader="none" w:pos="3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signed by Executive and the Corporation. This Agreement shall be enforced in accordance with its terms and shall not be construed against either party.</w:t>
      </w:r>
    </w:p>
    <w:p>
      <w:pPr>
        <w:spacing w:after="0" w:line="210" w:lineRule="exact"/>
        <w:rPr>
          <w:rFonts w:ascii="Times New Roman" w:cs="Times New Roman" w:eastAsia="Times New Roman" w:hAnsi="Times New Roman"/>
          <w:sz w:val="18"/>
          <w:szCs w:val="18"/>
          <w:color w:val="auto"/>
        </w:rPr>
      </w:pPr>
    </w:p>
    <w:p>
      <w:pPr>
        <w:jc w:val="both"/>
        <w:ind w:left="328" w:hanging="328"/>
        <w:spacing w:after="0"/>
        <w:tabs>
          <w:tab w:leader="none" w:pos="3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parties agree that if any provision, section, subsection or other portion of this Agreement shall be determined by any court of competent jurisdiction to be invalid, illegal or unenforceable in whole or in part and such determination shall become final, such provision or portion shall be deemed to be severed or limited, but only to the extent required to render the remaining provisions and portion of this Agreement enforceable. This Agreement as thus amended will remain in full force and effect and will be binding on the parties and will be enforced so as to give effect to the intention of the parties insofar as that is possible. In addition, the parties hereby expressly empower a court of competent jurisdiction to modify any term or provision of this Agreement to the extent necessary to comply with existing law and to enforce this Agreement as modified.</w:t>
      </w:r>
    </w:p>
    <w:p>
      <w:pPr>
        <w:spacing w:after="0" w:line="21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This Agreement may be pleaded as a full and complete defense and may be used as the basis for an injunction against any action at law or proceeding at equity, or any private or public judicial or non-judicial proceeding instituted, prosecuted, maintained or continued in breach hereof.</w:t>
      </w:r>
    </w:p>
    <w:p>
      <w:pPr>
        <w:spacing w:after="0" w:line="203" w:lineRule="exact"/>
        <w:rPr>
          <w:rFonts w:ascii="Times New Roman" w:cs="Times New Roman" w:eastAsia="Times New Roman" w:hAnsi="Times New Roman"/>
          <w:sz w:val="18"/>
          <w:szCs w:val="18"/>
          <w:color w:val="auto"/>
        </w:rPr>
      </w:pPr>
    </w:p>
    <w:p>
      <w:pPr>
        <w:jc w:val="both"/>
        <w:ind w:left="328" w:hanging="328"/>
        <w:spacing w:after="0" w:line="238" w:lineRule="auto"/>
        <w:tabs>
          <w:tab w:leader="none" w:pos="3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Enlargement of Employee Rights</w:t>
      </w:r>
      <w:r>
        <w:rPr>
          <w:rFonts w:ascii="Times New Roman" w:cs="Times New Roman" w:eastAsia="Times New Roman" w:hAnsi="Times New Roman"/>
          <w:sz w:val="18"/>
          <w:szCs w:val="18"/>
          <w:color w:val="auto"/>
        </w:rPr>
        <w:t>. Executive acknowledges that, except as expressly provided in this Agreement, any employment or contractual relationship between him and the Corporation is terminated, and that he has no future employment or contractual relationship with the Corporation other than the contractual relationship created by this Agreement, the Employment Agreement, any other applicable plans, programs or arrangements of the Corporation including, without limitation, the Corporation’s Certificate of Incorporation or By-laws, as either may be amended from time to time, the Equity Plan and any agreements thereunder, and the Indemnification Agreement. The Corporation has no obligation, contractual or otherwise, to employ or reemploy, hire or rehire, or recall or reinstate Executive in the future with the Corporation.</w:t>
      </w:r>
    </w:p>
    <w:p>
      <w:pPr>
        <w:spacing w:after="0" w:line="212"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w:t>
      </w:r>
      <w:r>
        <w:rPr>
          <w:rFonts w:ascii="Times New Roman" w:cs="Times New Roman" w:eastAsia="Times New Roman" w:hAnsi="Times New Roman"/>
          <w:sz w:val="18"/>
          <w:szCs w:val="18"/>
          <w:color w:val="auto"/>
        </w:rPr>
        <w:t>. Executive represents that he has carefully read and understands the scope and effect of the provisions of this Agreement. Executive has not relied upon any representations or statements made by the Corporation that are not specifically set forth in this Agreement.</w:t>
      </w:r>
    </w:p>
    <w:p>
      <w:pPr>
        <w:sectPr>
          <w:pgSz w:w="11900" w:h="16838" w:orient="portrait"/>
          <w:cols w:equalWidth="0" w:num="1">
            <w:col w:w="10908"/>
          </w:cols>
          <w:pgMar w:left="652" w:top="1404" w:right="339" w:bottom="1440" w:gutter="0" w:footer="0" w:header="0"/>
        </w:sectPr>
      </w:pPr>
    </w:p>
    <w:bookmarkStart w:id="62" w:name="page63"/>
    <w:bookmarkEnd w:id="62"/>
    <w:p>
      <w:pPr>
        <w:ind w:left="660" w:right="2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counterparts, each of which shall be deemed to be an original but both of which together will constitute one and the same instrument.</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Corporation shall withhold from any payments otherwise due or payable hereunder any amounts required to be withheld in order to comply with any federal, state, local or other income or other tax laws requiring withholding with respect to compensation and benefits provided to Executive pursuant to this Agreement.</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binds and inures to the benefit of Executive’s heirs, administrators, representatives, executors, successors and assigns, and the Corporation’s successors and assigns.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 Termination of Prior Agreements</w:t>
      </w:r>
      <w:r>
        <w:rPr>
          <w:rFonts w:ascii="Times New Roman" w:cs="Times New Roman" w:eastAsia="Times New Roman" w:hAnsi="Times New Roman"/>
          <w:sz w:val="18"/>
          <w:szCs w:val="18"/>
          <w:color w:val="auto"/>
        </w:rPr>
        <w:t>. This Agreement contains the entire agreement between the parties hereto with respect to the subject matter hereof and supersedes any previous oral and written agreements or representations relating to the subject matters herein, except for the Employment Agreement, any other applicable plans, programs or arrangements of the Corporation including, without limitation, the Corporation’s Certificate of Incorporation or By-laws, as either may be amended from time to time, the Equity Plan and any agreements thereunder, and the Indemnification Agreement.</w:t>
      </w:r>
    </w:p>
    <w:p>
      <w:pPr>
        <w:spacing w:after="0" w:line="2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The undersigned hereby acknowledge and agree that Executive has carefully read and fully understands all the provisions of this Agreement, has had an opportunity to seek counsel regarding it and have voluntarily entered into this Agreement by signing below as of the date(s) set forth above.</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on the date indicated above.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VERA BRADLEY, INC.</w:t>
            </w:r>
          </w:p>
        </w:tc>
        <w:tc>
          <w:tcPr>
            <w:tcW w:w="7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234"/>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r>
      <w:tr>
        <w:trPr>
          <w:trHeight w:val="223"/>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70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Wallstrom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CHI:2778773.11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CHI:2778773.15</w:t>
      </w:r>
    </w:p>
    <w:p>
      <w:pPr>
        <w:sectPr>
          <w:pgSz w:w="11900" w:h="16838" w:orient="portrait"/>
          <w:cols w:equalWidth="0" w:num="1">
            <w:col w:w="11240"/>
          </w:cols>
          <w:pgMar w:left="320" w:top="140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Wallstrom, certify that:</w:t>
      </w:r>
    </w:p>
    <w:p>
      <w:pPr>
        <w:spacing w:after="0" w:line="104"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Wallstrom</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Wallstrom</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Enwright, certify that:</w:t>
      </w:r>
    </w:p>
    <w:p>
      <w:pPr>
        <w:spacing w:after="0" w:line="104"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Enwright</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Enwright</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Robert Wallstrom, the Chief Executive Officer of Vera Bradley, Inc., certify that (i) the quarterly report on Form 10-Q for the fiscal quarter ended April 30, 2022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June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47" w:lineRule="exact"/>
        <w:rPr>
          <w:sz w:val="20"/>
          <w:szCs w:val="20"/>
          <w:color w:val="auto"/>
        </w:rPr>
      </w:pPr>
    </w:p>
    <w:p>
      <w:pPr>
        <w:ind w:firstLine="180"/>
        <w:spacing w:after="0" w:line="261" w:lineRule="auto"/>
        <w:rPr>
          <w:sz w:val="20"/>
          <w:szCs w:val="20"/>
          <w:color w:val="auto"/>
        </w:rPr>
      </w:pPr>
      <w:r>
        <w:rPr>
          <w:rFonts w:ascii="Times New Roman" w:cs="Times New Roman" w:eastAsia="Times New Roman" w:hAnsi="Times New Roman"/>
          <w:sz w:val="18"/>
          <w:szCs w:val="18"/>
          <w:color w:val="auto"/>
        </w:rPr>
        <w:t>I, John Enwright, the Chief Financial Officer of Vera Bradley, Inc., certify that (i) the quarterly report on Form 10-Q for the fiscal quarter ended April 30, 2022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John Enwright</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June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lvl w:ilvl="1">
      <w:lvlJc w:val="left"/>
      <w:lvlText w:val="•"/>
      <w:numFmt w:val="bullet"/>
      <w:start w:val="1"/>
    </w:lvl>
  </w:abstractNum>
  <w:abstractNum w:abstractNumId="4">
    <w:nsid w:val="3804823E"/>
    <w:multiLevelType w:val="hybridMultilevel"/>
    <w:lvl w:ilvl="0">
      <w:lvlJc w:val="left"/>
      <w:lvlText w:val="%1."/>
      <w:numFmt w:val="decimal"/>
      <w:start w:val="2"/>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3"/>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4"/>
    </w:lvl>
  </w:abstractNum>
  <w:abstractNum w:abstractNumId="10">
    <w:nsid w:val="51EAD36B"/>
    <w:multiLevelType w:val="hybridMultilevel"/>
    <w:lvl w:ilvl="0">
      <w:lvlJc w:val="left"/>
      <w:lvlText w:val="%1."/>
      <w:numFmt w:val="decimal"/>
      <w:start w:val="5"/>
    </w:lvl>
    <w:lvl w:ilvl="1">
      <w:lvlJc w:val="left"/>
      <w:lvlText w:val="•"/>
      <w:numFmt w:val="bullet"/>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6"/>
    </w:lvl>
  </w:abstractNum>
  <w:abstractNum w:abstractNumId="13">
    <w:nsid w:val="153EA438"/>
    <w:multiLevelType w:val="hybridMultilevel"/>
    <w:lvl w:ilvl="0">
      <w:lvlJc w:val="left"/>
      <w:lvlText w:val="%1."/>
      <w:numFmt w:val="decimal"/>
      <w:start w:val="7"/>
    </w:lvl>
  </w:abstractNum>
  <w:abstractNum w:abstractNumId="14">
    <w:nsid w:val="3855585C"/>
    <w:multiLevelType w:val="hybridMultilevel"/>
    <w:lvl w:ilvl="0">
      <w:lvlJc w:val="left"/>
      <w:lvlText w:val="%1."/>
      <w:numFmt w:val="decimal"/>
      <w:start w:val="8"/>
    </w:lvl>
  </w:abstractNum>
  <w:abstractNum w:abstractNumId="15">
    <w:nsid w:val="70A64E2A"/>
    <w:multiLevelType w:val="hybridMultilevel"/>
    <w:lvl w:ilvl="0">
      <w:lvlJc w:val="left"/>
      <w:lvlText w:val="%1."/>
      <w:numFmt w:val="decimal"/>
      <w:start w:val="9"/>
    </w:lvl>
  </w:abstractNum>
  <w:abstractNum w:abstractNumId="16">
    <w:nsid w:val="6A2342EC"/>
    <w:multiLevelType w:val="hybridMultilevel"/>
    <w:lvl w:ilvl="0">
      <w:lvlJc w:val="left"/>
      <w:lvlText w:val="%1."/>
      <w:numFmt w:val="decimal"/>
      <w:start w:val="12"/>
    </w:lvl>
  </w:abstractNum>
  <w:abstractNum w:abstractNumId="17">
    <w:nsid w:val="2A487CB0"/>
    <w:multiLevelType w:val="hybridMultilevel"/>
    <w:lvl w:ilvl="0">
      <w:lvlJc w:val="left"/>
      <w:lvlText w:val="%1."/>
      <w:numFmt w:val="decimal"/>
      <w:start w:val="13"/>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14"/>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lowerLetter"/>
      <w:start w:val="1"/>
    </w:lvl>
  </w:abstractNum>
  <w:abstractNum w:abstractNumId="27">
    <w:nsid w:val="7644A45C"/>
    <w:multiLevelType w:val="hybridMultilevel"/>
    <w:lvl w:ilvl="0">
      <w:lvlJc w:val="left"/>
      <w:lvlText w:val="%1."/>
      <w:numFmt w:val="lowerLetter"/>
      <w:start w:val="1"/>
    </w:lvl>
  </w:abstractNum>
  <w:abstractNum w:abstractNumId="28">
    <w:nsid w:val="32FFF902"/>
    <w:multiLevelType w:val="hybridMultilevel"/>
    <w:lvl w:ilvl="0">
      <w:lvlJc w:val="left"/>
      <w:lvlText w:val="%1."/>
      <w:numFmt w:val="lowerLetter"/>
      <w:start w:val="3"/>
    </w:lvl>
  </w:abstractNum>
  <w:abstractNum w:abstractNumId="29">
    <w:nsid w:val="684A481A"/>
    <w:multiLevelType w:val="hybridMultilevel"/>
    <w:lvl w:ilvl="0">
      <w:lvlJc w:val="left"/>
      <w:lvlText w:val="%1."/>
      <w:numFmt w:val="decimal"/>
      <w:start w:val="1"/>
    </w:lvl>
    <w:lvl w:ilvl="1">
      <w:lvlJc w:val="left"/>
      <w:lvlText w:val="%2."/>
      <w:numFmt w:val="lowerLetter"/>
      <w:start w:val="1"/>
    </w:lvl>
  </w:abstractNum>
  <w:abstractNum w:abstractNumId="30">
    <w:nsid w:val="579478FE"/>
    <w:multiLevelType w:val="hybridMultilevel"/>
    <w:lvl w:ilvl="0">
      <w:lvlJc w:val="left"/>
      <w:lvlText w:val="%1"/>
      <w:numFmt w:val="decimal"/>
      <w:start w:val="1"/>
    </w:lvl>
    <w:lvl w:ilvl="1">
      <w:lvlJc w:val="left"/>
      <w:lvlText w:val="%2."/>
      <w:numFmt w:val="lowerRoman"/>
      <w:start w:val="1"/>
    </w:lvl>
  </w:abstractNum>
  <w:abstractNum w:abstractNumId="31">
    <w:nsid w:val="749ABB43"/>
    <w:multiLevelType w:val="hybridMultilevel"/>
    <w:lvl w:ilvl="0">
      <w:lvlJc w:val="left"/>
      <w:lvlText w:val="%1."/>
      <w:numFmt w:val="decimal"/>
      <w:start w:val="7"/>
    </w:lvl>
    <w:lvl w:ilvl="1">
      <w:lvlJc w:val="left"/>
      <w:lvlText w:val="%2"/>
      <w:numFmt w:val="lowerRoman"/>
      <w:start w:val="1"/>
    </w:lvl>
  </w:abstractNum>
  <w:abstractNum w:abstractNumId="32">
    <w:nsid w:val="3DC240FB"/>
    <w:multiLevelType w:val="hybridMultilevel"/>
    <w:lvl w:ilvl="0">
      <w:lvlJc w:val="left"/>
      <w:lvlText w:val="%1."/>
      <w:numFmt w:val="decimal"/>
      <w:start w:val="13"/>
    </w:lvl>
  </w:abstractNum>
  <w:abstractNum w:abstractNumId="33">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5">
    <w:nsid w:val="75C6C3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6">
    <w:nsid w:val="12E685FB"/>
    <w:multiLevelType w:val="hybridMultilevel"/>
    <w:lvl w:ilvl="0">
      <w:lvlJc w:val="left"/>
      <w:lvlText w:val="%1."/>
      <w:numFmt w:val="decimal"/>
      <w:start w:val="6"/>
    </w:lvl>
    <w:lvl w:ilvl="1">
      <w:lvlJc w:val="left"/>
      <w:lvlText w:val="%2."/>
      <w:numFmt w:val="lowerLetter"/>
      <w:start w:val="1"/>
    </w:lvl>
  </w:abstractNum>
  <w:abstractNum w:abstractNumId="37">
    <w:nsid w:val="70C6A529"/>
    <w:multiLevelType w:val="hybridMultilevel"/>
    <w:lvl w:ilvl="0">
      <w:lvlJc w:val="left"/>
      <w:lvlText w:val="%1."/>
      <w:numFmt w:val="decimal"/>
      <w:start w:val="1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4"/>
    </w:lvl>
    <w:lvl w:ilvl="1">
      <w:lvlJc w:val="left"/>
      <w:lvlText w:val="%2."/>
      <w:numFmt w:val="lowerLetter"/>
      <w:start w:val="1"/>
    </w:lvl>
  </w:abstractNum>
  <w:abstractNum w:abstractNumId="40">
    <w:nsid w:val="4F4EF005"/>
    <w:multiLevelType w:val="hybridMultilevel"/>
    <w:lvl w:ilvl="0">
      <w:lvlJc w:val="left"/>
      <w:lvlText w:val="%1."/>
      <w:numFmt w:val="lowerLetter"/>
      <w:start w:val="4"/>
    </w:lvl>
  </w:abstractNum>
  <w:abstractNum w:abstractNumId="41">
    <w:nsid w:val="23F9C13C"/>
    <w:multiLevelType w:val="hybridMultilevel"/>
    <w:lvl w:ilvl="0">
      <w:lvlJc w:val="left"/>
      <w:lvlText w:val="%1"/>
      <w:numFmt w:val="decimal"/>
      <w:start w:val="1"/>
    </w:lvl>
    <w:lvl w:ilvl="1">
      <w:lvlJc w:val="left"/>
      <w:lvlText w:val="%2."/>
      <w:numFmt w:val="lowerLetter"/>
      <w:start w:val="5"/>
    </w:lvl>
  </w:abstractNum>
  <w:abstractNum w:abstractNumId="42">
    <w:nsid w:val="649BB77C"/>
    <w:multiLevelType w:val="hybridMultilevel"/>
    <w:lvl w:ilvl="0">
      <w:lvlJc w:val="left"/>
      <w:lvlText w:val="%1."/>
      <w:numFmt w:val="decimal"/>
      <w:start w:val="6"/>
    </w:lvl>
    <w:lvl w:ilvl="1">
      <w:lvlJc w:val="left"/>
      <w:lvlText w:val="%2."/>
      <w:numFmt w:val="lowerLetter"/>
      <w:start w:val="1"/>
    </w:lvl>
  </w:abstractNum>
  <w:abstractNum w:abstractNumId="43">
    <w:nsid w:val="275AC794"/>
    <w:multiLevelType w:val="hybridMultilevel"/>
    <w:lvl w:ilvl="0">
      <w:lvlJc w:val="left"/>
      <w:lvlText w:val="%1."/>
      <w:numFmt w:val="decimal"/>
      <w:start w:val="7"/>
    </w:lvl>
    <w:lvl w:ilvl="1">
      <w:lvlJc w:val="left"/>
      <w:lvlText w:val="%2."/>
      <w:numFmt w:val="lowerLetter"/>
      <w:start w:val="1"/>
    </w:lvl>
  </w:abstractNum>
  <w:abstractNum w:abstractNumId="44">
    <w:nsid w:val="39386575"/>
    <w:multiLevelType w:val="hybridMultilevel"/>
    <w:lvl w:ilvl="0">
      <w:lvlJc w:val="left"/>
      <w:lvlText w:val="%1."/>
      <w:numFmt w:val="decimal"/>
      <w:start w:val="8"/>
    </w:lvl>
  </w:abstractNum>
  <w:abstractNum w:abstractNumId="45">
    <w:nsid w:val="1CF10FD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46">
    <w:nsid w:val="180115BE"/>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47">
    <w:nsid w:val="235BA861"/>
    <w:multiLevelType w:val="hybridMultilevel"/>
    <w:lvl w:ilvl="0">
      <w:lvlJc w:val="left"/>
      <w:lvlText w:val="%1."/>
      <w:numFmt w:val="lowerLetter"/>
      <w:start w:val="3"/>
    </w:lvl>
    <w:lvl w:ilvl="1">
      <w:lvlJc w:val="left"/>
      <w:lvlText w:val="%2."/>
      <w:numFmt w:val="lowerRoman"/>
      <w:start w:val="3"/>
    </w:lvl>
    <w:lvl w:ilvl="2">
      <w:lvlJc w:val="left"/>
      <w:lvlText w:val="%3"/>
      <w:numFmt w:val="lowerLetter"/>
      <w:start w:val="1"/>
    </w:lvl>
    <w:lvl w:ilvl="3">
      <w:lvlJc w:val="left"/>
      <w:lvlText w:val="%4."/>
      <w:numFmt w:val="lowerRoman"/>
      <w:start w:val="1"/>
    </w:lvl>
    <w:lvl w:ilvl="4">
      <w:lvlJc w:val="left"/>
      <w:lvlText w:val="(%5)"/>
      <w:numFmt w:val="lowerRoman"/>
      <w:start w:val="4"/>
    </w:lvl>
  </w:abstractNum>
  <w:abstractNum w:abstractNumId="48">
    <w:nsid w:val="47398C89"/>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22"/>
    </w:lvl>
    <w:lvl w:ilvl="3">
      <w:lvlJc w:val="left"/>
      <w:lvlText w:val="%4"/>
      <w:numFmt w:val="lowerRoman"/>
      <w:start w:val="1"/>
    </w:lvl>
    <w:lvl w:ilvl="4">
      <w:lvlJc w:val="left"/>
      <w:lvlText w:val="%5"/>
      <w:numFmt w:val="lowerRoman"/>
      <w:start w:val="1"/>
    </w:lvl>
  </w:abstractNum>
  <w:abstractNum w:abstractNumId="49">
    <w:nsid w:val="354FE9F9"/>
    <w:multiLevelType w:val="hybridMultilevel"/>
    <w:lvl w:ilvl="0">
      <w:lvlJc w:val="left"/>
      <w:lvlText w:val="%1."/>
      <w:numFmt w:val="lowerRoman"/>
      <w:start w:val="6"/>
    </w:lvl>
    <w:lvl w:ilvl="1">
      <w:lvlJc w:val="left"/>
      <w:lvlText w:val="%2."/>
      <w:numFmt w:val="decimal"/>
      <w:start w:val="1"/>
    </w:lvl>
  </w:abstractNum>
  <w:abstractNum w:abstractNumId="50">
    <w:nsid w:val="15B5AF5C"/>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51">
    <w:nsid w:val="741226BB"/>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52">
    <w:nsid w:val="D34B6A8"/>
    <w:multiLevelType w:val="hybridMultilevel"/>
    <w:lvl w:ilvl="0">
      <w:lvlJc w:val="left"/>
      <w:lvlText w:val="%1."/>
      <w:numFmt w:val="lowerLetter"/>
      <w:start w:val="6"/>
    </w:lvl>
    <w:lvl w:ilvl="1">
      <w:lvlJc w:val="left"/>
      <w:lvlText w:val="%2"/>
      <w:numFmt w:val="decimal"/>
      <w:start w:val="1"/>
    </w:lvl>
    <w:lvl w:ilvl="2">
      <w:lvlJc w:val="left"/>
      <w:lvlText w:val="%3"/>
      <w:numFmt w:val="decimal"/>
      <w:start w:val="1"/>
    </w:lvl>
  </w:abstractNum>
  <w:abstractNum w:abstractNumId="53">
    <w:nsid w:val="10233C99"/>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54">
    <w:nsid w:val="3F6AB60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5">
    <w:nsid w:val="61574095"/>
    <w:multiLevelType w:val="hybridMultilevel"/>
    <w:lvl w:ilvl="0">
      <w:lvlJc w:val="left"/>
      <w:lvlText w:val="%1"/>
      <w:numFmt w:val="lowerLetter"/>
      <w:start w:val="1"/>
    </w:lvl>
    <w:lvl w:ilvl="1">
      <w:lvlJc w:val="left"/>
      <w:lvlText w:val="%2."/>
      <w:numFmt w:val="lowerRoman"/>
      <w:start w:val="4"/>
    </w:lvl>
  </w:abstractNum>
  <w:abstractNum w:abstractNumId="56">
    <w:nsid w:val="7E0C57B1"/>
    <w:multiLevelType w:val="hybridMultilevel"/>
    <w:lvl w:ilvl="0">
      <w:lvlJc w:val="left"/>
      <w:lvlText w:val="%1."/>
      <w:numFmt w:val="lowerLetter"/>
      <w:start w:val="2"/>
    </w:lvl>
    <w:lvl w:ilvl="1">
      <w:lvlJc w:val="left"/>
      <w:lvlText w:val="%2"/>
      <w:numFmt w:val="lowerRoman"/>
      <w:start w:val="1"/>
    </w:lvl>
  </w:abstractNum>
  <w:abstractNum w:abstractNumId="57">
    <w:nsid w:val="77AE35EB"/>
    <w:multiLevelType w:val="hybridMultilevel"/>
    <w:lvl w:ilvl="0">
      <w:lvlJc w:val="left"/>
      <w:lvlText w:val="%1"/>
      <w:numFmt w:val="decimal"/>
      <w:start w:val="1"/>
    </w:lvl>
    <w:lvl w:ilvl="1">
      <w:lvlJc w:val="left"/>
      <w:lvlText w:val="%2."/>
      <w:numFmt w:val="lowerLetter"/>
      <w:start w:val="5"/>
    </w:lvl>
  </w:abstractNum>
  <w:abstractNum w:abstractNumId="58">
    <w:nsid w:val="579BE4F1"/>
    <w:multiLevelType w:val="hybridMultilevel"/>
    <w:lvl w:ilvl="0">
      <w:lvlJc w:val="left"/>
      <w:lvlText w:val="%1."/>
      <w:numFmt w:val="decimal"/>
      <w:start w:val="13"/>
    </w:lvl>
    <w:lvl w:ilvl="1">
      <w:lvlJc w:val="left"/>
      <w:lvlText w:val="%2"/>
      <w:numFmt w:val="lowerLetter"/>
      <w:start w:val="1"/>
    </w:lvl>
  </w:abstractNum>
  <w:abstractNum w:abstractNumId="59">
    <w:nsid w:val="310C50B3"/>
    <w:multiLevelType w:val="hybridMultilevel"/>
    <w:lvl w:ilvl="0">
      <w:lvlJc w:val="left"/>
      <w:lvlText w:val="%1."/>
      <w:numFmt w:val="decimal"/>
      <w:start w:val="17"/>
    </w:lvl>
  </w:abstractNum>
  <w:abstractNum w:abstractNumId="60">
    <w:nsid w:val="5FF87E05"/>
    <w:multiLevelType w:val="hybridMultilevel"/>
    <w:lvl w:ilvl="0">
      <w:lvlJc w:val="left"/>
      <w:lvlText w:val="%1."/>
      <w:numFmt w:val="decimal"/>
      <w:start w:val="25"/>
    </w:lvl>
  </w:abstractNum>
  <w:abstractNum w:abstractNumId="61">
    <w:nsid w:val="2F305DEF"/>
    <w:multiLevelType w:val="hybridMultilevel"/>
    <w:lvl w:ilvl="0">
      <w:lvlJc w:val="left"/>
      <w:lvlText w:val="%1."/>
      <w:numFmt w:val="decimal"/>
      <w:start w:val="1"/>
    </w:lvl>
    <w:lvl w:ilvl="1">
      <w:lvlJc w:val="left"/>
      <w:lvlText w:val="%2"/>
      <w:numFmt w:val="lowerLetter"/>
      <w:start w:val="1"/>
    </w:lvl>
  </w:abstractNum>
  <w:abstractNum w:abstractNumId="62">
    <w:nsid w:val="25A70BF7"/>
    <w:multiLevelType w:val="hybridMultilevel"/>
    <w:lvl w:ilvl="0">
      <w:lvlJc w:val="left"/>
      <w:lvlText w:val="%1"/>
      <w:numFmt w:val="decimal"/>
      <w:start w:val="1"/>
    </w:lvl>
    <w:lvl w:ilvl="1">
      <w:lvlJc w:val="left"/>
      <w:lvlText w:val="%2."/>
      <w:numFmt w:val="lowerLetter"/>
      <w:start w:val="2"/>
    </w:lvl>
  </w:abstractNum>
  <w:abstractNum w:abstractNumId="63">
    <w:nsid w:val="1DBABF00"/>
    <w:multiLevelType w:val="hybridMultilevel"/>
    <w:lvl w:ilvl="0">
      <w:lvlJc w:val="left"/>
      <w:lvlText w:val="%1."/>
      <w:numFmt w:val="decimal"/>
      <w:start w:val="3"/>
    </w:lvl>
    <w:lvl w:ilvl="1">
      <w:lvlJc w:val="left"/>
      <w:lvlText w:val="%2"/>
      <w:numFmt w:val="lowerLetter"/>
      <w:start w:val="1"/>
    </w:lvl>
  </w:abstractNum>
  <w:abstractNum w:abstractNumId="64">
    <w:nsid w:val="4AD084E9"/>
    <w:multiLevelType w:val="hybridMultilevel"/>
    <w:lvl w:ilvl="0">
      <w:lvlJc w:val="left"/>
      <w:lvlText w:val="%1."/>
      <w:numFmt w:val="decimal"/>
      <w:start w:val="7"/>
    </w:lvl>
  </w:abstractNum>
  <w:abstractNum w:abstractNumId="65">
    <w:nsid w:val="1F48EAA1"/>
    <w:multiLevelType w:val="hybridMultilevel"/>
    <w:lvl w:ilvl="0">
      <w:lvlJc w:val="left"/>
      <w:lvlText w:val="%1."/>
      <w:numFmt w:val="decimal"/>
      <w:start w:val="14"/>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2022-06-09T13:39:16Z</dcterms:created>
  <dcterms:modified xsi:type="dcterms:W3CDTF">2022-06-09T13:39:16Z</dcterms:modified>
</cp:coreProperties>
</file>