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ind w:left="4080" w:right="2400" w:hanging="4072"/>
        <w:spacing w:after="0" w:line="344" w:lineRule="auto"/>
        <w:tabs>
          <w:tab w:leader="none" w:pos="4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February 2, 2013</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86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1980" w:type="dxa"/>
            <w:vAlign w:val="bottom"/>
          </w:tcPr>
          <w:p>
            <w:pPr>
              <w:spacing w:after="0"/>
              <w:rPr>
                <w:sz w:val="18"/>
                <w:szCs w:val="18"/>
                <w:color w:val="auto"/>
              </w:rPr>
            </w:pPr>
          </w:p>
        </w:tc>
        <w:tc>
          <w:tcPr>
            <w:tcW w:w="4940" w:type="dxa"/>
            <w:vAlign w:val="bottom"/>
            <w:gridSpan w:val="4"/>
          </w:tcPr>
          <w:p>
            <w:pPr>
              <w:jc w:val="center"/>
              <w:ind w:right="3880"/>
              <w:spacing w:after="0"/>
              <w:rPr>
                <w:sz w:val="20"/>
                <w:szCs w:val="20"/>
                <w:color w:val="auto"/>
              </w:rPr>
            </w:pPr>
            <w:r>
              <w:rPr>
                <w:rFonts w:ascii="Arial" w:cs="Arial" w:eastAsia="Arial" w:hAnsi="Arial"/>
                <w:sz w:val="18"/>
                <w:szCs w:val="18"/>
                <w:b w:val="1"/>
                <w:bCs w:val="1"/>
                <w:color w:val="auto"/>
                <w:w w:val="91"/>
              </w:rPr>
              <w:t>Indiana</w:t>
            </w:r>
          </w:p>
        </w:tc>
        <w:tc>
          <w:tcPr>
            <w:tcW w:w="216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27-2935063</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20" w:type="dxa"/>
            <w:vAlign w:val="bottom"/>
            <w:gridSpan w:val="5"/>
          </w:tcPr>
          <w:p>
            <w:pPr>
              <w:jc w:val="center"/>
              <w:ind w:right="19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60" w:type="dxa"/>
            <w:vAlign w:val="bottom"/>
          </w:tcPr>
          <w:p>
            <w:pPr>
              <w:spacing w:after="0"/>
              <w:rPr>
                <w:sz w:val="12"/>
                <w:szCs w:val="12"/>
                <w:color w:val="auto"/>
              </w:rPr>
            </w:pPr>
          </w:p>
        </w:tc>
        <w:tc>
          <w:tcPr>
            <w:tcW w:w="2100" w:type="dxa"/>
            <w:vAlign w:val="bottom"/>
            <w:gridSpan w:val="2"/>
          </w:tcPr>
          <w:p>
            <w:pPr>
              <w:jc w:val="center"/>
              <w:ind w:left="508"/>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920" w:type="dxa"/>
            <w:vAlign w:val="bottom"/>
            <w:gridSpan w:val="5"/>
          </w:tcPr>
          <w:p>
            <w:pPr>
              <w:jc w:val="center"/>
              <w:ind w:right="1920"/>
              <w:spacing w:after="0"/>
              <w:rPr>
                <w:sz w:val="20"/>
                <w:szCs w:val="20"/>
                <w:color w:val="auto"/>
              </w:rPr>
            </w:pPr>
            <w:r>
              <w:rPr>
                <w:rFonts w:ascii="Arial" w:cs="Arial" w:eastAsia="Arial" w:hAnsi="Arial"/>
                <w:sz w:val="14"/>
                <w:szCs w:val="14"/>
                <w:b w:val="1"/>
                <w:bCs w:val="1"/>
                <w:color w:val="auto"/>
                <w:w w:val="88"/>
              </w:rPr>
              <w:t>incorporation or organization)</w:t>
            </w:r>
          </w:p>
        </w:tc>
        <w:tc>
          <w:tcPr>
            <w:tcW w:w="60" w:type="dxa"/>
            <w:vAlign w:val="bottom"/>
          </w:tcPr>
          <w:p>
            <w:pPr>
              <w:spacing w:after="0"/>
              <w:rPr>
                <w:sz w:val="15"/>
                <w:szCs w:val="15"/>
                <w:color w:val="auto"/>
              </w:rPr>
            </w:pPr>
          </w:p>
        </w:tc>
        <w:tc>
          <w:tcPr>
            <w:tcW w:w="210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89"/>
              </w:rPr>
              <w:t>Identification No.)</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6920" w:type="dxa"/>
            <w:vAlign w:val="bottom"/>
            <w:gridSpan w:val="5"/>
          </w:tcPr>
          <w:p>
            <w:pPr>
              <w:jc w:val="center"/>
              <w:ind w:right="1920"/>
              <w:spacing w:after="0"/>
              <w:rPr>
                <w:sz w:val="20"/>
                <w:szCs w:val="20"/>
                <w:color w:val="auto"/>
              </w:rPr>
            </w:pPr>
            <w:r>
              <w:rPr>
                <w:rFonts w:ascii="Arial" w:cs="Arial" w:eastAsia="Arial" w:hAnsi="Arial"/>
                <w:sz w:val="18"/>
                <w:szCs w:val="18"/>
                <w:b w:val="1"/>
                <w:bCs w:val="1"/>
                <w:color w:val="auto"/>
                <w:w w:val="89"/>
              </w:rPr>
              <w:t>2208 Production Road, Fort Wayne, Indiana</w:t>
            </w:r>
          </w:p>
        </w:tc>
        <w:tc>
          <w:tcPr>
            <w:tcW w:w="216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rPr>
              <w:t>46808</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920" w:type="dxa"/>
            <w:vAlign w:val="bottom"/>
            <w:gridSpan w:val="5"/>
          </w:tcPr>
          <w:p>
            <w:pPr>
              <w:jc w:val="center"/>
              <w:ind w:right="192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60" w:type="dxa"/>
            <w:vAlign w:val="bottom"/>
          </w:tcPr>
          <w:p>
            <w:pPr>
              <w:spacing w:after="0"/>
              <w:rPr>
                <w:sz w:val="15"/>
                <w:szCs w:val="15"/>
                <w:color w:val="auto"/>
              </w:rPr>
            </w:pPr>
          </w:p>
        </w:tc>
        <w:tc>
          <w:tcPr>
            <w:tcW w:w="210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2"/>
              </w:rPr>
              <w:t>(Zip Code)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6540" w:type="dxa"/>
            <w:vAlign w:val="bottom"/>
            <w:gridSpan w:val="4"/>
          </w:tcPr>
          <w:p>
            <w:pPr>
              <w:jc w:val="center"/>
              <w:ind w:left="4081"/>
              <w:spacing w:after="0"/>
              <w:rPr>
                <w:sz w:val="20"/>
                <w:szCs w:val="20"/>
                <w:color w:val="auto"/>
              </w:rPr>
            </w:pPr>
            <w:r>
              <w:rPr>
                <w:rFonts w:ascii="Arial" w:cs="Arial" w:eastAsia="Arial" w:hAnsi="Arial"/>
                <w:sz w:val="18"/>
                <w:szCs w:val="18"/>
                <w:b w:val="1"/>
                <w:bCs w:val="1"/>
                <w:color w:val="auto"/>
                <w:w w:val="89"/>
              </w:rPr>
              <w:t>(877) 708-8372</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6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40" w:type="dxa"/>
            <w:vAlign w:val="bottom"/>
            <w:gridSpan w:val="2"/>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40" w:type="dxa"/>
            <w:vAlign w:val="bottom"/>
            <w:gridSpan w:val="5"/>
          </w:tcPr>
          <w:p>
            <w:pPr>
              <w:jc w:val="center"/>
              <w:ind w:right="68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80" w:type="dxa"/>
            <w:vAlign w:val="bottom"/>
          </w:tcPr>
          <w:p>
            <w:pPr>
              <w:spacing w:after="0"/>
              <w:rPr>
                <w:sz w:val="20"/>
                <w:szCs w:val="20"/>
                <w:color w:val="auto"/>
              </w:rPr>
            </w:pPr>
          </w:p>
        </w:tc>
        <w:tc>
          <w:tcPr>
            <w:tcW w:w="4940" w:type="dxa"/>
            <w:vAlign w:val="bottom"/>
            <w:gridSpan w:val="4"/>
          </w:tcPr>
          <w:p>
            <w:pPr>
              <w:jc w:val="center"/>
              <w:ind w:right="3880"/>
              <w:spacing w:after="0"/>
              <w:rPr>
                <w:sz w:val="20"/>
                <w:szCs w:val="20"/>
                <w:color w:val="auto"/>
              </w:rPr>
            </w:pPr>
            <w:r>
              <w:rPr>
                <w:rFonts w:ascii="Arial" w:cs="Arial" w:eastAsia="Arial" w:hAnsi="Arial"/>
                <w:sz w:val="14"/>
                <w:szCs w:val="14"/>
                <w:b w:val="1"/>
                <w:bCs w:val="1"/>
                <w:color w:val="auto"/>
                <w:w w:val="84"/>
              </w:rPr>
              <w:t>Title of each class</w:t>
            </w:r>
          </w:p>
        </w:tc>
        <w:tc>
          <w:tcPr>
            <w:tcW w:w="60" w:type="dxa"/>
            <w:vAlign w:val="bottom"/>
          </w:tcPr>
          <w:p>
            <w:pPr>
              <w:spacing w:after="0"/>
              <w:rPr>
                <w:sz w:val="20"/>
                <w:szCs w:val="20"/>
                <w:color w:val="auto"/>
              </w:rPr>
            </w:pPr>
          </w:p>
        </w:tc>
        <w:tc>
          <w:tcPr>
            <w:tcW w:w="27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22"/>
        </w:trPr>
        <w:tc>
          <w:tcPr>
            <w:tcW w:w="198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Common Stock</w:t>
            </w:r>
          </w:p>
        </w:tc>
        <w:tc>
          <w:tcPr>
            <w:tcW w:w="386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The NASDAQ Global Select Market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340" w:type="dxa"/>
            <w:vAlign w:val="bottom"/>
            <w:gridSpan w:val="5"/>
          </w:tcPr>
          <w:p>
            <w:pPr>
              <w:jc w:val="center"/>
              <w:ind w:right="66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None</w:t>
            </w: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160" w:type="dxa"/>
            <w:vAlign w:val="bottom"/>
            <w:gridSpan w:val="3"/>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1860" w:type="dxa"/>
            <w:vAlign w:val="bottom"/>
            <w:gridSpan w:val="3"/>
          </w:tcPr>
          <w:p>
            <w:pPr>
              <w:spacing w:after="0"/>
              <w:rPr>
                <w:sz w:val="11"/>
                <w:szCs w:val="11"/>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0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w:t>
      </w:r>
    </w:p>
    <w:p>
      <w:pPr>
        <w:sectPr>
          <w:pgSz w:w="11900" w:h="16838" w:orient="portrait"/>
          <w:cols w:equalWidth="0" w:num="1">
            <w:col w:w="11420"/>
          </w:cols>
          <w:pgMar w:left="240" w:top="230" w:right="239" w:bottom="1440" w:gutter="0" w:footer="0" w:header="0"/>
        </w:sectPr>
      </w:pPr>
    </w:p>
    <w:p>
      <w:pPr>
        <w:spacing w:after="0" w:line="34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5900" w:space="720"/>
            <w:col w:w="18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540"/>
            <w:col w:w="160" w:space="100"/>
            <w:col w:w="5640" w:space="720"/>
            <w:col w:w="1920" w:space="680"/>
            <w:col w:w="160"/>
          </w:cols>
          <w:pgMar w:left="240" w:top="230" w:right="23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320" w:space="160"/>
            <w:col w:w="260" w:space="80"/>
            <w:col w:w="160" w:space="180"/>
            <w:col w:w="220" w:space="80"/>
            <w:col w:w="1960"/>
          </w:cols>
          <w:pgMar w:left="240" w:top="230" w:right="2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The aggregate market value of the registrant’s voting common stock held by non-affiliates of the registrant as of July 28, 2012 was $441,178,250.</w:t>
      </w:r>
    </w:p>
    <w:p>
      <w:pPr>
        <w:spacing w:after="0" w:line="11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registrant had 40,602,546 shares of its common stock outstanding as of April 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 INCORPORATED BY REFERENCE:</w:t>
      </w:r>
    </w:p>
    <w:p>
      <w:pPr>
        <w:spacing w:after="0" w:line="96" w:lineRule="exact"/>
        <w:rPr>
          <w:sz w:val="24"/>
          <w:szCs w:val="24"/>
          <w:color w:val="auto"/>
        </w:rPr>
      </w:pPr>
    </w:p>
    <w:p>
      <w:pPr>
        <w:ind w:right="60" w:firstLine="342"/>
        <w:spacing w:after="0" w:line="268" w:lineRule="auto"/>
        <w:rPr>
          <w:sz w:val="20"/>
          <w:szCs w:val="20"/>
          <w:color w:val="auto"/>
        </w:rPr>
      </w:pPr>
      <w:r>
        <w:rPr>
          <w:rFonts w:ascii="Arial" w:cs="Arial" w:eastAsia="Arial" w:hAnsi="Arial"/>
          <w:sz w:val="18"/>
          <w:szCs w:val="18"/>
          <w:color w:val="auto"/>
        </w:rPr>
        <w:t>Portions of the registrant’s definitive proxy statement for the 2013 Annual Meeting of Shareholders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annual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in Item 1A of this report.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20" w:type="dxa"/>
            <w:vAlign w:val="bottom"/>
            <w:gridSpan w:val="8"/>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19"/>
                <w:szCs w:val="19"/>
                <w:color w:val="auto"/>
              </w:rPr>
            </w:pPr>
          </w:p>
        </w:tc>
      </w:tr>
      <w:tr>
        <w:trPr>
          <w:trHeight w:val="380"/>
        </w:trPr>
        <w:tc>
          <w:tcPr>
            <w:tcW w:w="114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r>
              <w:rPr>
                <w:rFonts w:ascii="Arial" w:cs="Arial" w:eastAsia="Arial" w:hAnsi="Arial"/>
                <w:sz w:val="18"/>
                <w:szCs w:val="18"/>
                <w:b w:val="1"/>
                <w:bCs w:val="1"/>
                <w:color w:val="000000"/>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560" w:type="dxa"/>
            <w:vAlign w:val="bottom"/>
            <w:gridSpan w:val="4"/>
          </w:tcPr>
          <w:p>
            <w:pPr>
              <w:spacing w:after="0"/>
              <w:rPr>
                <w:sz w:val="24"/>
                <w:szCs w:val="24"/>
                <w:color w:val="auto"/>
              </w:rPr>
            </w:pPr>
          </w:p>
        </w:tc>
        <w:tc>
          <w:tcPr>
            <w:tcW w:w="88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880" w:type="dxa"/>
            <w:vAlign w:val="bottom"/>
            <w:gridSpan w:val="2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Unresolved Staff Comments</w:t>
              </w:r>
            </w:hyperlink>
          </w:p>
        </w:tc>
        <w:tc>
          <w:tcPr>
            <w:tcW w:w="6880" w:type="dxa"/>
            <w:vAlign w:val="bottom"/>
            <w:gridSpan w:val="11"/>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Properties</w:t>
              </w:r>
            </w:hyperlink>
          </w:p>
        </w:tc>
        <w:tc>
          <w:tcPr>
            <w:tcW w:w="8160" w:type="dxa"/>
            <w:vAlign w:val="bottom"/>
            <w:gridSpan w:val="18"/>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140" w:type="dxa"/>
            <w:vAlign w:val="bottom"/>
            <w:gridSpan w:val="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6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460" w:type="dxa"/>
            <w:vAlign w:val="bottom"/>
            <w:gridSpan w:val="3"/>
          </w:tcPr>
          <w:p>
            <w:pPr>
              <w:spacing w:after="0"/>
              <w:rPr>
                <w:sz w:val="24"/>
                <w:szCs w:val="24"/>
                <w:color w:val="auto"/>
              </w:rPr>
            </w:pPr>
          </w:p>
        </w:tc>
        <w:tc>
          <w:tcPr>
            <w:tcW w:w="8880" w:type="dxa"/>
            <w:vAlign w:val="bottom"/>
            <w:gridSpan w:val="20"/>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Market for Registrant’s Common Equity, Related Stockholder Matters and Issuer Purchases of Equity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888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58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Financial Statements and Supplementary Data</w:t>
              </w:r>
            </w:hyperlink>
          </w:p>
        </w:tc>
        <w:tc>
          <w:tcPr>
            <w:tcW w:w="5620" w:type="dxa"/>
            <w:vAlign w:val="bottom"/>
            <w:gridSpan w:val="8"/>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888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2560" w:type="dxa"/>
            <w:vAlign w:val="bottom"/>
            <w:gridSpan w:val="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160" w:type="dxa"/>
            <w:vAlign w:val="bottom"/>
            <w:gridSpan w:val="1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72">
              <w:r>
                <w:rPr>
                  <w:rFonts w:ascii="Arial" w:cs="Arial" w:eastAsia="Arial" w:hAnsi="Arial"/>
                  <w:sz w:val="18"/>
                  <w:szCs w:val="18"/>
                  <w:b w:val="1"/>
                  <w:bCs w:val="1"/>
                  <w:color w:val="0000EE"/>
                  <w:w w:val="99"/>
                </w:rPr>
                <w:t>PART III.</w:t>
              </w:r>
            </w:hyperlink>
          </w:p>
        </w:tc>
        <w:tc>
          <w:tcPr>
            <w:tcW w:w="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Directors, Executive Officers and Corporate Governance</w:t>
              </w:r>
            </w:hyperlink>
          </w:p>
        </w:tc>
        <w:tc>
          <w:tcPr>
            <w:tcW w:w="4880" w:type="dxa"/>
            <w:vAlign w:val="bottom"/>
            <w:gridSpan w:val="7"/>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8880" w:type="dxa"/>
            <w:vAlign w:val="bottom"/>
            <w:gridSpan w:val="2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Security Ownership of Certain Beneficial Owners and Management and Related Stockholder Matters</w:t>
              </w:r>
            </w:hyperlink>
          </w:p>
        </w:tc>
        <w:tc>
          <w:tcPr>
            <w:tcW w:w="1760" w:type="dxa"/>
            <w:vAlign w:val="bottom"/>
            <w:gridSpan w:val="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8880" w:type="dxa"/>
            <w:vAlign w:val="bottom"/>
            <w:gridSpan w:val="2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Certain Relationships and Related Transactions, and Director Independence</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Principal Accounting Fees and Services</w:t>
              </w:r>
            </w:hyperlink>
          </w:p>
        </w:tc>
        <w:tc>
          <w:tcPr>
            <w:tcW w:w="3560" w:type="dxa"/>
            <w:vAlign w:val="bottom"/>
            <w:gridSpan w:val="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140" w:type="dxa"/>
            <w:vAlign w:val="bottom"/>
            <w:gridSpan w:val="5"/>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420" w:type="dxa"/>
            <w:vAlign w:val="bottom"/>
            <w:gridSpan w:val="2"/>
          </w:tcPr>
          <w:p>
            <w:pPr>
              <w:spacing w:after="0"/>
              <w:rPr>
                <w:sz w:val="24"/>
                <w:szCs w:val="24"/>
                <w:color w:val="auto"/>
              </w:rPr>
            </w:pPr>
          </w:p>
        </w:tc>
        <w:tc>
          <w:tcPr>
            <w:tcW w:w="2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3">
              <w:r>
                <w:rPr>
                  <w:rFonts w:ascii="Arial" w:cs="Arial" w:eastAsia="Arial" w:hAnsi="Arial"/>
                  <w:sz w:val="18"/>
                  <w:szCs w:val="18"/>
                  <w:color w:val="0000EE"/>
                  <w:w w:val="87"/>
                </w:rPr>
                <w:t>Exhibits, Financial Statement Schedules</w:t>
              </w:r>
            </w:hyperlink>
          </w:p>
        </w:tc>
        <w:tc>
          <w:tcPr>
            <w:tcW w:w="6040" w:type="dxa"/>
            <w:vAlign w:val="bottom"/>
            <w:gridSpan w:val="9"/>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83"/>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20" w:type="dxa"/>
            <w:vAlign w:val="bottom"/>
            <w:gridSpan w:val="15"/>
          </w:tcPr>
          <w:p>
            <w:pPr>
              <w:ind w:left="4540"/>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and highly functional accessories for women. Our products include a wide offering of handbags, accessories, and travel and leisure items. Over our 30-year history, Vera Bradley has become a true lifestyle brand that appeals to a broad range of consumers. Our brand vision is accessible luxury that inspires a casual, fun, and family-oriented lifestyle. Our brand positioning emphasizes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generate net revenues by selling products through two reportable segments: Direct and Indirect. As of February 2, 2013, our Direct segment consisted of sales of Vera Bradley products through our 65 full-price and 11 outlet stores in the United States; 15 department store locations in Japan; our websites, verabradley.com and verabradley.co.jp; and our annual outlet sale in Fort Wayne, Indiana. As of February 2, 2013, our Indirect segment consisted of sales of Vera Bradley products to approximately 3,400 specialty retailers, substantially all of which are located in the United States, as well as select department stores and third party e-commerce sites. For financial information about our reportable segments, refer to Note 14 of the Notes to Consolidated Financial Statements set forth in Part II, “Item 8. Financial Statements and Supplementary Data,” of this report.</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utilizes a 52-53 week fiscal year end. Effective January 1, 2008, we changed our fiscal year to end on the Saturday closest to January 31. As such, fiscal year 2013 ended on February 2, 2013 and reflected a 53-week period; fiscal years 2012 and 2011 ended on January 28, 2012, and January 29, 2011, respectively, and reflected 52-week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Transaction and Stock Split</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Vera Bradley, Inc. was formed as an Indiana corporation on June 23, 2010, for the purpose of reorganizing the corporate structure of Vera Bradley Designs, Inc., which was incorporated in Indiana on November 15, 1982.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 owned subsidiary of Vera Bradley, Inc.</w:t>
      </w:r>
    </w:p>
    <w:p>
      <w:pPr>
        <w:spacing w:after="0" w:line="118"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only significant asset of Vera Bradley, Inc. is its investment in Vera Bradley Designs, Inc., and all of our operations are conducted through Vera Bradley Designs, Inc. Except where context requires or where otherwise indicated, the terms “Company,” “Vera Bradley,” “we,” “our,” and “us”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Barbara Bradley Baekgaard and Patricia Miller founded the Company in 1982 in Fort Wayne, Indiana, after recognizing a lack of stylish travel accessories in the market. Within weeks, the friends created Vera Bradley, named after Ms. Bradley Baekgaard’s mother, and began manufacturing and marketing their distinctive products. The founders, together with the executive management team, have been instrumental in our growth and success. The following timeline sets forth a summary of significant milestones in Vera Bradley’s history:</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1982</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w w:val="89"/>
              </w:rPr>
              <w:t>Barbara Bradley Baekgaard and Patricia Miller launched Vera Bradley by introducing three products: the handbag, the sports bag, and the</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duffel bag.</w:t>
            </w:r>
          </w:p>
        </w:tc>
      </w:tr>
      <w:tr>
        <w:trPr>
          <w:trHeight w:val="324"/>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1987</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rPr>
              <w:t>Ernst &amp; Young honored our Co-Founders with an “Entrepreneur of the Year” award.</w:t>
            </w:r>
          </w:p>
        </w:tc>
      </w:tr>
      <w:tr>
        <w:trPr>
          <w:trHeight w:val="318"/>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1991</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w w:val="87"/>
              </w:rPr>
              <w:t>To accommodate the increasing number of attendees, we relocated our annual outlet sale from a tent in our parking lot to its present location</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at the Allen County War Memorial Coliseum Exposition Center in Fort Wayne, Indiana.</w:t>
            </w:r>
          </w:p>
        </w:tc>
      </w:tr>
      <w:tr>
        <w:trPr>
          <w:trHeight w:val="324"/>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1998</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rPr>
              <w:t>We founded our primary philanthropy, the Vera Bradley Foundation for Breast Cancer.</w:t>
            </w:r>
          </w:p>
        </w:tc>
      </w:tr>
      <w:tr>
        <w:trPr>
          <w:trHeight w:val="324"/>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1999</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rPr>
              <w:t>Our products were being sold in all 50 states through Indirect retailers.</w:t>
            </w:r>
          </w:p>
        </w:tc>
      </w:tr>
      <w:tr>
        <w:trPr>
          <w:trHeight w:val="318"/>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2005</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w w:val="90"/>
              </w:rPr>
              <w:t>We launched the Vera Bradley Visual Merchandising Program, providing our retailers partners a framework for presenting the brand and</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merchandising our products in a consistent manner.</w:t>
            </w:r>
          </w:p>
        </w:tc>
      </w:tr>
      <w:tr>
        <w:trPr>
          <w:trHeight w:val="324"/>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2006</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rPr>
              <w:t>We launched our e-commerce business through our website, verabradley.com.</w:t>
            </w:r>
          </w:p>
        </w:tc>
      </w:tr>
      <w:tr>
        <w:trPr>
          <w:trHeight w:val="318"/>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2007</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w w:val="90"/>
              </w:rPr>
              <w:t>We opened a state-of-the-art distribution facility in Roanoke, Indiana. In September, we also opened our first full-price store at the Natick</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Collection, in greater Boston.</w:t>
            </w:r>
          </w:p>
        </w:tc>
      </w:tr>
      <w:tr>
        <w:trPr>
          <w:trHeight w:val="324"/>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2009</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rPr>
              <w:t>We opened our first outlet store at Chicago Premium Outlets in Aurora, Illinois.</w:t>
            </w:r>
          </w:p>
        </w:tc>
      </w:tr>
      <w:tr>
        <w:trPr>
          <w:trHeight w:val="324"/>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2010</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rPr>
              <w:t>We completed our initial public offering.</w:t>
            </w:r>
          </w:p>
        </w:tc>
      </w:tr>
      <w:tr>
        <w:trPr>
          <w:trHeight w:val="318"/>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2011</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w w:val="89"/>
              </w:rPr>
              <w:t>We entered the Japanese market, opened the Vera Bradley Design Center in Roanoke, Indiana, and launched our products in 65 Dillard’s</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locations.</w:t>
            </w:r>
          </w:p>
        </w:tc>
      </w:tr>
      <w:tr>
        <w:trPr>
          <w:trHeight w:val="318"/>
        </w:trPr>
        <w:tc>
          <w:tcPr>
            <w:tcW w:w="500" w:type="dxa"/>
            <w:vAlign w:val="bottom"/>
          </w:tcPr>
          <w:p>
            <w:pPr>
              <w:jc w:val="right"/>
              <w:ind w:right="52"/>
              <w:spacing w:after="0"/>
              <w:rPr>
                <w:sz w:val="20"/>
                <w:szCs w:val="20"/>
                <w:color w:val="auto"/>
              </w:rPr>
            </w:pPr>
            <w:r>
              <w:rPr>
                <w:rFonts w:ascii="Arial" w:cs="Arial" w:eastAsia="Arial" w:hAnsi="Arial"/>
                <w:sz w:val="18"/>
                <w:szCs w:val="18"/>
                <w:color w:val="auto"/>
                <w:w w:val="84"/>
              </w:rPr>
              <w:t>2012</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0020" w:type="dxa"/>
            <w:vAlign w:val="bottom"/>
          </w:tcPr>
          <w:p>
            <w:pPr>
              <w:ind w:left="160"/>
              <w:spacing w:after="0"/>
              <w:rPr>
                <w:sz w:val="20"/>
                <w:szCs w:val="20"/>
                <w:color w:val="auto"/>
              </w:rPr>
            </w:pPr>
            <w:r>
              <w:rPr>
                <w:rFonts w:ascii="Arial" w:cs="Arial" w:eastAsia="Arial" w:hAnsi="Arial"/>
                <w:sz w:val="18"/>
                <w:szCs w:val="18"/>
                <w:color w:val="auto"/>
                <w:w w:val="91"/>
              </w:rPr>
              <w:t>We completed the 200,000 square-foot expansion of the distribution facility in Roanoke, Indiana; increased our presence to all Dillard’s</w:t>
            </w:r>
          </w:p>
        </w:tc>
      </w:tr>
      <w:tr>
        <w:trPr>
          <w:trHeight w:val="222"/>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locations; and launched a relationship with Von Maur, and are carried in all of their locations.</w:t>
            </w:r>
          </w:p>
        </w:tc>
      </w:tr>
    </w:tbl>
    <w:p>
      <w:pPr>
        <w:spacing w:after="0" w:line="15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passion for design and customer service established by our founders has driven our growth over the past 30 years and remains the cornerstone of Vera Bradley today. As Chief Creative Officer, Ms. Bradley Baekgaard continues to play a role in the team responsible for our day-to-day creative functions, including product development and store design. Ms. Miller retired in October 2012 as our National Spokesperson, but continues to serve on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Our Business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included the following:</w:t>
      </w:r>
    </w:p>
    <w:p>
      <w:pPr>
        <w:spacing w:after="0" w:line="5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Merchandising Strategy</w:t>
      </w:r>
      <w:r>
        <w:rPr>
          <w:rFonts w:ascii="Arial" w:cs="Arial" w:eastAsia="Arial" w:hAnsi="Arial"/>
          <w:sz w:val="18"/>
          <w:szCs w:val="18"/>
          <w:color w:val="auto"/>
        </w:rPr>
        <w:t>. To appeal to a broader range of consumers, we developed a mix of pattern and product offerings specifically targeted at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demographics, refined our product release strategy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 In fiscal 2012, we established a dedicated merchant function and elevated the role of marketing to work more collaboratively with the design team to continue improving our process of bringing products to market.</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Multi-Channel Distribution Capability</w:t>
      </w:r>
      <w:r>
        <w:rPr>
          <w:rFonts w:ascii="Arial" w:cs="Arial" w:eastAsia="Arial" w:hAnsi="Arial"/>
          <w:sz w:val="18"/>
          <w:szCs w:val="18"/>
          <w:color w:val="auto"/>
        </w:rPr>
        <w:t>. In 2006, we initiated a Direct channel strategy that was designed to expand our brand presence and broaden our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demographic while complementing the growing Indirect segment of our business. The first step in establishing the Direct segment of our business was selling directly to consumers through verabradley.com beginning in 2006. In September 2007, we opened our first full-price store. As of February 2, 2013, we operated 65 full-price stores and 11 outlet stores, and 15 department store locations in Japan. In addition, in fiscal 2013 we had more than 61 million visits to verabradley.com.</w:t>
      </w:r>
    </w:p>
    <w:p>
      <w:pPr>
        <w:spacing w:after="0" w:line="14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color w:val="auto"/>
        </w:rPr>
        <w:t>Infrastructure Investment</w:t>
      </w:r>
      <w:r>
        <w:rPr>
          <w:rFonts w:ascii="Arial" w:cs="Arial" w:eastAsia="Arial" w:hAnsi="Arial"/>
          <w:sz w:val="16"/>
          <w:szCs w:val="16"/>
          <w:color w:val="auto"/>
        </w:rPr>
        <w:t>. Beginning in 2005, we made a series of investments to strengthen our supply chain capabilities, information systems, and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processes, resulting in substantial cost savings and a more flexible and scalable operating structure. During this period, we shifted our production from a primarily domestic manufacturing model to a more cost-effective global sourcing platform. In 2007, we opened a state-of-the-art distribution facility in Roanoke, Indiana, which was doubled in size to approximately 400,000 square feet as a result of an expansion that was completed in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over 30 years, we have created, developed, and solidified a true lifestyle brand that resonates with a broad range of female consumers. Our brand vision is accessible luxury that inspires a casual, fun, and family-oriented lifestyle. Employees, family members, and friends are often depicted throughout our advertising in fun, friendly, and family-oriented settings, accentuating our brand image in an authentic manner. Our visual merchandising strategy, particularly in our full-price stores, seeks to create the feeling of home. We believe that our lifestyle brand is well positioned to extend into complementary product categories. The strength of our brand is demonstrated during our annual outlet sale in Fort Wayne, Indiana, a sales event that attracts tens of thousands of highly enthusiastic shoppers from across the country.</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brand positioning emphasizes the high quality, distinctive and vibrant styling, and functional design of our products. At the same time, our frequent releases of new patterns and styles keep the brand fresh, inspire our customers to express their individuality and sense of style in a colorful way, and encourage multiple purchases. We also provide consumers a consistently fresh set of patterns, styles, and products from which to choose that fit with different ages, wardrobes, seasons, and personalities.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offer a broad assortment of products that meets our customers’ different functional needs, including: handbags such as purses, totes, and specialty bags; accessories such as wallets, wristlets, smartphone cases, technology accessories, and eyewear; and travel and leisure items such as weekend bags, duffel bags, and garment bags. We believe this combination of patterns, styles, and products allows us to appeal to all age brackets, including teens, young women, mature women, mothers, and grandmothers. Although our customers represent a broad range of demographic segments, our market research has shown that they generally have a common attitude toward the brand: Vera Bradley is a colorful way of allowing them to express their individuality and sense of style.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competitive strengths differentiate us within the marketplace and provide a strong foundation for our future growth:</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Strong Brand Identity and Positioning. </w:t>
      </w:r>
      <w:r>
        <w:rPr>
          <w:rFonts w:ascii="Arial" w:cs="Arial" w:eastAsia="Arial" w:hAnsi="Arial"/>
          <w:sz w:val="18"/>
          <w:szCs w:val="18"/>
          <w:color w:val="auto"/>
        </w:rPr>
        <w:t>We believe the Vera Bradley brand is highly recognized for its distinctive and vibrant style. Vera Bradley is positioned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as a lifestyle brand that inspires consumers to express their individuality and sense of style. We have also positioned our brand to highlight the high quality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functional attributes of our products. The Vera Bradley brand is more price accessible than many competing brands, which allows us to attract a wide range of consumers and inspire repeat purchases.</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Exceptional Customer Loyalty. </w:t>
      </w:r>
      <w:r>
        <w:rPr>
          <w:rFonts w:ascii="Arial" w:cs="Arial" w:eastAsia="Arial" w:hAnsi="Arial"/>
          <w:sz w:val="16"/>
          <w:szCs w:val="16"/>
          <w:color w:val="auto"/>
        </w:rPr>
        <w:t>We believe that, as consumers become familiar with the Vera Bradley brand and begin using our products, they become loyal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enthusiastic brand advocates. We believe enthusiasm for our brand inspires repeat purchases and helps us expand our customer base. Our customers often purchase our products as gifts for family members and friends, who, in turn, become loyal customers.</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Product Development Expertise. </w:t>
      </w:r>
      <w:r>
        <w:rPr>
          <w:rFonts w:ascii="Arial" w:cs="Arial" w:eastAsia="Arial" w:hAnsi="Arial"/>
          <w:sz w:val="18"/>
          <w:szCs w:val="18"/>
          <w:color w:val="auto"/>
        </w:rPr>
        <w:t>Our product development team combines an understanding of consumer preferences with a knowledge of color, fashion,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style trends to design our products. Our highly creative design associates utilize a disciplined product design process that seeks to maximize the productivity of our product releases and drive consumer demand.</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Dynamic Multi-Channel Distribution Model. </w:t>
      </w:r>
      <w:r>
        <w:rPr>
          <w:rFonts w:ascii="Arial" w:cs="Arial" w:eastAsia="Arial" w:hAnsi="Arial"/>
          <w:sz w:val="18"/>
          <w:szCs w:val="18"/>
          <w:color w:val="auto"/>
        </w:rPr>
        <w:t>We offer our products through a diverse choice of shopping options across channels that are intimate, highly shop-able, fun, and characteristic of our brand. Whether they are at a Vera Bradley store, a specialty retail store, a department store, or verabradley.com, we believe consumers have an opportunity to find the brand in places that match their unique shopping interests. Our multi-channel distribution model enables us to maximize brand exposure and customer access to our products.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Established Network of Indirect Retailers. </w:t>
      </w:r>
      <w:r>
        <w:rPr>
          <w:rFonts w:ascii="Arial" w:cs="Arial" w:eastAsia="Arial" w:hAnsi="Arial"/>
          <w:sz w:val="18"/>
          <w:szCs w:val="18"/>
          <w:color w:val="auto"/>
        </w:rPr>
        <w:t>Our Indirect business consists of an established and diverse network of over 3,400 specialty retailers and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store partners. This channel of gift, apparel and accessories, travel, and other specialty retailers, located throughout the United States, provides a strong foundation for our growth. Our Indirect retailers include some of the brand’s strongest advocates, and their passion has been instrumental in the development of our brand.</w:t>
      </w:r>
    </w:p>
    <w:p>
      <w:pPr>
        <w:spacing w:after="0" w:line="14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 xml:space="preserve">Distinctive Retail Stores. </w:t>
      </w:r>
      <w:r>
        <w:rPr>
          <w:rFonts w:ascii="Arial" w:cs="Arial" w:eastAsia="Arial" w:hAnsi="Arial"/>
          <w:sz w:val="16"/>
          <w:szCs w:val="16"/>
          <w:color w:val="auto"/>
        </w:rPr>
        <w:t>Our stores provide a shopping experience that is uniquely “Vera Bradley.” We bring the Vera Bradley brand to life in our stores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Unique Company Culture. </w:t>
      </w:r>
      <w:r>
        <w:rPr>
          <w:rFonts w:ascii="Arial" w:cs="Arial" w:eastAsia="Arial" w:hAnsi="Arial"/>
          <w:sz w:val="16"/>
          <w:szCs w:val="16"/>
          <w:color w:val="auto"/>
        </w:rPr>
        <w:t>We were founded in 1982 by two friends, Barbara Bradley Baekgaard and Patricia Miller, who built our company around their passion</w:t>
      </w:r>
      <w:r>
        <w:rPr>
          <w:rFonts w:ascii="Arial" w:cs="Arial" w:eastAsia="Arial" w:hAnsi="Arial"/>
          <w:sz w:val="16"/>
          <w:szCs w:val="16"/>
          <w:i w:val="1"/>
          <w:iCs w:val="1"/>
          <w:color w:val="auto"/>
        </w:rPr>
        <w:t xml:space="preserve"> </w:t>
      </w:r>
      <w:r>
        <w:rPr>
          <w:rFonts w:ascii="Arial" w:cs="Arial" w:eastAsia="Arial" w:hAnsi="Arial"/>
          <w:sz w:val="16"/>
          <w:szCs w:val="16"/>
          <w:color w:val="auto"/>
        </w:rPr>
        <w:t>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senior management team led by Michael C. Ray, our Chief Executive Officer, has extensive experience across a diverse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disciplines in product design, merchandising, marketing, store development, supply chain management, and finance. The current management team has been instrumental in the development and execution of our long-term strategies.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there are significant opportunities to expand our business and increase our net revenues and net income through the execution of the following growth strategies:</w:t>
      </w:r>
    </w:p>
    <w:p>
      <w:pPr>
        <w:spacing w:after="0" w:line="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Grow in Underpenetrated Markets. </w:t>
      </w:r>
      <w:r>
        <w:rPr>
          <w:rFonts w:ascii="Arial" w:cs="Arial" w:eastAsia="Arial" w:hAnsi="Arial"/>
          <w:sz w:val="16"/>
          <w:szCs w:val="16"/>
          <w:color w:val="auto"/>
        </w:rPr>
        <w:t>Our historic growth focused primarily on the eastern United States, and accordingly, the Vera Bradley brand is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in that region. In recent years, we have successfully expanded our Direct and Indirect channels in key developing markets, including in the Midwest and Southwest. In addition, in fiscal 2012 we expanded internationally by entering the Japanese market. We believe the success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our expansion efforts is a testament to the strength and portability of our brand and the power of our multi-channel distribution capabilities. We intend to utilize these strengths to further penetrate our existing markets and successfully expand our business into other foreign markets and relatively underpenetrated U.S. markets.</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Expand Our U.S. Store Base. </w:t>
      </w:r>
      <w:r>
        <w:rPr>
          <w:rFonts w:ascii="Arial" w:cs="Arial" w:eastAsia="Arial" w:hAnsi="Arial"/>
          <w:sz w:val="16"/>
          <w:szCs w:val="16"/>
          <w:color w:val="auto"/>
        </w:rPr>
        <w:t>We plan to expand our retail presence in the United States by opening new stores. We believe that the market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can support at least 300 Vera Bradley full-price stores. We plan to open approximately 20 new stores annually during each of the next five fiscal years.</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Drive Comparable-Store Sales and Our E-Commerce Business. </w:t>
      </w:r>
      <w:r>
        <w:rPr>
          <w:rFonts w:ascii="Arial" w:cs="Arial" w:eastAsia="Arial" w:hAnsi="Arial"/>
          <w:sz w:val="16"/>
          <w:szCs w:val="16"/>
          <w:color w:val="auto"/>
        </w:rPr>
        <w:t>We have several ongoing initiatives to drive comparable-store sales growth, including focusing on</w:t>
      </w:r>
      <w:r>
        <w:rPr>
          <w:rFonts w:ascii="Arial" w:cs="Arial" w:eastAsia="Arial" w:hAnsi="Arial"/>
          <w:sz w:val="16"/>
          <w:szCs w:val="16"/>
          <w:i w:val="1"/>
          <w:iCs w:val="1"/>
          <w:color w:val="auto"/>
        </w:rPr>
        <w:t xml:space="preserve"> </w:t>
      </w:r>
      <w:r>
        <w:rPr>
          <w:rFonts w:ascii="Arial" w:cs="Arial" w:eastAsia="Arial" w:hAnsi="Arial"/>
          <w:sz w:val="16"/>
          <w:szCs w:val="16"/>
          <w:color w:val="auto"/>
        </w:rPr>
        <w:t>store-level merchandising programs and enhancing in-store customer service and selling capabilities. As a key element of our Direct channel strategy, we intend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Expand Our Product Offerings. </w:t>
      </w:r>
      <w:r>
        <w:rPr>
          <w:rFonts w:ascii="Arial" w:cs="Arial" w:eastAsia="Arial" w:hAnsi="Arial"/>
          <w:sz w:val="16"/>
          <w:szCs w:val="16"/>
          <w:color w:val="auto"/>
        </w:rPr>
        <w:t>We design products to “accessorize a woman’s life” and believe this core competence serves as a platform for growth within and</w:t>
      </w:r>
      <w:r>
        <w:rPr>
          <w:rFonts w:ascii="Arial" w:cs="Arial" w:eastAsia="Arial" w:hAnsi="Arial"/>
          <w:sz w:val="16"/>
          <w:szCs w:val="16"/>
          <w:i w:val="1"/>
          <w:iCs w:val="1"/>
          <w:color w:val="auto"/>
        </w:rPr>
        <w:t xml:space="preserve"> </w:t>
      </w:r>
      <w:r>
        <w:rPr>
          <w:rFonts w:ascii="Arial" w:cs="Arial" w:eastAsia="Arial" w:hAnsi="Arial"/>
          <w:sz w:val="16"/>
          <w:szCs w:val="16"/>
          <w:color w:val="auto"/>
        </w:rPr>
        <w:t>beyond our current product lines. We have expanded our product offerings to include new line extensions, such as focused gift and special occasion offerings, including this year’s back to campus and tech accessory products, and brand extensions, such as our paper and stationery collection. We believe that opportunities exist to “accessorize a woman’s life” through complementary product collections that fit within our positioning as a lifestyle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Release Strategy</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introduce new patterns seasonally. Within each season, we generally introduce two to four patterns. These patterns are incorporated into the designs of a wide range of products, including handbags, accessories, and travel and leisure items, that are part of the core seasonal release. These product assortments each season can be classic styles, updates to older designs, or new product introductions.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Between our seasonal offerings we introduce smaller assortments specific to a category (e.g., a Vera Bradley Baby gift assortment) or customer segment (e.g., a more fashion-forward resort collection).</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keep our assortment current and fresh and to focus our inventory investments on our best performers, we discontinue patterns at regular intervals. We sell our remaining inventory of retired products primarily through our website, outlet stores, and at our annual outlet sale.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chart presents net revenues generated by each of our three product categories and other revenues as a percentage of our total net revenues for fiscal 2013,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7"/>
              </w:rPr>
              <w:t>Fiscal Year Ended</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February 2,</w:t>
            </w:r>
          </w:p>
        </w:tc>
        <w:tc>
          <w:tcPr>
            <w:tcW w:w="480" w:type="dxa"/>
            <w:vAlign w:val="bottom"/>
          </w:tcPr>
          <w:p>
            <w:pPr>
              <w:spacing w:after="0"/>
              <w:rPr>
                <w:sz w:val="11"/>
                <w:szCs w:val="11"/>
                <w:color w:val="auto"/>
              </w:rPr>
            </w:pPr>
          </w:p>
        </w:tc>
        <w:tc>
          <w:tcPr>
            <w:tcW w:w="158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8"/>
              </w:rPr>
              <w:t>January 28,</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January 29,</w:t>
            </w:r>
          </w:p>
        </w:tc>
        <w:tc>
          <w:tcPr>
            <w:tcW w:w="2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9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Handbags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w:t>
            </w:r>
          </w:p>
        </w:tc>
        <w:tc>
          <w:tcPr>
            <w:tcW w:w="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r>
      <w:tr>
        <w:trPr>
          <w:trHeight w:val="216"/>
        </w:trPr>
        <w:tc>
          <w:tcPr>
            <w:tcW w:w="9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Accessories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31.7%</w:t>
            </w: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32.2%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r>
      <w:tr>
        <w:trPr>
          <w:trHeight w:val="216"/>
        </w:trPr>
        <w:tc>
          <w:tcPr>
            <w:tcW w:w="9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and Leisure Items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2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15.2%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r>
      <w:tr>
        <w:trPr>
          <w:trHeight w:val="216"/>
        </w:trPr>
        <w:tc>
          <w:tcPr>
            <w:tcW w:w="9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1"/>
                <w:szCs w:val="11"/>
                <w:color w:val="auto"/>
              </w:rPr>
              <w:t>(1)</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2060" w:type="dxa"/>
            <w:vAlign w:val="bottom"/>
            <w:gridSpan w:val="3"/>
          </w:tcPr>
          <w:p>
            <w:pPr>
              <w:jc w:val="right"/>
              <w:ind w:right="760"/>
              <w:spacing w:after="0"/>
              <w:rPr>
                <w:sz w:val="20"/>
                <w:szCs w:val="20"/>
                <w:color w:val="auto"/>
              </w:rPr>
            </w:pPr>
            <w:r>
              <w:rPr>
                <w:rFonts w:ascii="Arial" w:cs="Arial" w:eastAsia="Arial" w:hAnsi="Arial"/>
                <w:sz w:val="18"/>
                <w:szCs w:val="18"/>
                <w:color w:val="auto"/>
              </w:rPr>
              <w:t>9.5%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1"/>
                <w:szCs w:val="11"/>
                <w:color w:val="auto"/>
              </w:rPr>
              <w:t>(2)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primarily home, merchandising, freight, and licensing revenues.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net revenues generated by our annual outlet sale.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i w:val="1"/>
          <w:iCs w:val="1"/>
          <w:color w:val="auto"/>
        </w:rPr>
        <w:t xml:space="preserve">Handbags. </w:t>
      </w:r>
      <w:r>
        <w:rPr>
          <w:rFonts w:ascii="Arial" w:cs="Arial" w:eastAsia="Arial" w:hAnsi="Arial"/>
          <w:sz w:val="16"/>
          <w:szCs w:val="16"/>
          <w:color w:val="auto"/>
        </w:rPr>
        <w:t>Handbags are a core part of our product offerings and are the primary component of every seasonal assortment. The category consists of classic and</w:t>
      </w:r>
      <w:r>
        <w:rPr>
          <w:rFonts w:ascii="Arial" w:cs="Arial" w:eastAsia="Arial" w:hAnsi="Arial"/>
          <w:sz w:val="16"/>
          <w:szCs w:val="16"/>
          <w:i w:val="1"/>
          <w:iCs w:val="1"/>
          <w:color w:val="auto"/>
        </w:rPr>
        <w:t xml:space="preserve"> </w:t>
      </w:r>
      <w:r>
        <w:rPr>
          <w:rFonts w:ascii="Arial" w:cs="Arial" w:eastAsia="Arial" w:hAnsi="Arial"/>
          <w:sz w:val="16"/>
          <w:szCs w:val="16"/>
          <w:color w:val="auto"/>
        </w:rPr>
        <w:t>new styles developed by our product development team to meet consumer demand and drive repeat purchases. Our handbag product category extends beyond handbags to include totes and specialty bags such as crossbodies, baby bags, backpacks, and laptop portfolios. Handbags play a prominent role in our visual merchandising, and we focus on showcasing the different patterns, colors, and features of each bag.</w:t>
      </w:r>
    </w:p>
    <w:p>
      <w:pPr>
        <w:spacing w:after="0" w:line="11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color w:val="auto"/>
        </w:rPr>
        <w:t xml:space="preserve">Accessories. </w:t>
      </w:r>
      <w:r>
        <w:rPr>
          <w:rFonts w:ascii="Arial" w:cs="Arial" w:eastAsia="Arial" w:hAnsi="Arial"/>
          <w:sz w:val="16"/>
          <w:szCs w:val="16"/>
          <w:color w:val="auto"/>
        </w:rPr>
        <w:t>Accessories, our second largest revenue category, include technology accessories and fashion accessories such as wallets, wristlets, eyeglass cases,</w:t>
      </w:r>
      <w:r>
        <w:rPr>
          <w:rFonts w:ascii="Arial" w:cs="Arial" w:eastAsia="Arial" w:hAnsi="Arial"/>
          <w:sz w:val="16"/>
          <w:szCs w:val="16"/>
          <w:i w:val="1"/>
          <w:iCs w:val="1"/>
          <w:color w:val="auto"/>
        </w:rPr>
        <w:t xml:space="preserve"> </w:t>
      </w:r>
      <w:r>
        <w:rPr>
          <w:rFonts w:ascii="Arial" w:cs="Arial" w:eastAsia="Arial" w:hAnsi="Arial"/>
          <w:sz w:val="16"/>
          <w:szCs w:val="16"/>
          <w:color w:val="auto"/>
        </w:rPr>
        <w:t>cosmetics cases, paper and gift products. Our accessories are attractively priced and allow the consumer to include some color in her wardrobe, even if tucked into another bag. Our product development team consistently updates the accessories assortment based on consumer demand and fashion trends.</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Travel and Leisure Items. </w:t>
      </w:r>
      <w:r>
        <w:rPr>
          <w:rFonts w:ascii="Arial" w:cs="Arial" w:eastAsia="Arial" w:hAnsi="Arial"/>
          <w:sz w:val="16"/>
          <w:szCs w:val="16"/>
          <w:color w:val="auto"/>
        </w:rPr>
        <w:t>Our travel and leisure product category includes duffel bags, garment bags, rolling luggage, and travel accessories, such as travel</w:t>
      </w:r>
      <w:r>
        <w:rPr>
          <w:rFonts w:ascii="Arial" w:cs="Arial" w:eastAsia="Arial" w:hAnsi="Arial"/>
          <w:sz w:val="16"/>
          <w:szCs w:val="16"/>
          <w:i w:val="1"/>
          <w:iCs w:val="1"/>
          <w:color w:val="auto"/>
        </w:rPr>
        <w:t xml:space="preserve"> </w:t>
      </w:r>
      <w:r>
        <w:rPr>
          <w:rFonts w:ascii="Arial" w:cs="Arial" w:eastAsia="Arial" w:hAnsi="Arial"/>
          <w:sz w:val="16"/>
          <w:szCs w:val="16"/>
          <w:color w:val="auto"/>
        </w:rPr>
        <w:t>cosmetic cases. The first Vera Bradley product offering included duffel bags, which consistently have been a strong performer. We believe their popularity, as well as the appeal of our other travel and leisure items, results from our vibrant designs, functional styles, and lightweight fabrications.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implemented a fully integrated and cross-functional product development process that aligns design, market research, merchandise management, sales, marketing, and sourcing. Product development is a core capability that makes our products unique and provides us with a competitive advantage. Our designs and aesthetics set our products apart and drive customer loyalty. Our product development team mixes an understanding of the needs of our target customers with knowledge of upcoming color and fashion trends to design new collections as well as new product categories that will resonate in the market.</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typically begin the development stage of our products in the Vera Bradley portfolio 12 – 18 months in advance of their release. The development of each new pattern includes the design of an overall print, a complementary fabric backing, and three sizes of coordinating trim materials. To seek fresh perspectives, we collaborate with independent designers to create unique patterns for each season. We oversee the development and exercise the final approval of all patterns and designs. Once developed, we generally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 as well as opening a design center in Roanoke, Indiana.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United States, subscribing to trend monitoring services, and engaging in comparison-shopping.</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product development team is also responsible for assortment planning, pricing, forecasting, promotional development, and product lifecycle management. Forecasting is based on seasonal market research and in-store testing. We gather seasonal market research through a variety of methodologies, including scheduled interviews and online and in-person surveys. We conduct seasonal in-store testing by releasing test products in our full-price stores and evaluating their success in the marketplace prior to product introduction on a larger scale. The team assures that we offer a broad range of patterns, fabrics, styles, and functionality features in a cost-effective manner. We believe that with our cross-functional, collaborative approach, we are able to introduce and sell our merchandise in a way that clearly communicates the Vera Bradley brand and the Vera Bradley lifestyle.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believe that the growth of our brand and our business is influenced by our ability to introduce and sell our merchandise in a way that clearly conveys the Vera Bradley lifestyle. We use marketing as critical tools in our efforts to promote our brand.</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Direct Mail. </w:t>
      </w:r>
      <w:r>
        <w:rPr>
          <w:rFonts w:ascii="Arial" w:cs="Arial" w:eastAsia="Arial" w:hAnsi="Arial"/>
          <w:sz w:val="18"/>
          <w:szCs w:val="18"/>
          <w:color w:val="auto"/>
        </w:rPr>
        <w:t>The seasonal Vera Bradley catalogs are key vehicles for promoting the brand and product portfolio. Each catalog is sent to a targeted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mailing list. In addition to distributing the catalog, we produce and distribute a number of other marketing pieces, including postcards and mini-mailers. We believe our direct mail media generates excitement and awareness about the brand and seasonal introductions and allow us to reach both new and loyal customers in their homes.</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We employ print and outdoor advertising to increase overall brand awareness. Our advertisements are placed primarily in national magazines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a readership similar to our target demographics. These publications have recently included </w:t>
      </w:r>
      <w:r>
        <w:rPr>
          <w:rFonts w:ascii="Arial" w:cs="Arial" w:eastAsia="Arial" w:hAnsi="Arial"/>
          <w:sz w:val="18"/>
          <w:szCs w:val="18"/>
          <w:i w:val="1"/>
          <w:iCs w:val="1"/>
          <w:color w:val="auto"/>
        </w:rPr>
        <w:t>Seventeen, InStyle, Better Homes and Gardens,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Real Simple</w:t>
      </w:r>
      <w:r>
        <w:rPr>
          <w:rFonts w:ascii="Arial" w:cs="Arial" w:eastAsia="Arial" w:hAnsi="Arial"/>
          <w:sz w:val="18"/>
          <w:szCs w:val="18"/>
          <w:color w:val="auto"/>
        </w:rPr>
        <w:t>. We continually assess our advertising strategies and tactics.</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Public Relations and Product Placement. </w:t>
      </w:r>
      <w:r>
        <w:rPr>
          <w:rFonts w:ascii="Arial" w:cs="Arial" w:eastAsia="Arial" w:hAnsi="Arial"/>
          <w:sz w:val="16"/>
          <w:szCs w:val="16"/>
          <w:color w:val="auto"/>
        </w:rPr>
        <w:t>Vera Bradley has received considerable exposure in the press, including in publications such as</w:t>
      </w:r>
      <w:r>
        <w:rPr>
          <w:rFonts w:ascii="Arial" w:cs="Arial" w:eastAsia="Arial" w:hAnsi="Arial"/>
          <w:sz w:val="16"/>
          <w:szCs w:val="16"/>
          <w:i w:val="1"/>
          <w:iCs w:val="1"/>
          <w:color w:val="auto"/>
        </w:rPr>
        <w:t xml:space="preserve"> InStyle, O the Oprah Magazine, Good Housekeeping, Southern Living,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New York Times</w:t>
      </w:r>
      <w:r>
        <w:rPr>
          <w:rFonts w:ascii="Arial" w:cs="Arial" w:eastAsia="Arial" w:hAnsi="Arial"/>
          <w:sz w:val="16"/>
          <w:szCs w:val="16"/>
          <w:color w:val="auto"/>
        </w:rPr>
        <w:t>. In addition, we have expanded our marketing efforts to promote product placement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feature-length films and on prime-time television shows such as </w:t>
      </w:r>
      <w:r>
        <w:rPr>
          <w:rFonts w:ascii="Arial" w:cs="Arial" w:eastAsia="Arial" w:hAnsi="Arial"/>
          <w:sz w:val="16"/>
          <w:szCs w:val="16"/>
          <w:i w:val="1"/>
          <w:iCs w:val="1"/>
          <w:color w:val="auto"/>
        </w:rPr>
        <w:t>Modern Family</w:t>
      </w:r>
      <w:r>
        <w:rPr>
          <w:rFonts w:ascii="Arial" w:cs="Arial" w:eastAsia="Arial" w:hAnsi="Arial"/>
          <w:sz w:val="16"/>
          <w:szCs w:val="16"/>
          <w:color w:val="auto"/>
        </w:rPr>
        <w:t xml:space="preserve"> and </w:t>
      </w:r>
      <w:r>
        <w:rPr>
          <w:rFonts w:ascii="Arial" w:cs="Arial" w:eastAsia="Arial" w:hAnsi="Arial"/>
          <w:sz w:val="16"/>
          <w:szCs w:val="16"/>
          <w:i w:val="1"/>
          <w:iCs w:val="1"/>
          <w:color w:val="auto"/>
        </w:rPr>
        <w:t>New Girl</w:t>
      </w:r>
      <w:r>
        <w:rPr>
          <w:rFonts w:ascii="Arial" w:cs="Arial" w:eastAsia="Arial" w:hAnsi="Arial"/>
          <w:sz w:val="16"/>
          <w:szCs w:val="16"/>
          <w:color w:val="auto"/>
        </w:rPr>
        <w:t>.</w:t>
      </w:r>
    </w:p>
    <w:p>
      <w:pPr>
        <w:spacing w:after="0" w:line="10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Social Media and Online Marketing. </w:t>
      </w:r>
      <w:r>
        <w:rPr>
          <w:rFonts w:ascii="Arial" w:cs="Arial" w:eastAsia="Arial" w:hAnsi="Arial"/>
          <w:sz w:val="16"/>
          <w:szCs w:val="16"/>
          <w:color w:val="auto"/>
        </w:rPr>
        <w:t>In recent years, we have greatly increased traffic to verabradley.com and have increased awareness of our brand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online marketing and social networking sites. We have captured more than 2.0 million customer e-mail addresses in our online customer file, with many of these customers providing age, occupation, and location data. This captured information provides us with deeper insight into the products and categories that are in the highest demand, and allows us to better target our customers with appropriate messages. As of February 2, 2013, we had approximately 1.4 million Facebook fans, over 52 thousand Twitter followers, and over 3 million visits to our blog, </w:t>
      </w:r>
      <w:r>
        <w:rPr>
          <w:rFonts w:ascii="Arial" w:cs="Arial" w:eastAsia="Arial" w:hAnsi="Arial"/>
          <w:sz w:val="16"/>
          <w:szCs w:val="16"/>
          <w:i w:val="1"/>
          <w:iCs w:val="1"/>
          <w:color w:val="auto"/>
        </w:rPr>
        <w:t>The Inside Stitch</w:t>
      </w:r>
      <w:r>
        <w:rPr>
          <w:rFonts w:ascii="Arial" w:cs="Arial" w:eastAsia="Arial" w:hAnsi="Arial"/>
          <w:sz w:val="16"/>
          <w:szCs w:val="16"/>
          <w:color w:val="auto"/>
        </w:rPr>
        <w:t>. We believe these media not only connect us with our fans, but also allow us to target them through cross-channel marketing.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of Distribution</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distribute our products through our Direct and Indirect segments. This multi-channel distribution model not only enables us to have operational flexibility, but also maximizes the methods by which we can access potential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Segment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Full-Price Stores. </w:t>
      </w:r>
      <w:r>
        <w:rPr>
          <w:rFonts w:ascii="Arial" w:cs="Arial" w:eastAsia="Arial" w:hAnsi="Arial"/>
          <w:sz w:val="16"/>
          <w:szCs w:val="16"/>
          <w:color w:val="auto"/>
        </w:rPr>
        <w:t>We have developed a retail presence through our full-price stores, all located in the United States, which provides us with a format to showcase</w:t>
      </w:r>
      <w:r>
        <w:rPr>
          <w:rFonts w:ascii="Arial" w:cs="Arial" w:eastAsia="Arial" w:hAnsi="Arial"/>
          <w:sz w:val="16"/>
          <w:szCs w:val="16"/>
          <w:i w:val="1"/>
          <w:iCs w:val="1"/>
          <w:color w:val="auto"/>
        </w:rPr>
        <w:t xml:space="preserve"> </w:t>
      </w:r>
      <w:r>
        <w:rPr>
          <w:rFonts w:ascii="Arial" w:cs="Arial" w:eastAsia="Arial" w:hAnsi="Arial"/>
          <w:sz w:val="16"/>
          <w:szCs w:val="16"/>
          <w:color w:val="auto"/>
        </w:rPr>
        <w:t>the image and products of Vera Bradley. As of February 2, 2013, we operated 65 full-price stores. Our full-price stores average approximately 1,800 square feet per store. Our stores are designed to create a feeling of home with a high standard of visual merchandising. The welcoming nature of our full-price stores provides our customers with a comfortable shopping experience in a setting that showcases our merchandise and conveys the Vera Bradley lifestyle. Our sales associates are passionate about our products and customer service, which, we believe, translates into a superior shopping experience.</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In 2006, we began selling our products through the verabradley.com website. The objective of verabradley.com is to provide both a mechanism for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directly to consumers and a storefront where consumers can find the entire Vera Bradley collection. In fiscal 2013, we invested in upgrades to our website allowing for a more user friendly homepage, enabling us to ship to over 13 international countries, and enhancing the checkout experience. In fiscal 2013, we had over 61 million visits to verabradley.com.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Outlet Stores. </w:t>
      </w:r>
      <w:r>
        <w:rPr>
          <w:rFonts w:ascii="Arial" w:cs="Arial" w:eastAsia="Arial" w:hAnsi="Arial"/>
          <w:sz w:val="16"/>
          <w:szCs w:val="16"/>
          <w:color w:val="auto"/>
        </w:rPr>
        <w:t>Our outlet stores are a vehicle for selling retired merchandise at discounted prices, while maintaining brand integrity. We believe our outlet stores</w:t>
      </w:r>
      <w:r>
        <w:rPr>
          <w:rFonts w:ascii="Arial" w:cs="Arial" w:eastAsia="Arial" w:hAnsi="Arial"/>
          <w:sz w:val="16"/>
          <w:szCs w:val="16"/>
          <w:i w:val="1"/>
          <w:iCs w:val="1"/>
          <w:color w:val="auto"/>
        </w:rPr>
        <w:t xml:space="preserve"> </w:t>
      </w:r>
      <w:r>
        <w:rPr>
          <w:rFonts w:ascii="Arial" w:cs="Arial" w:eastAsia="Arial" w:hAnsi="Arial"/>
          <w:sz w:val="16"/>
          <w:szCs w:val="16"/>
          <w:color w:val="auto"/>
        </w:rPr>
        <w:t>are an integral part of our distribution strategy, as this format provides an additional channel of distribution for our products and enables us to better target value-oriented customers. Our outlet stores average approximately 3,000 square feet per store. As of February 2, 2013, we operated 11 outlet stores.</w:t>
      </w:r>
    </w:p>
    <w:p>
      <w:pPr>
        <w:spacing w:after="0" w:line="107"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i w:val="1"/>
          <w:iCs w:val="1"/>
          <w:color w:val="auto"/>
        </w:rPr>
        <w:t>International</w:t>
      </w:r>
      <w:r>
        <w:rPr>
          <w:rFonts w:ascii="Arial" w:cs="Arial" w:eastAsia="Arial" w:hAnsi="Arial"/>
          <w:sz w:val="15"/>
          <w:szCs w:val="15"/>
          <w:color w:val="auto"/>
        </w:rPr>
        <w:t>. We launched a marketing campaign to connect with the Japanese consumer on April 18, 2011. This campaign included seven temporary pop-up</w:t>
      </w:r>
      <w:r>
        <w:rPr>
          <w:rFonts w:ascii="Arial" w:cs="Arial" w:eastAsia="Arial" w:hAnsi="Arial"/>
          <w:sz w:val="15"/>
          <w:szCs w:val="15"/>
          <w:i w:val="1"/>
          <w:iCs w:val="1"/>
          <w:color w:val="auto"/>
        </w:rPr>
        <w:t xml:space="preserve"> </w:t>
      </w:r>
      <w:r>
        <w:rPr>
          <w:rFonts w:ascii="Arial" w:cs="Arial" w:eastAsia="Arial" w:hAnsi="Arial"/>
          <w:sz w:val="15"/>
          <w:szCs w:val="15"/>
          <w:color w:val="auto"/>
        </w:rPr>
        <w:t>stores in several department stores including Isetan Shinjuku and Marui Yurakucho located across Tokyo and Kyoto. The international channel includes the Japanese website verabradley.co.jp launched in fiscal 2012. During fiscal 2013, we increased our Japanese presence to a total of 15 department store locations.</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Annual Outlet Sale. </w:t>
      </w:r>
      <w:r>
        <w:rPr>
          <w:rFonts w:ascii="Arial" w:cs="Arial" w:eastAsia="Arial" w:hAnsi="Arial"/>
          <w:sz w:val="18"/>
          <w:szCs w:val="18"/>
          <w:color w:val="auto"/>
        </w:rPr>
        <w:t>Our annual outlet sale is held in the Allen County War Memorial Coliseum Exposition Center in Fort Wayne, Indiana. The annual outlet sale</w:t>
      </w:r>
      <w:r>
        <w:rPr>
          <w:rFonts w:ascii="Arial" w:cs="Arial" w:eastAsia="Arial" w:hAnsi="Arial"/>
          <w:sz w:val="18"/>
          <w:szCs w:val="18"/>
          <w:i w:val="1"/>
          <w:iCs w:val="1"/>
          <w:color w:val="auto"/>
        </w:rPr>
        <w:t xml:space="preserve"> </w:t>
      </w:r>
      <w:r>
        <w:rPr>
          <w:rFonts w:ascii="Arial" w:cs="Arial" w:eastAsia="Arial" w:hAnsi="Arial"/>
          <w:sz w:val="18"/>
          <w:szCs w:val="18"/>
          <w:color w:val="auto"/>
        </w:rPr>
        <w:t>is an important tradition for Vera Bradley, has many loyal followers, and is an opportunity for us to sell our retired merchandise at discounted prices in a brand-right fashion. We attracted more than 62,500 attendees to our 2012 annual outlet 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 Selection Strategy</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store location decisions are made case by case, depending on the retail strategy we have developed for the particular market. This includes actual and planned penetration in both Indirect and Direct segments, as well as existing e-commerce demand. At this time, we do not believe any market has been fully penetrated. We believe that expansion of our store base complements our Indirect segment by increasing brand awareness and reinforcing our brand image. In addition to analyzing store economics, we pay particular attention to the location within the shopping center, the size and shape of the space, and desirable co-tenancies. Along with seeking co-tenants that we believe share our target customer, we seek a balanced mix of moderate and high-end retailers to encourage high levels of traffic. Our target full-price store size is approximately 1,800 square feet, but we are able to work with spaces as small as 1,000 square feet or, depending on our market strategy and relevant economic factors, spaces as large as 2,800 square feet.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Operations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focus of our store operations is providing consumers with a comfortable shopping experience. We strive to make the 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 Our district and store managers are our primary link to the consumer, and we continually invest in their development.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Economics</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that our innovative retail concept and distinctive retail experience contribute to the success of our stores, most of which generate strong productivity and returns. We expect our full-price stores to average approximately 1,800 square feet per store, and we expect to invest approximately $0.4 million per new store, consisting of inventory costs, pre-opening costs, and build-out costs, less tenant-improvement allowances. New full-price stores generate on average between $1.2 million and $1.4 million in net revenues during the first twelve months, and the payback on our investment is expected to occur in less than 18 months.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Segment</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of February 2, 2013, we had approximately 3,400 Indirect retailer partners, the majority of which were specialty retailers with whom we have had long-standing relationships. No single account represented more than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5.0% of total Indirect net revenues in fiscal 2013, with the top ten accounts representing in the aggregate less than 16.0% of total Indirect net revenues. The majority of our Indirect retailers have been customers for over five years. In fiscal 2012, we launched our products in the department store channel.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Force</w:t>
      </w:r>
    </w:p>
    <w:p>
      <w:pPr>
        <w:spacing w:after="0" w:line="9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believe that having an in-house sales force results in more consistent brand presentation and messaging, enhanced support for our Indirect retailers, and a more predictable, scalable, and cost-efficient business model. As of February 2, 2013, our sales team consisted of 87 in-house, full-time sales consultants. The compensation structure for our sales consultants consists of a combination of fixed pay and sales-based incentives.</w:t>
      </w:r>
    </w:p>
    <w:p>
      <w:pPr>
        <w:spacing w:after="0" w:line="10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sales consultants also participate in our semi-annual product introduction and education event for our Indirect retailers.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 Model</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manufacturing and supply chain model is designed to maximize flexibility in order to meet shifting demands in the market. Our model utilizes offshore raw material suppliers and a blend of offshore and domestic manufacturing. We place a strong emphasis on continuous improvement and have employed lean manufacturing concepts. Our broad-based, multi-country manufacturing and supply chain model is designed to achieve efficient, timely, and accurate order fulfillment while maintaining appropriate levels of inventory.</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 We have also integrated our planning, forecasting, and segmentation processes under one function called Inventory Planning and Deployment. This integrated function along with the creation of a Merchant function, has allowed for further improvements to our inventory management processes.</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majority of our products are cotton-based. Our other products are made primarily from specialty fabrics (including nylon and microfiber) and paper. We source our materials from various suppliers in Asia, with the majority coming from China and South Korea. Our global supply chain and purchasing teams work together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December 2008, we opened an office in Dongguan, China, which enables us to increase our control over the manufacturing and supply chain process and monitor compliance with our quality standards.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significant majority of our finished goods products are manufactured externally overseas. These products are made by a variety of global manufacturers located primarily in China. We are not dependent upon any single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11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The remainder of our products are manufactured in the United States to provide flexibility in our supply chain. This production, almost all of which is internal to Vera Bradley, enables us to manufacture a finished product in two weeks. This capability allows us to manufacture finished product to respond quickly to shifts in marketplace demand and changes in consumer preferences. In fiscal 2013, approximately 7% of our units were produced in our domestic manufacturing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2007, we consolidated our warehousing and shipping functions into one, 217,320 square-foot distribution center, located in Roanoke, Indiana. In fiscal 2013, we completed a 200,000 square-foot expansion of the distribution facility. This highly automated, computerized facility allows Vera Bradley employees to receive information directly from the order-collection center and quickly identify the products and quantities necessary for a particular order. The recent expansion resulted in capacity gains in the areas of inbound receiving, inventory storage, order fulfillment, value-add processing and shipping.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strive to maintain the appropriate balance of inventory to enable us to provide a high level of service to our customers, including prompt and accurate delivery of our products. We have an active Inventory Planning and Deployment function that strives to balance the supply and demand issues that we encounter in our business, optimize our inventory levels, and anticipate inventory needs.</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products are shipped primarily via FedEx and common carriers to our stores, our Indirect retailers, and directly to our customers who purchase through our website. We believe we are positioned well to support the order fulfillment requirements of our growing business, including business generated through our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9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systems, including MICROS-Retail, SAP, JDA, and SCALE, for our information technology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independent retailers, department stores, catalog retailers, gift retailers, and Internet businesses that engage in the retail sale of similar products.</w:t>
      </w:r>
    </w:p>
    <w:p>
      <w:pPr>
        <w:spacing w:after="0" w:line="11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 such as Coach, Nine West, Liz Claiborne, Dooney &amp; Bourke, and Michael Kors.</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 and Trademarks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development of each new pattern includes the design of an overall print, a complementary fabric backing, and coordinating trim materials. Once developed, we generally copyright each pattern, including the print, fabric backing, and coordinating trim. We currently have in excess of 500 copyrights.</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also own all of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both domestically and internationally. We also pursue counterfeiters domestically and internationally through leads generated internally, as well as through external sources monitoring use in the market. Our trademarks will remain in existence for as long as we continue to use and renew them on their expiration dates. We have no material patents.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February 2, 2013, we had 2,438 employees. Of the total, 1,319 were engaged in retail selling positions, 361 were engaged in manufacturing functions, 32 were engaged in product design, and 491 were engaged in corporate support and administrative functions. The remaining employees were engaged in other aspects of our business. None of our employees is represented by a union. We believe that our relations with our employees are good, and we have never encountered a significant work stoppage.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subject to federal, state, local, and foreign laws and regulations governing environmental matters, including the handling, transportation, and disposal of our products and our non-hazardous and hazardous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tcPr>
          <w:p>
            <w:pPr>
              <w:spacing w:after="0"/>
              <w:rPr>
                <w:sz w:val="15"/>
                <w:szCs w:val="15"/>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Position(s)</w:t>
            </w:r>
          </w:p>
        </w:tc>
        <w:tc>
          <w:tcPr>
            <w:tcW w:w="5700" w:type="dxa"/>
            <w:vAlign w:val="bottom"/>
          </w:tcPr>
          <w:p>
            <w:pPr>
              <w:spacing w:after="0"/>
              <w:rPr>
                <w:sz w:val="15"/>
                <w:szCs w:val="15"/>
                <w:color w:val="auto"/>
              </w:rPr>
            </w:pPr>
          </w:p>
        </w:tc>
      </w:tr>
      <w:tr>
        <w:trPr>
          <w:trHeight w:val="195"/>
        </w:trPr>
        <w:tc>
          <w:tcPr>
            <w:tcW w:w="3840" w:type="dxa"/>
            <w:vAlign w:val="bottom"/>
            <w:gridSpan w:val="2"/>
          </w:tcPr>
          <w:p>
            <w:pPr>
              <w:spacing w:after="0" w:line="195" w:lineRule="exact"/>
              <w:rPr>
                <w:sz w:val="20"/>
                <w:szCs w:val="20"/>
                <w:color w:val="auto"/>
              </w:rPr>
            </w:pPr>
            <w:r>
              <w:rPr>
                <w:rFonts w:ascii="Arial" w:cs="Arial" w:eastAsia="Arial" w:hAnsi="Arial"/>
                <w:sz w:val="18"/>
                <w:szCs w:val="18"/>
                <w:color w:val="auto"/>
              </w:rPr>
              <w:t>Michael C. Ray</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w:t>
            </w:r>
          </w:p>
        </w:tc>
        <w:tc>
          <w:tcPr>
            <w:tcW w:w="300" w:type="dxa"/>
            <w:vAlign w:val="bottom"/>
          </w:tcPr>
          <w:p>
            <w:pPr>
              <w:spacing w:after="0"/>
              <w:rPr>
                <w:sz w:val="16"/>
                <w:szCs w:val="16"/>
                <w:color w:val="auto"/>
              </w:rPr>
            </w:pPr>
          </w:p>
        </w:tc>
        <w:tc>
          <w:tcPr>
            <w:tcW w:w="634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Barbara Bradley Baekgaard</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6340" w:type="dxa"/>
            <w:vAlign w:val="bottom"/>
            <w:gridSpan w:val="2"/>
          </w:tcPr>
          <w:p>
            <w:pPr>
              <w:spacing w:after="0"/>
              <w:rPr>
                <w:sz w:val="20"/>
                <w:szCs w:val="20"/>
                <w:color w:val="auto"/>
              </w:rPr>
            </w:pPr>
            <w:r>
              <w:rPr>
                <w:rFonts w:ascii="Arial" w:cs="Arial" w:eastAsia="Arial" w:hAnsi="Arial"/>
                <w:sz w:val="18"/>
                <w:szCs w:val="18"/>
                <w:color w:val="auto"/>
              </w:rPr>
              <w:t>Co-Founder, Chief Creative Officer, and Director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Kevin J. Sierks</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6340" w:type="dxa"/>
            <w:vAlign w:val="bottom"/>
            <w:gridSpan w:val="2"/>
          </w:tcPr>
          <w:p>
            <w:pPr>
              <w:spacing w:after="0"/>
              <w:rPr>
                <w:sz w:val="20"/>
                <w:szCs w:val="20"/>
                <w:color w:val="auto"/>
              </w:rPr>
            </w:pPr>
            <w:r>
              <w:rPr>
                <w:rFonts w:ascii="Arial" w:cs="Arial" w:eastAsia="Arial" w:hAnsi="Arial"/>
                <w:sz w:val="18"/>
                <w:szCs w:val="18"/>
                <w:color w:val="auto"/>
                <w:w w:val="90"/>
              </w:rPr>
              <w:t>Vice President – Controller, Chief Accounting Officer and Interim Chief Financial Officer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Kimberly F. Colby</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6340" w:type="dxa"/>
            <w:vAlign w:val="bottom"/>
            <w:gridSpan w:val="2"/>
          </w:tcPr>
          <w:p>
            <w:pPr>
              <w:spacing w:after="0"/>
              <w:rPr>
                <w:sz w:val="20"/>
                <w:szCs w:val="20"/>
                <w:color w:val="auto"/>
              </w:rPr>
            </w:pPr>
            <w:r>
              <w:rPr>
                <w:rFonts w:ascii="Arial" w:cs="Arial" w:eastAsia="Arial" w:hAnsi="Arial"/>
                <w:sz w:val="18"/>
                <w:szCs w:val="18"/>
                <w:color w:val="auto"/>
              </w:rPr>
              <w:t>Executive Vice President – Design</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 Roddy Mann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6340" w:type="dxa"/>
            <w:vAlign w:val="bottom"/>
            <w:gridSpan w:val="2"/>
          </w:tcPr>
          <w:p>
            <w:pPr>
              <w:spacing w:after="0"/>
              <w:rPr>
                <w:sz w:val="20"/>
                <w:szCs w:val="20"/>
                <w:color w:val="auto"/>
              </w:rPr>
            </w:pPr>
            <w:r>
              <w:rPr>
                <w:rFonts w:ascii="Arial" w:cs="Arial" w:eastAsia="Arial" w:hAnsi="Arial"/>
                <w:sz w:val="18"/>
                <w:szCs w:val="18"/>
                <w:color w:val="auto"/>
              </w:rPr>
              <w:t>Executive Vice President – Strategy &amp; Business Development</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Matthew C. Wojewuczki</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6340" w:type="dxa"/>
            <w:vAlign w:val="bottom"/>
            <w:gridSpan w:val="2"/>
          </w:tcPr>
          <w:p>
            <w:pPr>
              <w:spacing w:after="0"/>
              <w:rPr>
                <w:sz w:val="20"/>
                <w:szCs w:val="20"/>
                <w:color w:val="auto"/>
              </w:rPr>
            </w:pPr>
            <w:r>
              <w:rPr>
                <w:rFonts w:ascii="Arial" w:cs="Arial" w:eastAsia="Arial" w:hAnsi="Arial"/>
                <w:sz w:val="18"/>
                <w:szCs w:val="18"/>
                <w:color w:val="auto"/>
              </w:rPr>
              <w:t>Executive Vice President – Operations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Bonita J. Inza</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6340" w:type="dxa"/>
            <w:vAlign w:val="bottom"/>
            <w:gridSpan w:val="2"/>
          </w:tcPr>
          <w:p>
            <w:pPr>
              <w:spacing w:after="0"/>
              <w:rPr>
                <w:sz w:val="20"/>
                <w:szCs w:val="20"/>
                <w:color w:val="auto"/>
              </w:rPr>
            </w:pPr>
            <w:r>
              <w:rPr>
                <w:rFonts w:ascii="Arial" w:cs="Arial" w:eastAsia="Arial" w:hAnsi="Arial"/>
                <w:sz w:val="18"/>
                <w:szCs w:val="18"/>
                <w:color w:val="auto"/>
              </w:rPr>
              <w:t>Executive Vice President – Sale &amp; Marketing, Chief Experience Officer</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David O. Thompson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6340" w:type="dxa"/>
            <w:vAlign w:val="bottom"/>
            <w:gridSpan w:val="2"/>
          </w:tcPr>
          <w:p>
            <w:pPr>
              <w:spacing w:after="0"/>
              <w:rPr>
                <w:sz w:val="20"/>
                <w:szCs w:val="20"/>
                <w:color w:val="auto"/>
              </w:rPr>
            </w:pPr>
            <w:r>
              <w:rPr>
                <w:rFonts w:ascii="Arial" w:cs="Arial" w:eastAsia="Arial" w:hAnsi="Arial"/>
                <w:sz w:val="18"/>
                <w:szCs w:val="18"/>
                <w:color w:val="auto"/>
              </w:rPr>
              <w:t>Vice President – Direct Sales</w:t>
            </w: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Anastacia S. Knapper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6340" w:type="dxa"/>
            <w:vAlign w:val="bottom"/>
            <w:gridSpan w:val="2"/>
          </w:tcPr>
          <w:p>
            <w:pPr>
              <w:spacing w:after="0"/>
              <w:rPr>
                <w:sz w:val="20"/>
                <w:szCs w:val="20"/>
                <w:color w:val="auto"/>
              </w:rPr>
            </w:pPr>
            <w:r>
              <w:rPr>
                <w:rFonts w:ascii="Arial" w:cs="Arial" w:eastAsia="Arial" w:hAnsi="Arial"/>
                <w:sz w:val="18"/>
                <w:szCs w:val="18"/>
                <w:color w:val="auto"/>
              </w:rPr>
              <w:t>Vice President – General Counsel</w:t>
            </w:r>
          </w:p>
        </w:tc>
      </w:tr>
    </w:tbl>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Michael C. Ray </w:t>
      </w:r>
      <w:r>
        <w:rPr>
          <w:rFonts w:ascii="Arial" w:cs="Arial" w:eastAsia="Arial" w:hAnsi="Arial"/>
          <w:sz w:val="18"/>
          <w:szCs w:val="18"/>
          <w:color w:val="auto"/>
        </w:rPr>
        <w:t>has served as our Chief Executive Officer since 2007 and as a director since June 2010. From 2004 to 2007, Mr. Ray served as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Sales and Marketing. From 1999 to 2004, he served as our National Sales Director. Mr. Ray joined Vera Bradley in 1998 as Director of Finance and served us in that capacity until being promoted to National Sales Director in 1999. He is a board member of the Riley Children’s Foundation in Indianapolis, Indiana.</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Mr. Ray has been instrumental in our growth and the development and execution of our long-term strategic plans. He provides our board of directors with an in-depth knowledge of our products, industry, challenges, and opportunities, and he communicates management’s perspective on important matters.</w:t>
      </w:r>
    </w:p>
    <w:p>
      <w:pPr>
        <w:spacing w:after="0" w:line="8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i w:val="1"/>
          <w:iCs w:val="1"/>
          <w:color w:val="auto"/>
        </w:rPr>
        <w:t xml:space="preserve">Barbara Bradley Baekgaard </w:t>
      </w:r>
      <w:r>
        <w:rPr>
          <w:rFonts w:ascii="Arial" w:cs="Arial" w:eastAsia="Arial" w:hAnsi="Arial"/>
          <w:sz w:val="18"/>
          <w:szCs w:val="18"/>
          <w:color w:val="auto"/>
        </w:rPr>
        <w:t>co-founded Vera Bradley in 1982 and has served as a director since then. From 1982 through June 2010, 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board member of the Indiana University Cancer Center Development and the Vera Bradley Foundation for Breast Cancer.</w:t>
      </w:r>
    </w:p>
    <w:p>
      <w:pPr>
        <w:spacing w:after="0" w:line="143"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Kevin J. Sierks </w:t>
      </w:r>
      <w:r>
        <w:rPr>
          <w:rFonts w:ascii="Arial" w:cs="Arial" w:eastAsia="Arial" w:hAnsi="Arial"/>
          <w:sz w:val="18"/>
          <w:szCs w:val="18"/>
          <w:color w:val="auto"/>
        </w:rPr>
        <w:t>has served as our Interim Chief Financial Officer since January 2013 and our Vice President – Controller and Chief Accounting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2011. Prior to joining Vera Bradley, from 2007 to 2011 Mr. Sierks served as Vice President – Controller at Biomet, Inc., a large orthopedic medical device company. Mr. Sierks previously served as Director of Accounting and U.S. Shared Services at Boston Scientific Corporation from 2005 to 2007. From 2002 to 2005, Mr. Sierks served as Director of Financial Reporting and Business Development at Guidant Corporation, which was acquired by Boston Scientific Corporation in 2006. Formerly, Mr. Sierks was with Deloitte &amp; Touche from 1995 to 2002, departing as an Audit Manager. Mr. Sierks is a Certified Public Accountant.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i w:val="1"/>
          <w:iCs w:val="1"/>
          <w:color w:val="auto"/>
        </w:rPr>
        <w:t xml:space="preserve">Kimberly F. Colby </w:t>
      </w:r>
      <w:r>
        <w:rPr>
          <w:rFonts w:ascii="Arial" w:cs="Arial" w:eastAsia="Arial" w:hAnsi="Arial"/>
          <w:sz w:val="16"/>
          <w:szCs w:val="16"/>
          <w:color w:val="auto"/>
        </w:rPr>
        <w:t>has served as our Executive Vice President – Design since 2005. From 2003 through 2005, she served as our Vice President of Design. From</w:t>
      </w:r>
      <w:r>
        <w:rPr>
          <w:rFonts w:ascii="Arial" w:cs="Arial" w:eastAsia="Arial" w:hAnsi="Arial"/>
          <w:sz w:val="16"/>
          <w:szCs w:val="16"/>
          <w:i w:val="1"/>
          <w:iCs w:val="1"/>
          <w:color w:val="auto"/>
        </w:rPr>
        <w:t xml:space="preserve"> </w:t>
      </w:r>
      <w:r>
        <w:rPr>
          <w:rFonts w:ascii="Arial" w:cs="Arial" w:eastAsia="Arial" w:hAnsi="Arial"/>
          <w:sz w:val="16"/>
          <w:szCs w:val="16"/>
          <w:color w:val="auto"/>
        </w:rPr>
        <w:t>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 Roddy Mann </w:t>
      </w:r>
      <w:r>
        <w:rPr>
          <w:rFonts w:ascii="Arial" w:cs="Arial" w:eastAsia="Arial" w:hAnsi="Arial"/>
          <w:sz w:val="18"/>
          <w:szCs w:val="18"/>
          <w:color w:val="auto"/>
        </w:rPr>
        <w:t>has served as our Executive Vice President – Strategy and Business Development since April 2010 and is responsible for the development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 and new business opportunities in both our Indirect and Direct channels. From 2007 to April 2010, Mr. Mann served as our Vice President – Strategy, Sales and Marketing. From 2006 to 2007, he served as Vice President – Strategic Initiatives. Prior to joining Vera Bradley, Mr. Mann was a Vice President at LakeWest Group, a consulting firm based in Cleveland, Ohio, from 1999 to 2006. In 2006, in a consulting capacity, Mr. Mann assisted us with the development of our Direct retail store strategy and execution plans.</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Matthew C. Wojewuczki </w:t>
      </w:r>
      <w:r>
        <w:rPr>
          <w:rFonts w:ascii="Arial" w:cs="Arial" w:eastAsia="Arial" w:hAnsi="Arial"/>
          <w:sz w:val="16"/>
          <w:szCs w:val="16"/>
          <w:color w:val="auto"/>
        </w:rPr>
        <w:t>has served as our Executive Vice President – Operations since April 2010. From 2003 to April 2010, Mr. Wojewuczki served as our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 Operations. Prior to joining Vera Bradley, he served as Vice President of Manufacturing and Supply Chain Management of Wabash Alloys, a secondary aluminum producer, from 2000 to 2003. From 1997 to 2000, he served as a principal consultant in the Management Consulting Services Group of PricewaterhouseCoopers. In addition, Mr. Wojewuczki is a Commissioned Officer in the U.S. Air Force Reserves, where he holds the rank of Major.</w:t>
      </w:r>
    </w:p>
    <w:p>
      <w:pPr>
        <w:spacing w:after="0" w:line="113"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i w:val="1"/>
          <w:iCs w:val="1"/>
          <w:color w:val="auto"/>
        </w:rPr>
        <w:t xml:space="preserve">Bonita Inza </w:t>
      </w:r>
      <w:r>
        <w:rPr>
          <w:rFonts w:ascii="Arial" w:cs="Arial" w:eastAsia="Arial" w:hAnsi="Arial"/>
          <w:sz w:val="15"/>
          <w:szCs w:val="15"/>
          <w:color w:val="auto"/>
        </w:rPr>
        <w:t>has served as our Executive Vice President Sales &amp; Marketing - Chief Experience Officer since March 2013. Prior to joining Vera Bradley, Ms. Inza</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Senior Vice President of Associate and Customer Engagement at Bath &amp; Body Works from 2011 to 2012. From 2006 to 2011, Ms. Inza served on the senior management team at T-Mobile USA, where she held roles of Vice President of Retail, Vice President of Concept Development and Vice President Product Innovation, Design, and Delivery. Prior to T-Mobile, Ms. Inza served over 25 years in senior executive roles at Williams-Sonoma, Pottery Barn, and GUESS?.</w:t>
      </w:r>
    </w:p>
    <w:p>
      <w:pPr>
        <w:spacing w:after="0" w:line="98"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i w:val="1"/>
          <w:iCs w:val="1"/>
          <w:color w:val="auto"/>
        </w:rPr>
        <w:t xml:space="preserve">David O. Thompson </w:t>
      </w:r>
      <w:r>
        <w:rPr>
          <w:rFonts w:ascii="Arial" w:cs="Arial" w:eastAsia="Arial" w:hAnsi="Arial"/>
          <w:sz w:val="15"/>
          <w:szCs w:val="15"/>
          <w:color w:val="auto"/>
        </w:rPr>
        <w:t>has served as our Vice President – Direct Sales since 2008. Prior to joining Vera Bradley, Mr. Thompson was a Senior Consultant, Manager</w:t>
      </w:r>
      <w:r>
        <w:rPr>
          <w:rFonts w:ascii="Arial" w:cs="Arial" w:eastAsia="Arial" w:hAnsi="Arial"/>
          <w:sz w:val="15"/>
          <w:szCs w:val="15"/>
          <w:i w:val="1"/>
          <w:iCs w:val="1"/>
          <w:color w:val="auto"/>
        </w:rPr>
        <w:t xml:space="preserve"> </w:t>
      </w:r>
      <w:r>
        <w:rPr>
          <w:rFonts w:ascii="Arial" w:cs="Arial" w:eastAsia="Arial" w:hAnsi="Arial"/>
          <w:sz w:val="15"/>
          <w:szCs w:val="15"/>
          <w:color w:val="auto"/>
        </w:rPr>
        <w:t>and Vice President at LakeWest Group from 1998 to 2008. Prior to working at LakeWest Group, he served in various retail positions at OfficeMax, based in Cleveland, Ohio, and Bradless, based in Braintree, Massachusetts. With over 20 years of experience in the retail industry, Mr. Thompson has expertise in retail operations, web operations business process improvements and information technology in traditional retail, catalog and e-commerce channels.</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Anastacia S. Knapper </w:t>
      </w:r>
      <w:r>
        <w:rPr>
          <w:rFonts w:ascii="Arial" w:cs="Arial" w:eastAsia="Arial" w:hAnsi="Arial"/>
          <w:sz w:val="18"/>
          <w:szCs w:val="18"/>
          <w:color w:val="auto"/>
        </w:rPr>
        <w:t>has served as our Vice President – General Counsel, Corporate Secretary since December 2011. Prior to joining Vera Bradley, Ms. Knapper</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Vice President – General Counsel, Corporate Secretary for CTS Corporation from January 2011 to November 2011 and the Vice President – General Counsel, Corporate Secretary for Haynes International, Inc. from August 2006 to December 2010. Formerly Ms. Knapper was with Ice Miller LLP from August 2000 to August 2006, where she departed as a Senior Associate.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Our Annual Report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You should carefully consider all of the information in this report, particularly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successfully implement our growth strategies or manage our growing business, our future operating results could suffer.</w:t>
      </w:r>
    </w:p>
    <w:p>
      <w:pPr>
        <w:spacing w:after="0" w:line="113"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success of our growth strategies, alone or collectively, will depend on various factors, including the appeal of our product designs, retail presentation to consumers, competitive conditions, and economic conditions. If we are unsuccessful in implementing some or all of our strategies or initiatives, our future operating results could be adversely impacted.</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Successful implementation of our strategies will require us to manage our growth. To manage our growth effectively, we will need to continue to increase production while maintaining strict quality control. We also will need to continue to improve and invest in our systems and processes to keep pace with planned increases in demand. We could suffer a decline in sales if our products do not continue to meet our quality control standards or if we are unable to respond adequately to increases in customer demand for our products.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are continuing to invest in our specialty retailers to support them in growing along with Vera Bradley. This channel will continue to evolve over time as we balance the channel dynamics between the specialty retailers, department stores, our Direct stores, and e-commerce.</w:t>
      </w:r>
    </w:p>
    <w:p>
      <w:pPr>
        <w:spacing w:after="0" w:line="13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Additionally, our current growth strategy includes plans to expand internationally. We currently plan to open additional retail space in Japan. We do not yet have significant experience operating in Japan, and we face established competitors. Furthermore, Japan has different operational characteristics, including but not limited to employment and labor, transportation, logistics, real estate, and local reporting or legal requirements. In addition, consumer demand and behavior, as well as tastes and purchasing trends may differ in Japan, and as a result, sales of our product may not be successful, or the margins on those sales may not be in line with those we currently anticipate. If our international expansion plans are unsuccessful, our financial results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general economic conditions, and their impact on consumer confidence and consumer spending, could adversely impact our results of operations.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performance is subject to general economic conditions and their impact on levels of consumer confidence and consumer spending. In recent years, consumer confidence and consumer spending deteriorated significantly, influenced by fluctuating interest rates and credit availability, changing fuel and other energy costs, fluctuating commodity prices, higher levels of unemployment and consumer debt levels, reductions in net worth based on market declines, home foreclosures and reductions in home values, and general uncertainty regarding the overall future economic environment. Consumer purchases of discretionary items, including our merchandise, generally decline during periods when disposable income is adversely affected or there is economic uncertainty, and this could adversely impact our results of operations. In the event of another significant economic downturn, we could experience lower than expected net revenues, which could force us to delay or slow the implementation of our growth strategies and adversely impact our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to predict and respond in a timely manner to changes in consumer demand could adversely affect our net revenues and results of operations.</w:t>
      </w:r>
    </w:p>
    <w:p>
      <w:pPr>
        <w:spacing w:after="0" w:line="1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we may be faced with significant excess inventories for some products and missed opportunities for other products. Merchandise misjudgments could adversely impact our net revenues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open and operate new stores as planned, which could adversely impact our results of operations.</w:t>
      </w:r>
    </w:p>
    <w:p>
      <w:pPr>
        <w:spacing w:after="0" w:line="113"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Our continued growth will depend on our ability to successfully open and operate new stores. We plan to open approximately 20 new stores during each of the next five fiscal years. Our ability to successfully open and operate new stores depends on many factors, including our ability to:</w:t>
      </w:r>
    </w:p>
    <w:p>
      <w:pPr>
        <w:spacing w:after="0" w:line="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suitable store locations, the availability of which may be uncertain;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train, and retain store personnel and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assimilate new store personnel and management into our corporate culture;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and manufacture inventory;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success of new store openings may also be affected by our ability to initiate marketing efforts in advance of opening our first store in a particular region. Additionally, we will encounter pre-operating costs and we may encounter initial losses while new stores commence operations, which could strain our resources and adversely impact our results of operations.</w:t>
      </w:r>
    </w:p>
    <w:p>
      <w:pPr>
        <w:spacing w:after="0" w:line="22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business depends on a strong brand. If we are unable to maintain and enhance our brand, then we may be unable to sell our products, which could adversely impact our results of operations.</w:t>
      </w:r>
    </w:p>
    <w:p>
      <w:pPr>
        <w:spacing w:after="0" w:line="51"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believe that the brand image that we have developed has contributed significantly to the success of our business. We also believe that maintaining and enhancing the Vera Bradley brand is critical to maintaining and expanding our customer base. Maintaining and enhancing our brand may require us to make substantial investments in areas such as product design, store operations, and community relations. These investments might not succeed. If we are unable to maintain or enhance our brand image, our results of operations could be adversely impacted.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could suffer if we lose key management or design associates or are unable to attract and retain the talent required for our business.</w:t>
      </w:r>
    </w:p>
    <w:p>
      <w:pPr>
        <w:spacing w:after="0" w:line="1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We do not have employment agreements with any of our key executives or design associates. The unexpected loss of services of certain of these individuals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quarterly fluctuations, which could adversely affect the market price of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new store openings;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revenues and profits contributed by new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or decreases in comparable-store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shifts in the timing of holidays, particularly in the United States and China;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sales to Indirect retailers;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new pattern releases and new product introductions.</w:t>
      </w:r>
    </w:p>
    <w:p>
      <w:pPr>
        <w:spacing w:after="0" w:line="171"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As a result of these quarterly fluctuations, we believe that comparisons of our sales and operating results between different quarters within a single fiscal year are not necessarily meaningful and that these comparisons cannot be relied upon as indicators of our future performance. Any quarterly fluctuations that we report in the future may not match the expectations of market analysts and investors. This could cause the trading price of our common stock to fluctuate significantly.</w:t>
      </w:r>
    </w:p>
    <w:p>
      <w:pPr>
        <w:spacing w:after="0" w:line="16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dependent on information technology systems and networks, including the Internet, for a significant portion of our Direct store sales, including our e-commerce operations and retail business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 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Since we do not control third-party service providers and cannot guarantee that no electronic or physical computer break-ins and security breaches will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system to facilitate the processing of basic replenishment orders, the movement of goods through distribution channels, and the collection of information for planning and forecasting. In addition, we have e-commerce and other Internet websites in the U.S. and Japan.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sustain levels of comparable-store sales could cause our stock price to decline.</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may not be able to sustain the levels of comparable-store sales that we have experienced in the recent past. If our future comparable-store sales decline or fail to meet market expectations, then the price of our common stock could decline. Also, the aggregate results of operations of our stores have fluctuated in the past and will fluctuate in the future. Numerous factors influence comparable-store sales, including fashion trends, competition, national and regional economic conditions, pricing, inflation, the timing of the release of new merchandise and promotional events, changes in our merchandise mix, inventory shrinkage, marketing programs, changes in consumer shopping trends towards on-line shopping, and weather conditions. In addition, many companies with retail operations have been unable to sustain high levels of comparable-store sales during and after periods of substantial expansion. These factors may cause our comparable-store sales results to be lower in the future than in recent periods or lower than expectations, either of which could result in a decline in the price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do not own any real estate other than our distribution facility. We lease our corporate headquarters, our other offices, and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3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requiring that a substantial portion of our available cash be applied to pay our rental obligations, thus reducing cash available for other purposes;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industry;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competitive market. Our competitors might develop products more popular with consumers than our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handbags, accessories, and travel and leisure items is competitive. Our competitive challenges include: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consumer traffic;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sourcing and manufacturing merchandise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competitively pricing our products and achieving customer perception of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products to consumers in diverse market segments;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designs that appeal to a broad range of demographic and age segments;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high-quality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and maintaining good working relationships with our Indirect retailers.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224"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and labor practices.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rely on various suppliers to supply a significant majority of our raw materials. Disruption in the supply of raw materials could increase our cost of goods sold and adversely affect our net revenues.</w:t>
      </w:r>
    </w:p>
    <w:p>
      <w:pPr>
        <w:spacing w:after="0" w:line="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generally do not enter into long-term formal written agreements with our suppliers and typically transact business with each of them on an order-by-order basis. As a result, we cannot assure that there will be no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significant disruption in the supply of fabrics or raw materials from our current sources or, in the event of a disruption, that we would be able to locate alternative suppliers of materials of comparable quality at an acceptable price, or at all.</w:t>
      </w:r>
    </w:p>
    <w:p>
      <w:pPr>
        <w:spacing w:after="0" w:line="21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We rely on a single distribution facility for all of the products we sell. Disruption to that facility could adversely impact our results of operations, and expansion of that facility could have unpredictable adverse effects.</w:t>
      </w:r>
    </w:p>
    <w:p>
      <w:pPr>
        <w:spacing w:after="0" w:line="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our growth could require us to further expand our current facility, which could affect us adversely in ways that we cannot predict.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of raw materials could increase our cost of sales and cause our results of operations to suffer.</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global sourcing and manufacturing activities.</w:t>
      </w:r>
    </w:p>
    <w:p>
      <w:pPr>
        <w:spacing w:after="0" w:line="90"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rate fluctuations and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labor laws and other foreign governmental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U.S. import and export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or delays in shipments;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or impairment of key manufacturing sites;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quality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unrest;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natural disasters, acts of war and terrorism, changing macroeconomic trends, and other external factors over which we have no control.</w:t>
      </w:r>
    </w:p>
    <w:p>
      <w:pPr>
        <w:spacing w:after="0" w:line="19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accepted as ethical in the United States or in other markets in which we may in the future do business, could also draw negative publicity for us and our brand, diminishing the value of our brand and reducing demand for our products.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unionization, work stoppages, slowdowns or increased labor costs.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Currently, none of our employees is represented by a union. Nevertheless, our employees have the right at any time under the National Labor Relations Act to organize or affiliate with a union. If some or all of our workforce were to become unionized, our business would be exposed to work stoppages and slowdowns as a unionized business. If, in addition, the terms of the collective bargaining agreement were significantly more favorable to union workers than our current pay-and-benefits arrangements, our costs would increase and our results of operations would suffer.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independent transportation providers for substantially all of our product shipments.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and employee strikes and inclement weather, which may impact the shipping company’s ability to provide delivery services sufficient to meet our shipping needs.</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facility and related systems.</w:t>
      </w:r>
    </w:p>
    <w:p>
      <w:pPr>
        <w:spacing w:after="0" w:line="22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business relies on cash provided by operating activities as our primary source of liquidity. To support our growing business and execute our growth strategies, we will need significant amounts of cash from that source. If our business does not generate cash flow from operating activities sufficient to fund these activities, and if sufficient funds are not otherwise available to us from our existing revolving credit facility, we will need to seek additional capital, through debt or equity financings, to fund our growth. If new sources of financing are required, but are insufficient or unavailable, then we will be required to modify our growth and operating plans based on available funding, if any, which would inhibit our growth and could harm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various risks as an e-commerce retailer.</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Business risks relating to e-commerce sales include the need to keep pace with rapid technological change, internet security risks, risks of system failure or inadequacy, governmental regulation, and taxation. We have contracted with several different companies to maintain and operate various aspects of our e-commerce business and are reliant on them and their ability to perform their tasks, as well as their operational, privacy, and security procedures and controls as they affect our business. If the independent contractors on which we rely fail to perform their tasks, we could incur liability or suffer damages to our reputation, or both.</w:t>
      </w:r>
    </w:p>
    <w:p>
      <w:pPr>
        <w:spacing w:after="0" w:line="22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Our copyrights, trademarks and other proprietary rights could conflict with the rights of others, and we may be inhibited from selling some of our products. If we are unable to protect our copyrights and other proprietary rights, others may sell imitation brand products.</w:t>
      </w:r>
    </w:p>
    <w:p>
      <w:pPr>
        <w:spacing w:after="0" w:line="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Prior to the completion of the Reorganization, we were treated as an “S” Corporation under Subchapter S of the Internal Revenue Code, and claims of taxing authorities related to our prior status as an “S” Corporation could harm us.</w:t>
      </w:r>
    </w:p>
    <w:p>
      <w:pPr>
        <w:spacing w:after="0" w:line="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Upon the completion of the Reorganization in fiscal 2011, our “S” Corporation status terminated automatically and we became subject to increased federal and state income taxes. If the unaudited, open tax years in which we were an “S” Corporation are audited by the Internal Revenue Service, and we are determined not to have qualified for, or to have violated, our “S” Corporation status, we will be obligated to pay back taxes, interest, and penalties, and we do not have the right to reclaim tax distributions we have made to our shareholders during those periods. These amounts could include taxes on all of our taxable income while we were an “S” Corporation. Any such claims could result in additional costs to us and could have a material adverse effect on our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tax obligations and effective tax rate may result in volatility of our operating results and stock price.</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indebtedness incurred in connection with the Reorganization may decrease business flexibility and increase borrowing costs.</w:t>
      </w:r>
    </w:p>
    <w:p>
      <w:pPr>
        <w:spacing w:after="0" w:line="1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On October 4, 2010, we entered into an amended and restated credit agreement that increased our available credit from $75 million to $125 million. Also in October 2010, in connection with the Reorganization, we increased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outstanding borrowings under our amended and restated credit agreement to fund a final “S” Corporation distribution to our then-shareholders. As of February 2, 2013, we had outstanding borrowings of $15.0 million under our amended and restated credit agreement, compared to $25.0 million outstanding under our former credit facility as of January 28, 2012. Our indebtedness could have the effect, among other things, of:</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reducing the availability of cash flow from operations to fund working capital, capital expenditures and other general corporate purposes;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adapt to changes in our business and the industry in which we operate;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companies that have less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Indirect business could suffer as a result of bankruptcies or operational or financial difficulties of our Indirect retailers.</w:t>
      </w:r>
    </w:p>
    <w:p>
      <w:pPr>
        <w:spacing w:after="0" w:line="90"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sell our Indirect merchandise primarily to specialty retail stores across the United States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22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growing company with expanding operations, 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could adversely affect the Company’s business.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2010, Congress enacted comprehensive health care reform legislation which, among other things, includes guaranteed coverage requirements, eliminates pre-existing condition exclusions and annual and lifetime maximum limits, restricts the extent to which policies can be rescinded, and imposes new and significant taxes on health insurers and health care benefits. Due to the breadth and complexity of the health reform legislation, the current lack of implementing regulations and interpretive guidance, and the phased-in nature of the implementation, it is difficult to predict the overall effect of the legislation and related regulations on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business over the coming years. Possible adverse effects of the health reform legislation include increased costs, exposure to expanded liability and requirements for the Company to revise ways in which it conducts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control, including:</w:t>
      </w:r>
    </w:p>
    <w:p>
      <w:pPr>
        <w:spacing w:after="0" w:line="11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other shopping mall or lifestyle center tenants;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conditions, particularly during the holiday shopping period;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projections that we may choose to provide to the public, any changes in these projections or our failure for any reason to meet these projections;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others, including our filings with the SEC and announcements relating to litigation;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speculation about our business in the press or the investment community;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sales of our common stock by our significant shareholders, officers and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These and other factors may result in a lower market price of our common stock, regardless of our actual operating performance. As a result, our common stock may trade at prices significantly below the offering price.</w:t>
      </w:r>
    </w:p>
    <w:p>
      <w:pPr>
        <w:spacing w:after="0" w:line="13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24"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Because a limited number of shareholders control a large percentage of the voting power of our common stock, investors may have limited ability to determine the outcome of shareholder votes.</w:t>
      </w:r>
    </w:p>
    <w:p>
      <w:pPr>
        <w:spacing w:after="0" w:line="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Michael Ray, Robert Hall, Barbara Bradley Baekgaard, Joan Hall (Mr. Hall’s wife and Ms. Bradley Baekgaard’s daughter), Patricia R. Miller and P. Michael Miller, directly or indirectly, beneficially own and have the ability to exercise voting control over, in the aggregate, 43.6% of our outstanding shares of common stock.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From time to time, we release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these data is to provide a basis for our management to discuss our business outlook with analysts and investors. We do not accept any responsibility for any projections or reports published by any such persons.</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farther in the future that the data are forecast. In light of the foregoing, investors are urged to put the guidance in context and not to place undue reliance on it.</w:t>
      </w:r>
    </w:p>
    <w:p>
      <w:pPr>
        <w:spacing w:after="0" w:line="2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serving staggered three-year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and additional shares of our common stock without shareholder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our shareholders from calling a special meeting of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prohibiting our shareholders from amending our amended and restated bylaws;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advance notice for raising business matters or nominating directors at shareholders’ meetings.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sets forth the location, use, and size of our manufacturing, distribution, and corporate facilities as of February 2, 2013. The leases on the leased properties expire at various times through 2015, subject to renewal options.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4180" w:type="dxa"/>
            <w:vAlign w:val="bottom"/>
          </w:tcPr>
          <w:p>
            <w:pPr>
              <w:spacing w:after="0"/>
              <w:rPr>
                <w:sz w:val="15"/>
                <w:szCs w:val="15"/>
                <w:color w:val="auto"/>
              </w:rPr>
            </w:pPr>
          </w:p>
        </w:tc>
        <w:tc>
          <w:tcPr>
            <w:tcW w:w="3020" w:type="dxa"/>
            <w:vAlign w:val="bottom"/>
            <w:gridSpan w:val="2"/>
          </w:tcPr>
          <w:p>
            <w:pPr>
              <w:ind w:left="720"/>
              <w:spacing w:after="0"/>
              <w:rPr>
                <w:sz w:val="20"/>
                <w:szCs w:val="20"/>
                <w:color w:val="auto"/>
              </w:rPr>
            </w:pPr>
            <w:r>
              <w:rPr>
                <w:rFonts w:ascii="Arial" w:cs="Arial" w:eastAsia="Arial" w:hAnsi="Arial"/>
                <w:sz w:val="14"/>
                <w:szCs w:val="14"/>
                <w:b w:val="1"/>
                <w:bCs w:val="1"/>
                <w:color w:val="auto"/>
              </w:rPr>
              <w:t>Primary Use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Square Footage</w:t>
            </w:r>
          </w:p>
        </w:tc>
        <w:tc>
          <w:tcPr>
            <w:tcW w:w="460" w:type="dxa"/>
            <w:vAlign w:val="bottom"/>
          </w:tcPr>
          <w:p>
            <w:pPr>
              <w:spacing w:after="0"/>
              <w:rPr>
                <w:sz w:val="15"/>
                <w:szCs w:val="15"/>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w w:val="85"/>
              </w:rPr>
              <w:t>Leased /Owned</w:t>
            </w: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Fort Wayne, Indiana</w:t>
            </w:r>
          </w:p>
        </w:tc>
        <w:tc>
          <w:tcPr>
            <w:tcW w:w="2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Corporate headquarters</w:t>
            </w:r>
          </w:p>
        </w:tc>
        <w:tc>
          <w:tcPr>
            <w:tcW w:w="8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27,287</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Leased*</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Roanoke, Indiana</w:t>
            </w:r>
          </w:p>
        </w:tc>
        <w:tc>
          <w:tcPr>
            <w:tcW w:w="3020" w:type="dxa"/>
            <w:vAlign w:val="bottom"/>
            <w:gridSpan w:val="2"/>
          </w:tcPr>
          <w:p>
            <w:pPr>
              <w:spacing w:after="0"/>
              <w:rPr>
                <w:sz w:val="20"/>
                <w:szCs w:val="20"/>
                <w:color w:val="auto"/>
              </w:rPr>
            </w:pPr>
            <w:r>
              <w:rPr>
                <w:rFonts w:ascii="Arial" w:cs="Arial" w:eastAsia="Arial" w:hAnsi="Arial"/>
                <w:sz w:val="18"/>
                <w:szCs w:val="18"/>
                <w:color w:val="auto"/>
              </w:rPr>
              <w:t>Design center and showroom</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39,247</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Leased**</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Roanoke, Indiana</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Warehouse and distribution</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418,500</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Owned***</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Fort Wayne, Indiana</w:t>
            </w:r>
          </w:p>
        </w:tc>
        <w:tc>
          <w:tcPr>
            <w:tcW w:w="3020" w:type="dxa"/>
            <w:vAlign w:val="bottom"/>
            <w:gridSpan w:val="2"/>
          </w:tcPr>
          <w:p>
            <w:pPr>
              <w:spacing w:after="0"/>
              <w:rPr>
                <w:sz w:val="20"/>
                <w:szCs w:val="20"/>
                <w:color w:val="auto"/>
              </w:rPr>
            </w:pPr>
            <w:r>
              <w:rPr>
                <w:rFonts w:ascii="Arial" w:cs="Arial" w:eastAsia="Arial" w:hAnsi="Arial"/>
                <w:sz w:val="18"/>
                <w:szCs w:val="18"/>
                <w:color w:val="auto"/>
              </w:rPr>
              <w:t>Support staff</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66,886</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Leased</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Wayne, Indiana</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Sewing and quilting</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125,356</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Leased</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New York, New York</w:t>
            </w:r>
          </w:p>
        </w:tc>
        <w:tc>
          <w:tcPr>
            <w:tcW w:w="3020" w:type="dxa"/>
            <w:vAlign w:val="bottom"/>
            <w:gridSpan w:val="2"/>
          </w:tcPr>
          <w:p>
            <w:pPr>
              <w:spacing w:after="0"/>
              <w:rPr>
                <w:sz w:val="20"/>
                <w:szCs w:val="20"/>
                <w:color w:val="auto"/>
              </w:rPr>
            </w:pPr>
            <w:r>
              <w:rPr>
                <w:rFonts w:ascii="Arial" w:cs="Arial" w:eastAsia="Arial" w:hAnsi="Arial"/>
                <w:sz w:val="18"/>
                <w:szCs w:val="18"/>
                <w:color w:val="auto"/>
              </w:rPr>
              <w:t>Product design and showroom</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2,505</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Leased</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Dongguan City, China</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office</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6,962</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Leased</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Atlanta, Georgia</w:t>
            </w:r>
          </w:p>
        </w:tc>
        <w:tc>
          <w:tcPr>
            <w:tcW w:w="3020" w:type="dxa"/>
            <w:vAlign w:val="bottom"/>
            <w:gridSpan w:val="2"/>
          </w:tcPr>
          <w:p>
            <w:pPr>
              <w:spacing w:after="0"/>
              <w:rPr>
                <w:sz w:val="20"/>
                <w:szCs w:val="20"/>
                <w:color w:val="auto"/>
              </w:rPr>
            </w:pPr>
            <w:r>
              <w:rPr>
                <w:rFonts w:ascii="Arial" w:cs="Arial" w:eastAsia="Arial" w:hAnsi="Arial"/>
                <w:sz w:val="18"/>
                <w:szCs w:val="18"/>
                <w:color w:val="auto"/>
              </w:rPr>
              <w:t>Showroom</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5,172</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Leased</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Dallas, Texas</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Showroom</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1,782</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53"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property is owned by Milburn, LLC, a leasing company in which Barbara Bradley Baekgaard owns a 50% interest and Patricia R. Miller and P. Michael Miller each own a 25% interest. See Item 13, “Certain Relationships and Related Transactions, and Director Independence,” of this report for additional information regarding this property.</w:t>
      </w:r>
    </w:p>
    <w:p>
      <w:pPr>
        <w:ind w:left="460" w:right="74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March 2011, we entered into a lease with Great Dane Realty, LLC, a company owned by Barbara Bradley Baekgaard. See Item 13, “Certain Relationships and Related Transactions, and Director Independence,” of this report for additional information regarding this property.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200,000 square-foot expansion of the distribution facility was completed in fiscal 2013.</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February 2, 2013, we also leased 90 store locations in the United States, including 14 store locations opened or to be opened in fiscal 2014. See below for more information regarding the locations of our open stores as of February 2, 2013.</w:t>
      </w:r>
    </w:p>
    <w:p>
      <w:pPr>
        <w:spacing w:after="0" w:line="13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consider these properties to be in good condition generally and believe that our facilities are adequate for our operations and provide sufficient capacity to meet our anticipated requirements. The properties in the above table are used by both the Direct segment and Indirect segment, excluding the two showrooms which are used exclusively by the Indirect segment.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full-price stores are located primarily in high-traffic regional malls, lifestyle centers, and mixed-use shopping centers across the United States. The following table shows the number of full-price and outlet stores we operated in each state as of February 2,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Total Number</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of</w:t>
            </w: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7"/>
              </w:rPr>
              <w:t>State</w:t>
            </w:r>
          </w:p>
        </w:tc>
        <w:tc>
          <w:tcPr>
            <w:tcW w:w="3220" w:type="dxa"/>
            <w:vAlign w:val="bottom"/>
            <w:vMerge w:val="restart"/>
          </w:tcPr>
          <w:p>
            <w:pPr>
              <w:spacing w:after="0"/>
              <w:rPr>
                <w:sz w:val="12"/>
                <w:szCs w:val="12"/>
                <w:color w:val="auto"/>
              </w:rPr>
            </w:pPr>
          </w:p>
        </w:tc>
        <w:tc>
          <w:tcPr>
            <w:tcW w:w="16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Full-</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Full-</w:t>
            </w:r>
          </w:p>
        </w:tc>
        <w:tc>
          <w:tcPr>
            <w:tcW w:w="8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0" w:type="dxa"/>
            <w:vAlign w:val="bottom"/>
          </w:tcPr>
          <w:p>
            <w:pPr>
              <w:spacing w:after="0"/>
              <w:rPr>
                <w:sz w:val="1"/>
                <w:szCs w:val="1"/>
                <w:color w:val="auto"/>
              </w:rPr>
            </w:pPr>
          </w:p>
        </w:tc>
      </w:tr>
      <w:tr>
        <w:trPr>
          <w:trHeight w:val="168"/>
        </w:trPr>
        <w:tc>
          <w:tcPr>
            <w:tcW w:w="32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164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3"/>
              </w:rPr>
              <w:t>Price Stores</w:t>
            </w:r>
          </w:p>
        </w:tc>
        <w:tc>
          <w:tcPr>
            <w:tcW w:w="960" w:type="dxa"/>
            <w:vAlign w:val="bottom"/>
          </w:tcPr>
          <w:p>
            <w:pPr>
              <w:ind w:left="100"/>
              <w:spacing w:after="0" w:line="148" w:lineRule="exact"/>
              <w:rPr>
                <w:sz w:val="20"/>
                <w:szCs w:val="20"/>
                <w:color w:val="auto"/>
              </w:rPr>
            </w:pPr>
            <w:r>
              <w:rPr>
                <w:rFonts w:ascii="Arial" w:cs="Arial" w:eastAsia="Arial" w:hAnsi="Arial"/>
                <w:sz w:val="14"/>
                <w:szCs w:val="14"/>
                <w:b w:val="1"/>
                <w:bCs w:val="1"/>
                <w:color w:val="auto"/>
                <w:w w:val="95"/>
              </w:rPr>
              <w:t>Outlet Stores</w:t>
            </w:r>
          </w:p>
        </w:tc>
        <w:tc>
          <w:tcPr>
            <w:tcW w:w="800" w:type="dxa"/>
            <w:vAlign w:val="bottom"/>
          </w:tcPr>
          <w:p>
            <w:pPr>
              <w:spacing w:after="0"/>
              <w:rPr>
                <w:sz w:val="14"/>
                <w:szCs w:val="14"/>
                <w:color w:val="auto"/>
              </w:rPr>
            </w:pPr>
          </w:p>
        </w:tc>
        <w:tc>
          <w:tcPr>
            <w:tcW w:w="1760" w:type="dxa"/>
            <w:vAlign w:val="bottom"/>
            <w:gridSpan w:val="2"/>
          </w:tcPr>
          <w:p>
            <w:pPr>
              <w:ind w:left="380"/>
              <w:spacing w:after="0" w:line="148" w:lineRule="exact"/>
              <w:rPr>
                <w:sz w:val="20"/>
                <w:szCs w:val="20"/>
                <w:color w:val="auto"/>
              </w:rPr>
            </w:pPr>
            <w:r>
              <w:rPr>
                <w:rFonts w:ascii="Arial" w:cs="Arial" w:eastAsia="Arial" w:hAnsi="Arial"/>
                <w:sz w:val="14"/>
                <w:szCs w:val="14"/>
                <w:b w:val="1"/>
                <w:bCs w:val="1"/>
                <w:color w:val="auto"/>
              </w:rPr>
              <w:t>State</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Price Stores</w:t>
            </w:r>
          </w:p>
        </w:tc>
        <w:tc>
          <w:tcPr>
            <w:tcW w:w="800" w:type="dxa"/>
            <w:vAlign w:val="bottom"/>
          </w:tcPr>
          <w:p>
            <w:pPr>
              <w:spacing w:after="0"/>
              <w:rPr>
                <w:sz w:val="14"/>
                <w:szCs w:val="14"/>
                <w:color w:val="auto"/>
              </w:rPr>
            </w:pP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Outlet Stores</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Alabama</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8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Michigan</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8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Minnesota</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Missouri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New Jersey</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Connecticut</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New York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North Carolina</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Ohio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Oklahoma</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Pennsylvania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Rhode Island</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Tennessee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Texas</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Virginia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3</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Washington</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56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Wisconsin</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60" w:type="dxa"/>
            <w:vAlign w:val="bottom"/>
            <w:gridSpan w:val="3"/>
          </w:tcPr>
          <w:p>
            <w:pPr>
              <w:ind w:left="800"/>
              <w:spacing w:after="0"/>
              <w:rPr>
                <w:sz w:val="20"/>
                <w:szCs w:val="20"/>
                <w:color w:val="auto"/>
              </w:rPr>
            </w:pPr>
            <w:r>
              <w:rPr>
                <w:rFonts w:ascii="Arial" w:cs="Arial" w:eastAsia="Arial" w:hAnsi="Arial"/>
                <w:sz w:val="18"/>
                <w:szCs w:val="18"/>
                <w:color w:val="auto"/>
              </w:rPr>
              <w:t>Totals</w:t>
            </w: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We lease all of our stores. Initial lease terms for our stores are approximately 10 years in duration without renewal options. The leases generally provide for a fixed minimum rental plus contingent rent, which is determined as a percentage of gross sales in excess of specified levels.</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may be involved from time to time, as a plaintiff or a defendant, in various routine legal proceedings incident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common stock has been listed on the NASDAQ Global Select Market under the symbol “VRA” since our initial public offering on October 21, 2010. The following table sets forth the high and low sales prices of our common stock, as reported by the NASDAQ Global Select Market, for each quarterly period in our two most recent fiscal years: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2013 Quarter ended:</w:t>
            </w:r>
          </w:p>
        </w:tc>
        <w:tc>
          <w:tcPr>
            <w:tcW w:w="2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February 2, 2013</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$30.25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October 27, 2012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July 28, 2012</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26.38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April 28, 2012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Fiscal 2012 Quarter ended:</w:t>
            </w:r>
          </w:p>
        </w:tc>
        <w:tc>
          <w:tcPr>
            <w:tcW w:w="2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January 28, 2012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October 29, 2011</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45.91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July 30, 2011</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shd w:val="clear" w:color="auto" w:fill="CCEEFF"/>
          </w:tcPr>
          <w:p>
            <w:pPr>
              <w:spacing w:after="0"/>
              <w:rPr>
                <w:sz w:val="18"/>
                <w:szCs w:val="18"/>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April 30, 2011</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49.75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March 22, 2013, we had approximately 29 registered shareholders of record. The number of shareholders of record is based upon the actual number of shareholders registered at such date and does not include holders of shares in “street names” or persons, partnerships, associations, corporations, or other entities identified in security position listings maintained by depositories.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Prior to our initial public offering, as an “S” Corporation, we distributed annually to our shareholders amounts sufficient to cover their tax liabilities, due to the income that flowed through the shareholders’ tax returns. Additional amounts were distributed from time to time to our shareholders at the discretion of the board of directors. During fiscal 2011, we paid distributions of $132.8 million to our shareholders, which included a final distribution (resulting from the termination of our “S” Corporation status) of 100% of our undistributed taxable income from the date of our formation through October 2,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equity securities authorized for issuance under our equity compensation plans as of February 2,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Securities to Be</w:t>
            </w: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6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4"/>
              </w:rPr>
              <w:t>Issued upon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0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the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0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840" w:type="dxa"/>
            <w:vAlign w:val="bottom"/>
          </w:tcPr>
          <w:p>
            <w:pPr>
              <w:spacing w:after="0"/>
              <w:rPr>
                <w:sz w:val="12"/>
                <w:szCs w:val="12"/>
                <w:color w:val="auto"/>
              </w:rPr>
            </w:pPr>
          </w:p>
        </w:tc>
        <w:tc>
          <w:tcPr>
            <w:tcW w:w="20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00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Reflected in Column</w:t>
            </w:r>
          </w:p>
        </w:tc>
        <w:tc>
          <w:tcPr>
            <w:tcW w:w="0" w:type="dxa"/>
            <w:vAlign w:val="bottom"/>
          </w:tcPr>
          <w:p>
            <w:pPr>
              <w:spacing w:after="0"/>
              <w:rPr>
                <w:sz w:val="1"/>
                <w:szCs w:val="1"/>
                <w:color w:val="auto"/>
              </w:rPr>
            </w:pPr>
          </w:p>
        </w:tc>
      </w:tr>
      <w:tr>
        <w:trPr>
          <w:trHeight w:val="148"/>
        </w:trPr>
        <w:tc>
          <w:tcPr>
            <w:tcW w:w="49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206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7"/>
              </w:rPr>
              <w:t>and Rights (a)</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 xml:space="preserve">and Rights (b)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000" w:type="dxa"/>
            <w:vAlign w:val="bottom"/>
          </w:tcPr>
          <w:p>
            <w:pPr>
              <w:spacing w:after="0"/>
              <w:rPr>
                <w:sz w:val="12"/>
                <w:szCs w:val="12"/>
                <w:color w:val="auto"/>
              </w:rPr>
            </w:pPr>
          </w:p>
        </w:tc>
        <w:tc>
          <w:tcPr>
            <w:tcW w:w="15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(a)) (c)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1"/>
                <w:szCs w:val="11"/>
                <w:color w:val="auto"/>
              </w:rPr>
              <w:t>(1)</w:t>
            </w: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223,621</w:t>
            </w:r>
          </w:p>
        </w:tc>
        <w:tc>
          <w:tcPr>
            <w:tcW w:w="980" w:type="dxa"/>
            <w:vAlign w:val="bottom"/>
            <w:shd w:val="clear" w:color="auto" w:fill="CCEEFF"/>
          </w:tcPr>
          <w:p>
            <w:pPr>
              <w:spacing w:after="0"/>
              <w:rPr>
                <w:sz w:val="17"/>
                <w:szCs w:val="17"/>
                <w:color w:val="auto"/>
              </w:rPr>
            </w:pPr>
          </w:p>
        </w:tc>
        <w:tc>
          <w:tcPr>
            <w:tcW w:w="1080" w:type="dxa"/>
            <w:vAlign w:val="bottom"/>
            <w:shd w:val="clear" w:color="auto" w:fill="CCEEFF"/>
          </w:tcPr>
          <w:p>
            <w:pPr>
              <w:ind w:left="82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5,771,076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840" w:type="dxa"/>
            <w:vAlign w:val="bottom"/>
          </w:tcPr>
          <w:p>
            <w:pPr>
              <w:spacing w:after="0"/>
              <w:rPr>
                <w:sz w:val="19"/>
                <w:szCs w:val="19"/>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40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223,621</w:t>
            </w:r>
          </w:p>
        </w:tc>
        <w:tc>
          <w:tcPr>
            <w:tcW w:w="9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20" w:type="dxa"/>
            <w:vAlign w:val="bottom"/>
            <w:gridSpan w:val="2"/>
          </w:tcPr>
          <w:p>
            <w:pPr>
              <w:jc w:val="right"/>
              <w:ind w:right="986"/>
              <w:spacing w:after="0"/>
              <w:rPr>
                <w:sz w:val="20"/>
                <w:szCs w:val="20"/>
                <w:color w:val="auto"/>
              </w:rPr>
            </w:pPr>
            <w:r>
              <w:rPr>
                <w:rFonts w:ascii="Arial" w:cs="Arial" w:eastAsia="Arial" w:hAnsi="Arial"/>
                <w:sz w:val="18"/>
                <w:szCs w:val="18"/>
                <w:color w:val="auto"/>
              </w:rPr>
              <w:t>30</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Approved before our initial public offering.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graph set forth below compares the cumulative shareholder return on our common stock between October 21, 2010 (the date of our initial public offering), and January 28, 2012, to the cumulative return of (i) the S&amp;P 500 Index and (ii) the S&amp;P 500 Apparel, Accessories, and Luxury Goods Index over the same period. This graph assumes an initial investment of $100 on October 21, 2010, in our common stock, the S&amp;P 500 Index, and the S&amp;P 500 Apparel, Accessories, and Luxury Goods Index and assumes the reinvestment of dividends, if any. The graph also assumes that the initial price of our common stock on October 21, 2010, was the initial public offering price of $16.00 per share and that the initial prices of the S&amp;P 500 Index and the S&amp;P 500 Apparel, Accessories, and Luxury Goods Index on October 21, 2010, were the closing prices on the previous trading day.</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comparisons shown in the graph below are based on historical data. We caution that the stock price performance presented in the graph below is not necessarily indicative of, or is it intended to forecast, the potential future performance of our common stock. Information used in the graph was obtained from The NASDAQ Stock Market website, but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98425</wp:posOffset>
            </wp:positionV>
            <wp:extent cx="5162550" cy="258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6255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Company/Market/Peer Group</w:t>
            </w:r>
          </w:p>
        </w:tc>
        <w:tc>
          <w:tcPr>
            <w:tcW w:w="2960" w:type="dxa"/>
            <w:vAlign w:val="bottom"/>
          </w:tcPr>
          <w:p>
            <w:pPr>
              <w:spacing w:after="0"/>
              <w:rPr>
                <w:sz w:val="15"/>
                <w:szCs w:val="15"/>
                <w:color w:val="auto"/>
              </w:rPr>
            </w:pPr>
          </w:p>
        </w:tc>
        <w:tc>
          <w:tcPr>
            <w:tcW w:w="35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10/21/2010</w:t>
            </w:r>
          </w:p>
        </w:tc>
        <w:tc>
          <w:tcPr>
            <w:tcW w:w="4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1/29/2011</w:t>
            </w:r>
          </w:p>
        </w:tc>
        <w:tc>
          <w:tcPr>
            <w:tcW w:w="4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1/28/2012</w:t>
            </w:r>
          </w:p>
        </w:tc>
        <w:tc>
          <w:tcPr>
            <w:tcW w:w="1000" w:type="dxa"/>
            <w:vAlign w:val="bottom"/>
            <w:gridSpan w:val="2"/>
          </w:tcPr>
          <w:p>
            <w:pPr>
              <w:jc w:val="center"/>
              <w:ind w:left="339"/>
              <w:spacing w:after="0"/>
              <w:rPr>
                <w:sz w:val="20"/>
                <w:szCs w:val="20"/>
                <w:color w:val="auto"/>
              </w:rPr>
            </w:pPr>
            <w:r>
              <w:rPr>
                <w:rFonts w:ascii="Arial" w:cs="Arial" w:eastAsia="Arial" w:hAnsi="Arial"/>
                <w:sz w:val="14"/>
                <w:szCs w:val="14"/>
                <w:b w:val="1"/>
                <w:bCs w:val="1"/>
                <w:color w:val="auto"/>
                <w:w w:val="86"/>
              </w:rPr>
              <w:t>2/02/2013</w:t>
            </w:r>
          </w:p>
        </w:tc>
        <w:tc>
          <w:tcPr>
            <w:tcW w:w="100" w:type="dxa"/>
            <w:vAlign w:val="bottom"/>
          </w:tcPr>
          <w:p>
            <w:pPr>
              <w:spacing w:after="0"/>
              <w:rPr>
                <w:sz w:val="15"/>
                <w:szCs w:val="15"/>
                <w:color w:val="auto"/>
              </w:rPr>
            </w:pPr>
          </w:p>
        </w:tc>
      </w:tr>
      <w:tr>
        <w:trPr>
          <w:trHeight w:val="203"/>
        </w:trPr>
        <w:tc>
          <w:tcPr>
            <w:tcW w:w="48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Vera Bradley, Inc.</w:t>
            </w:r>
          </w:p>
        </w:tc>
        <w:tc>
          <w:tcPr>
            <w:tcW w:w="28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$ 100.00</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$211.56</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$214.56</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$161.25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0"/>
              </w:rPr>
              <w:t>S&amp;P 500</w:t>
            </w: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Index</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$ 100.00</w:t>
            </w:r>
          </w:p>
        </w:tc>
        <w:tc>
          <w:tcPr>
            <w:tcW w:w="4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$108.89</w:t>
            </w:r>
          </w:p>
        </w:tc>
        <w:tc>
          <w:tcPr>
            <w:tcW w:w="4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$114.69</w:t>
            </w:r>
          </w:p>
        </w:tc>
        <w:tc>
          <w:tcPr>
            <w:tcW w:w="1000" w:type="dxa"/>
            <w:vAlign w:val="bottom"/>
            <w:gridSpan w:val="2"/>
          </w:tcPr>
          <w:p>
            <w:pPr>
              <w:jc w:val="center"/>
              <w:ind w:left="339"/>
              <w:spacing w:after="0"/>
              <w:rPr>
                <w:sz w:val="20"/>
                <w:szCs w:val="20"/>
                <w:color w:val="auto"/>
              </w:rPr>
            </w:pPr>
            <w:r>
              <w:rPr>
                <w:rFonts w:ascii="Arial" w:cs="Arial" w:eastAsia="Arial" w:hAnsi="Arial"/>
                <w:sz w:val="18"/>
                <w:szCs w:val="18"/>
                <w:color w:val="auto"/>
                <w:w w:val="89"/>
              </w:rPr>
              <w:t>$134.89</w:t>
            </w: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0"/>
              </w:rPr>
              <w:t>S&amp;P 500</w:t>
            </w:r>
          </w:p>
        </w:tc>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Apparel, Accessories, and Luxury Goods Index</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$110.58</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$157.90</w:t>
            </w:r>
          </w:p>
        </w:tc>
        <w:tc>
          <w:tcPr>
            <w:tcW w:w="100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color w:val="auto"/>
                <w:w w:val="89"/>
              </w:rPr>
              <w:t>$146.75</w:t>
            </w:r>
          </w:p>
        </w:tc>
        <w:tc>
          <w:tcPr>
            <w:tcW w:w="100" w:type="dxa"/>
            <w:vAlign w:val="bottom"/>
            <w:shd w:val="clear" w:color="auto" w:fill="CCEEFF"/>
          </w:tcPr>
          <w:p>
            <w:pPr>
              <w:spacing w:after="0"/>
              <w:rPr>
                <w:sz w:val="18"/>
                <w:szCs w:val="18"/>
                <w:color w:val="auto"/>
              </w:rPr>
            </w:pPr>
          </w:p>
        </w:tc>
      </w:tr>
      <w:tr>
        <w:trPr>
          <w:trHeight w:val="363"/>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80" w:type="dxa"/>
            <w:vAlign w:val="bottom"/>
          </w:tcPr>
          <w:p>
            <w:pPr>
              <w:jc w:val="right"/>
              <w:ind w:right="1817"/>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following tables present selected consolidated financial and other data as of and for the years indicated. The selected income statement data for the most recent three fiscal years presented and the selected balance sheet data for the fiscal years ended February 2, 2013, and January 28, 2012, are derived from our audited consolidated financial statements included in Item 8 of this report. The selected income statement data for the fiscal years ended January 30, 2010, and January 31, 2009, and selected balance sheet data for the fiscal years ended January 29, 2011, January 30, 2010, and January 31, 2009, are derived from our audited consolidated financial statements that are not included elsewhere in this report.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 in thousands, except per share data and as otherwise</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2"/>
              </w:rPr>
              <w:t xml:space="preserve">Fiscal Year Ended </w:t>
            </w:r>
            <w:r>
              <w:rPr>
                <w:rFonts w:ascii="Arial" w:cs="Arial" w:eastAsia="Arial" w:hAnsi="Arial"/>
                <w:sz w:val="22"/>
                <w:szCs w:val="22"/>
                <w:b w:val="1"/>
                <w:bCs w:val="1"/>
                <w:color w:val="auto"/>
                <w:w w:val="92"/>
                <w:vertAlign w:val="superscript"/>
              </w:rPr>
              <w:t>(1)</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5160" w:type="dxa"/>
            <w:vAlign w:val="bottom"/>
            <w:gridSpan w:val="2"/>
            <w:vMerge w:val="continue"/>
          </w:tcPr>
          <w:p>
            <w:pPr>
              <w:spacing w:after="0"/>
              <w:rPr>
                <w:sz w:val="11"/>
                <w:szCs w:val="11"/>
                <w:color w:val="auto"/>
              </w:rPr>
            </w:pPr>
          </w:p>
        </w:tc>
        <w:tc>
          <w:tcPr>
            <w:tcW w:w="13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96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360" w:type="dxa"/>
            <w:vAlign w:val="bottom"/>
          </w:tcPr>
          <w:p>
            <w:pPr>
              <w:spacing w:after="0"/>
              <w:rPr>
                <w:sz w:val="11"/>
                <w:szCs w:val="11"/>
                <w:color w:val="auto"/>
              </w:rPr>
            </w:pPr>
          </w:p>
        </w:tc>
        <w:tc>
          <w:tcPr>
            <w:tcW w:w="116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1"/>
                <w:szCs w:val="11"/>
                <w:color w:val="auto"/>
              </w:rPr>
            </w:pPr>
          </w:p>
        </w:tc>
        <w:tc>
          <w:tcPr>
            <w:tcW w:w="11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January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indicated)</w:t>
            </w:r>
          </w:p>
        </w:tc>
        <w:tc>
          <w:tcPr>
            <w:tcW w:w="100" w:type="dxa"/>
            <w:vAlign w:val="bottom"/>
          </w:tcPr>
          <w:p>
            <w:pPr>
              <w:spacing w:after="0"/>
              <w:rPr>
                <w:sz w:val="14"/>
                <w:szCs w:val="14"/>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3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Income Data:</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revenues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2"/>
              </w:rPr>
              <w:t>$ 541,148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8"/>
                <w:szCs w:val="18"/>
                <w:color w:val="auto"/>
                <w:w w:val="82"/>
              </w:rPr>
              <w:t>$ 460,843</w:t>
            </w:r>
          </w:p>
        </w:tc>
        <w:tc>
          <w:tcPr>
            <w:tcW w:w="140" w:type="dxa"/>
            <w:vAlign w:val="bottom"/>
          </w:tcPr>
          <w:p>
            <w:pPr>
              <w:spacing w:after="0"/>
              <w:rPr>
                <w:sz w:val="18"/>
                <w:szCs w:val="18"/>
                <w:color w:val="auto"/>
              </w:rPr>
            </w:pP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$ 366,057</w:t>
            </w:r>
          </w:p>
        </w:tc>
        <w:tc>
          <w:tcPr>
            <w:tcW w:w="3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$ 288,940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$ 238,577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232,867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203,220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156,910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137,803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115,473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308,281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257,623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209,147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151,137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8"/>
                <w:szCs w:val="18"/>
                <w:color w:val="auto"/>
              </w:rPr>
              <w:t>123,104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204,412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169,427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163,053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116,168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109,195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6,277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7,975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13,282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110,146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96,171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53,319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109,467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95,024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51,694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1"/>
                <w:szCs w:val="11"/>
                <w:color w:val="auto"/>
              </w:rPr>
              <w:t>(2)</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40,597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37,103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68,870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Basic weighted-average shares outstanding </w:t>
            </w:r>
            <w:r>
              <w:rPr>
                <w:rFonts w:ascii="Arial" w:cs="Arial" w:eastAsia="Arial" w:hAnsi="Arial"/>
                <w:sz w:val="11"/>
                <w:szCs w:val="11"/>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40,536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40,507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36,813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35,441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Diluted weighted-average shares outstanding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40,571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40,542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36,851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Basic net income per share </w:t>
            </w:r>
            <w:r>
              <w:rPr>
                <w:rFonts w:ascii="Arial" w:cs="Arial" w:eastAsia="Arial" w:hAnsi="Arial"/>
                <w:sz w:val="11"/>
                <w:szCs w:val="11"/>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Diluted net income per share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Revenues by Segment: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$ 292,564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2"/>
              </w:rPr>
              <w:t>$ 225,287</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$ 151,118</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96,111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71,123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Indirect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248,584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235,556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214,939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192,829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167,454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$ 541,148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2"/>
              </w:rPr>
              <w:t>$ 460,843</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$ 366,057</w:t>
            </w:r>
          </w:p>
        </w:tc>
        <w:tc>
          <w:tcPr>
            <w:tcW w:w="3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$ 288,940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$ 238,577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stores open at end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Comparable-store sales increase </w:t>
            </w:r>
            <w:r>
              <w:rPr>
                <w:rFonts w:ascii="Arial" w:cs="Arial" w:eastAsia="Arial" w:hAnsi="Arial"/>
                <w:sz w:val="11"/>
                <w:szCs w:val="11"/>
                <w:color w:val="auto"/>
              </w:rPr>
              <w:t>(5)</w:t>
            </w:r>
          </w:p>
        </w:tc>
        <w:tc>
          <w:tcPr>
            <w:tcW w:w="100" w:type="dxa"/>
            <w:vAlign w:val="bottom"/>
          </w:tcPr>
          <w:p>
            <w:pPr>
              <w:spacing w:after="0"/>
              <w:rPr>
                <w:sz w:val="18"/>
                <w:szCs w:val="18"/>
                <w:color w:val="auto"/>
              </w:rPr>
            </w:pPr>
          </w:p>
        </w:tc>
        <w:tc>
          <w:tcPr>
            <w:tcW w:w="1240" w:type="dxa"/>
            <w:vAlign w:val="bottom"/>
            <w:gridSpan w:val="4"/>
          </w:tcPr>
          <w:p>
            <w:pPr>
              <w:jc w:val="right"/>
              <w:ind w:right="5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gross square footage at end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156,310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113,504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74,426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11"/>
                <w:szCs w:val="11"/>
                <w:color w:val="auto"/>
              </w:rPr>
              <w:t>(6)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19"/>
                <w:szCs w:val="19"/>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851</w:t>
            </w:r>
          </w:p>
        </w:tc>
        <w:tc>
          <w:tcPr>
            <w:tcW w:w="32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90"/>
              </w:rPr>
              <w:t>February 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8"/>
              </w:rPr>
              <w:t>January 28,</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January 29,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January 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100" w:type="dxa"/>
            <w:vAlign w:val="bottom"/>
          </w:tcPr>
          <w:p>
            <w:pPr>
              <w:spacing w:after="0"/>
              <w:rPr>
                <w:sz w:val="14"/>
                <w:szCs w:val="14"/>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240" w:type="dxa"/>
            <w:vAlign w:val="bottom"/>
            <w:gridSpan w:val="4"/>
          </w:tcPr>
          <w:p>
            <w:pPr>
              <w:jc w:val="right"/>
              <w:ind w:right="520"/>
              <w:spacing w:after="0"/>
              <w:rPr>
                <w:sz w:val="20"/>
                <w:szCs w:val="20"/>
                <w:color w:val="auto"/>
              </w:rPr>
            </w:pPr>
            <w:r>
              <w:rPr>
                <w:rFonts w:ascii="Arial" w:cs="Arial" w:eastAsia="Arial" w:hAnsi="Arial"/>
                <w:sz w:val="18"/>
                <w:szCs w:val="18"/>
                <w:color w:val="auto"/>
                <w:w w:val="99"/>
              </w:rPr>
              <w:t>$   9,603</w:t>
            </w:r>
          </w:p>
        </w:tc>
        <w:tc>
          <w:tcPr>
            <w:tcW w:w="10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   4,922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w w:val="93"/>
              </w:rPr>
              <w:t>$  13,953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6"/>
              </w:rPr>
              <w:t>$   6,509</w:t>
            </w:r>
          </w:p>
        </w:tc>
        <w:tc>
          <w:tcPr>
            <w:tcW w:w="300" w:type="dxa"/>
            <w:vAlign w:val="bottom"/>
          </w:tcPr>
          <w:p>
            <w:pPr>
              <w:spacing w:after="0"/>
              <w:rPr>
                <w:sz w:val="18"/>
                <w:szCs w:val="18"/>
                <w:color w:val="auto"/>
              </w:rPr>
            </w:pPr>
          </w:p>
        </w:tc>
        <w:tc>
          <w:tcPr>
            <w:tcW w:w="440" w:type="dxa"/>
            <w:vAlign w:val="bottom"/>
            <w:gridSpan w:val="3"/>
          </w:tcPr>
          <w:p>
            <w:pPr>
              <w:ind w:left="36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145,641</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106,234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91,919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240" w:type="dxa"/>
            <w:vAlign w:val="bottom"/>
            <w:gridSpan w:val="4"/>
          </w:tcPr>
          <w:p>
            <w:pPr>
              <w:jc w:val="right"/>
              <w:ind w:right="520"/>
              <w:spacing w:after="0"/>
              <w:rPr>
                <w:sz w:val="20"/>
                <w:szCs w:val="20"/>
                <w:color w:val="auto"/>
              </w:rPr>
            </w:pPr>
            <w:r>
              <w:rPr>
                <w:rFonts w:ascii="Arial" w:cs="Arial" w:eastAsia="Arial" w:hAnsi="Arial"/>
                <w:sz w:val="18"/>
                <w:szCs w:val="18"/>
                <w:color w:val="auto"/>
              </w:rPr>
              <w:t>198,340</w:t>
            </w:r>
          </w:p>
        </w:tc>
        <w:tc>
          <w:tcPr>
            <w:tcW w:w="10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219,513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206,039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153,752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149,931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15,095</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25,184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67,017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30,136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9"/>
                <w:szCs w:val="19"/>
                <w:color w:val="auto"/>
              </w:rPr>
            </w:pPr>
          </w:p>
        </w:tc>
        <w:tc>
          <w:tcPr>
            <w:tcW w:w="1240" w:type="dxa"/>
            <w:vAlign w:val="bottom"/>
            <w:gridSpan w:val="4"/>
          </w:tcPr>
          <w:p>
            <w:pPr>
              <w:jc w:val="right"/>
              <w:ind w:right="520"/>
              <w:spacing w:after="0"/>
              <w:rPr>
                <w:sz w:val="20"/>
                <w:szCs w:val="20"/>
                <w:color w:val="auto"/>
              </w:rPr>
            </w:pPr>
            <w:r>
              <w:rPr>
                <w:rFonts w:ascii="Arial" w:cs="Arial" w:eastAsia="Arial" w:hAnsi="Arial"/>
                <w:sz w:val="18"/>
                <w:szCs w:val="18"/>
                <w:color w:val="auto"/>
              </w:rPr>
              <w:t>194,255</w:t>
            </w:r>
          </w:p>
        </w:tc>
        <w:tc>
          <w:tcPr>
            <w:tcW w:w="100" w:type="dxa"/>
            <w:vAlign w:val="bottom"/>
          </w:tcPr>
          <w:p>
            <w:pPr>
              <w:spacing w:after="0"/>
              <w:rPr>
                <w:sz w:val="19"/>
                <w:szCs w:val="19"/>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124,007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8"/>
                <w:szCs w:val="18"/>
                <w:color w:val="auto"/>
              </w:rPr>
              <w:t>64,322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77,893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40" w:hanging="452"/>
        <w:spacing w:after="0" w:line="284"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utilizes a 52-53 week fiscal year end. In January 2008, we changed our fiscal year end from December 31 to the Saturday closest to January 31. As a result of this change, fiscal 2009 included activity for more than 52 weeks. This was a one-time occurrence and did not have a material effect on our results of operations. Fiscal 2013 consisted of 53 weeks. Fiscals 2012, 2011 and 2010 consisted of 52 weeks.</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October 3, 2010, we converted from an “S” Corporation to a “C” Corporation for income-tax purposes. For additional information, see Note 6 to the Consolidated Financial Statements included in this report.</w:t>
      </w: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October 18, 2010, we effectuated a 35.437-for-1 stock split of all outstanding shares of our common stock. We have changed all historical share and per share information to reflect this stock split.</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full-price and outlet stores. Our first full-price store opened in September 2007 and our first outlet store opened in November 2009.</w:t>
      </w:r>
    </w:p>
    <w:p>
      <w:pPr>
        <w:spacing w:after="0" w:line="32"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 Calculation excludes e-commerce sales and sales for the 53</w:t>
      </w:r>
      <w:r>
        <w:rPr>
          <w:rFonts w:ascii="Arial" w:cs="Arial" w:eastAsia="Arial" w:hAnsi="Arial"/>
          <w:sz w:val="10"/>
          <w:szCs w:val="10"/>
          <w:color w:val="auto"/>
        </w:rPr>
        <w:t>rd</w:t>
      </w:r>
      <w:r>
        <w:rPr>
          <w:rFonts w:ascii="Arial" w:cs="Arial" w:eastAsia="Arial" w:hAnsi="Arial"/>
          <w:sz w:val="16"/>
          <w:szCs w:val="16"/>
          <w:color w:val="auto"/>
        </w:rPr>
        <w:t xml:space="preserve"> week in fiscal 2013.</w:t>
      </w:r>
    </w:p>
    <w:p>
      <w:pPr>
        <w:spacing w:after="0" w:line="2"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Strategic Progress</w:t>
      </w:r>
    </w:p>
    <w:p>
      <w:pPr>
        <w:spacing w:after="0" w:line="9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successfully opened 20 new full-price and outlet stores during the year in both current and underpenetrated markets.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continued to build on our positive momentum at Dillard’s and are now in all 284 locations, as of the launch of the Spring assortment in the fourth quarter.</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Nearly 62 million people visited VeraBradley.com, a 45% increase over the prior year. We consistently rank among the top in number of annual website visits compared to our most closely related peer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adjusted our release cadence to better align with when our customer shops.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November, we completed the expansion of our distribution center, doubling the capacity to 400,000 square feet to better serve our customer base.</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contributed approximately $1 million to the Vera Bradley Foundation supporting breast cancer research.</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August event at the iconic Stage at Isetan Shinjuku location in Tokyo further demonstrated that our customer base in Japan enjoys the brand and product in a similar way as in the U.S.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Highlights</w:t>
      </w:r>
    </w:p>
    <w:p>
      <w:pPr>
        <w:spacing w:after="0" w:line="9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revenues increased 17.4% to $541.1 million in fiscal 2013 compared to $460.8 million in fiscal 2012.</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Direct segment sales increased 29.9% to $292.6 million in fiscal 2013 compared to $225.3 million in fiscal 2012. Comparable store net sales for fiscal 2013 increased 3.4%.</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Indirect segment sales increased 5.5% to $248.6 million in fiscal 2013 compared to $235.6 million in fiscal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Gross profit was $308.3 million (57.0% of net revenue) in fiscal 2013 compared to $257.6 million (55.9% of net revenue) in fiscal 2012.</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expenses were $204.4 million (37.8% of net revenue) in fiscal 2013 compared to $169.4 million (36.8% of net revenue) in fiscal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income was $110.1 million (20.4% of net revenue) in fiscal 2013 compared to $96.2 million (20.9% of net revenue) in fiscal 2012.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was $68.9 million in fiscal 2013 compared to $57.9 million in fiscal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Diluted net income per share increased 18.9% to $1.70 in fiscal 2013 from $1.43 in fiscal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cash equivalents were $9.6 million at February 2, 2013.</w:t>
      </w:r>
    </w:p>
    <w:p>
      <w:pPr>
        <w:spacing w:after="0" w:line="9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Cash generated from operations was $51.5 million in fiscal 2013 and was used to fund capital expenditures of $35.9 million and pay down debt by $10 million in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Net revenues reflect revenues from the sale of our merchandise and from distribution and shipping and handling fees, less returns and discounts. Revenues for the Direct segment reflect sales through our full-price and outlet stores, department store locations in Japan, our websites, verabradley.com and verabradley.co.jp, and our annual outlet sale in Fort Wayne, Indiana. Revenues for the Indirect segment reflect sales to Indirect specialty retailers and department stores.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 Comparable store sales do not include e-commerce sales.</w:t>
      </w:r>
    </w:p>
    <w:p>
      <w:pPr>
        <w:spacing w:after="0" w:line="3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and commodity prices such as cotton, and labor in Asia.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Prior to October 3, 2010, we were taxed as an “S” Corporation for federal income tax purposes under Section 1362 of the Internal Revenue Code, and therefore were not subject to federal and state income taxes (subject to exception in a limited number of state and local jurisdictions that do not recognize the “S” Corporation status). On October 3, 2010, our “S” Corporation status automatically terminated and we became subject to corporate-level federal and state income taxes at prevailing corporate rates.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last three fiscal years, both in dollars and as a percentage of our net revenues.</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utilizes a 52-53 week fiscal year ending on the Saturday closest to January 31. As such, fiscal year 2013 ended on February 2, 2013 and reflected a 53-week period; fiscal years 2012 and 2011 ended on January 28, 2012, and January 29, 2011, respectively and reflected 52-week periods. The inclusion of the 53</w:t>
      </w:r>
      <w:r>
        <w:rPr>
          <w:rFonts w:ascii="Arial" w:cs="Arial" w:eastAsia="Arial" w:hAnsi="Arial"/>
          <w:sz w:val="10"/>
          <w:szCs w:val="10"/>
          <w:color w:val="auto"/>
        </w:rPr>
        <w:t>rd</w:t>
      </w:r>
      <w:r>
        <w:rPr>
          <w:rFonts w:ascii="Arial" w:cs="Arial" w:eastAsia="Arial" w:hAnsi="Arial"/>
          <w:sz w:val="16"/>
          <w:szCs w:val="16"/>
          <w:color w:val="auto"/>
        </w:rPr>
        <w:t xml:space="preserve"> week in fiscal 2013 resulted in incremental net revenues of approximately $4.9 million and approximately $0.02 per diluted share.</w:t>
      </w:r>
    </w:p>
    <w:p>
      <w:pPr>
        <w:spacing w:after="0" w:line="51"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5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 xml:space="preserve">Fiscal Year Ended </w:t>
            </w:r>
            <w:r>
              <w:rPr>
                <w:rFonts w:ascii="Arial" w:cs="Arial" w:eastAsia="Arial" w:hAnsi="Arial"/>
                <w:sz w:val="22"/>
                <w:szCs w:val="22"/>
                <w:b w:val="1"/>
                <w:bCs w:val="1"/>
                <w:color w:val="auto"/>
                <w:w w:val="85"/>
                <w:vertAlign w:val="superscript"/>
              </w:rPr>
              <w:t>(1)</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4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29,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 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Income Data:</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541,148</w:t>
            </w:r>
          </w:p>
        </w:tc>
        <w:tc>
          <w:tcPr>
            <w:tcW w:w="32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460,843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366,057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232,867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203,220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156,910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308,281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257,623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209,147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204,412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169,427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163,053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6,277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7,975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110,146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96,171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109,467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95,024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40,597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37,103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68,870</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57,921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37.8%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full-price and outlet store data for the last three fiscal years:</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57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center"/>
              <w:ind w:left="182"/>
              <w:spacing w:after="0"/>
              <w:rPr>
                <w:sz w:val="20"/>
                <w:szCs w:val="20"/>
                <w:color w:val="auto"/>
              </w:rPr>
            </w:pPr>
            <w:r>
              <w:rPr>
                <w:rFonts w:ascii="Arial" w:cs="Arial" w:eastAsia="Arial" w:hAnsi="Arial"/>
                <w:sz w:val="14"/>
                <w:szCs w:val="14"/>
                <w:b w:val="1"/>
                <w:bCs w:val="1"/>
                <w:color w:val="auto"/>
                <w:w w:val="85"/>
              </w:rPr>
              <w:t xml:space="preserve">Fiscal Year Ended </w:t>
            </w:r>
            <w:r>
              <w:rPr>
                <w:rFonts w:ascii="Arial" w:cs="Arial" w:eastAsia="Arial" w:hAnsi="Arial"/>
                <w:sz w:val="22"/>
                <w:szCs w:val="22"/>
                <w:b w:val="1"/>
                <w:bCs w:val="1"/>
                <w:color w:val="auto"/>
                <w:w w:val="85"/>
                <w:vertAlign w:val="superscript"/>
              </w:rPr>
              <w:t>(1)</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February 2,</w:t>
            </w:r>
          </w:p>
        </w:tc>
        <w:tc>
          <w:tcPr>
            <w:tcW w:w="780" w:type="dxa"/>
            <w:vAlign w:val="bottom"/>
          </w:tcPr>
          <w:p>
            <w:pPr>
              <w:spacing w:after="0"/>
              <w:rPr>
                <w:sz w:val="11"/>
                <w:szCs w:val="11"/>
                <w:color w:val="auto"/>
              </w:rPr>
            </w:pPr>
          </w:p>
        </w:tc>
        <w:tc>
          <w:tcPr>
            <w:tcW w:w="12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January 28,</w:t>
            </w:r>
          </w:p>
        </w:tc>
        <w:tc>
          <w:tcPr>
            <w:tcW w:w="2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January 29,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20"/>
                <w:szCs w:val="20"/>
                <w:color w:val="auto"/>
              </w:rPr>
            </w:pPr>
            <w:r>
              <w:rPr>
                <w:rFonts w:ascii="Arial" w:cs="Arial" w:eastAsia="Arial" w:hAnsi="Arial"/>
                <w:sz w:val="14"/>
                <w:szCs w:val="14"/>
                <w:i w:val="1"/>
                <w:iCs w:val="1"/>
                <w:color w:val="auto"/>
              </w:rPr>
              <w:t>($ in thousands, except as otherwise indicated)</w:t>
            </w: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1460" w:type="dxa"/>
            <w:vAlign w:val="bottom"/>
            <w:gridSpan w:val="2"/>
          </w:tcPr>
          <w:p>
            <w:pPr>
              <w:jc w:val="center"/>
              <w:ind w:left="702"/>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Pr>
          <w:p>
            <w:pPr>
              <w:spacing w:after="0"/>
              <w:rPr>
                <w:sz w:val="14"/>
                <w:szCs w:val="14"/>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 by Segment:</w:t>
            </w:r>
          </w:p>
        </w:tc>
        <w:tc>
          <w:tcPr>
            <w:tcW w:w="7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Direct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$ 292,564</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$ 225,287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$ 151,118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248,584</w:t>
            </w: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235,556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214,939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$ 541,148</w:t>
            </w:r>
          </w:p>
        </w:tc>
        <w:tc>
          <w:tcPr>
            <w:tcW w:w="2000" w:type="dxa"/>
            <w:vAlign w:val="bottom"/>
            <w:gridSpan w:val="3"/>
          </w:tcPr>
          <w:p>
            <w:pPr>
              <w:jc w:val="right"/>
              <w:ind w:right="540"/>
              <w:spacing w:after="0"/>
              <w:rPr>
                <w:sz w:val="20"/>
                <w:szCs w:val="20"/>
                <w:color w:val="auto"/>
              </w:rPr>
            </w:pPr>
            <w:r>
              <w:rPr>
                <w:rFonts w:ascii="Arial" w:cs="Arial" w:eastAsia="Arial" w:hAnsi="Arial"/>
                <w:sz w:val="18"/>
                <w:szCs w:val="18"/>
                <w:color w:val="auto"/>
              </w:rPr>
              <w:t>$ 460,843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$ 366,057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Revenues by Segment:</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Direct</w:t>
            </w:r>
          </w:p>
        </w:tc>
        <w:tc>
          <w:tcPr>
            <w:tcW w:w="3340" w:type="dxa"/>
            <w:vAlign w:val="bottom"/>
            <w:gridSpan w:val="3"/>
          </w:tcPr>
          <w:p>
            <w:pPr>
              <w:jc w:val="right"/>
              <w:ind w:right="640"/>
              <w:spacing w:after="0"/>
              <w:rPr>
                <w:sz w:val="20"/>
                <w:szCs w:val="20"/>
                <w:color w:val="auto"/>
              </w:rPr>
            </w:pPr>
            <w:r>
              <w:rPr>
                <w:rFonts w:ascii="Arial" w:cs="Arial" w:eastAsia="Arial" w:hAnsi="Arial"/>
                <w:sz w:val="18"/>
                <w:szCs w:val="18"/>
                <w:color w:val="auto"/>
              </w:rPr>
              <w:t>54.1%</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48.9%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18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45.9%</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60" w:type="dxa"/>
            <w:vAlign w:val="bottom"/>
            <w:vMerge w:val="restart"/>
          </w:tcPr>
          <w:p>
            <w:pPr>
              <w:jc w:val="right"/>
              <w:ind w:right="772"/>
              <w:spacing w:after="0"/>
              <w:rPr>
                <w:sz w:val="20"/>
                <w:szCs w:val="20"/>
                <w:color w:val="auto"/>
              </w:rPr>
            </w:pPr>
            <w:r>
              <w:rPr>
                <w:rFonts w:ascii="Arial" w:cs="Arial" w:eastAsia="Arial" w:hAnsi="Arial"/>
                <w:sz w:val="18"/>
                <w:szCs w:val="18"/>
                <w:color w:val="auto"/>
              </w:rPr>
              <w:t>37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Fiscal Year Ended</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320" w:type="dxa"/>
            <w:vAlign w:val="bottom"/>
          </w:tcPr>
          <w:p>
            <w:pPr>
              <w:spacing w:after="0"/>
              <w:rPr>
                <w:sz w:val="11"/>
                <w:szCs w:val="11"/>
                <w:color w:val="auto"/>
              </w:rPr>
            </w:pPr>
          </w:p>
        </w:tc>
        <w:tc>
          <w:tcPr>
            <w:tcW w:w="116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February 2,</w:t>
            </w:r>
          </w:p>
        </w:tc>
        <w:tc>
          <w:tcPr>
            <w:tcW w:w="520" w:type="dxa"/>
            <w:vAlign w:val="bottom"/>
          </w:tcPr>
          <w:p>
            <w:pPr>
              <w:spacing w:after="0"/>
              <w:rPr>
                <w:sz w:val="11"/>
                <w:szCs w:val="11"/>
                <w:color w:val="auto"/>
              </w:rPr>
            </w:pPr>
          </w:p>
        </w:tc>
        <w:tc>
          <w:tcPr>
            <w:tcW w:w="12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January 28,</w:t>
            </w:r>
          </w:p>
        </w:tc>
        <w:tc>
          <w:tcPr>
            <w:tcW w:w="42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29,</w:t>
            </w:r>
          </w:p>
        </w:tc>
        <w:tc>
          <w:tcPr>
            <w:tcW w:w="200" w:type="dxa"/>
            <w:vAlign w:val="bottom"/>
          </w:tcPr>
          <w:p>
            <w:pPr>
              <w:spacing w:after="0"/>
              <w:rPr>
                <w:sz w:val="11"/>
                <w:szCs w:val="11"/>
                <w:color w:val="auto"/>
              </w:rPr>
            </w:pPr>
          </w:p>
        </w:tc>
      </w:tr>
      <w:tr>
        <w:trPr>
          <w:trHeight w:val="161"/>
        </w:trPr>
        <w:tc>
          <w:tcPr>
            <w:tcW w:w="5320" w:type="dxa"/>
            <w:vAlign w:val="bottom"/>
          </w:tcPr>
          <w:p>
            <w:pPr>
              <w:spacing w:after="0"/>
              <w:rPr>
                <w:sz w:val="14"/>
                <w:szCs w:val="14"/>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4"/>
                <w:szCs w:val="14"/>
                <w:color w:val="auto"/>
              </w:rPr>
            </w:pPr>
          </w:p>
        </w:tc>
        <w:tc>
          <w:tcPr>
            <w:tcW w:w="122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83"/>
              </w:rPr>
              <w:t>2012</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4"/>
                <w:szCs w:val="14"/>
                <w:color w:val="auto"/>
              </w:rPr>
            </w:pPr>
          </w:p>
        </w:tc>
      </w:tr>
      <w:tr>
        <w:trPr>
          <w:trHeight w:val="196"/>
        </w:trPr>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Comparable-store sales increase </w:t>
            </w:r>
            <w:r>
              <w:rPr>
                <w:rFonts w:ascii="Arial" w:cs="Arial" w:eastAsia="Arial" w:hAnsi="Arial"/>
                <w:sz w:val="11"/>
                <w:szCs w:val="11"/>
                <w:color w:val="auto"/>
              </w:rPr>
              <w:t>(3)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Total gross square footage at end of period</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155,919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113,504</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74,426</w:t>
            </w:r>
          </w:p>
        </w:tc>
        <w:tc>
          <w:tcPr>
            <w:tcW w:w="2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11"/>
                <w:szCs w:val="11"/>
                <w:color w:val="auto"/>
              </w:rPr>
              <w:t>(4)</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   1,083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1,042</w:t>
            </w:r>
          </w:p>
        </w:tc>
        <w:tc>
          <w:tcPr>
            <w:tcW w:w="5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Fiscal 2013 consisted of 53 weeks. All other fiscal years presented consisted of 52 weeks.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only our full-price and outlet stores. Our first full-price store opened in September 2007 and our first outlet store opened in November 2009.</w:t>
      </w:r>
    </w:p>
    <w:p>
      <w:pPr>
        <w:spacing w:after="0" w:line="32"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Comparable-store sales are the net revenues of our stores that have been open at least 12 full fiscal months as of the end of the period. Increase or decrease is reported as a percentage change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 Comparable store sales do not include e-commerce sales. Calculation excludes sales for the 53</w:t>
      </w:r>
      <w:r>
        <w:rPr>
          <w:rFonts w:ascii="Arial" w:cs="Arial" w:eastAsia="Arial" w:hAnsi="Arial"/>
          <w:sz w:val="10"/>
          <w:szCs w:val="10"/>
          <w:color w:val="auto"/>
        </w:rPr>
        <w:t>rd</w:t>
      </w:r>
      <w:r>
        <w:rPr>
          <w:rFonts w:ascii="Arial" w:cs="Arial" w:eastAsia="Arial" w:hAnsi="Arial"/>
          <w:sz w:val="16"/>
          <w:szCs w:val="16"/>
          <w:color w:val="auto"/>
        </w:rPr>
        <w:t xml:space="preserve"> week in fiscal 2013.</w:t>
      </w:r>
    </w:p>
    <w:p>
      <w:pPr>
        <w:spacing w:after="0" w:line="2"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Compared to Fiscal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fiscal 2013, net revenues increased $80.3 million, or 17.4%, to $541.1 million, from $460.8 million for fiscal 2012, primarily due to increased volume and an additional 7 days included in fiscal 2013 compared to fiscal 2012, which added net revenues of $4.9 million.</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Direct. </w:t>
      </w:r>
      <w:r>
        <w:rPr>
          <w:rFonts w:ascii="Arial" w:cs="Arial" w:eastAsia="Arial" w:hAnsi="Arial"/>
          <w:sz w:val="16"/>
          <w:szCs w:val="16"/>
          <w:color w:val="auto"/>
        </w:rPr>
        <w:t>For fiscal 2013, net revenues increased $67.3 million, or 29.9%, to $292.6 million, from $225.3 million for fiscal 2012. This growth resulted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from a $44.8 million increase in revenues related to additional full-price and outlet stores; a comparable-store sales increase of $3.4 million, or 3.4%, primarily driven by the improved performance of the product assortment and various in-store events to drive traffic; and an $18.9 million increase in e-commerce revenues due to the continued growth in website traffic. The number of our stores grew from 56 at the end of fiscal 2012 to 76 at the end of fiscal 2013.</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2013, net revenues increased $13.0 million, or 5.5%, to $248.6 million, from $235.6 million for fiscal 2012, due to growth in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store locations and increased sales volume to our specialty retailers.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For fiscal 2013, gross profit increased $50.7 million, or 19.7%, to $308.3 million, from $257.6 million for fiscal 2012. As a percentage of net revenues, gross profit increased to 57.0% for fiscal 2013, from 55.9% for fiscal 2012. The increase in gross margin was due primarily to operational efficiencies, lower freight expense, positive channel mix, and lower input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fiscal 2013, SG&amp;A expenses increased $35.0 million, or 20.6%, to $204.4 million, from $169.4 million for fiscal 2012. As a percentage of net revenues, SG&amp;A expenses were 37.8% and 36.8% for fiscal 2013 and fiscal 2012, respectively. The increase as a percentage of net revenues in SG&amp;A expenses was due primarily to increased headcount expenses and increased store operating expenses.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fiscal 2013, other income decreased $1.7 million, or 21.3%, to $6.3 million, from $8.0 million for fiscal 2012. The decrease in other income was in line with a decrease in associated advertising costs related to mailers for our specialty retailers.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For fiscal 2013, operating income increased $14.0 million, or 14.5%, to $110.1 million, from $96.2 million for fiscal 2012. As a percentage of net revenues, operating income was 20.4% and 20.9% for fiscal 2013 and fiscal 2012, respectively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Fiscal Year Ended</w:t>
            </w:r>
          </w:p>
        </w:tc>
        <w:tc>
          <w:tcPr>
            <w:tcW w:w="6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46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0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February 2,</w:t>
            </w: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January 28,</w:t>
            </w:r>
          </w:p>
        </w:tc>
        <w:tc>
          <w:tcPr>
            <w:tcW w:w="6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Direct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85,059</w:t>
            </w:r>
          </w:p>
        </w:tc>
        <w:tc>
          <w:tcPr>
            <w:tcW w:w="38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68,097</w:t>
            </w:r>
          </w:p>
        </w:tc>
        <w:tc>
          <w:tcPr>
            <w:tcW w:w="6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$ 16,962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101,059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93,042</w:t>
            </w:r>
          </w:p>
        </w:tc>
        <w:tc>
          <w:tcPr>
            <w:tcW w:w="6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1"/>
        </w:trPr>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186,118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161,139</w:t>
            </w:r>
          </w:p>
        </w:tc>
        <w:tc>
          <w:tcPr>
            <w:tcW w:w="6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24,979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Unallocated corporate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(75,972)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(64,968)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(11,004)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110,146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96,171</w:t>
            </w:r>
          </w:p>
        </w:tc>
        <w:tc>
          <w:tcPr>
            <w:tcW w:w="6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$ 13,975</w:t>
            </w:r>
          </w:p>
        </w:tc>
        <w:tc>
          <w:tcPr>
            <w:tcW w:w="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2013, operating income increased $17.0 million, or 24.9%. As a percentage of Direct segment net revenues, operating income in the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was 29.1% and 30.2% for fiscals 2013 and 2012, respectively. This decrease as a percentage of net revenues in the Direct segment was primarily due to increased store operating expense.</w:t>
      </w:r>
    </w:p>
    <w:p>
      <w:pPr>
        <w:spacing w:after="0" w:line="14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2013, operating income increased $8.0 million, or 8.6%. As a percentage of Indirect segment net revenues, operating income in the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was 40.7% and 39.5% for fiscals 2013 and 2012, respectively. This increase as a percentage of net revenues in the Indirect segment resulted primarily due to leverage of the relatively fixed SG&amp;A expenses, against sales growth.</w:t>
      </w:r>
    </w:p>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2013, unallocated expenses increased $11.0 million, or 16.9%, primarily as a result of increased corporate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costs.</w:t>
      </w:r>
    </w:p>
    <w:p>
      <w:pPr>
        <w:spacing w:after="0" w:line="2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fiscal 2013, net interest expense decreased $0.5 million, or 40.8%, to $0.7 million, from $1.1 million in fiscal 2012.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lower average borrowing levels in fiscal 2013.</w:t>
      </w:r>
    </w:p>
    <w:p>
      <w:pPr>
        <w:spacing w:after="0" w:line="21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fiscal 2013, we recorded income tax expense of $40.6 million at an effective tax rate of 37.1%, compared to 39.0% for fiscal year 2012.</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 tax rate reduction was primarily related to state income tax credits associated with the completion of our distribution center expansion and discrete items recorded primarily during the third quarter. The impact of these items on the effective tax rate was approximately 1.2% for the fiscal year. During fiscal 2012, there were other permanent items that caused a higher rate which did not recur during fiscal 2013 causing the rate to decrease approximately 0.5% compared to the prior year. The effective tax rate also reflects a loss for the Japanese operations for which a tax benefit was not recognized.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Compared to Fiscal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fiscal 2012, net revenues increased $94.8 million, or 26.0%, to $460.8 million, from $366.1 million for fiscal 2011, primarily due to increased volume.</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2012, net revenues increased $74.2 million, or 49.1%, to $225.3 million, from $151.1 million for fiscal 2011. This growth resulted from a $28.6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e-commerce revenues due primarily to greater traffic resulting from marketing initiatives, a $39.4 million increase in non-comparable store sales, and a $6.2 million, or 10.9%, increase in comparable-store sales. The number of our stores grew from 39 at the end of fiscal 2011 to 56 at the end of fiscal 2012.</w:t>
      </w:r>
    </w:p>
    <w:p>
      <w:pPr>
        <w:spacing w:after="0" w:line="14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fiscal 2012, net revenues increased $20.6 million, or 9.6%, to $235.6 million, from $214.9 million for fiscal 2011, due to increased sales volume to</w:t>
      </w:r>
      <w:r>
        <w:rPr>
          <w:rFonts w:ascii="Arial" w:cs="Arial" w:eastAsia="Arial" w:hAnsi="Arial"/>
          <w:sz w:val="16"/>
          <w:szCs w:val="16"/>
          <w:i w:val="1"/>
          <w:iCs w:val="1"/>
          <w:color w:val="auto"/>
        </w:rPr>
        <w:t xml:space="preserve"> </w:t>
      </w:r>
      <w:r>
        <w:rPr>
          <w:rFonts w:ascii="Arial" w:cs="Arial" w:eastAsia="Arial" w:hAnsi="Arial"/>
          <w:sz w:val="16"/>
          <w:szCs w:val="16"/>
          <w:color w:val="auto"/>
        </w:rPr>
        <w:t>our specialty retailers, driven by strong demand for carryover patterns, fall product assortment, and the launch of rolling luggage.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fiscal 2012, gross profit increased $48.5 million, or 23.2%, to $257.6 million, from $209.1 million for fiscal 2011. As a percentage of net revenues, gross profit decreased to 55.9% for fiscal 2012, from 57.1% for fiscal 2011. The decrease in gross margin was due primarily to higher cotton and labor costs and higher sales of certain retired inventory sold at lower than normal gross margins, partially offset by an overall revenue mix shift toward higher margin, retail-store sales and e-commerce.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2012, SG&amp;A expenses increased $6.3 million, or 3.9%, to $169.4 million, from $163.1 million for fiscal 2011. As a percentage of net revenues, SG&amp;A expenses were 36.8% and 44.5% for fiscal 2012 and fiscal 2011, respectively. The decrease as a percentage of net revenues in SG&amp;A expenses was due primarily to $21.9 million of compensation expense related to restricted-stock awards and a decline in professional fees related to our transition from a private to a public company both of which were included in fiscal 2011. In addition, SG&amp;A expenses declined as a percentage of net revenues due to leverage of our relatively fixed cost structure of the Indirect segment, partially offset by our investment into the Japanese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fiscal 2012, other income increased $0.8 million, or 10.4%, to $8.0 million, from $7.2 million for fiscal 2011, due primarily to increased reimbursement of our advertising expenses by our specialty retailers. The increase was due in part to sales of tickets to our annual outlet sale and the gain on the sale of certain life insurance policies.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fiscal 2012, operating income increased $42.9 million, or 80.4%, to $96.2 million, from $53.3 million for fiscal 2011. As a percentage of net revenues, operating income was 20.9% and 14.6% for fiscal 2012 and fiscal 2011, respectively. This increase as a percentage of net revenues was due primarily to the $21.9 million of compensation expense related to restricted-stock awards in the prior year. Excluding this compensation expense in the prior year, operating income as a percentage of sales increased due to sales-driven leverage of SG&amp;A on our high growth of net revenues, partially offset by higher cotton and labor prices and our investment into the Japanese market (in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Fiscal Year Ended</w:t>
            </w:r>
          </w:p>
        </w:tc>
        <w:tc>
          <w:tcPr>
            <w:tcW w:w="58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13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January 29,</w:t>
            </w:r>
          </w:p>
        </w:tc>
        <w:tc>
          <w:tcPr>
            <w:tcW w:w="7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68,097</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46,443</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$21,654</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91,680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$ 1,362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line="20" w:lineRule="exact"/>
              <w:rPr>
                <w:sz w:val="1"/>
                <w:szCs w:val="1"/>
                <w:color w:val="auto"/>
              </w:rPr>
            </w:pPr>
          </w:p>
        </w:tc>
      </w:tr>
      <w:tr>
        <w:trPr>
          <w:trHeight w:val="221"/>
        </w:trPr>
        <w:tc>
          <w:tcPr>
            <w:tcW w:w="6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161,139</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138,123</w:t>
            </w:r>
          </w:p>
        </w:tc>
        <w:tc>
          <w:tcPr>
            <w:tcW w:w="580" w:type="dxa"/>
            <w:vAlign w:val="bottom"/>
          </w:tcPr>
          <w:p>
            <w:pPr>
              <w:jc w:val="right"/>
              <w:spacing w:after="0"/>
              <w:rPr>
                <w:sz w:val="20"/>
                <w:szCs w:val="20"/>
                <w:color w:val="auto"/>
              </w:rPr>
            </w:pPr>
            <w:r>
              <w:rPr>
                <w:rFonts w:ascii="Arial" w:cs="Arial" w:eastAsia="Arial" w:hAnsi="Arial"/>
                <w:sz w:val="18"/>
                <w:szCs w:val="18"/>
                <w:color w:val="auto"/>
              </w:rPr>
              <w:t>23,016</w:t>
            </w:r>
          </w:p>
        </w:tc>
        <w:tc>
          <w:tcPr>
            <w:tcW w:w="11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Less: Unallocated corporate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(64,968)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(84,803)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96,171</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53,320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42,851</w:t>
            </w:r>
          </w:p>
        </w:tc>
        <w:tc>
          <w:tcPr>
            <w:tcW w:w="11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2012, operating income increased $21.7 million, or 46.6%, due to an increase in gross profit, offset in part by increased selling expenses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store operational costs and costs associated with our market entry into Japan.</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2012, operating income increased $1.4 million, or 1.5%, primarily from an increase in revenue and sales-driven leverage of SG&amp;A, offset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by a decline in gross margin, as previously discussed.</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2012, unallocated expenses decreased $19.8 million, or 23.4%, primarily as a result of stock-based compensation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recipients of restricted-stock awards in the prior-year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fiscal year ended January 28, 2012, net interest expense decreased $0.5 million, or 29.5%, to $1.1 million, from $1.6 million in the fiscal year ended January 29, 2011. The decrease of $0.5 million was due primarily to a write off in the same period of the prior-year of $0.2 million of unamortized debt-issuance costs in connection with the amendment and restatement of the credit agreement. The remaining $0.3 million was attributable to lower average borrowing rates in the fiscal year ended January 28,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fiscal 2012, we recorded income tax expense of $37.1 million at an effective tax rate of 39.0%, which is consistent with U.S. federal and state statutory rates. The change in our effective tax rate from fiscal 2011 reflects a more normalized rate due to being subject to corporate-level U.S. federal and state income taxes for the full fiscal year. The effective tax rate also reflects a loss for the Japanese operations for which a tax benefit was not recognized.</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fiscal 2011, we recorded income tax expense of $5.5 million. This expense was comprised of (1) $6.8 million of expense related to activity during the portion of fiscal 2011 that we were a “C” Corporation (October 3, 2010, through January 29, 2011) at an effective tax rate of 51.2% and (2) $0.5 million of state taxes related to taxing jurisdictions that did not recognize our previous “S” Corporation status, offset in part by a one-time deferred tax benefit of $1.8 million recognized upon the termination of our “S” Corporation status. Included in tax expense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portion of the fiscal year that we operated as a “C” Corporation was $1.2 million related to permanently non-deductible stock-based compensation expense associated with restricted-stock awards that vested in connection with our initial public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opening new stores, buildings, debt repayments, operational equipment, and information technology. The most significant components of our working capital are cash and cash equivalents, merchandise inventories, accounts receivable, accounts payable, and other current liabilities. We do not believe that the expansion of our Direct business will materially increase borrowings under our amended and restated credit agreement, in the near term.</w:t>
      </w:r>
    </w:p>
    <w:p>
      <w:pPr>
        <w:spacing w:after="0" w:line="116"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and debt payments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6"/>
              </w:rPr>
              <w:t>Fiscal Year 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80" w:type="dxa"/>
            <w:vAlign w:val="bottom"/>
          </w:tcPr>
          <w:p>
            <w:pPr>
              <w:spacing w:after="0"/>
              <w:rPr>
                <w:sz w:val="11"/>
                <w:szCs w:val="11"/>
                <w:color w:val="auto"/>
              </w:rPr>
            </w:pPr>
          </w:p>
        </w:tc>
        <w:tc>
          <w:tcPr>
            <w:tcW w:w="98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7"/>
              </w:rPr>
              <w:t>February 2,</w:t>
            </w:r>
          </w:p>
        </w:tc>
        <w:tc>
          <w:tcPr>
            <w:tcW w:w="420" w:type="dxa"/>
            <w:vAlign w:val="bottom"/>
          </w:tcPr>
          <w:p>
            <w:pPr>
              <w:spacing w:after="0"/>
              <w:rPr>
                <w:sz w:val="11"/>
                <w:szCs w:val="11"/>
                <w:color w:val="auto"/>
              </w:rPr>
            </w:pPr>
          </w:p>
        </w:tc>
        <w:tc>
          <w:tcPr>
            <w:tcW w:w="140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88"/>
              </w:rPr>
              <w:t>January 28,</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January 29,</w:t>
            </w:r>
          </w:p>
        </w:tc>
        <w:tc>
          <w:tcPr>
            <w:tcW w:w="10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100" w:type="dxa"/>
            <w:vAlign w:val="bottom"/>
            <w:gridSpan w:val="2"/>
          </w:tcPr>
          <w:p>
            <w:pPr>
              <w:jc w:val="center"/>
              <w:ind w:left="342"/>
              <w:spacing w:after="0"/>
              <w:rPr>
                <w:sz w:val="20"/>
                <w:szCs w:val="20"/>
                <w:color w:val="auto"/>
              </w:rPr>
            </w:pPr>
            <w:r>
              <w:rPr>
                <w:rFonts w:ascii="Arial" w:cs="Arial" w:eastAsia="Arial" w:hAnsi="Arial"/>
                <w:sz w:val="14"/>
                <w:szCs w:val="14"/>
                <w:b w:val="1"/>
                <w:bCs w:val="1"/>
                <w:color w:val="auto"/>
                <w:w w:val="89"/>
              </w:rPr>
              <w:t>2012</w:t>
            </w:r>
          </w:p>
        </w:tc>
        <w:tc>
          <w:tcPr>
            <w:tcW w:w="720" w:type="dxa"/>
            <w:vAlign w:val="bottom"/>
          </w:tcPr>
          <w:p>
            <w:pPr>
              <w:spacing w:after="0"/>
              <w:rPr>
                <w:sz w:val="14"/>
                <w:szCs w:val="14"/>
                <w:color w:val="auto"/>
              </w:rPr>
            </w:pPr>
          </w:p>
        </w:tc>
        <w:tc>
          <w:tcPr>
            <w:tcW w:w="700" w:type="dxa"/>
            <w:vAlign w:val="bottom"/>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51,492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51,516</w:t>
            </w:r>
          </w:p>
        </w:tc>
        <w:tc>
          <w:tcPr>
            <w:tcW w:w="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58,466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(35,893)</w:t>
            </w:r>
          </w:p>
        </w:tc>
        <w:tc>
          <w:tcPr>
            <w:tcW w:w="1820" w:type="dxa"/>
            <w:vAlign w:val="bottom"/>
            <w:gridSpan w:val="3"/>
          </w:tcPr>
          <w:p>
            <w:pPr>
              <w:jc w:val="right"/>
              <w:ind w:right="660"/>
              <w:spacing w:after="0"/>
              <w:rPr>
                <w:sz w:val="20"/>
                <w:szCs w:val="20"/>
                <w:color w:val="auto"/>
              </w:rPr>
            </w:pPr>
            <w:r>
              <w:rPr>
                <w:rFonts w:ascii="Arial" w:cs="Arial" w:eastAsia="Arial" w:hAnsi="Arial"/>
                <w:sz w:val="18"/>
                <w:szCs w:val="18"/>
                <w:color w:val="auto"/>
              </w:rPr>
              <w:t>(18,836)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(9,865)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(10,827)</w:t>
            </w:r>
          </w:p>
        </w:tc>
        <w:tc>
          <w:tcPr>
            <w:tcW w:w="18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(41,757)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(41,157)</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operating activities was $51.5 million in fiscal 2013. Net income increased $10.9 million, non-cash changes in balances increased $12.8 million, and income taxes payable provided an incremental increase of $13.7 million, offset by working capital changes including an incremental inventory build of $24.6 million and an incremental reduction in accounts payable of $12.4 million.</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Net cash provided by operating activities was $51.5 million for fiscal 2012 which was primarily driven by our net income in the current year. This is slightly down from $58.5 million for the fiscal year ended January 29, 2011, primarily due to additional income tax payments of $42.9 million in the current year because of the conversion from an “S” Corporation to a “C” Corporation in the prior year making us subject to corporate-level U.S. federal and state income taxes. In addition, cash flow decreased due to timing of payments to our vendors, which was more than offset by the improvements in our supply chain and inventory management processes which allowed inventory levels to grow much less than in fiscal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in investing activities was $35.9 million in fiscal 2013, compared to $18.8 million in fiscal 2012. The $17.1 million increase in capital expenditures was driven primarily by the expansion of the distribution facility.</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used in investing activities was $18.8 million in fiscal 2012, compared to $9.9 million in fiscal 2011. The $8.9 million increase in capital expenditures was driven primarily by the investments in new stores, including the opening of 17 stores during fiscal 2012, expansion of the distribution facility, and information technology investments.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Net cash used in investing activities was $9.9 million in fiscal 2011, reflecting capital expenditures of $11.4 million offset in part by $1.5 million of cash provided as a result of the elimination of a compensating balance requirement in connection with the amendment and restatement of our credit agreement.</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Capital expenditures for fiscal 2014 are expected to be approximately $20 million, including the build-out of new stores and continued investment in our systems, including the e-commerce platform.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cash used in financing activities was $10.8 million in fiscal 2013, primarily resulting from $10.0 million net payments under our amended and restated credit agreement.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$41.8 million in fiscal 2012, resulting from the net payments under our amended and restated credit agreement.</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financing activities was $41.2 million in fiscal 2011, driven primarily by $132.8 million of “S” Corporation distributions (including the final “S” Corporation distribution of $106.0 million) and $1.1 million of debt-issuance costs, offset in part by IPO net proceeds of $56.3 million and net borrowings of $36.8 million under the credit agreement or amended and restated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On October 4, 2010, Vera Bradley Designs, Inc. entered into an agreement to amend and restate our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February 2, 2013.</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At February 2, 2013, the weighted-average interest rate on the $15.0 million of outstanding borrowings under the credit agreement was 1.3%. We had borrowing availability of $110.0 million under the agreement as of February 2, 2013.</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enter into long-term contractual obligations and commitments in the normal course of business, primarily debt obligations and non-cancellable operating leases. As of February 2, 2013, our contractual cash obligations over the next several periods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4"/>
              </w:rPr>
              <w:t xml:space="preserve">Payments Due by Period </w:t>
            </w:r>
            <w:r>
              <w:rPr>
                <w:rFonts w:ascii="Arial" w:cs="Arial" w:eastAsia="Arial" w:hAnsi="Arial"/>
                <w:sz w:val="22"/>
                <w:szCs w:val="22"/>
                <w:b w:val="1"/>
                <w:bCs w:val="1"/>
                <w:color w:val="auto"/>
                <w:w w:val="84"/>
                <w:vertAlign w:val="superscript"/>
              </w:rPr>
              <w:t>(5)</w:t>
            </w: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Less Than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r>
      <w:tr>
        <w:trPr>
          <w:trHeight w:val="161"/>
        </w:trPr>
        <w:tc>
          <w:tcPr>
            <w:tcW w:w="4140" w:type="dxa"/>
            <w:vAlign w:val="bottom"/>
            <w:gridSpan w:val="3"/>
          </w:tcPr>
          <w:p>
            <w:pPr>
              <w:spacing w:after="0"/>
              <w:rPr>
                <w:sz w:val="20"/>
                <w:szCs w:val="20"/>
                <w:color w:val="auto"/>
              </w:rPr>
            </w:pPr>
            <w:r>
              <w:rPr>
                <w:rFonts w:ascii="Arial" w:cs="Arial" w:eastAsia="Arial" w:hAnsi="Arial"/>
                <w:sz w:val="14"/>
                <w:szCs w:val="14"/>
                <w:i w:val="1"/>
                <w:iCs w:val="1"/>
                <w:color w:val="auto"/>
              </w:rPr>
              <w:t>($ in thousands)</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20" w:type="dxa"/>
            <w:vAlign w:val="bottom"/>
          </w:tcPr>
          <w:p>
            <w:pPr>
              <w:jc w:val="right"/>
              <w:ind w:right="16"/>
              <w:spacing w:after="0"/>
              <w:rPr>
                <w:sz w:val="20"/>
                <w:szCs w:val="20"/>
                <w:color w:val="auto"/>
              </w:rPr>
            </w:pPr>
            <w:r>
              <w:rPr>
                <w:rFonts w:ascii="Arial" w:cs="Arial" w:eastAsia="Arial" w:hAnsi="Arial"/>
                <w:sz w:val="14"/>
                <w:szCs w:val="14"/>
                <w:b w:val="1"/>
                <w:bCs w:val="1"/>
                <w:color w:val="auto"/>
                <w:w w:val="95"/>
              </w:rPr>
              <w:t>1 Year</w:t>
            </w:r>
          </w:p>
        </w:tc>
        <w:tc>
          <w:tcPr>
            <w:tcW w:w="5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1 - 3 Years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3 - 5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Debt to financial institutions </w:t>
            </w:r>
            <w:r>
              <w:rPr>
                <w:rFonts w:ascii="Arial" w:cs="Arial" w:eastAsia="Arial" w:hAnsi="Arial"/>
                <w:sz w:val="11"/>
                <w:szCs w:val="11"/>
                <w:color w:val="auto"/>
              </w:rPr>
              <w:t>(1)</w:t>
            </w:r>
          </w:p>
        </w:tc>
        <w:tc>
          <w:tcPr>
            <w:tcW w:w="1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$ 15,000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 xml:space="preserve">Debt to others </w:t>
            </w:r>
            <w:r>
              <w:rPr>
                <w:rFonts w:ascii="Arial" w:cs="Arial" w:eastAsia="Arial" w:hAnsi="Arial"/>
                <w:sz w:val="11"/>
                <w:szCs w:val="11"/>
                <w:color w:val="auto"/>
              </w:rPr>
              <w:t>(2)</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1"/>
                <w:szCs w:val="11"/>
                <w:color w:val="auto"/>
              </w:rPr>
              <w:t>(3)</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161,662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20,145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39,756</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62,909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1"/>
                <w:szCs w:val="11"/>
                <w:color w:val="auto"/>
              </w:rPr>
              <w:t>(4)</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32,939</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209,696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53,142</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39,793</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$ 53,852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62,909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February 2, 2013, we had $15.0 million principal amount due on June 1, 2017 under our amended and restated credit agreement. Estimated total interest and facility fee payments of $1.5 million, due through June 1, 2017, based on our outstanding borrowings and the interest rates in effect under our amended and restated credit agreement as of February 2, 2013, have been excluded.</w:t>
      </w: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have entered into financing agreements with certain vendors. The amounts listed represent the outstanding balances under these agreements.</w:t>
      </w:r>
    </w:p>
    <w:p>
      <w:pPr>
        <w:spacing w:after="0" w:line="32"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store leases generally have initial lease terms of 10 years without renewal options. Our future operating lease obligations would change if we were to extend these leases, or if we were to enter into new operating leases.</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w:t>
      </w:r>
    </w:p>
    <w:p>
      <w:pPr>
        <w:spacing w:after="0" w:line="9"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due to the uncertainty with respect to the timing of future cash flows associated with our uncertain tax positions at February 2, 2013, we are unable to make reasonably reliable estimates of the period of cash settlement with the respective taxing authorities. Therefore, $1.2 million of uncertain tax positions have been excluded from the contractual obligations table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financing or unconsolidated special 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1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Revenue from the sale of our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adjustment of these shipments is based on actual delivery dates to the customer. Significant changes in shipping terms or delivery times could materially impact our revenues in a given period.</w:t>
      </w:r>
    </w:p>
    <w:p>
      <w:pPr>
        <w:spacing w:after="0" w:line="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reserve for projected merchandise returns based on historical experience and other assumptions that we believe to be reasonable. In the Direct business returns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other potential product credits and for customer shipments not yet received. The total reserve for returns, customer shipments not yet received, and general credits was $4.1 million and $2.6 million at February 2, 2013, and January 28, 2012, respectively. This represents a reduction to operating income of $2.5 million and $1.8 million,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 provision accordingly.</w:t>
      </w:r>
    </w:p>
    <w:p>
      <w:pPr>
        <w:spacing w:after="0" w:line="11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Inventory adjustments of $3.5 million and $3.3 million were recorded for these matters during the fiscal year ended February 2, 2013, and January 28, 2012, respectively. These adjustments related primarily to raw materials of retired patterns, as we have the ability to move retired finished goods through a number of channels, including the annual outlet sale, our website and outlet stores, and through liquidators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Prior to October 3, 2010, we were taxed as an “S” Corporation for federal income tax purposes under Section 1362 of the Internal Revenue Code, and therefore were not subject to federal and state income taxes (subject to exception in a limited number of state and local jurisdictions that do not recognize the</w:t>
      </w:r>
    </w:p>
    <w:p>
      <w:pPr>
        <w:ind w:right="380"/>
        <w:spacing w:after="0" w:line="261" w:lineRule="auto"/>
        <w:rPr>
          <w:sz w:val="20"/>
          <w:szCs w:val="20"/>
          <w:color w:val="auto"/>
        </w:rPr>
      </w:pPr>
      <w:r>
        <w:rPr>
          <w:rFonts w:ascii="Arial" w:cs="Arial" w:eastAsia="Arial" w:hAnsi="Arial"/>
          <w:sz w:val="18"/>
          <w:szCs w:val="18"/>
          <w:color w:val="auto"/>
        </w:rPr>
        <w:t>“S” Corporation status). On October 3, 2010, our “S” Corporation status automatically terminated and we became subject to corporate-level federal and state income taxes at prevailing corporate rates.</w:t>
      </w:r>
    </w:p>
    <w:p>
      <w:pPr>
        <w:spacing w:after="0" w:line="13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2011, the Financial Accounting Standards Board (“FASB”) issued Accounting Standards Update (“ASU”) 2011-05, C</w:t>
      </w:r>
      <w:r>
        <w:rPr>
          <w:rFonts w:ascii="Arial" w:cs="Arial" w:eastAsia="Arial" w:hAnsi="Arial"/>
          <w:sz w:val="16"/>
          <w:szCs w:val="16"/>
          <w:i w:val="1"/>
          <w:iCs w:val="1"/>
          <w:color w:val="auto"/>
        </w:rPr>
        <w:t>omprehensive Income –</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This guidance eliminates the option to present the components of other comprehensive income as part of the Statement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In accordance with this guidance, we have presented two separate but consecutive statements which include the components of net income and other comprehensive income.</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May 2011, FASB issued ASU 2011-04, </w:t>
      </w:r>
      <w:r>
        <w:rPr>
          <w:rFonts w:ascii="Arial" w:cs="Arial" w:eastAsia="Arial" w:hAnsi="Arial"/>
          <w:sz w:val="18"/>
          <w:szCs w:val="18"/>
          <w:i w:val="1"/>
          <w:iCs w:val="1"/>
          <w:color w:val="auto"/>
        </w:rPr>
        <w:t>Fair Value Measurement – Amendments to Achieve Common Fair Value Measurement and Disclosure Requirements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GAAP and IFRS. </w:t>
      </w:r>
      <w:r>
        <w:rPr>
          <w:rFonts w:ascii="Arial" w:cs="Arial" w:eastAsia="Arial" w:hAnsi="Arial"/>
          <w:sz w:val="18"/>
          <w:szCs w:val="18"/>
          <w:color w:val="auto"/>
        </w:rPr>
        <w:t>The guidance requires additional disclosures, including disclosures related to the measurement of level 3 assets. The guidance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interim and annual periods beginning after December 15, 2011 and is applied prospectively. The adoption of this pronouncement did not have a material impact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See Item 13, “Certain Relationships and Related Transactions, and Director Independence,” of this report for information regarding transactions with related parties.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interest rate risk in connection with borrowings under our amended and restated credit agreement, which bear interest at variable rates. The amended and restated credit agreement allows for a revolving credit commitment of $125.0 million, bearing interest at a variable rate, based on either LIBOR plus the applicable margin (ranging from 1.05% to 2.05%) or the alternate base rate (as defined in the agreement) plus the applicable margin (ranging from 0.05% to 1.05%). Assuming the amended and restated credit agreement is fully drawn, each quarter point increase or decrease in the interest rate would change our annual interest expense by approximately $0.3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utilize interest rate swaps to hedge our interest rate risk. We had no open derivative instruments at February 2,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90"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source a substantial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gridSpan w:val="4"/>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47"/>
        </w:trPr>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80" w:type="dxa"/>
            <w:vAlign w:val="bottom"/>
            <w:gridSpan w:val="7"/>
          </w:tcPr>
          <w:p>
            <w:pPr>
              <w:jc w:val="center"/>
              <w:ind w:right="3080"/>
              <w:spacing w:after="0"/>
              <w:rPr>
                <w:sz w:val="20"/>
                <w:szCs w:val="20"/>
                <w:color w:val="auto"/>
              </w:rPr>
            </w:pPr>
            <w:r>
              <w:rPr>
                <w:rFonts w:ascii="Arial" w:cs="Arial" w:eastAsia="Arial" w:hAnsi="Arial"/>
                <w:sz w:val="18"/>
                <w:szCs w:val="18"/>
                <w:b w:val="1"/>
                <w:bCs w:val="1"/>
                <w:color w:val="auto"/>
                <w:w w:val="89"/>
              </w:rPr>
              <w:t>Vera Bradley, Inc.</w:t>
            </w:r>
          </w:p>
        </w:tc>
        <w:tc>
          <w:tcPr>
            <w:tcW w:w="920" w:type="dxa"/>
            <w:vAlign w:val="bottom"/>
          </w:tcPr>
          <w:p>
            <w:pPr>
              <w:spacing w:after="0"/>
              <w:rPr>
                <w:sz w:val="24"/>
                <w:szCs w:val="24"/>
                <w:color w:val="auto"/>
              </w:rPr>
            </w:pPr>
          </w:p>
        </w:tc>
      </w:tr>
      <w:tr>
        <w:trPr>
          <w:trHeight w:val="228"/>
        </w:trPr>
        <w:tc>
          <w:tcPr>
            <w:tcW w:w="3080" w:type="dxa"/>
            <w:vAlign w:val="bottom"/>
          </w:tcPr>
          <w:p>
            <w:pPr>
              <w:spacing w:after="0"/>
              <w:rPr>
                <w:sz w:val="19"/>
                <w:szCs w:val="19"/>
                <w:color w:val="auto"/>
              </w:rPr>
            </w:pPr>
          </w:p>
        </w:tc>
        <w:tc>
          <w:tcPr>
            <w:tcW w:w="732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920" w:type="dxa"/>
            <w:vAlign w:val="bottom"/>
          </w:tcPr>
          <w:p>
            <w:pPr>
              <w:spacing w:after="0"/>
              <w:rPr>
                <w:sz w:val="19"/>
                <w:szCs w:val="19"/>
                <w:color w:val="auto"/>
              </w:rPr>
            </w:pPr>
          </w:p>
        </w:tc>
      </w:tr>
      <w:tr>
        <w:trPr>
          <w:trHeight w:val="380"/>
        </w:trPr>
        <w:tc>
          <w:tcPr>
            <w:tcW w:w="622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6220" w:type="dxa"/>
            <w:vAlign w:val="bottom"/>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February 2, 2013, and January 28, 2012</w:t>
              </w:r>
            </w:hyperlink>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6220" w:type="dxa"/>
            <w:vAlign w:val="bottom"/>
            <w:gridSpan w:val="4"/>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Consolidated Statements of Income for the fiscal years ended February 2, 2013, January</w:t>
              </w:r>
            </w:hyperlink>
          </w:p>
        </w:tc>
        <w:tc>
          <w:tcPr>
            <w:tcW w:w="4180" w:type="dxa"/>
            <w:vAlign w:val="bottom"/>
            <w:gridSpan w:val="5"/>
          </w:tcPr>
          <w:p>
            <w:pPr>
              <w:ind w:left="6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28, 2012, and January 29, 2011</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08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6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Statements of Comprehensive Income for the fiscal years ended February</w:t>
              </w:r>
            </w:hyperlink>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2, 2013, January 28, 2012, and January 29, 2011</w:t>
              </w:r>
            </w:hyperlink>
          </w:p>
        </w:tc>
        <w:tc>
          <w:tcPr>
            <w:tcW w:w="7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400" w:type="dxa"/>
            <w:vAlign w:val="bottom"/>
            <w:gridSpan w:val="9"/>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Consolidated Statements of Shareholders’ Equity for the fiscal years ended February 2, 2013, January 28, 2012, and January 29, 2011</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44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Consolidated Statements of Cash Flows for the fiscal years ended February 2, 2013, January 28, 2012, and January 29, 2011</w:t>
              </w:r>
            </w:hyperlink>
          </w:p>
        </w:tc>
        <w:tc>
          <w:tcPr>
            <w:tcW w:w="9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2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83"/>
        </w:trPr>
        <w:tc>
          <w:tcPr>
            <w:tcW w:w="3080" w:type="dxa"/>
            <w:vAlign w:val="bottom"/>
            <w:tcBorders>
              <w:top w:val="single" w:sz="8" w:color="0000EE"/>
            </w:tcBorders>
          </w:tcPr>
          <w:p>
            <w:pPr>
              <w:spacing w:after="0"/>
              <w:rPr>
                <w:sz w:val="24"/>
                <w:szCs w:val="24"/>
                <w:color w:val="auto"/>
              </w:rPr>
            </w:pPr>
          </w:p>
        </w:tc>
        <w:tc>
          <w:tcPr>
            <w:tcW w:w="3140" w:type="dxa"/>
            <w:vAlign w:val="bottom"/>
            <w:gridSpan w:val="3"/>
          </w:tcPr>
          <w:p>
            <w:pPr>
              <w:jc w:val="center"/>
              <w:ind w:left="2032"/>
              <w:spacing w:after="0"/>
              <w:rPr>
                <w:sz w:val="20"/>
                <w:szCs w:val="20"/>
                <w:color w:val="auto"/>
              </w:rPr>
            </w:pPr>
            <w:r>
              <w:rPr>
                <w:rFonts w:ascii="Arial" w:cs="Arial" w:eastAsia="Arial" w:hAnsi="Arial"/>
                <w:sz w:val="18"/>
                <w:szCs w:val="18"/>
                <w:color w:val="auto"/>
                <w:w w:val="89"/>
              </w:rPr>
              <w:t>48</w:t>
            </w: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Vera Bradley, Inc. and its subsidiaries at February 2, 2013 and January 28, 2012, and the results of their operations and their cash flows for each of the three years in the period ended February 2, 2013 in conformity with accounting principles generally accepted in the United States of America. Also in our opinion, the Company maintained, in all material respects, effective internal control over financial reporting as of February 2, 2013,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(COSO). The Company’s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audits (which were integrated audits in 2013 and 2012).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2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28,</w:t>
            </w:r>
          </w:p>
        </w:tc>
        <w:tc>
          <w:tcPr>
            <w:tcW w:w="0" w:type="dxa"/>
            <w:vAlign w:val="bottom"/>
          </w:tcPr>
          <w:p>
            <w:pPr>
              <w:spacing w:after="0"/>
              <w:rPr>
                <w:sz w:val="1"/>
                <w:szCs w:val="1"/>
                <w:color w:val="auto"/>
              </w:rPr>
            </w:pPr>
          </w:p>
        </w:tc>
      </w:tr>
      <w:tr>
        <w:trPr>
          <w:trHeight w:val="161"/>
        </w:trPr>
        <w:tc>
          <w:tcPr>
            <w:tcW w:w="9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34,811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131,562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198,340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277,319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14,853</w:t>
            </w:r>
          </w:p>
        </w:tc>
        <w:tc>
          <w:tcPr>
            <w:tcW w:w="3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employment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Common stock; without par value; 200,000 shares authorized, 40,563 and 40,507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119,190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0" w:type="dxa"/>
            <w:vAlign w:val="bottom"/>
          </w:tcPr>
          <w:p>
            <w:pPr>
              <w:ind w:left="44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194,255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277,319</w:t>
            </w:r>
          </w:p>
        </w:tc>
        <w:tc>
          <w:tcPr>
            <w:tcW w:w="3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7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6"/>
              </w:rPr>
              <w:t>Fiscal Year Ended</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February 2,</w:t>
            </w:r>
          </w:p>
        </w:tc>
        <w:tc>
          <w:tcPr>
            <w:tcW w:w="30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28,</w:t>
            </w:r>
          </w:p>
        </w:tc>
        <w:tc>
          <w:tcPr>
            <w:tcW w:w="7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January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541,148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460,843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366,057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232,867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203,220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156,910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308,281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257,623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209,147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204,412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169,427</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163,053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7,975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8"/>
                <w:szCs w:val="18"/>
                <w:color w:val="auto"/>
              </w:rPr>
              <w:t>Operating income</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8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110,146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96,171</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53,319</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8"/>
                <w:szCs w:val="18"/>
                <w:color w:val="auto"/>
              </w:rPr>
              <w:t>Income before income taxes</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8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109,467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95,024</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51,694</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68,870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57,921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46,198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40,507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40,571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40,542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36,851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6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distributions per share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180" w:type="dxa"/>
            <w:vAlign w:val="bottom"/>
          </w:tcPr>
          <w:p>
            <w:pPr>
              <w:spacing w:after="0" w:line="217" w:lineRule="exact"/>
              <w:rPr>
                <w:sz w:val="20"/>
                <w:szCs w:val="20"/>
                <w:color w:val="auto"/>
              </w:rPr>
            </w:pPr>
            <w:r>
              <w:rPr>
                <w:rFonts w:ascii="Arial" w:cs="Arial" w:eastAsia="Arial" w:hAnsi="Arial"/>
                <w:sz w:val="18"/>
                <w:szCs w:val="18"/>
                <w:color w:val="auto"/>
              </w:rPr>
              <w:t xml:space="preserve">Pro forma income information </w:t>
            </w:r>
            <w:r>
              <w:rPr>
                <w:rFonts w:ascii="Arial" w:cs="Arial" w:eastAsia="Arial" w:hAnsi="Arial"/>
                <w:sz w:val="22"/>
                <w:szCs w:val="22"/>
                <w:color w:val="auto"/>
                <w:vertAlign w:val="subscript"/>
              </w:rPr>
              <w:t>(See Note 1)</w:t>
            </w:r>
            <w:r>
              <w:rPr>
                <w:rFonts w:ascii="Arial" w:cs="Arial" w:eastAsia="Arial" w:hAnsi="Arial"/>
                <w:sz w:val="18"/>
                <w:szCs w:val="18"/>
                <w:color w:val="auto"/>
              </w:rPr>
              <w: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51,694</w:t>
            </w:r>
          </w:p>
        </w:tc>
        <w:tc>
          <w:tcPr>
            <w:tcW w:w="0" w:type="dxa"/>
            <w:vAlign w:val="bottom"/>
          </w:tcPr>
          <w:p>
            <w:pPr>
              <w:spacing w:after="0"/>
              <w:rPr>
                <w:sz w:val="1"/>
                <w:szCs w:val="1"/>
                <w:color w:val="auto"/>
              </w:rPr>
            </w:pPr>
          </w:p>
        </w:tc>
      </w:tr>
      <w:tr>
        <w:trPr>
          <w:trHeight w:val="223"/>
        </w:trPr>
        <w:tc>
          <w:tcPr>
            <w:tcW w:w="6180" w:type="dxa"/>
            <w:vAlign w:val="bottom"/>
          </w:tcPr>
          <w:p>
            <w:pPr>
              <w:ind w:left="440"/>
              <w:spacing w:after="0"/>
              <w:rPr>
                <w:sz w:val="20"/>
                <w:szCs w:val="20"/>
                <w:color w:val="auto"/>
              </w:rPr>
            </w:pPr>
            <w:r>
              <w:rPr>
                <w:rFonts w:ascii="Arial" w:cs="Arial" w:eastAsia="Arial" w:hAnsi="Arial"/>
                <w:sz w:val="18"/>
                <w:szCs w:val="18"/>
                <w:color w:val="auto"/>
              </w:rPr>
              <w:t>Pro forma income tax expense (unaudited)</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net income (unaudited)</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36,813</w:t>
            </w:r>
          </w:p>
        </w:tc>
        <w:tc>
          <w:tcPr>
            <w:tcW w:w="0" w:type="dxa"/>
            <w:vAlign w:val="bottom"/>
          </w:tcPr>
          <w:p>
            <w:pPr>
              <w:spacing w:after="0"/>
              <w:rPr>
                <w:sz w:val="1"/>
                <w:szCs w:val="1"/>
                <w:color w:val="auto"/>
              </w:rPr>
            </w:pPr>
          </w:p>
        </w:tc>
      </w:tr>
      <w:tr>
        <w:trPr>
          <w:trHeight w:val="217"/>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36,851</w:t>
            </w:r>
          </w:p>
        </w:tc>
        <w:tc>
          <w:tcPr>
            <w:tcW w:w="0" w:type="dxa"/>
            <w:vAlign w:val="bottom"/>
          </w:tcPr>
          <w:p>
            <w:pPr>
              <w:spacing w:after="0"/>
              <w:rPr>
                <w:sz w:val="1"/>
                <w:szCs w:val="1"/>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Pro forma basic net income per share (unaudited)</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diluted net income per share (unaudited)</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February 2,</w:t>
            </w:r>
          </w:p>
        </w:tc>
        <w:tc>
          <w:tcPr>
            <w:tcW w:w="3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68,870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57,921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46,198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(707)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68,163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58,018</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46,198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2"/>
              </w:rPr>
              <w:t>Number of Shares</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4"/>
                <w:szCs w:val="14"/>
                <w:color w:val="auto"/>
              </w:rPr>
            </w:pPr>
          </w:p>
        </w:tc>
        <w:tc>
          <w:tcPr>
            <w:tcW w:w="10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Common</w:t>
            </w: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Common</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(Class A)</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(Class B)</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Common</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110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Voting</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Non-Voting</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8"/>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2010</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2,835</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35,437,712</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77,892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77,893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46,198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retained earnings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(131,691)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(131,691)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 of stock upon vesting of stock-</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based awards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28,881</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1,066,123</w:t>
            </w:r>
          </w:p>
        </w:tc>
        <w:tc>
          <w:tcPr>
            <w:tcW w:w="1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stock</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(28,881)</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7" w:lineRule="exact"/>
              <w:rPr>
                <w:sz w:val="20"/>
                <w:szCs w:val="20"/>
                <w:color w:val="auto"/>
              </w:rPr>
            </w:pPr>
            <w:r>
              <w:rPr>
                <w:rFonts w:ascii="Arial" w:cs="Arial" w:eastAsia="Arial" w:hAnsi="Arial"/>
                <w:sz w:val="18"/>
                <w:szCs w:val="18"/>
                <w:color w:val="auto"/>
              </w:rPr>
              <w:t xml:space="preserve">Reorganization </w:t>
            </w:r>
            <w:r>
              <w:rPr>
                <w:rFonts w:ascii="Arial" w:cs="Arial" w:eastAsia="Arial" w:hAnsi="Arial"/>
                <w:sz w:val="22"/>
                <w:szCs w:val="22"/>
                <w:color w:val="auto"/>
                <w:vertAlign w:val="subscript"/>
              </w:rPr>
              <w:t>(See Note 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(2,835)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(35,437,712)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35,440,547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in IPO, net of costs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56,337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15,889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2011</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3"/>
              </w:rPr>
              <w:t>40,506,670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4"/>
              </w:rPr>
              <w:t>71,923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(7,601)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57,921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Recovery of short-swing profit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4"/>
              </w:rPr>
              <w:t>Restricted shares vested, net of repurchase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taxes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28, 2012</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3"/>
              </w:rPr>
              <w:t>40,506,720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4"/>
              </w:rPr>
              <w:t>73,590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50,320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124,007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68,870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4"/>
              </w:rPr>
              <w:t>Restricted shares vested, net of repurchase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for taxes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56,336</w:t>
            </w:r>
          </w:p>
        </w:tc>
        <w:tc>
          <w:tcPr>
            <w:tcW w:w="10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7"/>
              </w:rPr>
              <w:t>Tax related benefit of restricted stock units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February 2, 2013</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3"/>
              </w:rPr>
              <w:t>40,563,056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4"/>
              </w:rPr>
              <w:t>75,675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119,190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194,255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0"/>
              </w:rPr>
              <w:t>February 2,</w:t>
            </w:r>
          </w:p>
        </w:tc>
        <w:tc>
          <w:tcPr>
            <w:tcW w:w="38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22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January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68,870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57,921</w:t>
            </w:r>
          </w:p>
        </w:tc>
        <w:tc>
          <w:tcPr>
            <w:tcW w:w="4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plant, and equipment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10,834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9,457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unamortized debt-issuance costs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(25,088)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(10,199)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(12,423)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60"/>
              <w:spacing w:after="0"/>
              <w:rPr>
                <w:sz w:val="20"/>
                <w:szCs w:val="20"/>
                <w:color w:val="auto"/>
              </w:rPr>
            </w:pPr>
            <w:r>
              <w:rPr>
                <w:rFonts w:ascii="Arial" w:cs="Arial" w:eastAsia="Arial" w:hAnsi="Arial"/>
                <w:sz w:val="18"/>
                <w:szCs w:val="18"/>
                <w:color w:val="auto"/>
              </w:rPr>
              <w:t>Accrued and other liabilities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5,758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51,492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51,516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58,466</w:t>
            </w: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(35,893)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(18,836)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Restricted cash on deposit</w:t>
            </w:r>
          </w:p>
        </w:tc>
        <w:tc>
          <w:tcPr>
            <w:tcW w:w="1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(35,893)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(18,836)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21"/>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financial-institution debt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(106,000)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(76,200)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on financial-institution debt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96,000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34,450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Payments on vendor-financed debt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Payments of debt-issuance costs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net of costs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Repurchase of stock</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distributions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Shares surrendered for tax withholding</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(738)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(10,827)</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(41,757)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(41,157)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0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4,681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(9,031)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13,953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6,509</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gridSpan w:val="2"/>
            <w:vMerge w:val="continue"/>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9,603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4,922</w:t>
            </w:r>
          </w:p>
        </w:tc>
        <w:tc>
          <w:tcPr>
            <w:tcW w:w="4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cash-flow information</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Income taxes paid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36,743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43,850</w:t>
            </w:r>
          </w:p>
        </w:tc>
        <w:tc>
          <w:tcPr>
            <w:tcW w:w="4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activity</w:t>
            </w: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Vendor-financed purchases of property, plant, and equipment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w:t>
      </w:r>
    </w:p>
    <w:p>
      <w:pPr>
        <w:spacing w:after="0" w:line="96"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Vera Bradley, Inc. was formed as an Indiana corporation on June 23, 2010, for the purpose of reorganizing the corporate structure of Vera Bradley Designs, Inc.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 owned subsidiary of Vera Bradley, Inc. Except where context requires or where otherwise indicated, the terms “Company” and “Vera Bradley”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28"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Direct and Indirect. The Direct segment consists of sales of Vera Bradley products through our 65 full-price stores, our 11 outlet stores in the United States, 15 department store locations in Japan, our websites, verabradley.com and verabradley.co.jp, and our annual outlet sale in Fort Wayne, Indiana. The Indirect business consists of sales of Vera Bradley products to approximately 3,400 specialty retailers, substantially all of which are located in the United States, as well as select department stores and third-party e-commerce sites.</w:t>
      </w:r>
    </w:p>
    <w:p>
      <w:pPr>
        <w:spacing w:after="0" w:line="19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jc w:val="both"/>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utilizes a 52-53 week fiscal year ending on the Saturday closest to January 31. As such, fiscal 2013 ended on February 2, 2013 and reflected a 53-week period; fiscal 2012 and 2011 ended on January 28, 2012, and January 29, 2011, respectively, and reflected 52-week periods. The inclusion of the 53rd week in fiscal 2013 resulted in incremental revenues of approximately $4.9 million and approximately $0.02 per diluted share.</w:t>
      </w:r>
    </w:p>
    <w:p>
      <w:pPr>
        <w:spacing w:after="0" w:line="18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Income Information</w:t>
      </w:r>
    </w:p>
    <w:p>
      <w:pPr>
        <w:spacing w:after="0" w:line="96" w:lineRule="exact"/>
        <w:rPr>
          <w:rFonts w:ascii="Arial" w:cs="Arial" w:eastAsia="Arial" w:hAnsi="Arial"/>
          <w:sz w:val="18"/>
          <w:szCs w:val="18"/>
          <w:b w:val="1"/>
          <w:bCs w:val="1"/>
          <w:color w:val="auto"/>
        </w:rPr>
      </w:pPr>
    </w:p>
    <w:p>
      <w:pPr>
        <w:ind w:left="4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Prior to the Reorganization, the Company was taxed as an “S” Corporation for purposes of federal and state income taxes. Accordingly, each of the Company’s then-shareholders was required to include his or her portion of the Company’s taxable income or loss on his or her federal and state income tax returns. As part of the Reorganization, effective October 3, 2010, the Company’s “S” Corporation status automatically terminated and the Company became subject to corporate-level federal and state income taxes at prevailing corporate rates.</w:t>
      </w:r>
    </w:p>
    <w:p>
      <w:pPr>
        <w:spacing w:after="0" w:line="31"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unaudited pro forma income information gives effect to an adjustment for income tax expense as if the Company had been a “C” Corporation at the beginning of each period presented at an assumed combined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600"/>
        <w:spacing w:after="0" w:line="268" w:lineRule="auto"/>
        <w:rPr>
          <w:sz w:val="20"/>
          <w:szCs w:val="20"/>
          <w:color w:val="auto"/>
        </w:rPr>
      </w:pPr>
      <w:r>
        <w:rPr>
          <w:rFonts w:ascii="Arial" w:cs="Arial" w:eastAsia="Arial" w:hAnsi="Arial"/>
          <w:sz w:val="18"/>
          <w:szCs w:val="18"/>
          <w:color w:val="auto"/>
        </w:rPr>
        <w:t>federal, state, and local income tax rate of 41.7% for the period from January 31, 2010, through October 2, 2010, and 40% for the fiscal year ended January 30, 2010. These rates approximate the calculated effective tax rates for the periods presented.</w:t>
      </w:r>
    </w:p>
    <w:p>
      <w:pPr>
        <w:spacing w:after="0" w:line="248" w:lineRule="exact"/>
        <w:rPr>
          <w:sz w:val="20"/>
          <w:szCs w:val="20"/>
          <w:color w:val="auto"/>
        </w:rPr>
      </w:pPr>
    </w:p>
    <w:p>
      <w:pPr>
        <w:ind w:left="460" w:right="7640" w:hanging="452"/>
        <w:spacing w:after="0" w:line="347" w:lineRule="auto"/>
        <w:tabs>
          <w:tab w:leader="none" w:pos="44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Significant Estimates</w:t>
      </w:r>
    </w:p>
    <w:p>
      <w:pPr>
        <w:spacing w:after="0" w:line="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21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Cash and cash equivalents represent cash on hand, deposits with financial institutions, and investments with an original maturity of three months or less.</w:t>
      </w:r>
    </w:p>
    <w:p>
      <w:pPr>
        <w:spacing w:after="0" w:line="26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96" w:lineRule="exact"/>
        <w:rPr>
          <w:rFonts w:ascii="Arial" w:cs="Arial" w:eastAsia="Arial" w:hAnsi="Arial"/>
          <w:sz w:val="18"/>
          <w:szCs w:val="18"/>
          <w:b w:val="1"/>
          <w:bCs w:val="1"/>
          <w:color w:val="auto"/>
        </w:rPr>
      </w:pPr>
    </w:p>
    <w:p>
      <w:pPr>
        <w:ind w:left="460" w:right="6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maintains nearly all of its cash and cash equivalents with one financial institution. The Company monitors the credit standing of this financial institution on a regular basis.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jc w:val="both"/>
        <w:ind w:left="46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are carried at cost and depreciated or amortized over the following estimated useful lives using the straight-line method:</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39.5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Furniture and fixtures, and leasehold improvements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5 – 10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Software</w:t>
            </w:r>
          </w:p>
        </w:tc>
        <w:tc>
          <w:tcPr>
            <w:tcW w:w="24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Production equipment</w:t>
            </w:r>
          </w:p>
        </w:tc>
        <w:tc>
          <w:tcPr>
            <w:tcW w:w="242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Vehicles</w:t>
            </w:r>
          </w:p>
        </w:tc>
        <w:tc>
          <w:tcPr>
            <w:tcW w:w="242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Leasehold improvements are amortized over the shorter of the life of the asset or the lease term. Lease terms typically range from five to ten years.</w:t>
      </w:r>
    </w:p>
    <w:p>
      <w:pPr>
        <w:spacing w:after="0" w:line="113"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Routine maintenance and repair costs are expensed as incurred.</w:t>
      </w:r>
    </w:p>
    <w:p>
      <w:pPr>
        <w:spacing w:after="0" w:line="90" w:lineRule="exact"/>
        <w:rPr>
          <w:sz w:val="20"/>
          <w:szCs w:val="20"/>
          <w:color w:val="auto"/>
        </w:rPr>
      </w:pPr>
    </w:p>
    <w:p>
      <w:pPr>
        <w:jc w:val="both"/>
        <w:ind w:left="460"/>
        <w:spacing w:after="0" w:line="370" w:lineRule="auto"/>
        <w:rPr>
          <w:sz w:val="20"/>
          <w:szCs w:val="20"/>
          <w:color w:val="auto"/>
        </w:rPr>
      </w:pPr>
      <w:r>
        <w:rPr>
          <w:rFonts w:ascii="Arial" w:cs="Arial" w:eastAsia="Arial" w:hAnsi="Arial"/>
          <w:sz w:val="15"/>
          <w:szCs w:val="15"/>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6"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Revenue from the sale of the Company’s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adjustment for shipments that customers have not yet received. The adjustment of these shipments is based on actual delivery dates to the customer.</w:t>
      </w:r>
    </w:p>
    <w:p>
      <w:pPr>
        <w:spacing w:after="0" w:line="3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Included in net revenues are product sales to Direct and Indirect customers, including amounts billed to customers for shipping fees. Costs related to shipping of product are classified in cost of sales in the Consolidated Statements of Income. Net revenues exclude sales taxes collected from customers and remitted to governmental authorities.</w:t>
      </w:r>
    </w:p>
    <w:p>
      <w:pPr>
        <w:spacing w:after="0" w:line="5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Historical experience provides the Company the ability to estimate reasonably the amount of product sales that customers will return. Product returns are often resalable through the Company’s annual outlet sale or other channels. The Company accounts for anticipated returns by reducing net revenues, cost of sales, and accounts receivable and increasing inventories, essentially reversing the effects of the original sales transactions. Additionally, the Company reserves for other potential product credits granted to Indirect retailers. The returns and credits reserve and the related activity for each fiscal year presented were as follows (in thousands):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5"/>
              </w:rPr>
              <w:t>Balance at</w:t>
            </w:r>
          </w:p>
        </w:tc>
        <w:tc>
          <w:tcPr>
            <w:tcW w:w="16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Provision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700" w:type="dxa"/>
            <w:vAlign w:val="bottom"/>
          </w:tcPr>
          <w:p>
            <w:pPr>
              <w:spacing w:after="0"/>
              <w:rPr>
                <w:sz w:val="12"/>
                <w:szCs w:val="12"/>
                <w:color w:val="auto"/>
              </w:rPr>
            </w:pPr>
          </w:p>
        </w:tc>
        <w:tc>
          <w:tcPr>
            <w:tcW w:w="164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Charged to</w:t>
            </w:r>
          </w:p>
        </w:tc>
        <w:tc>
          <w:tcPr>
            <w:tcW w:w="15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3"/>
              </w:rPr>
              <w:t>Allowances</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Balance at End</w:t>
            </w:r>
          </w:p>
        </w:tc>
      </w:t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Year</w:t>
            </w:r>
          </w:p>
        </w:tc>
        <w:tc>
          <w:tcPr>
            <w:tcW w:w="16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6"/>
              </w:rPr>
              <w:t>Net Revenues</w:t>
            </w:r>
          </w:p>
        </w:tc>
        <w:tc>
          <w:tcPr>
            <w:tcW w:w="150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Taken</w:t>
            </w: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Fiscal year ended February 2, 2013</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28,656</w:t>
            </w:r>
          </w:p>
        </w:tc>
        <w:tc>
          <w:tcPr>
            <w:tcW w:w="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(28,318)</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Fiscal year ended January 28, 2012</w:t>
            </w:r>
          </w:p>
        </w:tc>
        <w:tc>
          <w:tcPr>
            <w:tcW w:w="16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8"/>
                <w:szCs w:val="18"/>
                <w:color w:val="auto"/>
              </w:rPr>
              <w:t>1,265</w:t>
            </w: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20,804</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(20,262)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891</w:t>
            </w:r>
          </w:p>
        </w:tc>
        <w:tc>
          <w:tcPr>
            <w:tcW w:w="16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14,343</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(13,969)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$0.7 million and $0.6 million at February 2, 2013, and January 28, 2012, respectively.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Cost of Sales</w:t>
      </w:r>
    </w:p>
    <w:p>
      <w:pPr>
        <w:spacing w:after="0" w:line="96"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Cost of sales includes material and labor costs, freight, inventory shrinkage, operating lease costs, duty, and other operating expenses, including depreciation of the Company’s distribution center and equipment. Costs and related expenses to manufacture and distribute the products are recorded as cost of sales when the related revenues are recognized.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6"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lease credit.</w:t>
      </w:r>
    </w:p>
    <w:p>
      <w:pPr>
        <w:spacing w:after="0" w:line="2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Store Pre-Opening, Occupancy, and Operating Costs</w:t>
      </w:r>
    </w:p>
    <w:p>
      <w:pPr>
        <w:spacing w:after="0" w:line="96"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The Company accounts for stock-based compensation using the fair-value recognition provisions of ASC 718, Stock Compensation.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 For restricted-stock awards granted prior to its initial public offering, the Company recognized stock-based compensation expense over the period the restrictions were to lapse and, then, in full upon the initial public offering.</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Income and Advertising Costs</w:t>
      </w:r>
    </w:p>
    <w:p>
      <w:pPr>
        <w:spacing w:after="0" w:line="96"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advertising expense was as follows (in thousands):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February 2, 2013</w:t>
            </w:r>
          </w:p>
        </w:tc>
        <w:tc>
          <w:tcPr>
            <w:tcW w:w="2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Fiscal year ended January 28, 2012</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20,154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2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20,149</w:t>
            </w:r>
          </w:p>
        </w:tc>
        <w:tc>
          <w:tcPr>
            <w:tcW w:w="0" w:type="dxa"/>
            <w:vAlign w:val="bottom"/>
          </w:tcPr>
          <w:p>
            <w:pPr>
              <w:spacing w:after="0"/>
              <w:rPr>
                <w:sz w:val="1"/>
                <w:szCs w:val="1"/>
                <w:color w:val="auto"/>
              </w:rPr>
            </w:pPr>
          </w:p>
        </w:tc>
      </w:tr>
      <w:tr>
        <w:trPr>
          <w:trHeight w:val="376"/>
        </w:trPr>
        <w:tc>
          <w:tcPr>
            <w:tcW w:w="6620" w:type="dxa"/>
            <w:vAlign w:val="bottom"/>
            <w:gridSpan w:val="2"/>
          </w:tcPr>
          <w:p>
            <w:pPr>
              <w:spacing w:after="0"/>
              <w:rPr>
                <w:sz w:val="20"/>
                <w:szCs w:val="20"/>
                <w:color w:val="auto"/>
              </w:rPr>
            </w:pPr>
            <w:r>
              <w:rPr>
                <w:rFonts w:ascii="Arial" w:cs="Arial" w:eastAsia="Arial" w:hAnsi="Arial"/>
                <w:sz w:val="18"/>
                <w:szCs w:val="18"/>
                <w:color w:val="auto"/>
              </w:rPr>
              <w:t>Total recovery from Indirect retailers was as follows (in thousands):</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February 2, 2013</w:t>
            </w:r>
          </w:p>
        </w:tc>
        <w:tc>
          <w:tcPr>
            <w:tcW w:w="2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Fiscal year ended January 28, 2012</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7,692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2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Debt-Issuance Costs</w:t>
      </w:r>
    </w:p>
    <w:p>
      <w:pPr>
        <w:spacing w:after="0" w:line="9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During the fiscal year ended January 29, 2011, in connection with the amendment and restatement of the credit agreement (see Note 5), the Company incurred debt-issuance costs of $1.1 million and wrote off, to interest expense, $0.2 million of unamortized debt-issuance costs relating to certain portions of the original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credit agreement. The Company is amortizing the remaining debt-issuance costs to interest expense over the five-year term of the amended and restated credit agreement. Debt-issuance costs, net of accumulated amortization, totaled $0.9 million at both February 2, 2013, and January 28, 2012, and are included in other current assets and other assets on the Consolidated Balance Sheets. Amortization expense of $0.2 million, $0.3 million, and $0.3 million is included in interest expense in the Consolidated Statements of Income for the fiscal years ended February 2, 2013, January 28, 2012, and January 29, 2011, respectively.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 Instruments</w:t>
      </w:r>
    </w:p>
    <w:p>
      <w:pPr>
        <w:spacing w:after="0" w:line="96" w:lineRule="exact"/>
        <w:rPr>
          <w:sz w:val="20"/>
          <w:szCs w:val="20"/>
          <w:color w:val="auto"/>
        </w:rPr>
      </w:pPr>
    </w:p>
    <w:p>
      <w:pPr>
        <w:ind w:left="460" w:right="200"/>
        <w:spacing w:after="0" w:line="253" w:lineRule="auto"/>
        <w:rPr>
          <w:sz w:val="20"/>
          <w:szCs w:val="20"/>
          <w:color w:val="auto"/>
        </w:rPr>
      </w:pPr>
      <w:r>
        <w:rPr>
          <w:rFonts w:ascii="Arial" w:cs="Arial" w:eastAsia="Arial" w:hAnsi="Arial"/>
          <w:sz w:val="18"/>
          <w:szCs w:val="18"/>
          <w:color w:val="auto"/>
        </w:rPr>
        <w:t>To protect against the risk of adverse interest rate movement, the Company entered into two interest rate swap agreements in the fiscal year ended January 30, 2010, swapping its variable LIBOR-based interest rate on its line of credit with a fixed rate ranging from 0.79% to 1.20%. The Company did not elect hedge accounting and marked these derivative instruments to market, resulting in an insignificant liability and insignificant expense included in other accrued liabilities and selling, general, and administrative expenses as of and for the fiscal year ended January 30, 2010. The interest rate swap agreements had a total notional amount of $20.0 million, of which $10.0 million expired on February 2, 2010, and $10.0 million was terminated on November 8, 2010. The Company recognized insignificant losses upon this expiration and termination of these agreements in the fiscal year ended January 29, 2011.</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February 2, 2013, and January 28, 2012, approximated their fair values.</w:t>
      </w:r>
    </w:p>
    <w:p>
      <w:pPr>
        <w:spacing w:after="0" w:line="51" w:lineRule="exact"/>
        <w:rPr>
          <w:sz w:val="20"/>
          <w:szCs w:val="20"/>
          <w:color w:val="auto"/>
        </w:rPr>
      </w:pPr>
    </w:p>
    <w:p>
      <w:pPr>
        <w:ind w:left="460" w:right="360"/>
        <w:spacing w:after="0" w:line="332" w:lineRule="auto"/>
        <w:rPr>
          <w:sz w:val="20"/>
          <w:szCs w:val="20"/>
          <w:color w:val="auto"/>
        </w:rPr>
      </w:pPr>
      <w:r>
        <w:rPr>
          <w:rFonts w:ascii="Arial" w:cs="Arial" w:eastAsia="Arial" w:hAnsi="Arial"/>
          <w:sz w:val="16"/>
          <w:szCs w:val="16"/>
          <w:color w:val="auto"/>
        </w:rPr>
        <w:t>The carrying amount for the amended and restated credit agreement (“credit agreement”) approximates fair value at February 2, 2013, and January 28, 2012, as the interest rates of these borrowings fluctuate with the market. The credit agreement falls within Level 2 of the fair value hierarchy.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The Company accrues income taxes payable or refundable and recognizes deferred tax assets and liabilities based on differences between the GAAP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2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left="460" w:right="20"/>
        <w:spacing w:after="0" w:line="312" w:lineRule="auto"/>
        <w:rPr>
          <w:sz w:val="20"/>
          <w:szCs w:val="20"/>
          <w:color w:val="auto"/>
        </w:rPr>
      </w:pPr>
      <w:r>
        <w:rPr>
          <w:rFonts w:ascii="Arial" w:cs="Arial" w:eastAsia="Arial" w:hAnsi="Arial"/>
          <w:sz w:val="15"/>
          <w:szCs w:val="15"/>
          <w:color w:val="auto"/>
        </w:rPr>
        <w:t>In June 2011, the Financial Accounting Standards Board (“FASB”) issued Accounting Standards Update (“ASU”) 2011-05, C</w:t>
      </w:r>
      <w:r>
        <w:rPr>
          <w:rFonts w:ascii="Arial" w:cs="Arial" w:eastAsia="Arial" w:hAnsi="Arial"/>
          <w:sz w:val="15"/>
          <w:szCs w:val="15"/>
          <w:i w:val="1"/>
          <w:iCs w:val="1"/>
          <w:color w:val="auto"/>
        </w:rPr>
        <w:t>omprehensive Income –</w:t>
      </w:r>
      <w:r>
        <w:rPr>
          <w:rFonts w:ascii="Arial" w:cs="Arial" w:eastAsia="Arial" w:hAnsi="Arial"/>
          <w:sz w:val="15"/>
          <w:szCs w:val="15"/>
          <w:color w:val="auto"/>
        </w:rPr>
        <w:t xml:space="preserve"> </w:t>
      </w:r>
      <w:r>
        <w:rPr>
          <w:rFonts w:ascii="Arial" w:cs="Arial" w:eastAsia="Arial" w:hAnsi="Arial"/>
          <w:sz w:val="15"/>
          <w:szCs w:val="15"/>
          <w:i w:val="1"/>
          <w:iCs w:val="1"/>
          <w:color w:val="auto"/>
        </w:rPr>
        <w:t>Presentation of Comprehensive Income</w:t>
      </w:r>
      <w:r>
        <w:rPr>
          <w:rFonts w:ascii="Arial" w:cs="Arial" w:eastAsia="Arial" w:hAnsi="Arial"/>
          <w:sz w:val="15"/>
          <w:szCs w:val="15"/>
          <w:color w:val="auto"/>
        </w:rPr>
        <w:t>. This guidance eliminates the option to present the components of other comprehensive income as part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Shareholders’ Equity. Instead, the Company must report comprehensive income in either a single continuous statement of comprehensive income which contains two sections, net income and other comprehensive income, or in two separate but consecutive statements. While the new guidance changes the presentation of comprehensive income, there are no changes to the components that are recognized in net income or other comprehensive income under current accounting guidance. The guidance is effective for fiscal years beginning after December 15, 2011. In accordance with this guidance, we have presented two separate but consecutive statements which include the components of net income and other comprehensive income.</w:t>
      </w:r>
    </w:p>
    <w:p>
      <w:pPr>
        <w:spacing w:after="0" w:line="105"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 xml:space="preserve">In May 2011, FASB issued ASU 2011-04, </w:t>
      </w:r>
      <w:r>
        <w:rPr>
          <w:rFonts w:ascii="Arial" w:cs="Arial" w:eastAsia="Arial" w:hAnsi="Arial"/>
          <w:sz w:val="18"/>
          <w:szCs w:val="18"/>
          <w:i w:val="1"/>
          <w:iCs w:val="1"/>
          <w:color w:val="auto"/>
        </w:rPr>
        <w:t>Fair Value Measurement – Amendments to Achieve Common Fair Value Measurement and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in U.S. GAAP and IFRS. </w:t>
      </w:r>
      <w:r>
        <w:rPr>
          <w:rFonts w:ascii="Arial" w:cs="Arial" w:eastAsia="Arial" w:hAnsi="Arial"/>
          <w:sz w:val="18"/>
          <w:szCs w:val="18"/>
          <w:color w:val="auto"/>
        </w:rPr>
        <w:t>The guidance requires additional disclosures, including disclosures related to the measurement of level 3 assets.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is effective for interim and annual periods beginning after December 15, 2011 and is applied prospectively. The adoption of this pronouncement did not have a material impact on our consolidated financial statements.</w:t>
      </w:r>
    </w:p>
    <w:p>
      <w:pPr>
        <w:spacing w:after="0" w:line="25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0"/>
              </w:rPr>
              <w:t>February 2,</w:t>
            </w:r>
          </w:p>
        </w:tc>
        <w:tc>
          <w:tcPr>
            <w:tcW w:w="6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r>
      <w:tr>
        <w:trPr>
          <w:trHeight w:val="161"/>
        </w:trPr>
        <w:tc>
          <w:tcPr>
            <w:tcW w:w="6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111,236</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95,527</w:t>
            </w:r>
          </w:p>
        </w:tc>
        <w:tc>
          <w:tcPr>
            <w:tcW w:w="120" w:type="dxa"/>
            <w:vAlign w:val="bottom"/>
            <w:shd w:val="clear" w:color="auto" w:fill="CCEEFF"/>
          </w:tcPr>
          <w:p>
            <w:pPr>
              <w:spacing w:after="0"/>
              <w:rPr>
                <w:sz w:val="18"/>
                <w:szCs w:val="18"/>
                <w:color w:val="auto"/>
              </w:rPr>
            </w:pPr>
          </w:p>
        </w:tc>
      </w:tr>
      <w:tr>
        <w:trPr>
          <w:trHeight w:val="222"/>
        </w:trPr>
        <w:tc>
          <w:tcPr>
            <w:tcW w:w="648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131,562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106,967</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consisted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61"/>
        </w:trPr>
        <w:tc>
          <w:tcPr>
            <w:tcW w:w="8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29,163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16,182</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leasehold improvements and computer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74,379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56,510</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Production equipment and vehicles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19,947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12,685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128,948</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94,184</w:t>
            </w:r>
          </w:p>
        </w:tc>
        <w:tc>
          <w:tcPr>
            <w:tcW w:w="0" w:type="dxa"/>
            <w:vAlign w:val="bottom"/>
          </w:tcPr>
          <w:p>
            <w:pPr>
              <w:spacing w:after="0"/>
              <w:rPr>
                <w:sz w:val="1"/>
                <w:szCs w:val="1"/>
                <w:color w:val="auto"/>
              </w:rPr>
            </w:pPr>
          </w:p>
        </w:tc>
      </w:tr>
      <w:tr>
        <w:trPr>
          <w:trHeight w:val="218"/>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2"/>
              </w:rPr>
              <w:t>(51,737)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(41,872)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44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77,211</w:t>
            </w:r>
          </w:p>
        </w:tc>
        <w:tc>
          <w:tcPr>
            <w:tcW w:w="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52,312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property, plant, and equipment are less than the carrying value, the Company recognizes a loss equal to the difference between the carrying value and the fair value, as further defined in Note 2. An impairment charge of $0.2 million was recognized in the fiscal year ended February 2, 2013, for assets related to an underperforming store and is included in selling, general, and administrative expenses in the Consolidated Statements of Income and in depreciation and amortization of property, plant, and equipment in the Consolidated Statements of Cash Flows. The Company did not record any impairment charges in fiscal 2012 or fiscal 2011.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associated with property, plant, and equipment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February 2, 2013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Fiscal year ended January 28, 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73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7340" w:type="dxa"/>
            <w:vAlign w:val="bottom"/>
            <w:gridSpan w:val="3"/>
          </w:tcPr>
          <w:p>
            <w:pPr>
              <w:ind w:left="160"/>
              <w:spacing w:after="0"/>
              <w:rPr>
                <w:sz w:val="20"/>
                <w:szCs w:val="20"/>
                <w:color w:val="auto"/>
              </w:rPr>
            </w:pPr>
            <w:r>
              <w:rPr>
                <w:rFonts w:ascii="Arial" w:cs="Arial" w:eastAsia="Arial" w:hAnsi="Arial"/>
                <w:sz w:val="18"/>
                <w:szCs w:val="18"/>
                <w:color w:val="auto"/>
              </w:rPr>
              <w:t>Long-term debt consisted of the following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February 2,</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6"/>
          </w:tcPr>
          <w:p>
            <w:pPr>
              <w:ind w:left="26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Financial-institution debt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15,095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25,184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15,037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25,095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340" w:type="dxa"/>
            <w:vAlign w:val="bottom"/>
            <w:gridSpan w:val="3"/>
            <w:vMerge w:val="restart"/>
          </w:tcPr>
          <w:p>
            <w:pPr>
              <w:ind w:left="160"/>
              <w:spacing w:after="0"/>
              <w:rPr>
                <w:sz w:val="20"/>
                <w:szCs w:val="20"/>
                <w:color w:val="auto"/>
              </w:rPr>
            </w:pPr>
            <w:r>
              <w:rPr>
                <w:rFonts w:ascii="Arial" w:cs="Arial" w:eastAsia="Arial" w:hAnsi="Arial"/>
                <w:sz w:val="18"/>
                <w:szCs w:val="18"/>
                <w:color w:val="auto"/>
                <w:w w:val="89"/>
              </w:rPr>
              <w:t>Future principal payments during the next five years are as follows (in thousands and by fiscal year):</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00" w:type="dxa"/>
            <w:vAlign w:val="bottom"/>
          </w:tcPr>
          <w:p>
            <w:pPr>
              <w:spacing w:after="0"/>
              <w:rPr>
                <w:sz w:val="24"/>
                <w:szCs w:val="24"/>
                <w:color w:val="auto"/>
              </w:rPr>
            </w:pPr>
          </w:p>
        </w:tc>
        <w:tc>
          <w:tcPr>
            <w:tcW w:w="7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540" w:type="dxa"/>
            <w:vAlign w:val="bottom"/>
            <w:gridSpan w:val="2"/>
            <w:vMerge w:val="restart"/>
          </w:tcPr>
          <w:p>
            <w:pPr>
              <w:spacing w:after="0"/>
              <w:rPr>
                <w:sz w:val="17"/>
                <w:szCs w:val="17"/>
                <w:color w:val="auto"/>
              </w:rPr>
            </w:pPr>
          </w:p>
        </w:tc>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center"/>
              <w:ind w:left="154"/>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15,000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center"/>
              <w:ind w:left="154"/>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15,095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On October 4, 2010, Vera Bradley Designs, Inc. entered into an agreement to amend and restate its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the Company.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February 2,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February 2, 2013, the interest rate on the $15.0 million of outstanding borrowings under the credit agreement was 1.30%. The Company had borrowing availability of $110.0 million under the agreement as of February 2, 2013.</w:t>
      </w:r>
    </w:p>
    <w:p>
      <w:pPr>
        <w:spacing w:after="0" w:line="35"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24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October 3, 2010, as part of the Reorganization described in Note 1, the Company’s “S” Corporation status automatically terminated and the Company became subject to corporate-level federal and state income taxes at prevailing corporate rates.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were as follows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January 28,</w:t>
            </w:r>
          </w:p>
        </w:tc>
        <w:tc>
          <w:tcPr>
            <w:tcW w:w="7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r>
      <w:tr>
        <w:trPr>
          <w:trHeight w:val="161"/>
        </w:trPr>
        <w:tc>
          <w:tcPr>
            <w:tcW w:w="5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2013</w:t>
            </w: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38,065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31,437</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8,881</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Pr>
          <w:p>
            <w:pPr>
              <w:ind w:left="44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42,062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35,465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10,939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(4,497)</w:t>
            </w: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(1,465)</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1,638</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(5,443)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40,597</w:t>
            </w: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37,103</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breakdown of the Company’s income before income taxes is as follows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February 2,</w:t>
            </w:r>
          </w:p>
        </w:tc>
        <w:tc>
          <w:tcPr>
            <w:tcW w:w="3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3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29,</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312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$ 111,660</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96,370</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51,578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Foreign</w:t>
            </w:r>
          </w:p>
        </w:tc>
        <w:tc>
          <w:tcPr>
            <w:tcW w:w="2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(2,193)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income before income taxes</w:t>
            </w:r>
          </w:p>
        </w:tc>
        <w:tc>
          <w:tcPr>
            <w:tcW w:w="2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$ 109,467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95,024</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20" w:type="dxa"/>
            <w:vAlign w:val="bottom"/>
            <w:vMerge w:val="restart"/>
          </w:tcPr>
          <w:p>
            <w:pPr>
              <w:jc w:val="right"/>
              <w:ind w:right="1002"/>
              <w:spacing w:after="0"/>
              <w:rPr>
                <w:sz w:val="20"/>
                <w:szCs w:val="20"/>
                <w:color w:val="auto"/>
              </w:rPr>
            </w:pPr>
            <w:r>
              <w:rPr>
                <w:rFonts w:ascii="Arial" w:cs="Arial" w:eastAsia="Arial" w:hAnsi="Arial"/>
                <w:sz w:val="18"/>
                <w:szCs w:val="18"/>
                <w:color w:val="auto"/>
              </w:rPr>
              <w:t>62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income tax expense to the amount computed at the federal statutory rate is as follows for the fiscal years ended February 2, 2013, and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January 28, 2012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February 2,</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January 28,</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January 29,</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taxes at statutory rate</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$38,312</w:t>
            </w:r>
          </w:p>
        </w:tc>
        <w:tc>
          <w:tcPr>
            <w:tcW w:w="4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35.0%</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$33,258</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18,093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1,871</w:t>
            </w: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2,624</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1,243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operations</w:t>
            </w:r>
          </w:p>
        </w:tc>
        <w:tc>
          <w:tcPr>
            <w:tcW w:w="10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(0.1)</w:t>
            </w:r>
          </w:p>
        </w:tc>
        <w:tc>
          <w:tcPr>
            <w:tcW w:w="122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effect of earnings not subject to federal inc. tax due to S-Corp status</w:t>
            </w:r>
          </w:p>
        </w:tc>
        <w:tc>
          <w:tcPr>
            <w:tcW w:w="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(13,464)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(26.0)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stock-based compensation</w:t>
            </w:r>
          </w:p>
        </w:tc>
        <w:tc>
          <w:tcPr>
            <w:tcW w:w="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1,198</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Impact of change in tax status</w:t>
            </w:r>
          </w:p>
        </w:tc>
        <w:tc>
          <w:tcPr>
            <w:tcW w:w="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(1,760)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Foreign valuation allowance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4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600</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Valuation allowance on capital loss</w:t>
            </w:r>
          </w:p>
        </w:tc>
        <w:tc>
          <w:tcPr>
            <w:tcW w:w="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194</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(0.3)</w:t>
            </w:r>
          </w:p>
        </w:tc>
        <w:tc>
          <w:tcPr>
            <w:tcW w:w="122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502</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186</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income tax expense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6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40,597</w:t>
            </w:r>
          </w:p>
        </w:tc>
        <w:tc>
          <w:tcPr>
            <w:tcW w:w="4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37.1%</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37,103</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39.0%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5,496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During fiscal year 2013, the Company continued retail operations in Japan which began in fiscal 2012. During the fiscal year, these retail activities incurred a loss. The Company has not recorded a tax benefit for this loss due to the uncertainty regarding the future realizability of the tax benefit of this loss. Accordingly, a valuation allowance of $0.9 million was recorded for the Japanese entity. If not used, this carryforward will expire in fiscal year 2020.</w:t>
      </w:r>
    </w:p>
    <w:p>
      <w:pPr>
        <w:spacing w:after="0" w:line="26"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During fiscal year 2012, the Company began retail operations in Japan. During the first 12 months of operations, these retail activities incurred a loss. The Company has not recorded a tax benefit for this loss due to the uncertainty regarding the future realizability of the tax benefit of this loss. Accordingly, a valuation allowance of $0.6 million was recorded for the Japanese entity. If not used, this carryforward will expire in fiscal year 2019.</w:t>
      </w:r>
    </w:p>
    <w:p>
      <w:pPr>
        <w:spacing w:after="0" w:line="26"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Prior to October 3, 2010, Vera Bradley Designs, Inc. was taxed as an “S” Corporation for federal income tax purposed under Section 1362 of the Internal Revenue Code, and therefore was not subject to federal and state income taxes (subject to exception in a limited number of state and local jurisdictions that do not recognize the “S” Corporation status). As a result of the conversion to a “C” Corporation, the Company recorded a net deferred tax asset and one-time deferred tax benefit of $1.8 million in fiscal year 2011. This benefit of $1.8 million reflects the company’s original estimate of the one-time benefit as well as changes to that estimate resulting from intervening enactments of depreciation-related tax legislation and the Company’s completion of its final “S” Corporation tax return. In addition, during the portion of fiscal year 2011 in which it operated as a “C” Corporation, the company recognized stock-based compensation expense associated with restricted-stock awards, a portion of which was permanently non-deductible, the tax impact of which was $1.2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GAAP and tax bases of assets and liabilities. Significant components of deferred tax assets and liabilities were as follows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1220" w:type="dxa"/>
            <w:vAlign w:val="bottom"/>
            <w:gridSpan w:val="4"/>
          </w:tcPr>
          <w:p>
            <w:pPr>
              <w:ind w:left="42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4,202</w:t>
            </w:r>
          </w:p>
        </w:tc>
        <w:tc>
          <w:tcPr>
            <w:tcW w:w="460" w:type="dxa"/>
            <w:vAlign w:val="bottom"/>
          </w:tcPr>
          <w:p>
            <w:pPr>
              <w:spacing w:after="0"/>
              <w:rPr>
                <w:sz w:val="18"/>
                <w:szCs w:val="18"/>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Deferred credits from landlords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operating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Subtotal deferred tax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Less: valuation allowances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(1,679)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(1,627)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(11,498)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gridSpan w:val="2"/>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5,270</w:t>
            </w:r>
          </w:p>
        </w:tc>
        <w:tc>
          <w:tcPr>
            <w:tcW w:w="460" w:type="dxa"/>
            <w:vAlign w:val="bottom"/>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beginning and ending gross amount of unrecognized tax benefits (excluding interest and penalties) for the fiscal years ended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2, 2013, and January 28, 2012, is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4"/>
              </w:rPr>
              <w:t>February 2,</w:t>
            </w:r>
          </w:p>
        </w:tc>
        <w:tc>
          <w:tcPr>
            <w:tcW w:w="8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28,</w:t>
            </w:r>
          </w:p>
        </w:tc>
      </w:tr>
      <w:tr>
        <w:trPr>
          <w:trHeight w:val="161"/>
        </w:trPr>
        <w:tc>
          <w:tcPr>
            <w:tcW w:w="8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887</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441</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Increases in unrecognized tax benefits as a result of current-year activity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349</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446</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Increases for unrecognized tax benefits of prior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1,236</w:t>
            </w:r>
          </w:p>
        </w:tc>
        <w:tc>
          <w:tcPr>
            <w:tcW w:w="10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w w:val="79"/>
              </w:rPr>
              <w:t>887</w:t>
            </w:r>
          </w:p>
        </w:tc>
        <w:tc>
          <w:tcPr>
            <w:tcW w:w="10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As of February 2, 2013, of the $1.2 million of total unrecognized tax benefits, $0.8 million, which is net of federal benefit, would, if recognized, favorably affect the effective tax rate in future periods. It is unlikely that any of total unrecognized tax benefits as of February 2, 2013, will change in the next twelve months. The Company recognized $0.5 million and $0.02 million of interest only, no penalties, related to unrecognized tax benefits in the fiscal years ended January 28, 2012 and January 29, 2011.</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Income tax returns for calendar year 2010 to present are open for examination in the federal jurisdiction and in significant state jurisdictions. Taxable income/loss in foreign jurisdictions are not material.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is party to non-cancellable operating leases. Future minimum lease payments under the non-cancelable operating leases through expiration are as follows (in thousands and by fiscal year):</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Non-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Related</w:t>
            </w:r>
          </w:p>
        </w:tc>
        <w:tc>
          <w:tcPr>
            <w:tcW w:w="60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Related</w:t>
            </w:r>
          </w:p>
        </w:tc>
      </w:tr>
      <w:tr>
        <w:trPr>
          <w:trHeight w:val="161"/>
        </w:trPr>
        <w:tc>
          <w:tcPr>
            <w:tcW w:w="37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Party</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Party</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19,510</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635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2015</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19,505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518</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2017</w:t>
            </w: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19,712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Thereafter</w:t>
            </w:r>
          </w:p>
        </w:tc>
        <w:tc>
          <w:tcPr>
            <w:tcW w:w="3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62,909</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7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160,509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1,153</w:t>
            </w:r>
          </w:p>
        </w:tc>
        <w:tc>
          <w:tcPr>
            <w:tcW w:w="100" w:type="dxa"/>
            <w:vAlign w:val="bottom"/>
            <w:shd w:val="clear" w:color="auto" w:fill="CCEEFF"/>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Rental expense for all leases was as follows (in thousands):</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February 2, 2013</w:t>
            </w:r>
          </w:p>
        </w:tc>
        <w:tc>
          <w:tcPr>
            <w:tcW w:w="2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$20,609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Fiscal year ended January 28, 2012</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2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Percentage rent was $2.3 million, $1.6 million and $0.7 million for fiscal years ended February 2, 2013, January 28, 2012, and January 29, 2011, respectively.</w:t>
      </w:r>
    </w:p>
    <w:p>
      <w:pPr>
        <w:spacing w:after="0" w:line="62"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color w:val="auto"/>
        </w:rPr>
        <w:t>The Company leases two of its facilities from leasing companies owned by certain shareholders and directors. In March 2011, we extended our lease with Milburn LLC. Lease expense related to this arrangement with Milburn, LLC, was $0.2 million in each of the fiscal years ended February 2, 2013, January 28, 2012, and January 29, 2011, respectively. In March 2011, we entered into a lease with Great Dane Realty, LLC, a company owned by Barbara Bradley Baekgaard. Lease expense for fiscal years ended February 2, 2013, and January 28, 2012, related to this arrangement with Great Dane Realty, LLC, was approximately $0.5 million and $0.4 million, respectively.</w:t>
      </w:r>
    </w:p>
    <w:p>
      <w:pPr>
        <w:spacing w:after="0" w:line="23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96" w:lineRule="exact"/>
        <w:rPr>
          <w:rFonts w:ascii="Arial" w:cs="Arial" w:eastAsia="Arial" w:hAnsi="Arial"/>
          <w:sz w:val="18"/>
          <w:szCs w:val="18"/>
          <w:b w:val="1"/>
          <w:bCs w:val="1"/>
          <w:color w:val="auto"/>
        </w:rPr>
      </w:pPr>
    </w:p>
    <w:p>
      <w:pPr>
        <w:ind w:left="460" w:right="5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July 1, 2010, the Company initially filed its Registration Statement with the SEC. The Registration Statement, as amended, became effective on October 20, 2010, and the initial public offering (“IPO”) closed on October 26, 2010. As part of the IPO, the Company sold 4,000,000 shares of its common stock, raising net proceeds of approximately $56.3 million, after deducting the underwriting discount and costs incurred related to the IPO.</w:t>
      </w:r>
    </w:p>
    <w:p>
      <w:pPr>
        <w:spacing w:after="0" w:line="25" w:lineRule="exact"/>
        <w:rPr>
          <w:rFonts w:ascii="Arial" w:cs="Arial" w:eastAsia="Arial" w:hAnsi="Arial"/>
          <w:sz w:val="18"/>
          <w:szCs w:val="18"/>
          <w:b w:val="1"/>
          <w:bCs w:val="1"/>
          <w:color w:val="auto"/>
        </w:rPr>
      </w:pPr>
    </w:p>
    <w:p>
      <w:pPr>
        <w:ind w:left="460"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conjunction with the Reorganization described in Note 1, on October 3, 2010, the Company distributed to its then-shareholders, in proportion to their share ownership, notes in an aggregate principal amount of $106.0 million, or 100% of the Company’s undistributed taxable income from the date of formation through October 2, 2010, the day prior to the date on which Vera Bradley Designs, Inc. terminated its “S” Corporation status. The Company recorded this distribution through an adjustment to retained earnings. On October 29, 2010, using the net proceeds from the IPO together with borrowings under the amended and restated credit agreement, the Company paid in full the principal amount of, and the interest due on, the notes.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jc w:val="both"/>
        <w:ind w:left="460" w:right="180"/>
        <w:spacing w:after="0" w:line="298" w:lineRule="auto"/>
        <w:rPr>
          <w:sz w:val="20"/>
          <w:szCs w:val="20"/>
          <w:color w:val="auto"/>
        </w:rPr>
      </w:pPr>
      <w:r>
        <w:rPr>
          <w:rFonts w:ascii="Arial" w:cs="Arial" w:eastAsia="Arial" w:hAnsi="Arial"/>
          <w:sz w:val="16"/>
          <w:szCs w:val="16"/>
          <w:color w:val="auto"/>
        </w:rPr>
        <w:t>Also in conjunction with the Reorganization, on October 18, 2010, the Company recapitalized all of its Class A Voting Common Stock and Class B Non-Voting Common Stock into a single class of common stock and effectuated a 35.437-for-1 stock split of all outstanding shares of its common stock. The Company’s articles of incorporation, as amended on October 18, 2010, authorize 200,000,000 shares of common stock and 5,000,000 shares of preferred stock. No preferred stock was issued or outstanding as of February 2, 2013, or January 28, 2012.</w:t>
      </w:r>
    </w:p>
    <w:p>
      <w:pPr>
        <w:spacing w:after="0" w:line="22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60" w:right="42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Company’s stock-based compensation consists of awards of restricted stock and restricted stock units. The Company recognized stock-based compensation expense of $2.8 million and $1.6 million, in the fiscal years ended February 2, 2013, and January 28, 2012, respectively. The Company recognized stock-based compensation expense of $15.9 million, and a related tax benefit of $3.1 million, in the fiscal year ended January 29, 2011.</w:t>
      </w:r>
    </w:p>
    <w:p>
      <w:pPr>
        <w:spacing w:after="0" w:line="16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Restricted-Stock Units</w:t>
      </w:r>
    </w:p>
    <w:p>
      <w:pPr>
        <w:spacing w:after="0" w:line="90"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50"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February 2, 2013, the Company granted a total of 179,865 time-based and performance-based restricted stock units to certain employees under the 2010 Equity and Incentive Plan with an aggregate fair value of $5.3 million. The Company determined the fair value of the units based on the closing price of the Company’s common stock on the grant date.</w:t>
      </w:r>
    </w:p>
    <w:p>
      <w:pPr>
        <w:spacing w:after="0" w:line="59"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time-based restricted stock units vest and settle in shares of the Company’s common stock, on a one-for-one basis, in equal installments on each of the first three anniversaries of the grant date. The Company is recognizing the expense relating to these awards, net of estimated forfeitures, on a straight-line basis over three years.</w:t>
      </w:r>
    </w:p>
    <w:p>
      <w:pPr>
        <w:spacing w:after="0" w:line="59"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 recognizing the expense relating to these units, net of estimated forfeitures and based on the probable outcome of achievement of the net income targets, on a straight-line basis over three years.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information about restricted-stock units as of and for the year ended February 2, 2013 (units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4"/>
              </w:rPr>
              <w:t>Time-based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Performance-based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80" w:type="dxa"/>
            <w:vAlign w:val="bottom"/>
            <w:gridSpan w:val="6"/>
          </w:tcPr>
          <w:p>
            <w:pPr>
              <w:ind w:left="320"/>
              <w:spacing w:after="0"/>
              <w:rPr>
                <w:sz w:val="20"/>
                <w:szCs w:val="20"/>
                <w:color w:val="auto"/>
              </w:rPr>
            </w:pPr>
            <w:r>
              <w:rPr>
                <w:rFonts w:ascii="Arial" w:cs="Arial" w:eastAsia="Arial" w:hAnsi="Arial"/>
                <w:sz w:val="14"/>
                <w:szCs w:val="14"/>
                <w:b w:val="1"/>
                <w:bCs w:val="1"/>
                <w:color w:val="auto"/>
              </w:rPr>
              <w:t>Restricted Stock Units</w:t>
            </w:r>
          </w:p>
        </w:tc>
        <w:tc>
          <w:tcPr>
            <w:tcW w:w="20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8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6"/>
              </w:rPr>
              <w:t>Grant</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w w:val="90"/>
              </w:rPr>
              <w:t>Date Fair</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jc w:val="right"/>
              <w:ind w:right="652"/>
              <w:spacing w:after="0" w:line="149" w:lineRule="exact"/>
              <w:rPr>
                <w:sz w:val="20"/>
                <w:szCs w:val="20"/>
                <w:color w:val="auto"/>
              </w:rPr>
            </w:pPr>
            <w:r>
              <w:rPr>
                <w:rFonts w:ascii="Arial" w:cs="Arial" w:eastAsia="Arial" w:hAnsi="Arial"/>
                <w:sz w:val="14"/>
                <w:szCs w:val="14"/>
                <w:b w:val="1"/>
                <w:bCs w:val="1"/>
                <w:color w:val="auto"/>
                <w:w w:val="85"/>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Value</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gridSpan w:val="2"/>
          </w:tcPr>
          <w:p>
            <w:pPr>
              <w:jc w:val="right"/>
              <w:ind w:right="81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142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8"/>
              </w:rPr>
              <w:t>(per unit)</w:t>
            </w: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Units</w:t>
            </w:r>
          </w:p>
        </w:tc>
        <w:tc>
          <w:tcPr>
            <w:tcW w:w="36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(per unit)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 outstanding at January 28, 2012</w:t>
            </w:r>
          </w:p>
        </w:tc>
        <w:tc>
          <w:tcPr>
            <w:tcW w:w="1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8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2700" w:type="dxa"/>
            <w:vAlign w:val="bottom"/>
            <w:gridSpan w:val="3"/>
          </w:tcPr>
          <w:p>
            <w:pPr>
              <w:jc w:val="right"/>
              <w:ind w:right="652"/>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29.76</w:t>
            </w:r>
          </w:p>
        </w:tc>
        <w:tc>
          <w:tcPr>
            <w:tcW w:w="8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0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8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tcPr>
          <w:p>
            <w:pPr>
              <w:spacing w:after="0"/>
              <w:rPr>
                <w:sz w:val="18"/>
                <w:szCs w:val="18"/>
                <w:color w:val="auto"/>
              </w:rPr>
            </w:pPr>
          </w:p>
        </w:tc>
        <w:tc>
          <w:tcPr>
            <w:tcW w:w="1340" w:type="dxa"/>
            <w:vAlign w:val="bottom"/>
            <w:gridSpan w:val="2"/>
          </w:tcPr>
          <w:p>
            <w:pPr>
              <w:jc w:val="right"/>
              <w:ind w:right="592"/>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31.40</w:t>
            </w:r>
          </w:p>
        </w:tc>
        <w:tc>
          <w:tcPr>
            <w:tcW w:w="8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outstanding at February 2, 2013</w:t>
            </w:r>
          </w:p>
        </w:tc>
        <w:tc>
          <w:tcPr>
            <w:tcW w:w="1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60" w:type="dxa"/>
            <w:vAlign w:val="bottom"/>
            <w:vMerge w:val="restart"/>
          </w:tcPr>
          <w:p>
            <w:pPr>
              <w:jc w:val="right"/>
              <w:ind w:right="232"/>
              <w:spacing w:after="0"/>
              <w:rPr>
                <w:sz w:val="20"/>
                <w:szCs w:val="20"/>
                <w:color w:val="auto"/>
              </w:rPr>
            </w:pPr>
            <w:r>
              <w:rPr>
                <w:rFonts w:ascii="Arial" w:cs="Arial" w:eastAsia="Arial" w:hAnsi="Arial"/>
                <w:sz w:val="18"/>
                <w:szCs w:val="18"/>
                <w:color w:val="auto"/>
              </w:rPr>
              <w:t>66</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As of February 2, 2013, there was $4.5 million of total unrecognized compensation cost, net of estimated forfeitures, related to nonvested restricted stock units. That cost is expected to be recognized over a weighted average period of 1.9 years. The total fair value of restricted stock units for which restrictions lapsed (vested) during 2013 was $2.4 million. No restricted-stock awards were granted, vested, or forfeited for the year ended February 2, 2013.</w:t>
      </w:r>
    </w:p>
    <w:p>
      <w:pPr>
        <w:spacing w:after="0" w:line="20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regulatory, environmental, and other matters. Management believes that it is not reasonably possible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401(k) Profit Sharing Plan and Trust</w:t>
      </w:r>
    </w:p>
    <w:p>
      <w:pPr>
        <w:spacing w:after="0" w:line="9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profit sharing plan and trust for all qualified employees and provides a 50% match of an employee’s contribution to the plan up to a maximum employer contribution of either 10% of the employee’s annual compensation or the annual legal allowable contribution limit, whichever is lower. Additionally, the Company has the option of making discretionary profit sharing payments to the plan as approved by the board of directors. As of February 2, 2013, and January 28, 2012, no discretionary profit sharing payments had been approved. Total Company contributions to the plan were as follows (in thousands):</w:t>
      </w:r>
    </w:p>
    <w:p>
      <w:pPr>
        <w:spacing w:after="0" w:line="19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February 2, 2013</w:t>
            </w:r>
          </w:p>
        </w:tc>
        <w:tc>
          <w:tcPr>
            <w:tcW w:w="2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Fiscal year ended January 28, 2012</w:t>
            </w:r>
          </w:p>
        </w:tc>
        <w:tc>
          <w:tcPr>
            <w:tcW w:w="2940" w:type="dxa"/>
            <w:vAlign w:val="bottom"/>
          </w:tcPr>
          <w:p>
            <w:pPr>
              <w:jc w:val="right"/>
              <w:ind w:right="12"/>
              <w:spacing w:after="0"/>
              <w:rPr>
                <w:sz w:val="20"/>
                <w:szCs w:val="20"/>
                <w:color w:val="auto"/>
              </w:rPr>
            </w:pPr>
            <w:r>
              <w:rPr>
                <w:rFonts w:ascii="Arial" w:cs="Arial" w:eastAsia="Arial" w:hAnsi="Arial"/>
                <w:sz w:val="18"/>
                <w:szCs w:val="18"/>
                <w:color w:val="auto"/>
              </w:rPr>
              <w:t>1,231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2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1,019</w:t>
            </w:r>
          </w:p>
        </w:tc>
      </w:tr>
    </w:tbl>
    <w:p>
      <w:pPr>
        <w:spacing w:after="0" w:line="26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two of its facilities from a leasing company owned by certain shareholders and directors, as described further in Note 7.</w:t>
      </w:r>
    </w:p>
    <w:p>
      <w:pPr>
        <w:spacing w:after="0" w:line="113" w:lineRule="exact"/>
        <w:rPr>
          <w:rFonts w:ascii="Arial" w:cs="Arial" w:eastAsia="Arial" w:hAnsi="Arial"/>
          <w:sz w:val="18"/>
          <w:szCs w:val="18"/>
          <w:b w:val="1"/>
          <w:bCs w:val="1"/>
          <w:color w:val="auto"/>
        </w:rPr>
      </w:pPr>
    </w:p>
    <w:p>
      <w:pPr>
        <w:jc w:val="both"/>
        <w:ind w:left="460" w:righ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June 2011, the Company sold certain life insurance policies on the lives of its founders, who are also directors and officers of the Company, to the insureds at the fair market value of $0.7 million. The cash surrender value of the policies was $0.6 million, resulting in a $0.1 million gain. The cash surrender value was included in other assets prior to the sale and the gain on the sale was recorded in other income. Other life insurance policies not purchased by the insureds were terminated.</w:t>
      </w:r>
    </w:p>
    <w:p>
      <w:pPr>
        <w:spacing w:after="0" w:line="62" w:lineRule="exact"/>
        <w:rPr>
          <w:rFonts w:ascii="Arial" w:cs="Arial" w:eastAsia="Arial" w:hAnsi="Arial"/>
          <w:sz w:val="18"/>
          <w:szCs w:val="18"/>
          <w:b w:val="1"/>
          <w:bCs w:val="1"/>
          <w:color w:val="auto"/>
        </w:rPr>
      </w:pPr>
    </w:p>
    <w:p>
      <w:pPr>
        <w:ind w:left="460"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For each of the periods presented, the Company made charitable contributions of 10% of the net proceeds from the sale of inventory of certain designated patterns to the Vera Bradley Foundation for Breast Cancer (the “Foundation”). The Foundation was founded by two of the Company’s directors, who are also on the board of directors of the Foundation. The liability associated with this commitment was approximately $0.4 million and $0.3 million at February 2, 2013, and January 28, 2012, respectively, which is included in other accrued liabilities in the Consolidated Balance Sheets. The associated expense, which is included in selling, general, and administrative expenses, was as follows (in thousands):</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February 2, 2013</w:t>
            </w:r>
          </w:p>
        </w:tc>
        <w:tc>
          <w:tcPr>
            <w:tcW w:w="4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982</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Fiscal year ended January 28, 2012</w:t>
            </w:r>
          </w:p>
        </w:tc>
        <w:tc>
          <w:tcPr>
            <w:tcW w:w="4620" w:type="dxa"/>
            <w:vAlign w:val="bottom"/>
          </w:tcPr>
          <w:p>
            <w:pPr>
              <w:jc w:val="right"/>
              <w:ind w:right="12"/>
              <w:spacing w:after="0"/>
              <w:rPr>
                <w:sz w:val="20"/>
                <w:szCs w:val="20"/>
                <w:color w:val="auto"/>
              </w:rPr>
            </w:pPr>
            <w:r>
              <w:rPr>
                <w:rFonts w:ascii="Arial" w:cs="Arial" w:eastAsia="Arial" w:hAnsi="Arial"/>
                <w:sz w:val="18"/>
                <w:szCs w:val="18"/>
                <w:color w:val="auto"/>
              </w:rPr>
              <w:t>1,046</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4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1,259</w:t>
            </w:r>
          </w:p>
        </w:tc>
      </w:tr>
      <w:tr>
        <w:trPr>
          <w:trHeight w:val="363"/>
        </w:trPr>
        <w:tc>
          <w:tcPr>
            <w:tcW w:w="3140" w:type="dxa"/>
            <w:vAlign w:val="bottom"/>
          </w:tcPr>
          <w:p>
            <w:pPr>
              <w:spacing w:after="0"/>
              <w:rPr>
                <w:sz w:val="24"/>
                <w:szCs w:val="24"/>
                <w:color w:val="auto"/>
              </w:rPr>
            </w:pPr>
          </w:p>
        </w:tc>
        <w:tc>
          <w:tcPr>
            <w:tcW w:w="4620" w:type="dxa"/>
            <w:vAlign w:val="bottom"/>
          </w:tcPr>
          <w:p>
            <w:pPr>
              <w:jc w:val="right"/>
              <w:ind w:right="3712"/>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2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44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68,870</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57,921</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40,536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40,507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Weighted-average number of common shares (diluted)</w:t>
            </w: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40,571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40,542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Basic</w:t>
            </w: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1.43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7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As of February 2, 2013, the amount of additional shares issuable upon the vesting of restricted stock units that were excluded from the diluted share calculations because they were anti-dilutive was immaterial. As of February 2, 2013, there were no additional shares issuable upon the vesting of restricted stock units that were excluded from the diluted share calculations.</w:t>
      </w:r>
    </w:p>
    <w:p>
      <w:pPr>
        <w:spacing w:after="0" w:line="25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2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25"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Indirect segment represents revenues generated through the distribution of Company-branded products to approximately 3,400 specialty Indirect retailers and department store partners across the United States. The Direct segment includes the Company’s full-price and outlet stores, department store locations in Japan, the Company’s websites, verabradley.com and verabradley.co.jp, and the annual outlet sale. Revenues generated through this segment are driven through the sale of Company-branded products from Vera Bradley to end consumers. No customer accounted for 10% or more of the Company’s net revenues during fiscal year 2013, 2012 and 2011.</w:t>
      </w:r>
    </w:p>
    <w:p>
      <w:pPr>
        <w:spacing w:after="0" w:line="61" w:lineRule="exact"/>
        <w:rPr>
          <w:rFonts w:ascii="Arial" w:cs="Arial" w:eastAsia="Arial" w:hAnsi="Arial"/>
          <w:sz w:val="18"/>
          <w:szCs w:val="18"/>
          <w:b w:val="1"/>
          <w:bCs w:val="1"/>
          <w:color w:val="auto"/>
        </w:rPr>
      </w:pPr>
    </w:p>
    <w:p>
      <w:pPr>
        <w:ind w:left="460" w:righ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59" w:lineRule="exact"/>
        <w:rPr>
          <w:rFonts w:ascii="Arial" w:cs="Arial" w:eastAsia="Arial" w:hAnsi="Arial"/>
          <w:sz w:val="18"/>
          <w:szCs w:val="18"/>
          <w:b w:val="1"/>
          <w:bCs w:val="1"/>
          <w:color w:val="auto"/>
        </w:rPr>
      </w:pPr>
    </w:p>
    <w:p>
      <w:pPr>
        <w:jc w:val="both"/>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Direct and Indirect.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jc w:val="both"/>
        <w:ind w:left="460" w:right="120"/>
        <w:spacing w:after="0" w:line="306" w:lineRule="auto"/>
        <w:rPr>
          <w:sz w:val="20"/>
          <w:szCs w:val="20"/>
          <w:color w:val="auto"/>
        </w:rPr>
      </w:pPr>
      <w:r>
        <w:rPr>
          <w:rFonts w:ascii="Arial" w:cs="Arial" w:eastAsia="Arial" w:hAnsi="Arial"/>
          <w:sz w:val="16"/>
          <w:szCs w:val="16"/>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 Net revenues and operating income information for the Company’s reportable segments consisted of the following (in thousands):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2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February 2,</w:t>
            </w:r>
          </w:p>
        </w:tc>
        <w:tc>
          <w:tcPr>
            <w:tcW w:w="380" w:type="dxa"/>
            <w:vAlign w:val="bottom"/>
          </w:tcPr>
          <w:p>
            <w:pPr>
              <w:spacing w:after="0"/>
              <w:rPr>
                <w:sz w:val="11"/>
                <w:szCs w:val="11"/>
                <w:color w:val="auto"/>
              </w:rPr>
            </w:pPr>
          </w:p>
        </w:tc>
        <w:tc>
          <w:tcPr>
            <w:tcW w:w="13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28,</w:t>
            </w: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January 29,</w:t>
            </w:r>
          </w:p>
        </w:tc>
        <w:tc>
          <w:tcPr>
            <w:tcW w:w="100" w:type="dxa"/>
            <w:vAlign w:val="bottom"/>
          </w:tcPr>
          <w:p>
            <w:pPr>
              <w:spacing w:after="0"/>
              <w:rPr>
                <w:sz w:val="11"/>
                <w:szCs w:val="11"/>
                <w:color w:val="auto"/>
              </w:rPr>
            </w:pPr>
          </w:p>
        </w:tc>
      </w:tr>
      <w:tr>
        <w:trPr>
          <w:trHeight w:val="161"/>
        </w:trPr>
        <w:tc>
          <w:tcPr>
            <w:tcW w:w="6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net revenues: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292,564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225,287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151,118</w:t>
            </w: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Indirect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248,584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235,556</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214,939</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541,148</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460,843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366,057</w:t>
            </w: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85,059</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68,097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46,443</w:t>
            </w: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Indirect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101,059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93,042</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91,690</w:t>
            </w:r>
          </w:p>
        </w:tc>
        <w:tc>
          <w:tcPr>
            <w:tcW w:w="100" w:type="dxa"/>
            <w:vAlign w:val="bottom"/>
            <w:shd w:val="clear" w:color="auto" w:fill="CCEEFF"/>
          </w:tcPr>
          <w:p>
            <w:pPr>
              <w:spacing w:after="0"/>
              <w:rPr>
                <w:sz w:val="18"/>
                <w:szCs w:val="18"/>
                <w:color w:val="auto"/>
              </w:rPr>
            </w:pPr>
          </w:p>
        </w:tc>
      </w:tr>
      <w:tr>
        <w:trPr>
          <w:trHeight w:val="222"/>
        </w:trPr>
        <w:tc>
          <w:tcPr>
            <w:tcW w:w="612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186,118</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161,139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138,133</w:t>
            </w: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186,118</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161,139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138,133</w:t>
            </w: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120" w:type="dxa"/>
            <w:vAlign w:val="bottom"/>
          </w:tcPr>
          <w:p>
            <w:pPr>
              <w:ind w:left="440"/>
              <w:spacing w:after="0"/>
              <w:rPr>
                <w:sz w:val="20"/>
                <w:szCs w:val="20"/>
                <w:color w:val="auto"/>
              </w:rPr>
            </w:pPr>
            <w:r>
              <w:rPr>
                <w:rFonts w:ascii="Arial" w:cs="Arial" w:eastAsia="Arial" w:hAnsi="Arial"/>
                <w:sz w:val="18"/>
                <w:szCs w:val="18"/>
                <w:color w:val="auto"/>
              </w:rPr>
              <w:t>Unallocated corporate expenses</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(75,972)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(64,968)</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(84,814)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110,146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96,171</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53,319</w:t>
            </w:r>
          </w:p>
        </w:tc>
        <w:tc>
          <w:tcPr>
            <w:tcW w:w="100" w:type="dxa"/>
            <w:vAlign w:val="bottom"/>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outside of the United States were included in the Direct segment and are considered immaterial.</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Revenues to external customers for Vera Bradley brand products are attributable to sales of handbags, accessories, and travel and leisure items. Other revenue to external customers primarily includes revenue from our annual outlet sale, home products, merchandising, freight, and licensing revenues. Net revenues by product category are as follows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left="159"/>
              <w:spacing w:after="0"/>
              <w:rPr>
                <w:sz w:val="20"/>
                <w:szCs w:val="20"/>
                <w:color w:val="auto"/>
              </w:rPr>
            </w:pPr>
            <w:r>
              <w:rPr>
                <w:rFonts w:ascii="Arial" w:cs="Arial" w:eastAsia="Arial" w:hAnsi="Arial"/>
                <w:sz w:val="14"/>
                <w:szCs w:val="14"/>
                <w:b w:val="1"/>
                <w:bCs w:val="1"/>
                <w:color w:val="auto"/>
                <w:w w:val="87"/>
              </w:rPr>
              <w:t>Fiscal Year Ended</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February 2,</w:t>
            </w:r>
          </w:p>
        </w:tc>
        <w:tc>
          <w:tcPr>
            <w:tcW w:w="660" w:type="dxa"/>
            <w:vAlign w:val="bottom"/>
          </w:tcPr>
          <w:p>
            <w:pPr>
              <w:spacing w:after="0"/>
              <w:rPr>
                <w:sz w:val="11"/>
                <w:szCs w:val="11"/>
                <w:color w:val="auto"/>
              </w:rPr>
            </w:pPr>
          </w:p>
        </w:tc>
        <w:tc>
          <w:tcPr>
            <w:tcW w:w="11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January 28,</w:t>
            </w:r>
          </w:p>
        </w:tc>
        <w:tc>
          <w:tcPr>
            <w:tcW w:w="2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January 29,</w:t>
            </w:r>
          </w:p>
        </w:tc>
        <w:tc>
          <w:tcPr>
            <w:tcW w:w="100" w:type="dxa"/>
            <w:vAlign w:val="bottom"/>
          </w:tcPr>
          <w:p>
            <w:pPr>
              <w:spacing w:after="0"/>
              <w:rPr>
                <w:sz w:val="11"/>
                <w:szCs w:val="11"/>
                <w:color w:val="auto"/>
              </w:rPr>
            </w:pPr>
          </w:p>
        </w:tc>
      </w:tr>
      <w:tr>
        <w:trPr>
          <w:trHeight w:val="161"/>
        </w:trPr>
        <w:tc>
          <w:tcPr>
            <w:tcW w:w="610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2013</w:t>
            </w:r>
          </w:p>
        </w:tc>
        <w:tc>
          <w:tcPr>
            <w:tcW w:w="1360" w:type="dxa"/>
            <w:vAlign w:val="bottom"/>
            <w:gridSpan w:val="2"/>
          </w:tcPr>
          <w:p>
            <w:pPr>
              <w:jc w:val="center"/>
              <w:ind w:left="579"/>
              <w:spacing w:after="0"/>
              <w:rPr>
                <w:sz w:val="20"/>
                <w:szCs w:val="20"/>
                <w:color w:val="auto"/>
              </w:rPr>
            </w:pPr>
            <w:r>
              <w:rPr>
                <w:rFonts w:ascii="Arial" w:cs="Arial" w:eastAsia="Arial" w:hAnsi="Arial"/>
                <w:sz w:val="14"/>
                <w:szCs w:val="14"/>
                <w:b w:val="1"/>
                <w:bCs w:val="1"/>
                <w:color w:val="auto"/>
                <w:w w:val="83"/>
              </w:rPr>
              <w:t>2012</w:t>
            </w:r>
          </w:p>
        </w:tc>
        <w:tc>
          <w:tcPr>
            <w:tcW w:w="420" w:type="dxa"/>
            <w:vAlign w:val="bottom"/>
          </w:tcPr>
          <w:p>
            <w:pPr>
              <w:spacing w:after="0"/>
              <w:rPr>
                <w:sz w:val="14"/>
                <w:szCs w:val="14"/>
                <w:color w:val="auto"/>
              </w:rPr>
            </w:pPr>
          </w:p>
        </w:tc>
        <w:tc>
          <w:tcPr>
            <w:tcW w:w="92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Handbags</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$ 214,307</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$ 193,861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$ 174,447</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Accessories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167,929</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144,575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113,127</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Travel and Leisure Items</w:t>
            </w:r>
          </w:p>
        </w:tc>
        <w:tc>
          <w:tcPr>
            <w:tcW w:w="680" w:type="dxa"/>
            <w:vAlign w:val="bottom"/>
          </w:tcPr>
          <w:p>
            <w:pPr>
              <w:jc w:val="right"/>
              <w:spacing w:after="0"/>
              <w:rPr>
                <w:sz w:val="20"/>
                <w:szCs w:val="20"/>
                <w:color w:val="auto"/>
              </w:rPr>
            </w:pPr>
            <w:r>
              <w:rPr>
                <w:rFonts w:ascii="Arial" w:cs="Arial" w:eastAsia="Arial" w:hAnsi="Arial"/>
                <w:sz w:val="18"/>
                <w:szCs w:val="18"/>
                <w:color w:val="auto"/>
              </w:rPr>
              <w:t>77,667</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68,385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44,951</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81,245</w:t>
            </w:r>
          </w:p>
        </w:tc>
        <w:tc>
          <w:tcPr>
            <w:tcW w:w="6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33,532</w:t>
            </w:r>
          </w:p>
        </w:tc>
        <w:tc>
          <w:tcPr>
            <w:tcW w:w="100" w:type="dxa"/>
            <w:vAlign w:val="bottom"/>
            <w:shd w:val="clear" w:color="auto" w:fill="CCEEFF"/>
          </w:tcPr>
          <w:p>
            <w:pPr>
              <w:spacing w:after="0"/>
              <w:rPr>
                <w:sz w:val="18"/>
                <w:szCs w:val="18"/>
                <w:color w:val="auto"/>
              </w:rPr>
            </w:pPr>
          </w:p>
        </w:tc>
      </w:tr>
      <w:tr>
        <w:trPr>
          <w:trHeight w:val="222"/>
        </w:trPr>
        <w:tc>
          <w:tcPr>
            <w:tcW w:w="6100" w:type="dxa"/>
            <w:vAlign w:val="bottom"/>
          </w:tcPr>
          <w:p>
            <w:pPr>
              <w:ind w:left="88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$ 541,148</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$ 460,843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$ 366,057</w:t>
            </w:r>
          </w:p>
        </w:tc>
        <w:tc>
          <w:tcPr>
            <w:tcW w:w="10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 2013 and January 28, 2012, substantially all of the Company’s long-lived assets were located in the United States.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240" w:top="459" w:right="3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table below sets forth selected quarterly financial data for each of the last two fiscal years (in thousands, except per share data). Each of the quarters presented was thirteen weeks in duration, except the fourth quarter of fiscal year ended February 2, 2013, which was fourteen weeks.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rPr>
              <w:t>Fiscal Year Ended February 2, 2013</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First</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2"/>
              </w:rPr>
              <w:t>Second</w:t>
            </w:r>
          </w:p>
        </w:tc>
        <w:tc>
          <w:tcPr>
            <w:tcW w:w="100" w:type="dxa"/>
            <w:vAlign w:val="bottom"/>
          </w:tcPr>
          <w:p>
            <w:pPr>
              <w:spacing w:after="0"/>
              <w:rPr>
                <w:sz w:val="11"/>
                <w:szCs w:val="11"/>
                <w:color w:val="auto"/>
              </w:rPr>
            </w:pPr>
          </w:p>
        </w:tc>
        <w:tc>
          <w:tcPr>
            <w:tcW w:w="98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Third</w:t>
            </w: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Fourth</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Quarter</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Quarter</w:t>
            </w: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Quarter</w:t>
            </w:r>
          </w:p>
        </w:tc>
      </w:tr>
      <w:tr>
        <w:trPr>
          <w:trHeight w:val="142"/>
        </w:trPr>
        <w:tc>
          <w:tcPr>
            <w:tcW w:w="3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$ 117,201</w:t>
            </w: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$ 123,037</w:t>
            </w:r>
          </w:p>
        </w:tc>
        <w:tc>
          <w:tcPr>
            <w:tcW w:w="6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$ 138,346</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$ 162,564</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2580" w:type="dxa"/>
            <w:vAlign w:val="bottom"/>
            <w:gridSpan w:val="4"/>
          </w:tcPr>
          <w:p>
            <w:pPr>
              <w:jc w:val="right"/>
              <w:ind w:right="120"/>
              <w:spacing w:after="0"/>
              <w:rPr>
                <w:sz w:val="20"/>
                <w:szCs w:val="20"/>
                <w:color w:val="auto"/>
              </w:rPr>
            </w:pPr>
            <w:r>
              <w:rPr>
                <w:rFonts w:ascii="Arial" w:cs="Arial" w:eastAsia="Arial" w:hAnsi="Arial"/>
                <w:sz w:val="18"/>
                <w:szCs w:val="18"/>
                <w:color w:val="auto"/>
              </w:rPr>
              <w:t>65,302</w:t>
            </w:r>
          </w:p>
        </w:tc>
        <w:tc>
          <w:tcPr>
            <w:tcW w:w="20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68,612</w:t>
            </w:r>
          </w:p>
        </w:tc>
        <w:tc>
          <w:tcPr>
            <w:tcW w:w="6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80,228</w:t>
            </w:r>
          </w:p>
        </w:tc>
        <w:tc>
          <w:tcPr>
            <w:tcW w:w="3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68,425</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20,810</w:t>
            </w: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21,799</w:t>
            </w:r>
          </w:p>
        </w:tc>
        <w:tc>
          <w:tcPr>
            <w:tcW w:w="6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27,571</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39,966</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4"/>
          </w:tcPr>
          <w:p>
            <w:pPr>
              <w:jc w:val="right"/>
              <w:ind w:right="120"/>
              <w:spacing w:after="0"/>
              <w:rPr>
                <w:sz w:val="20"/>
                <w:szCs w:val="20"/>
                <w:color w:val="auto"/>
              </w:rPr>
            </w:pPr>
            <w:r>
              <w:rPr>
                <w:rFonts w:ascii="Arial" w:cs="Arial" w:eastAsia="Arial" w:hAnsi="Arial"/>
                <w:sz w:val="18"/>
                <w:szCs w:val="18"/>
                <w:color w:val="auto"/>
              </w:rPr>
              <w:t>12,626</w:t>
            </w:r>
          </w:p>
        </w:tc>
        <w:tc>
          <w:tcPr>
            <w:tcW w:w="20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13,373</w:t>
            </w:r>
          </w:p>
        </w:tc>
        <w:tc>
          <w:tcPr>
            <w:tcW w:w="6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17,742</w:t>
            </w:r>
          </w:p>
        </w:tc>
        <w:tc>
          <w:tcPr>
            <w:tcW w:w="3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25,129</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6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2580" w:type="dxa"/>
            <w:vAlign w:val="bottom"/>
            <w:gridSpan w:val="4"/>
          </w:tcPr>
          <w:p>
            <w:pPr>
              <w:jc w:val="right"/>
              <w:ind w:right="120"/>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19"/>
                <w:szCs w:val="19"/>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0.33</w:t>
            </w:r>
          </w:p>
        </w:tc>
        <w:tc>
          <w:tcPr>
            <w:tcW w:w="6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0.44</w:t>
            </w:r>
          </w:p>
        </w:tc>
        <w:tc>
          <w:tcPr>
            <w:tcW w:w="3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r>
      <w:tr>
        <w:trPr>
          <w:trHeight w:val="345"/>
        </w:trPr>
        <w:tc>
          <w:tcPr>
            <w:tcW w:w="39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ind w:left="360"/>
              <w:spacing w:after="0"/>
              <w:rPr>
                <w:sz w:val="20"/>
                <w:szCs w:val="20"/>
                <w:color w:val="auto"/>
              </w:rPr>
            </w:pPr>
            <w:r>
              <w:rPr>
                <w:rFonts w:ascii="Arial" w:cs="Arial" w:eastAsia="Arial" w:hAnsi="Arial"/>
                <w:sz w:val="14"/>
                <w:szCs w:val="14"/>
                <w:b w:val="1"/>
                <w:bCs w:val="1"/>
                <w:color w:val="auto"/>
              </w:rPr>
              <w:t>Fiscal Year Ended January 28, 2012</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First</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2"/>
              </w:rPr>
              <w:t>Second</w:t>
            </w:r>
          </w:p>
        </w:tc>
        <w:tc>
          <w:tcPr>
            <w:tcW w:w="100" w:type="dxa"/>
            <w:vAlign w:val="bottom"/>
          </w:tcPr>
          <w:p>
            <w:pPr>
              <w:spacing w:after="0"/>
              <w:rPr>
                <w:sz w:val="11"/>
                <w:szCs w:val="11"/>
                <w:color w:val="auto"/>
              </w:rPr>
            </w:pPr>
          </w:p>
        </w:tc>
        <w:tc>
          <w:tcPr>
            <w:tcW w:w="98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1"/>
                <w:szCs w:val="11"/>
                <w:color w:val="auto"/>
              </w:rPr>
            </w:pPr>
          </w:p>
        </w:tc>
      </w:tr>
      <w:tr>
        <w:trPr>
          <w:trHeight w:val="161"/>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Quarter</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4"/>
                <w:szCs w:val="14"/>
                <w:color w:val="auto"/>
              </w:rPr>
            </w:pPr>
          </w:p>
        </w:tc>
        <w:tc>
          <w:tcPr>
            <w:tcW w:w="9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Quarter</w:t>
            </w:r>
          </w:p>
        </w:tc>
      </w:tr>
      <w:tr>
        <w:trPr>
          <w:trHeight w:val="142"/>
        </w:trPr>
        <w:tc>
          <w:tcPr>
            <w:tcW w:w="3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7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$ 101,390</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$ 103,789</w:t>
            </w:r>
          </w:p>
        </w:tc>
        <w:tc>
          <w:tcPr>
            <w:tcW w:w="6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2"/>
              </w:rPr>
              <w:t>$ 121,149</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$ 134,515</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2780" w:type="dxa"/>
            <w:vAlign w:val="bottom"/>
            <w:gridSpan w:val="5"/>
          </w:tcPr>
          <w:p>
            <w:pPr>
              <w:jc w:val="right"/>
              <w:ind w:right="200"/>
              <w:spacing w:after="0"/>
              <w:rPr>
                <w:sz w:val="20"/>
                <w:szCs w:val="20"/>
                <w:color w:val="auto"/>
              </w:rPr>
            </w:pPr>
            <w:r>
              <w:rPr>
                <w:rFonts w:ascii="Arial" w:cs="Arial" w:eastAsia="Arial" w:hAnsi="Arial"/>
                <w:sz w:val="18"/>
                <w:szCs w:val="18"/>
                <w:color w:val="auto"/>
              </w:rPr>
              <w:t>56,444</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59,628</w:t>
            </w:r>
          </w:p>
        </w:tc>
        <w:tc>
          <w:tcPr>
            <w:tcW w:w="6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65,678</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75,873</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19,060</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6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21,519</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5"/>
          </w:tcPr>
          <w:p>
            <w:pPr>
              <w:jc w:val="right"/>
              <w:ind w:right="200"/>
              <w:spacing w:after="0"/>
              <w:rPr>
                <w:sz w:val="20"/>
                <w:szCs w:val="20"/>
                <w:color w:val="auto"/>
              </w:rPr>
            </w:pPr>
            <w:r>
              <w:rPr>
                <w:rFonts w:ascii="Arial" w:cs="Arial" w:eastAsia="Arial" w:hAnsi="Arial"/>
                <w:sz w:val="18"/>
                <w:szCs w:val="18"/>
                <w:color w:val="auto"/>
              </w:rPr>
              <w:t>11,224</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13,633</w:t>
            </w:r>
          </w:p>
        </w:tc>
        <w:tc>
          <w:tcPr>
            <w:tcW w:w="6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12,962</w:t>
            </w:r>
          </w:p>
        </w:tc>
        <w:tc>
          <w:tcPr>
            <w:tcW w:w="3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7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6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2780" w:type="dxa"/>
            <w:vAlign w:val="bottom"/>
            <w:gridSpan w:val="5"/>
          </w:tcPr>
          <w:p>
            <w:pPr>
              <w:jc w:val="right"/>
              <w:ind w:right="200"/>
              <w:spacing w:after="0"/>
              <w:rPr>
                <w:sz w:val="20"/>
                <w:szCs w:val="20"/>
                <w:color w:val="auto"/>
              </w:rPr>
            </w:pPr>
            <w:r>
              <w:rPr>
                <w:rFonts w:ascii="Arial" w:cs="Arial" w:eastAsia="Arial" w:hAnsi="Arial"/>
                <w:sz w:val="18"/>
                <w:szCs w:val="18"/>
                <w:color w:val="auto"/>
              </w:rPr>
              <w:t>0.28</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0.34</w:t>
            </w:r>
          </w:p>
        </w:tc>
        <w:tc>
          <w:tcPr>
            <w:tcW w:w="6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r>
      <w:tr>
        <w:trPr>
          <w:trHeight w:val="356"/>
        </w:trPr>
        <w:tc>
          <w:tcPr>
            <w:tcW w:w="3940" w:type="dxa"/>
            <w:vAlign w:val="bottom"/>
          </w:tcPr>
          <w:p>
            <w:pPr>
              <w:spacing w:after="0"/>
              <w:rPr>
                <w:sz w:val="24"/>
                <w:szCs w:val="24"/>
                <w:color w:val="auto"/>
              </w:rPr>
            </w:pPr>
          </w:p>
        </w:tc>
        <w:tc>
          <w:tcPr>
            <w:tcW w:w="1760" w:type="dxa"/>
            <w:vAlign w:val="bottom"/>
          </w:tcPr>
          <w:p>
            <w:pPr>
              <w:jc w:val="right"/>
              <w:ind w:right="27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on the evaluation of the Company’s disclosure controls and procedures, as that term is defined in Rule 13a-15(e) under the Securities Exchange Act of 1934, as amended (the “Exchange Act”), each of Michael C. Ray, the Chief Executive Officer of the Company, and Kevin J. Sierks, the Vice President – Controller, Chief Accounting Officer, and Interim Chief Financial Officer of the Company, has concluded that the Company’s disclosure controls and procedures are effective as of February 2,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jc w:val="both"/>
        <w:ind w:right="60"/>
        <w:spacing w:after="0" w:line="303" w:lineRule="auto"/>
        <w:rPr>
          <w:sz w:val="20"/>
          <w:szCs w:val="20"/>
          <w:color w:val="auto"/>
        </w:rPr>
      </w:pPr>
      <w:r>
        <w:rPr>
          <w:rFonts w:ascii="Arial" w:cs="Arial" w:eastAsia="Arial" w:hAnsi="Arial"/>
          <w:sz w:val="15"/>
          <w:szCs w:val="15"/>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the results of that evaluation, management has concluded that such internal control over financial reporting was effective as of February 2, 2013.</w:t>
      </w:r>
    </w:p>
    <w:p>
      <w:pPr>
        <w:spacing w:after="0" w:line="6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effectiveness of the Company’s internal control over financial reporting as of February 2, 2013 has been audited by PricewaterhouseCoopers LLP, an independent registered public accounting firm, as stated in their report which appears on page 41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information set forth in the Proxy Statement for the 2013 Annual Meeting of Shareholders under the headings “Nominees for Election as Class III Directors at the 2013 Annual Meeting,” “Directors Continuing in Office,” “Director Nominations,” “Family Relationships,” “Section 16(a) Beneficial Ownership Reporting Compliance,”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“Business – Executive Officers” in this Form 10-K is incorporated herein by reference.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information set forth in the Proxy Statement for the 2013 Annual Meeting of Shareholders under the headings “Executive Compensation Discussion and Analysis”, and “Compensation Committee Interlocks and Insider Participation”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information set forth in the Proxy Statement for the 2013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in Part II, Item 5 of this Form 10-K under the heading “Dividends”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information set forth in the Proxy Statement for the 2013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our 2013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Vera Bradley, Inc. are filed as part of this report under Item 8. Financial Statements and Supplementary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6220" w:type="dxa"/>
            <w:vAlign w:val="bottom"/>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February 2, 2013, and January 28, 2012</w:t>
              </w:r>
            </w:hyperlink>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308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6220" w:type="dxa"/>
            <w:vAlign w:val="bottom"/>
            <w:gridSpan w:val="4"/>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Consolidated Statements of Income for the fiscal years ended February 2, 2013, January</w:t>
              </w:r>
            </w:hyperlink>
          </w:p>
        </w:tc>
        <w:tc>
          <w:tcPr>
            <w:tcW w:w="4180" w:type="dxa"/>
            <w:vAlign w:val="bottom"/>
            <w:gridSpan w:val="5"/>
          </w:tcPr>
          <w:p>
            <w:pPr>
              <w:ind w:left="6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28, 2012, and January 29, 2011</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08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6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Statements of Comprehensive Income for the fiscal years ended February</w:t>
              </w:r>
            </w:hyperlink>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2, 2013, January 28, 2012, and January 29, 2011</w:t>
              </w:r>
            </w:hyperlink>
          </w:p>
        </w:tc>
        <w:tc>
          <w:tcPr>
            <w:tcW w:w="7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400" w:type="dxa"/>
            <w:vAlign w:val="bottom"/>
            <w:gridSpan w:val="9"/>
          </w:tcPr>
          <w:p>
            <w:pPr>
              <w:spacing w:after="0" w:line="196"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Consolidated Statements of Shareholders’ Equity for the fiscal years ended February 2, 2013, January 28, 2012, and January 29, 2011</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44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Consolidated Statements of Cash Flows for the fiscal years ended February 2, 2013, January 28, 2012, and January 29, 2011</w:t>
              </w:r>
            </w:hyperlink>
          </w:p>
        </w:tc>
        <w:tc>
          <w:tcPr>
            <w:tcW w:w="96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2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List of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Form 10-K.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April 2,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J. Sierks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Controller, Chief Accounting Officer 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Interim Chief Financial Officer</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Kevin J. Sierks and Michael C. Ray,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April 2,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4580" w:type="dxa"/>
            <w:vAlign w:val="bottom"/>
          </w:tcPr>
          <w:p>
            <w:pPr>
              <w:spacing w:after="0"/>
              <w:rPr>
                <w:sz w:val="14"/>
                <w:szCs w:val="14"/>
                <w:color w:val="auto"/>
              </w:rPr>
            </w:pPr>
          </w:p>
        </w:tc>
        <w:tc>
          <w:tcPr>
            <w:tcW w:w="6000" w:type="dxa"/>
            <w:vAlign w:val="bottom"/>
            <w:gridSpan w:val="3"/>
          </w:tcPr>
          <w:p>
            <w:pPr>
              <w:ind w:left="220"/>
              <w:spacing w:after="0"/>
              <w:rPr>
                <w:sz w:val="20"/>
                <w:szCs w:val="20"/>
                <w:color w:val="auto"/>
              </w:rPr>
            </w:pPr>
            <w:r>
              <w:rPr>
                <w:rFonts w:ascii="Arial" w:cs="Arial" w:eastAsia="Arial" w:hAnsi="Arial"/>
                <w:sz w:val="14"/>
                <w:szCs w:val="14"/>
                <w:b w:val="1"/>
                <w:bCs w:val="1"/>
                <w:color w:val="auto"/>
              </w:rPr>
              <w:t>Title</w:t>
            </w:r>
          </w:p>
        </w:tc>
      </w:tr>
      <w:tr>
        <w:trPr>
          <w:trHeight w:val="20"/>
        </w:trPr>
        <w:tc>
          <w:tcPr>
            <w:tcW w:w="6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317"/>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C. Ray</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Director and Chief Executive Officer (principal executive officer)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Michael C. Ray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329"/>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J. Sierks</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w w:val="90"/>
              </w:rPr>
              <w:t>Vice President – Controller, Chief Accounting Officer and Interim Chief Financial</w:t>
            </w:r>
          </w:p>
        </w:tc>
      </w:tr>
      <w:tr>
        <w:trPr>
          <w:trHeight w:val="218"/>
        </w:trPr>
        <w:tc>
          <w:tcPr>
            <w:tcW w:w="5180" w:type="dxa"/>
            <w:vAlign w:val="bottom"/>
            <w:gridSpan w:val="2"/>
          </w:tcPr>
          <w:p>
            <w:pPr>
              <w:spacing w:after="0"/>
              <w:rPr>
                <w:sz w:val="20"/>
                <w:szCs w:val="20"/>
                <w:color w:val="auto"/>
              </w:rPr>
            </w:pPr>
            <w:r>
              <w:rPr>
                <w:rFonts w:ascii="Arial" w:cs="Arial" w:eastAsia="Arial" w:hAnsi="Arial"/>
                <w:sz w:val="18"/>
                <w:szCs w:val="18"/>
                <w:color w:val="auto"/>
              </w:rPr>
              <w:t>Kevin J. Sierks</w:t>
            </w:r>
          </w:p>
        </w:tc>
        <w:tc>
          <w:tcPr>
            <w:tcW w:w="220" w:type="dxa"/>
            <w:vAlign w:val="bottom"/>
          </w:tcPr>
          <w:p>
            <w:pPr>
              <w:spacing w:after="0"/>
              <w:rPr>
                <w:sz w:val="18"/>
                <w:szCs w:val="18"/>
                <w:color w:val="auto"/>
              </w:rPr>
            </w:pPr>
          </w:p>
        </w:tc>
        <w:tc>
          <w:tcPr>
            <w:tcW w:w="57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Officer (principal financial officer)</w:t>
            </w: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Barbara Bradley Baekgaard</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Barbara Bradley Baekgaard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Baum</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Richard Baum</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 Hall</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Robert J. Hall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Karen Kaplan</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Karen Kaplan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E. Kyees</w:t>
            </w:r>
          </w:p>
        </w:tc>
        <w:tc>
          <w:tcPr>
            <w:tcW w:w="60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370"/>
        </w:trPr>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00" w:type="dxa"/>
            <w:vAlign w:val="bottom"/>
            <w:gridSpan w:val="3"/>
          </w:tcPr>
          <w:p>
            <w:pPr>
              <w:ind w:left="4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4580" w:type="dxa"/>
            <w:vAlign w:val="bottom"/>
          </w:tcPr>
          <w:p>
            <w:pPr>
              <w:spacing w:after="0"/>
              <w:rPr>
                <w:sz w:val="14"/>
                <w:szCs w:val="14"/>
                <w:color w:val="auto"/>
              </w:rPr>
            </w:pPr>
          </w:p>
        </w:tc>
        <w:tc>
          <w:tcPr>
            <w:tcW w:w="800" w:type="dxa"/>
            <w:vAlign w:val="bottom"/>
            <w:gridSpan w:val="3"/>
          </w:tcPr>
          <w:p>
            <w:pPr>
              <w:ind w:left="220"/>
              <w:spacing w:after="0"/>
              <w:rPr>
                <w:sz w:val="20"/>
                <w:szCs w:val="20"/>
                <w:color w:val="auto"/>
              </w:rPr>
            </w:pPr>
            <w:r>
              <w:rPr>
                <w:rFonts w:ascii="Arial" w:cs="Arial" w:eastAsia="Arial" w:hAnsi="Arial"/>
                <w:sz w:val="14"/>
                <w:szCs w:val="14"/>
                <w:b w:val="1"/>
                <w:bCs w:val="1"/>
                <w:color w:val="auto"/>
              </w:rPr>
              <w:t>Title</w:t>
            </w:r>
          </w:p>
        </w:tc>
      </w:tr>
      <w:tr>
        <w:trPr>
          <w:trHeight w:val="20"/>
        </w:trPr>
        <w:tc>
          <w:tcPr>
            <w:tcW w:w="6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7"/>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McEvoy</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w w:val="88"/>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Matthew McEvoy</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 Michael Miller</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w w:val="88"/>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P. Michael Miller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Patricia R. Miller</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w w:val="88"/>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Patricia R. Miller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Frances P. Philip</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w w:val="88"/>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Frances P. Philip</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30"/>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M. Schmults</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w w:val="88"/>
              </w:rPr>
              <w:t>Director</w:t>
            </w: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Edward M. Schmults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70"/>
        </w:trPr>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0219"/>
          </w:cols>
          <w:pgMar w:left="240" w:top="45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60" w:type="dxa"/>
            <w:vAlign w:val="bottom"/>
          </w:tcPr>
          <w:p>
            <w:pPr>
              <w:spacing w:after="0"/>
              <w:rPr>
                <w:sz w:val="14"/>
                <w:szCs w:val="14"/>
                <w:color w:val="auto"/>
              </w:rPr>
            </w:pPr>
          </w:p>
        </w:tc>
      </w:tr>
      <w:tr>
        <w:trPr>
          <w:trHeight w:val="309"/>
        </w:trPr>
        <w:tc>
          <w:tcPr>
            <w:tcW w:w="720" w:type="dxa"/>
            <w:vAlign w:val="bottom"/>
          </w:tcPr>
          <w:p>
            <w:pPr>
              <w:ind w:left="100"/>
              <w:spacing w:after="0"/>
              <w:rPr>
                <w:sz w:val="20"/>
                <w:szCs w:val="20"/>
                <w:color w:val="auto"/>
              </w:rPr>
            </w:pPr>
            <w:r>
              <w:rPr>
                <w:rFonts w:ascii="Arial" w:cs="Arial" w:eastAsia="Arial" w:hAnsi="Arial"/>
                <w:sz w:val="18"/>
                <w:szCs w:val="18"/>
                <w:color w:val="auto"/>
              </w:rPr>
              <w:t>3.1</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88"/>
              </w:rPr>
              <w:t>Second Amended and Restated Articles of Incorporation (Incorporated by reference to Exhibit 3.1 to the Registration Statement on Form S-</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1, Registration No. 333-167934)</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3.2</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89"/>
              </w:rPr>
              <w:t>Amended and Restated Bylaws (Incorporated by reference to Exhibit 3.2 to the Registration Statement on Form S-1, Registration No. 333-</w:t>
            </w:r>
          </w:p>
        </w:tc>
      </w:tr>
      <w:tr>
        <w:trPr>
          <w:trHeight w:val="222"/>
        </w:trPr>
        <w:tc>
          <w:tcPr>
            <w:tcW w:w="72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color w:val="auto"/>
              </w:rPr>
              <w:t>167934)</w:t>
            </w:r>
          </w:p>
        </w:tc>
        <w:tc>
          <w:tcPr>
            <w:tcW w:w="7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89"/>
              </w:rPr>
              <w:t>Specimen Common Stock Certificate (Incorporated by reference to Exhibit 4.1 to the Registration Statement on Form S-1, Registration No.</w:t>
            </w:r>
          </w:p>
        </w:tc>
      </w:tr>
      <w:tr>
        <w:trPr>
          <w:trHeight w:val="222"/>
        </w:trPr>
        <w:tc>
          <w:tcPr>
            <w:tcW w:w="72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color w:val="auto"/>
              </w:rPr>
              <w:t>333-167934)</w:t>
            </w:r>
          </w:p>
        </w:tc>
        <w:tc>
          <w:tcPr>
            <w:tcW w:w="7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0"/>
              </w:rPr>
              <w:t>Vera Bradley, Inc. 2010 Equity and Incentive Plan (Incorporated by reference to Exhibit 10.1 to the Registration Statement on Form S-1,</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Registration 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89"/>
              </w:rPr>
              <w:t>Letter Agreement with Jeffrey A. Blade (Incorporated by reference to Exhibit 10.2 to the Registration Statement on Form S-1, Registration</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88"/>
              </w:rPr>
              <w:t>Vera Bradley Designs, Inc. 2010 Restricted Stock Plan (Incorporated by reference to Exhibit 10.3 to the Registration Statement on Form S-</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1, Registration 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1"/>
              </w:rPr>
              <w:t>Form of Restricted Stock Award Agreement under Vera Bradley Designs, Inc. 2010 Restricted Stock Plan (Incorporated by reference to</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Exhibit 10.4 to the Registration Statement on Form S-1, Registration 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2"/>
              </w:rPr>
              <w:t>Form of Indemnification Agreement (Incorporated by reference to Exhibit 10.5 to the Registration Statement on Form S-1, Registration</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88"/>
              </w:rPr>
              <w:t>Amended and Restated Credit Agreement dated as of October 4, 2010 among Vera Bradley Designs, Inc. and JPMorgan Chase Bank, N.A.</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(Incorporated by reference to Exhibit 10.6 to the Registration Statement on Form S-1, Registration 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4"/>
              </w:rPr>
              <w:t>Parent Guaranty dated as of October 4, 2010 made by Vera Bradley, Inc. in favor of JPMorgan Chase Bank, N.A. (Incorporated by</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reference to Exhibit 10.7 to the Registration Statement on Form S-1, Registration 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88"/>
              </w:rPr>
              <w:t>Reaffirmation of Guaranty and Security Documents dated as of October 4, 2010 by Vera Bradley Designs, Inc., Vera Bradley Retail Stores,</w:t>
            </w:r>
          </w:p>
        </w:tc>
      </w:tr>
      <w:tr>
        <w:trPr>
          <w:trHeight w:val="216"/>
        </w:trPr>
        <w:tc>
          <w:tcPr>
            <w:tcW w:w="720" w:type="dxa"/>
            <w:vAlign w:val="bottom"/>
          </w:tcPr>
          <w:p>
            <w:pPr>
              <w:spacing w:after="0"/>
              <w:rPr>
                <w:sz w:val="18"/>
                <w:szCs w:val="18"/>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0"/>
              </w:rPr>
              <w:t>LLC and Vera Bradley International, LLC for the benefit of JPMorgan Chase Bank, N.A. (Incorporated by reference to Exhibit 10.13 to the</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Registration Statement on Form S-1, Registration 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1"/>
              </w:rPr>
              <w:t>Form of Lock-Up Agreement (filed as Exhibit D to Exhibit 1.1) (Incorporated by reference to Exhibit 10.15 to the Registration Statement</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on Form S-1, Registration 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0"/>
              </w:rPr>
              <w:t>Form of Subscription Agreement (Incorporated by reference to Exhibit 10.16 to the Registration Statement on Form S-1, Registration No.</w:t>
            </w:r>
          </w:p>
        </w:tc>
      </w:tr>
      <w:tr>
        <w:trPr>
          <w:trHeight w:val="222"/>
        </w:trPr>
        <w:tc>
          <w:tcPr>
            <w:tcW w:w="72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color w:val="auto"/>
              </w:rPr>
              <w:t>333-167934)</w:t>
            </w:r>
          </w:p>
        </w:tc>
        <w:tc>
          <w:tcPr>
            <w:tcW w:w="70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88"/>
              </w:rPr>
              <w:t>Form of Share Repurchase Agreement (Incorporated by reference to Exhibit 10.17 to the Registration Statement on Form S-1, Registration</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No. 333-167934)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2"/>
              </w:rPr>
              <w:t>2011 Restricted Stock Unit Terms And Conditions for Employees (Incorporated by reference to Exhibit 10.2 to the Quarterly Report on</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Form 10-Q for the fiscal quarter ended April 30,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w w:val="90"/>
              </w:rPr>
              <w:t>2011 Restricted Stock Unit Terms And Conditions for Non-Employee Directors (Incorporated by reference to Exhibit 10.3 to the Quarterly</w:t>
            </w:r>
          </w:p>
        </w:tc>
      </w:tr>
      <w:tr>
        <w:trPr>
          <w:trHeight w:val="222"/>
        </w:trPr>
        <w:tc>
          <w:tcPr>
            <w:tcW w:w="720" w:type="dxa"/>
            <w:vAlign w:val="bottom"/>
          </w:tcPr>
          <w:p>
            <w:pPr>
              <w:spacing w:after="0"/>
              <w:rPr>
                <w:sz w:val="19"/>
                <w:szCs w:val="19"/>
                <w:color w:val="auto"/>
              </w:rPr>
            </w:pPr>
          </w:p>
        </w:tc>
        <w:tc>
          <w:tcPr>
            <w:tcW w:w="10700" w:type="dxa"/>
            <w:vAlign w:val="bottom"/>
            <w:gridSpan w:val="3"/>
          </w:tcPr>
          <w:p>
            <w:pPr>
              <w:ind w:left="860"/>
              <w:spacing w:after="0"/>
              <w:rPr>
                <w:sz w:val="20"/>
                <w:szCs w:val="20"/>
                <w:color w:val="auto"/>
              </w:rPr>
            </w:pPr>
            <w:r>
              <w:rPr>
                <w:rFonts w:ascii="Arial" w:cs="Arial" w:eastAsia="Arial" w:hAnsi="Arial"/>
                <w:sz w:val="18"/>
                <w:szCs w:val="18"/>
                <w:color w:val="auto"/>
              </w:rPr>
              <w:t>Report on Form 10-Q for the fiscal quarter ended April 30, 2011)</w:t>
            </w:r>
          </w:p>
        </w:tc>
      </w:tr>
      <w:tr>
        <w:trPr>
          <w:trHeight w:val="365"/>
        </w:trPr>
        <w:tc>
          <w:tcPr>
            <w:tcW w:w="720" w:type="dxa"/>
            <w:vAlign w:val="bottom"/>
          </w:tcPr>
          <w:p>
            <w:pPr>
              <w:spacing w:after="0"/>
              <w:rPr>
                <w:sz w:val="24"/>
                <w:szCs w:val="24"/>
                <w:color w:val="auto"/>
              </w:rPr>
            </w:pPr>
          </w:p>
        </w:tc>
        <w:tc>
          <w:tcPr>
            <w:tcW w:w="5440" w:type="dxa"/>
            <w:vAlign w:val="bottom"/>
          </w:tcPr>
          <w:p>
            <w:pPr>
              <w:ind w:left="4900"/>
              <w:spacing w:after="0"/>
              <w:rPr>
                <w:sz w:val="20"/>
                <w:szCs w:val="20"/>
                <w:color w:val="auto"/>
              </w:rPr>
            </w:pPr>
            <w:r>
              <w:rPr>
                <w:rFonts w:ascii="Arial" w:cs="Arial" w:eastAsia="Arial" w:hAnsi="Arial"/>
                <w:sz w:val="18"/>
                <w:szCs w:val="18"/>
                <w:color w:val="auto"/>
              </w:rPr>
              <w:t>76</w:t>
            </w:r>
          </w:p>
        </w:tc>
        <w:tc>
          <w:tcPr>
            <w:tcW w:w="7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0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0"/>
              </w:rPr>
              <w:t>Lease Agreement, dated as of March 28, 2011, by and between Vera Bradley Designs, Inc., as tenant, and Great Dane Realty, LLC, as</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3"/>
              </w:rPr>
              <w:t>landlord (Incorporated by reference to Exhibit 10.4 to the Quarterly Report on Form 10-Q for the fiscal quarter ended April 30,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2"/>
              </w:rPr>
              <w:t>Lease Extension, dated April 19, 2011, by and between Vera Bradley, Inc., as tenant, and Milburn, LLC, as landlord (Incorporated by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reference to Exhibit 10.5 to the Quarterly Report on Form 10-Q for the fiscal quarter ended April 30,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Underwriting Agreement, dated April 13, 2011, with Robert W. Baird &amp; Co. Incorporated, Piper Jaffray &amp; Co. and the underwriters named</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4"/>
              </w:rPr>
              <w:t>therein (Incorporated by reference to Exhibit 10.6 to the Quarterly Report on Form 10-Q for the fiscal quarter ended April 30, 2011)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2"/>
              </w:rPr>
              <w:t>Fiscal 2013 Restricted Stock Unit/Performance Unit Terms and Conditions (Incorporated by reference to Exhibit 10.1 to the Quarterly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Report on Form 10-Q for the fiscal quarter ended April 28,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3"/>
              </w:rPr>
              <w:t>Fiscal 2013 Outside Director Restricted Stock Unit Terms and Conditions (Incorporated by reference to Exhibit 10.2 to the Quarterly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Report on Form 10-Q for the fiscal quarter ended April 28,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Fiscal 2013 Annual Incentive Compensation Plan (Incorporated by reference to Exhibit 10.3 to the Quarterly Report on Form 10-Q for the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fiscal quarter ended April 28,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4"/>
              </w:rPr>
              <w:t>Form of Time-Based Award Agreement under the 2010 Equity and Incentive Plan (Incorporated by reference to Exhibit 10.4 to the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Quarterly Report on Form 10-Q for the fiscal quarter ended April 28,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Form of Performance-Based Award Agreement under the 2010 Equity and Incentive Plan (Incorporated by reference to Exhibit 10.5 to the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Quarterly Report on Form 10-Q for the fiscal quarter ended April 28, 2012)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9"/>
              </w:rPr>
              <w:t>Amendment No. 3 to Amended and Restated Credit Agreement, dated as of June 1, 2012, among Vera Bradley Designs, Inc., JPMorgan</w:t>
            </w:r>
          </w:p>
        </w:tc>
      </w:tr>
      <w:tr>
        <w:trPr>
          <w:trHeight w:val="216"/>
        </w:trPr>
        <w:tc>
          <w:tcPr>
            <w:tcW w:w="720" w:type="dxa"/>
            <w:vAlign w:val="bottom"/>
          </w:tcPr>
          <w:p>
            <w:pPr>
              <w:spacing w:after="0"/>
              <w:rPr>
                <w:sz w:val="18"/>
                <w:szCs w:val="18"/>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1"/>
              </w:rPr>
              <w:t>Chase Bank N.A. and the lenders party thereto (Incorporated by reference to Exhibit 10.6 to the Quarterly Report on Form 10-Q for the</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fiscal quarter ended April 28,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Letter of Agreement with Kevin J. Sierks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Subsidiaries of Vera Bradley,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Rule 13a-14(a)/15d-4(a) Certification of Chief Executive Officer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Section 1350 Certifications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3"/>
              </w:rPr>
              <w:t>The following materials from the Vera Bradley, Inc.’s Annual Report on Form 10-K for the year ended February 2, 2013 formatted in</w:t>
            </w:r>
          </w:p>
        </w:tc>
      </w:tr>
      <w:tr>
        <w:trPr>
          <w:trHeight w:val="216"/>
        </w:trPr>
        <w:tc>
          <w:tcPr>
            <w:tcW w:w="720" w:type="dxa"/>
            <w:vAlign w:val="bottom"/>
          </w:tcPr>
          <w:p>
            <w:pPr>
              <w:spacing w:after="0"/>
              <w:rPr>
                <w:sz w:val="18"/>
                <w:szCs w:val="18"/>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1"/>
              </w:rPr>
              <w:t>Extensible Business Reporting Language (XBRL): (i) Consolidated Statements of Operations and Comprehensive Income for the fiscal</w:t>
            </w:r>
          </w:p>
        </w:tc>
      </w:tr>
      <w:tr>
        <w:trPr>
          <w:trHeight w:val="216"/>
        </w:trPr>
        <w:tc>
          <w:tcPr>
            <w:tcW w:w="720" w:type="dxa"/>
            <w:vAlign w:val="bottom"/>
          </w:tcPr>
          <w:p>
            <w:pPr>
              <w:spacing w:after="0"/>
              <w:rPr>
                <w:sz w:val="18"/>
                <w:szCs w:val="18"/>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91"/>
              </w:rPr>
              <w:t>years ended February 2, 2013, January 28, 2012, and January 29, 2011; (ii) Consolidated Balance Sheets as of February 2, 2013, and</w:t>
            </w:r>
          </w:p>
        </w:tc>
      </w:tr>
      <w:tr>
        <w:trPr>
          <w:trHeight w:val="216"/>
        </w:trPr>
        <w:tc>
          <w:tcPr>
            <w:tcW w:w="720" w:type="dxa"/>
            <w:vAlign w:val="bottom"/>
          </w:tcPr>
          <w:p>
            <w:pPr>
              <w:spacing w:after="0"/>
              <w:rPr>
                <w:sz w:val="18"/>
                <w:szCs w:val="18"/>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8"/>
              </w:rPr>
              <w:t>January 28, 2012; (iii) Consolidated Statements of Shareholders’ Equity for the fiscal years ended February 2, 2013, January 28, 2012, and</w:t>
            </w:r>
          </w:p>
        </w:tc>
      </w:tr>
      <w:tr>
        <w:trPr>
          <w:trHeight w:val="216"/>
        </w:trPr>
        <w:tc>
          <w:tcPr>
            <w:tcW w:w="720" w:type="dxa"/>
            <w:vAlign w:val="bottom"/>
          </w:tcPr>
          <w:p>
            <w:pPr>
              <w:spacing w:after="0"/>
              <w:rPr>
                <w:sz w:val="18"/>
                <w:szCs w:val="18"/>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w w:val="88"/>
              </w:rPr>
              <w:t>January 29, 2011; (iv) Consolidated Statements of Cash Flows for the fiscal years ended February 2, 2013, January 28, 2012, and January</w:t>
            </w:r>
          </w:p>
        </w:tc>
      </w:tr>
      <w:tr>
        <w:trPr>
          <w:trHeight w:val="222"/>
        </w:trPr>
        <w:tc>
          <w:tcPr>
            <w:tcW w:w="720" w:type="dxa"/>
            <w:vAlign w:val="bottom"/>
          </w:tcPr>
          <w:p>
            <w:pPr>
              <w:spacing w:after="0"/>
              <w:rPr>
                <w:sz w:val="19"/>
                <w:szCs w:val="19"/>
                <w:color w:val="auto"/>
              </w:rPr>
            </w:pPr>
          </w:p>
        </w:tc>
        <w:tc>
          <w:tcPr>
            <w:tcW w:w="10640" w:type="dxa"/>
            <w:vAlign w:val="bottom"/>
            <w:gridSpan w:val="3"/>
          </w:tcPr>
          <w:p>
            <w:pPr>
              <w:ind w:left="860"/>
              <w:spacing w:after="0"/>
              <w:rPr>
                <w:sz w:val="20"/>
                <w:szCs w:val="20"/>
                <w:color w:val="auto"/>
              </w:rPr>
            </w:pPr>
            <w:r>
              <w:rPr>
                <w:rFonts w:ascii="Arial" w:cs="Arial" w:eastAsia="Arial" w:hAnsi="Arial"/>
                <w:sz w:val="18"/>
                <w:szCs w:val="18"/>
                <w:color w:val="auto"/>
              </w:rPr>
              <w:t>29, 2011; and (v) related notes.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20" w:hanging="452"/>
        <w:spacing w:after="0" w:line="30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143510</wp:posOffset>
            </wp:positionV>
            <wp:extent cx="1646555" cy="660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4655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Kevin Sierks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[home address]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Kevin,</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 am pleased to offer you the role of Vice President, Corporate Controller at Vera Bradley Designs, reporting to me. This role is an exempt position with a bi-weekly salary of $9,039.00 which equates to $235,014 annually. In addition, your annual target incentive opportunity is 45% of your annual base salary. Upon starting with the Company, you will receive a one-time award of Restricted Stock Units, valued at $117,500 on your effective start date. The Restricted Stock Units will be subject to a 3-year prorated vesting schedule, with 1/3 of the award vesting on each of the first three anniversaries of the grant date. Thereafter, your role will be eligible to participate in the discretionary LTI plan which anticipates an award level at 50% of annual base salary. The details and conditions of this award will be provided at a later date. In addition, you will be eligible to participate in our FY 2012 annual incentive program on a pro-rata basis from your start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your base salary, you will receive a $100,000 sign on bonus that will be grossed up to cover tax obligations.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event you elect to voluntarily or involuntary with cause, terminate employment at any time prior to twelve (12) months after starting employment, you will be subject to repayment costs associated with this one-time payment.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Listed below is the information regarding our complete benefits package:</w:t>
      </w:r>
    </w:p>
    <w:p>
      <w:pPr>
        <w:spacing w:after="0" w:line="9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Paid holidays annually effective immediately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 days of accrued managed time off (MTO) per calendar year. MTO provides for time away from work for any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Short-term disability insurance (one year waiting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Long-term disability insurance (one year waiting period)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Life insurance coverage equal to one times your annual salary with a minimum of $50,000; maximum of $200,000 (30 day waiting period)</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Health/Dental insurance through Anthem. Vera Bradley pays a portion of both the employee and dependent premium after a 30 day waiting period (see premium rates outlined in the benefits summary).</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125 Flexible Spending Plan (30 days waiting period). You can create a non-taxable accounts to pay non-reimbursable medical expenses and dependent care expenses.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401(k) Profit Sharing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Ability to purchase on account, Vera Bradley Designs’ products at discounted wholesale prices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the event your employment is terminated by Vera Bradley (the “Company”) for any reason except for your death, your “disability” (as defined below) or for “just cause” (as defined below), you will be entitled to a</w:t>
      </w:r>
    </w:p>
    <w:p>
      <w:pPr>
        <w:sectPr>
          <w:pgSz w:w="11900" w:h="16838" w:orient="portrait"/>
          <w:cols w:equalWidth="0" w:num="1">
            <w:col w:w="11420"/>
          </w:cols>
          <w:pgMar w:left="240" w:top="125" w:right="239" w:bottom="1440" w:gutter="0" w:footer="0" w:header="0"/>
        </w:sectPr>
      </w:pPr>
    </w:p>
    <w:bookmarkStart w:id="78" w:name="page79"/>
    <w:bookmarkEnd w:id="78"/>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severance payment equal to the sum of nine months of your annual base salary (paid in a lump sum within 30 days following your termination by the Company subject to the release requirement below) plus a pro-rata portion (based on the number of days in the fiscal year during which you were employed) of the annual cash incentive to which you would have been entitled had you satisfied the requirements for being a participant in the annual incentive plan during the year of your termination. Such annual cash incentive payment shall be paid in a lump sum at the same time such payments are made to similarly situated executives but in all events within the two and one-half month period following the year in which your termination occurs and will be calculated, for the Company performance at “target” level. You shall not be entitled to the severance set forth in this paragraph unless you execute, return and do not revoke a general release of claims in a form and manner satisfactory to the Company (the “Release”) within 30 days (or such longer period to the extent required by law) of your termination of employment provided that the Company shall provide you the Release within 35 days of your termination of employment.</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purposes of this letter, “disability” has the meaning set forth in the long-term disability policy or plan maintained by the Company for its senior executives (or if none, in the long-term disability policy or plan maintained for its employees generally) then in effect. In the absence of such a policy or plan, “disability” has the meaning given to such term under Section 409A of the Internal Revenue Code 1986, as amended (the “Code”) and the regulations and guidance promulgated thereunder.</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purposes of this letter, “just cause” shall mean, as determined by Vera Bradley’s board of directors, (i) your conviction of a crime under U.S. federal, state or local laws or any applicable foreign laws (including any pleas of nolo contendere) involving the property or affairs of Vera Bradley, (ii) your serious misconduct in connection with or affecting the business of Vera Bradley, (ii) your serious neglect or gross negligence in performing services to Vera Bradley, (iii) your failure to perform the duties of your position after Vera Bradley’s delivery to you of written notice identifying the duties not being performed by you, (iv) your violation, or your aiding and abetting any violation by another, as reasonably determined by Vera Bradley’s board of directors, of any law, order, rule or regulation pertaining to you or to Vera Bradley, or (v) your abuse of illegal drugs or other controlled substances.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letter is intended to comply with Code Section 409A, including the exceptions for short-term deferrals, separation pay arrangements, reimbursements, and in-kind distributions, and shall be administered, construed and interpreted in accordance with such intent. Each payment under this letter or any Company benefit plan is intended to be treated as one of a series of separate payments for purposes of Code Section 409A. To the extent any reimbursements or in-kind benefit payments under this letter are subject to Code Section 409A, such reimbursements and in-kind benefit payments will be made in accordance with Treasury Regulation §1.409A-3(i)(1)(iv) (or any similar or successor provisions).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Notwithstanding anything in this letter to the contrary, to the extent you are considered a “specified employee” (as defined in Code Section 409A) and would be entitled to a payment during the six-month period beginning on the date your employment with the Company is terminated that is not otherwise excluded under Code Section 409A under the exception for short-term deferrals, separation pay arrangements, reimbursements, in-kind distributions, or any otherwise applicable exemption, the payment will not be made until earlier of the six-month anniversary of your date of termination or your death and will be accumulated and paid on the first day of the seventh month following the date of termination.</w:t>
      </w:r>
    </w:p>
    <w:p>
      <w:pPr>
        <w:spacing w:after="0" w:line="1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Company may amend this letter to the minimum extend necessary to satisfy the applicable provisions of Code Section 409A. The Company does not, however, guarantee that the benefits (including the severance benefits) provided under this letter will satisfy all applicable provisions of Code Section 409A.</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As a reminder, this offer is contingent upon the successful completion of your background check, employment references and pre-employment drug screen.</w:t>
      </w:r>
    </w:p>
    <w:p>
      <w:pPr>
        <w:sectPr>
          <w:pgSz w:w="11900" w:h="16838" w:orient="portrait"/>
          <w:cols w:equalWidth="0" w:num="1">
            <w:col w:w="11400"/>
          </w:cols>
          <w:pgMar w:left="240" w:top="280" w:right="259" w:bottom="1440" w:gutter="0" w:footer="0" w:header="0"/>
        </w:sectPr>
      </w:pPr>
    </w:p>
    <w:bookmarkStart w:id="79" w:name="page80"/>
    <w:bookmarkEnd w:id="79"/>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Kevin, we are very excited about your joining Vera Bradley Designs. We feel your experience and qualifications will be an excellent addition to our team. Please contact me should you have any questions regarding this office.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Jeff Blade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&amp; Administrative Officer</w:t>
      </w:r>
    </w:p>
    <w:p>
      <w:pPr>
        <w:spacing w:after="0" w:line="165"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This letter merely memorializes our offer to you and does not constitute a written employment contract for any specific term. Your employment with Vera Bradley will be on an “at will” basis, which means that either party may end the employment relationship at any time without notice, for any reason.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40" w:type="dxa"/>
            <w:vAlign w:val="bottom"/>
            <w:gridSpan w:val="3"/>
          </w:tcPr>
          <w:p>
            <w:pPr>
              <w:spacing w:after="0"/>
              <w:rPr>
                <w:sz w:val="20"/>
                <w:szCs w:val="20"/>
                <w:color w:val="auto"/>
              </w:rPr>
            </w:pPr>
            <w:r>
              <w:rPr>
                <w:rFonts w:ascii="Arial" w:cs="Arial" w:eastAsia="Arial" w:hAnsi="Arial"/>
                <w:sz w:val="18"/>
                <w:szCs w:val="18"/>
                <w:color w:val="auto"/>
              </w:rPr>
              <w:t>/s/ Kevin J. Sierks</w:t>
            </w:r>
          </w:p>
        </w:tc>
        <w:tc>
          <w:tcPr>
            <w:tcW w:w="1540" w:type="dxa"/>
            <w:vAlign w:val="bottom"/>
          </w:tcPr>
          <w:p>
            <w:pPr>
              <w:ind w:left="40"/>
              <w:spacing w:after="0"/>
              <w:rPr>
                <w:sz w:val="20"/>
                <w:szCs w:val="20"/>
                <w:color w:val="auto"/>
              </w:rPr>
            </w:pPr>
            <w:r>
              <w:rPr>
                <w:rFonts w:ascii="Arial" w:cs="Arial" w:eastAsia="Arial" w:hAnsi="Arial"/>
                <w:sz w:val="18"/>
                <w:szCs w:val="18"/>
                <w:color w:val="auto"/>
              </w:rPr>
              <w:t>11/24/2011</w:t>
            </w:r>
          </w:p>
        </w:tc>
      </w:tr>
      <w:tr>
        <w:trPr>
          <w:trHeight w:val="217"/>
        </w:trPr>
        <w:tc>
          <w:tcPr>
            <w:tcW w:w="20" w:type="dxa"/>
            <w:vAlign w:val="bottom"/>
          </w:tcPr>
          <w:p>
            <w:pPr>
              <w:spacing w:after="0"/>
              <w:rPr>
                <w:sz w:val="18"/>
                <w:szCs w:val="18"/>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Accepted by Kevin Sierks</w:t>
            </w:r>
          </w:p>
        </w:tc>
        <w:tc>
          <w:tcPr>
            <w:tcW w:w="380" w:type="dxa"/>
            <w:vAlign w:val="bottom"/>
          </w:tcPr>
          <w:p>
            <w:pPr>
              <w:spacing w:after="0"/>
              <w:rPr>
                <w:sz w:val="18"/>
                <w:szCs w:val="18"/>
                <w:color w:val="auto"/>
              </w:rPr>
            </w:pPr>
          </w:p>
        </w:tc>
        <w:tc>
          <w:tcPr>
            <w:tcW w:w="1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340"/>
          </w:cols>
          <w:pgMar w:left="240" w:top="280"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9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89"/>
              </w:rPr>
              <w:t>Vera Bradley, Inc.</w:t>
            </w:r>
          </w:p>
        </w:tc>
      </w:tr>
      <w:tr>
        <w:trPr>
          <w:trHeight w:val="228"/>
        </w:trPr>
        <w:tc>
          <w:tcPr>
            <w:tcW w:w="6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9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85"/>
              </w:rPr>
              <w:t>Subsidiaries</w:t>
            </w:r>
          </w:p>
        </w:tc>
      </w:tr>
      <w:tr>
        <w:trPr>
          <w:trHeight w:val="353"/>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w:t>
            </w:r>
          </w:p>
        </w:tc>
        <w:tc>
          <w:tcPr>
            <w:tcW w:w="3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State of Incorporation / Formation</w:t>
            </w:r>
          </w:p>
        </w:tc>
        <w:tc>
          <w:tcPr>
            <w:tcW w:w="120" w:type="dxa"/>
            <w:vAlign w:val="bottom"/>
          </w:tcPr>
          <w:p>
            <w:pPr>
              <w:spacing w:after="0"/>
              <w:rPr>
                <w:sz w:val="24"/>
                <w:szCs w:val="24"/>
                <w:color w:val="auto"/>
              </w:rPr>
            </w:pPr>
          </w:p>
        </w:tc>
      </w:tr>
      <w:tr>
        <w:trPr>
          <w:trHeight w:val="201"/>
        </w:trPr>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Vera Bradley Designs, Inc.</w:t>
            </w:r>
          </w:p>
        </w:tc>
        <w:tc>
          <w:tcPr>
            <w:tcW w:w="168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Indiana</w:t>
            </w:r>
          </w:p>
        </w:tc>
        <w:tc>
          <w:tcPr>
            <w:tcW w:w="120" w:type="dxa"/>
            <w:vAlign w:val="bottom"/>
          </w:tcPr>
          <w:p>
            <w:pPr>
              <w:spacing w:after="0"/>
              <w:rPr>
                <w:sz w:val="17"/>
                <w:szCs w:val="17"/>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Vera Bradley International, LLC</w:t>
            </w:r>
          </w:p>
        </w:tc>
        <w:tc>
          <w:tcPr>
            <w:tcW w:w="16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Indiana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Vera Bradley Sales, LLC</w:t>
            </w:r>
          </w:p>
        </w:tc>
        <w:tc>
          <w:tcPr>
            <w:tcW w:w="16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Indiana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Vera Bradley Handbag Design (Dongguan) Co., Ltd.</w:t>
            </w:r>
          </w:p>
        </w:tc>
        <w:tc>
          <w:tcPr>
            <w:tcW w:w="168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w w:val="88"/>
              </w:rPr>
              <w:t>The People’s Republic of China</w:t>
            </w: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Vera Bradley (Japan) K.K.</w:t>
            </w:r>
          </w:p>
        </w:tc>
        <w:tc>
          <w:tcPr>
            <w:tcW w:w="168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333-170062) of Vera Bradley, Inc. of our report dated April 2, 2013 relating to the financial statements and the effectiveness of internal control over financial reporting, which appears in this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 2013</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13a-15(f) and 15d-15(f))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00" w:firstLine="1"/>
        <w:spacing w:after="0" w:line="357" w:lineRule="auto"/>
        <w:tabs>
          <w:tab w:leader="none" w:pos="1159"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120" w:val="left"/>
        </w:tabs>
        <w:rPr>
          <w:sz w:val="20"/>
          <w:szCs w:val="20"/>
          <w:color w:val="auto"/>
        </w:rPr>
      </w:pPr>
      <w:r>
        <w:rPr>
          <w:rFonts w:ascii="Arial" w:cs="Arial" w:eastAsia="Arial" w:hAnsi="Arial"/>
          <w:sz w:val="18"/>
          <w:szCs w:val="18"/>
          <w:color w:val="auto"/>
        </w:rPr>
        <w:t>Date: April 2, 2013</w:t>
      </w:r>
      <w:r>
        <w:rPr>
          <w:sz w:val="20"/>
          <w:szCs w:val="20"/>
          <w:color w:val="auto"/>
        </w:rPr>
        <w:tab/>
      </w:r>
      <w:r>
        <w:rPr>
          <w:rFonts w:ascii="Arial" w:cs="Arial" w:eastAsia="Arial" w:hAnsi="Arial"/>
          <w:sz w:val="16"/>
          <w:szCs w:val="16"/>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13a-15(f) and 15d-15(f))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69"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00" w:firstLine="1"/>
        <w:spacing w:after="0" w:line="357" w:lineRule="auto"/>
        <w:tabs>
          <w:tab w:leader="none" w:pos="1159"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April 2, 2013</w:t>
            </w:r>
          </w:p>
        </w:tc>
        <w:tc>
          <w:tcPr>
            <w:tcW w:w="54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9"/>
              </w:rPr>
              <w:t>/s/ Kevin J. Sierks</w:t>
            </w:r>
          </w:p>
        </w:tc>
      </w:tr>
      <w:tr>
        <w:trPr>
          <w:trHeight w:val="202"/>
        </w:trPr>
        <w:tc>
          <w:tcPr>
            <w:tcW w:w="5960" w:type="dxa"/>
            <w:vAlign w:val="bottom"/>
          </w:tcPr>
          <w:p>
            <w:pPr>
              <w:spacing w:after="0"/>
              <w:rPr>
                <w:sz w:val="17"/>
                <w:szCs w:val="17"/>
                <w:color w:val="auto"/>
              </w:rPr>
            </w:pPr>
          </w:p>
        </w:tc>
        <w:tc>
          <w:tcPr>
            <w:tcW w:w="546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0"/>
              </w:rPr>
              <w:t>Kevin J. Sierks</w:t>
            </w:r>
          </w:p>
        </w:tc>
      </w:tr>
      <w:tr>
        <w:trPr>
          <w:trHeight w:val="216"/>
        </w:trPr>
        <w:tc>
          <w:tcPr>
            <w:tcW w:w="5960" w:type="dxa"/>
            <w:vAlign w:val="bottom"/>
          </w:tcPr>
          <w:p>
            <w:pPr>
              <w:spacing w:after="0"/>
              <w:rPr>
                <w:sz w:val="18"/>
                <w:szCs w:val="18"/>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i w:val="1"/>
                <w:iCs w:val="1"/>
                <w:color w:val="auto"/>
                <w:w w:val="89"/>
              </w:rPr>
              <w:t>Vice President – Controller, Chief Accounting Officer and Interim Chief</w:t>
            </w:r>
          </w:p>
        </w:tc>
      </w:tr>
      <w:tr>
        <w:trPr>
          <w:trHeight w:val="222"/>
        </w:trPr>
        <w:tc>
          <w:tcPr>
            <w:tcW w:w="5960" w:type="dxa"/>
            <w:vAlign w:val="bottom"/>
          </w:tcPr>
          <w:p>
            <w:pPr>
              <w:spacing w:after="0"/>
              <w:rPr>
                <w:sz w:val="19"/>
                <w:szCs w:val="19"/>
                <w:color w:val="auto"/>
              </w:rPr>
            </w:pPr>
          </w:p>
        </w:tc>
        <w:tc>
          <w:tcPr>
            <w:tcW w:w="5460" w:type="dxa"/>
            <w:vAlign w:val="bottom"/>
          </w:tcPr>
          <w:p>
            <w:pPr>
              <w:jc w:val="center"/>
              <w:ind w:left="12"/>
              <w:spacing w:after="0"/>
              <w:rPr>
                <w:sz w:val="20"/>
                <w:szCs w:val="20"/>
                <w:color w:val="auto"/>
              </w:rPr>
            </w:pPr>
            <w:r>
              <w:rPr>
                <w:rFonts w:ascii="Arial" w:cs="Arial" w:eastAsia="Arial" w:hAnsi="Arial"/>
                <w:sz w:val="18"/>
                <w:szCs w:val="18"/>
                <w:i w:val="1"/>
                <w:iCs w:val="1"/>
                <w:color w:val="auto"/>
                <w:w w:val="95"/>
              </w:rPr>
              <w:t>Financial Officer</w:t>
            </w:r>
          </w:p>
        </w:tc>
      </w:tr>
    </w:tbl>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 Section 906 of the Sarbanes – Oxley Act of 2002</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annual report on Form 10-K for the fiscal year ended February 2, 2013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8"/>
          <w:szCs w:val="18"/>
          <w:i w:val="1"/>
          <w:iCs w:val="1"/>
          <w:color w:val="auto"/>
        </w:rPr>
        <w:t>Chief Executive Officer</w:t>
      </w:r>
    </w:p>
    <w:p>
      <w:pPr>
        <w:spacing w:after="0" w:line="111"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April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 Kevin J. Sierks, the Vice President – Controller, Chief Accounting Officer and Interim Chief Financial Officer of Vera Bradley, Inc., certify that (i) the annual report on Form 10-K for the fiscal year ended February 2, 2013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Kevin J. Sierks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Vice President – Controller, Chief Accounting</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Officer and Interim Chief Financial Officer</w:t>
      </w:r>
    </w:p>
    <w:p>
      <w:pPr>
        <w:spacing w:after="0" w:line="11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April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lvl w:ilvl="1">
      <w:lvlJc w:val="left"/>
      <w:lvlText w:val="•"/>
      <w:numFmt w:val="bullet"/>
      <w:start w:val="1"/>
    </w:lvl>
  </w:abstractNum>
  <w:abstractNum w:abstractNumId="19">
    <w:nsid w:val="7C3DBD3D"/>
    <w:multiLevelType w:val="hybridMultilevel"/>
    <w:lvl w:ilvl="0">
      <w:lvlJc w:val="left"/>
      <w:lvlText w:val="•"/>
      <w:numFmt w:val="bullet"/>
      <w:start w:val="1"/>
    </w:lvl>
    <w:lvl w:ilvl="1">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2"/>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3"/>
    </w:lvl>
  </w:abstractNum>
  <w:abstractNum w:abstractNumId="27">
    <w:nsid w:val="5577F8E1"/>
    <w:multiLevelType w:val="hybridMultilevel"/>
    <w:lvl w:ilvl="0">
      <w:lvlJc w:val="left"/>
      <w:lvlText w:val="%1."/>
      <w:numFmt w:val="decimal"/>
      <w:start w:val="4"/>
    </w:lvl>
  </w:abstractNum>
  <w:abstractNum w:abstractNumId="28">
    <w:nsid w:val="440BADFC"/>
    <w:multiLevelType w:val="hybridMultilevel"/>
    <w:lvl w:ilvl="0">
      <w:lvlJc w:val="left"/>
      <w:lvlText w:val="%1."/>
      <w:numFmt w:val="decimal"/>
      <w:start w:val="6"/>
    </w:lvl>
  </w:abstractNum>
  <w:abstractNum w:abstractNumId="29">
    <w:nsid w:val="5072367"/>
    <w:multiLevelType w:val="hybridMultilevel"/>
    <w:lvl w:ilvl="0">
      <w:lvlJc w:val="left"/>
      <w:lvlText w:val="%1."/>
      <w:numFmt w:val="decimal"/>
      <w:start w:val="7"/>
    </w:lvl>
  </w:abstractNum>
  <w:abstractNum w:abstractNumId="30">
    <w:nsid w:val="3804823E"/>
    <w:multiLevelType w:val="hybridMultilevel"/>
    <w:lvl w:ilvl="0">
      <w:lvlJc w:val="left"/>
      <w:lvlText w:val="%1."/>
      <w:numFmt w:val="decimal"/>
      <w:start w:val="8"/>
    </w:lvl>
  </w:abstractNum>
  <w:abstractNum w:abstractNumId="31">
    <w:nsid w:val="77465F01"/>
    <w:multiLevelType w:val="hybridMultilevel"/>
    <w:lvl w:ilvl="0">
      <w:lvlJc w:val="left"/>
      <w:lvlText w:val="%1."/>
      <w:numFmt w:val="decimal"/>
      <w:start w:val="9"/>
    </w:lvl>
  </w:abstractNum>
  <w:abstractNum w:abstractNumId="32">
    <w:nsid w:val="7724C67E"/>
    <w:multiLevelType w:val="hybridMultilevel"/>
    <w:lvl w:ilvl="0">
      <w:lvlJc w:val="left"/>
      <w:lvlText w:val="%1."/>
      <w:numFmt w:val="decimal"/>
      <w:start w:val="10"/>
    </w:lvl>
  </w:abstractNum>
  <w:abstractNum w:abstractNumId="33">
    <w:nsid w:val="5C482A97"/>
    <w:multiLevelType w:val="hybridMultilevel"/>
    <w:lvl w:ilvl="0">
      <w:lvlJc w:val="left"/>
      <w:lvlText w:val="%1."/>
      <w:numFmt w:val="decimal"/>
      <w:start w:val="12"/>
    </w:lvl>
  </w:abstractNum>
  <w:abstractNum w:abstractNumId="34">
    <w:nsid w:val="2463B9EA"/>
    <w:multiLevelType w:val="hybridMultilevel"/>
    <w:lvl w:ilvl="0">
      <w:lvlJc w:val="left"/>
      <w:lvlText w:val="%1."/>
      <w:numFmt w:val="decimal"/>
      <w:start w:val="13"/>
    </w:lvl>
  </w:abstractNum>
  <w:abstractNum w:abstractNumId="35">
    <w:nsid w:val="5E884ADC"/>
    <w:multiLevelType w:val="hybridMultilevel"/>
    <w:lvl w:ilvl="0">
      <w:lvlJc w:val="left"/>
      <w:lvlText w:val="%1."/>
      <w:numFmt w:val="decimal"/>
      <w:start w:val="14"/>
    </w:lvl>
  </w:abstractNum>
  <w:abstractNum w:abstractNumId="36">
    <w:nsid w:val="51EAD36B"/>
    <w:multiLevelType w:val="hybridMultilevel"/>
    <w:lvl w:ilvl="0">
      <w:lvlJc w:val="left"/>
      <w:lvlText w:val="%1."/>
      <w:numFmt w:val="decimal"/>
      <w:start w:val="15"/>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2019-12-07T22:09:48Z</dcterms:created>
  <dcterms:modified xsi:type="dcterms:W3CDTF">2019-12-07T22:09:48Z</dcterms:modified>
</cp:coreProperties>
</file>