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2,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2208 Production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4"/>
              </w:rPr>
              <w:t>Fort Wayne,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46808</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20"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520" w:space="720"/>
            <w:col w:w="3960" w:space="720"/>
            <w:col w:w="2460" w:space="720"/>
            <w:col w:w="320"/>
          </w:cols>
          <w:pgMar w:left="240" w:top="720"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520" w:space="720"/>
            <w:col w:w="180" w:space="80"/>
            <w:col w:w="3700" w:space="720"/>
            <w:col w:w="2460" w:space="720"/>
            <w:col w:w="320"/>
          </w:cols>
          <w:pgMar w:left="240" w:top="720" w:right="23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72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registrant had 40,606,731 shares of its common stock outstanding as of December 12,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6"/>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686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 (unaudited)</w:t>
              </w:r>
            </w:hyperlink>
          </w:p>
        </w:tc>
        <w:tc>
          <w:tcPr>
            <w:tcW w:w="662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55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Balance Sheets as of November 2, 2013, and February 2, 2013</w:t>
              </w:r>
            </w:hyperlink>
          </w:p>
        </w:tc>
        <w:tc>
          <w:tcPr>
            <w:tcW w:w="3500" w:type="dxa"/>
            <w:vAlign w:val="bottom"/>
            <w:gridSpan w:val="4"/>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372"/>
        </w:trPr>
        <w:tc>
          <w:tcPr>
            <w:tcW w:w="9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Consolidated Statements of Income for the Thirteen and Thirty-Nine Weeks Ended November 2, 2013, and October 27, 2012</w:t>
              </w:r>
            </w:hyperlink>
          </w:p>
        </w:tc>
        <w:tc>
          <w:tcPr>
            <w:tcW w:w="1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72"/>
        </w:trPr>
        <w:tc>
          <w:tcPr>
            <w:tcW w:w="920" w:type="dxa"/>
            <w:vAlign w:val="bottom"/>
          </w:tcPr>
          <w:p>
            <w:pPr>
              <w:spacing w:after="0"/>
              <w:rPr>
                <w:sz w:val="24"/>
                <w:szCs w:val="24"/>
                <w:color w:val="auto"/>
              </w:rPr>
            </w:pPr>
          </w:p>
        </w:tc>
        <w:tc>
          <w:tcPr>
            <w:tcW w:w="9000" w:type="dxa"/>
            <w:vAlign w:val="bottom"/>
            <w:tcBorders>
              <w:top w:val="single" w:sz="8" w:color="0000FF"/>
            </w:tcBorders>
            <w:gridSpan w:val="14"/>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 xml:space="preserve">Consolidated Statements of Comprehensive Income for the Thirteen and </w:t>
              </w:r>
            </w:hyperlink>
            <w:r>
              <w:rPr>
                <w:rFonts w:ascii="Arial" w:cs="Arial" w:eastAsia="Arial" w:hAnsi="Arial"/>
                <w:sz w:val="18"/>
                <w:szCs w:val="18"/>
                <w:color w:val="0000FF"/>
                <w:w w:val="91"/>
              </w:rPr>
              <w:t>Thirty-Nine Weeks Ended November 2, 2013, and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88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rPr>
              <w:t>October 27, 2012</w:t>
            </w:r>
          </w:p>
        </w:tc>
        <w:tc>
          <w:tcPr>
            <w:tcW w:w="120" w:type="dxa"/>
            <w:vAlign w:val="bottom"/>
          </w:tcPr>
          <w:p>
            <w:pPr>
              <w:spacing w:after="0"/>
              <w:rPr>
                <w:sz w:val="17"/>
                <w:szCs w:val="17"/>
                <w:color w:val="auto"/>
              </w:rPr>
            </w:pPr>
          </w:p>
        </w:tc>
        <w:tc>
          <w:tcPr>
            <w:tcW w:w="1360" w:type="dxa"/>
            <w:vAlign w:val="bottom"/>
            <w:gridSpan w:val="3"/>
          </w:tcPr>
          <w:p>
            <w:pPr>
              <w:jc w:val="right"/>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3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Consolidated Statements of Cash Flows for the </w:t>
              </w:r>
            </w:hyperlink>
            <w:r>
              <w:rPr>
                <w:rFonts w:ascii="Arial" w:cs="Arial" w:eastAsia="Arial" w:hAnsi="Arial"/>
                <w:sz w:val="18"/>
                <w:szCs w:val="18"/>
                <w:color w:val="0000FF"/>
                <w:w w:val="90"/>
              </w:rPr>
              <w:t>Thirty-Nine Weeks Ended November 2, 2013, and October 27, 2012</w:t>
            </w:r>
          </w:p>
        </w:tc>
        <w:tc>
          <w:tcPr>
            <w:tcW w:w="64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372"/>
        </w:trPr>
        <w:tc>
          <w:tcPr>
            <w:tcW w:w="9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3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2540" w:type="dxa"/>
            <w:vAlign w:val="bottom"/>
            <w:gridSpan w:val="3"/>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2540" w:type="dxa"/>
            <w:vAlign w:val="bottom"/>
            <w:gridSpan w:val="3"/>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4640" w:type="dxa"/>
            <w:vAlign w:val="bottom"/>
            <w:gridSpan w:val="5"/>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 OTHER INFORMATION</w:t>
              </w:r>
            </w:hyperlink>
          </w:p>
        </w:tc>
        <w:tc>
          <w:tcPr>
            <w:tcW w:w="716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Risk Factors</w:t>
              </w:r>
            </w:hyperlink>
          </w:p>
        </w:tc>
        <w:tc>
          <w:tcPr>
            <w:tcW w:w="8100" w:type="dxa"/>
            <w:vAlign w:val="bottom"/>
            <w:gridSpan w:val="12"/>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Exhibits</w:t>
              </w:r>
            </w:hyperlink>
          </w:p>
        </w:tc>
        <w:tc>
          <w:tcPr>
            <w:tcW w:w="300" w:type="dxa"/>
            <w:vAlign w:val="bottom"/>
          </w:tcPr>
          <w:p>
            <w:pPr>
              <w:spacing w:after="0"/>
              <w:rPr>
                <w:sz w:val="24"/>
                <w:szCs w:val="24"/>
                <w:color w:val="auto"/>
              </w:rPr>
            </w:pPr>
          </w:p>
        </w:tc>
        <w:tc>
          <w:tcPr>
            <w:tcW w:w="8100" w:type="dxa"/>
            <w:vAlign w:val="bottom"/>
            <w:gridSpan w:val="12"/>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885"/>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900" w:type="dxa"/>
            <w:vAlign w:val="bottom"/>
            <w:gridSpan w:val="9"/>
          </w:tcPr>
          <w:p>
            <w:pPr>
              <w:jc w:val="right"/>
              <w:ind w:right="70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280"/>
          </w:cols>
          <w:pgMar w:left="28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2, 2013.</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34,811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131,562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11,348</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77,211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314,373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277,319</w:t>
            </w:r>
          </w:p>
        </w:tc>
      </w:tr>
      <w:tr>
        <w:trPr>
          <w:trHeight w:val="67"/>
        </w:trPr>
        <w:tc>
          <w:tcPr>
            <w:tcW w:w="8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Accrued employment costs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14,162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7,094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52,699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6,078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9,250</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83,064</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rPr>
              <w:t>Common stock, without par value; 200,000 shares authorized, 40,606 and 40,563 shares issued and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60" w:type="dxa"/>
            <w:vAlign w:val="bottom"/>
          </w:tcPr>
          <w:p>
            <w:pPr>
              <w:ind w:left="28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75,675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158,556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119,190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235,773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194,255</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277,319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27,</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October 27,</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378,584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58,161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166,327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164,442</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48,771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152,334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148,622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24,189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63,446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70,180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24,131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69,665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25,924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43,741</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40,652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40,563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27,</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October 27,</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43,741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43,535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27,</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39,366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43,741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7,424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(9,139)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9,407</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22,237</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(32,114)</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(32,114)</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financial-institution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Borrowings on financial-institution debt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81,000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financing activities,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4,922</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context requires or where otherwise indicated.</w:t>
      </w:r>
    </w:p>
    <w:p>
      <w:pPr>
        <w:spacing w:after="0" w:line="35" w:lineRule="exact"/>
        <w:rPr>
          <w:sz w:val="20"/>
          <w:szCs w:val="20"/>
          <w:color w:val="auto"/>
        </w:rPr>
      </w:pPr>
    </w:p>
    <w:p>
      <w:pPr>
        <w:jc w:val="both"/>
        <w:ind w:left="660" w:right="180"/>
        <w:spacing w:after="0" w:line="291" w:lineRule="auto"/>
        <w:rPr>
          <w:sz w:val="20"/>
          <w:szCs w:val="20"/>
          <w:color w:val="auto"/>
        </w:rPr>
      </w:pPr>
      <w:r>
        <w:rPr>
          <w:rFonts w:ascii="Arial" w:cs="Arial" w:eastAsia="Arial" w:hAnsi="Arial"/>
          <w:sz w:val="16"/>
          <w:szCs w:val="16"/>
          <w:color w:val="auto"/>
        </w:rPr>
        <w:t>Vera Bradley is a leading designer, producer, marketer, and retailer of stylish, highly functional accessories primarily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department store locations in Japan, its websites, verabradley.com and verabradley.co.jp, and its annual outlet sale in Fort Wayne, Indiana. As of November 2, 2013, the Company operated 84 full-price stores and 15 outlet stores. The Indirect business consists of sales of Vera Bradley products to approximately 3,400 specialty retailers, substantially all of which are located in the United States, as well as select department stores, national accounts, and third party e-commerce sites.</w:t>
      </w:r>
    </w:p>
    <w:p>
      <w:pPr>
        <w:spacing w:after="0" w:line="32"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2, 2013, filed with the SEC.</w:t>
      </w:r>
    </w:p>
    <w:p>
      <w:pPr>
        <w:spacing w:after="0" w:line="3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2, 2013,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November 2, 2013, and October 27, 2012,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right="60"/>
        <w:spacing w:after="0" w:line="269"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2013-2,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2013-2”). This guidance adds new disclosure requirements for items</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out of accumulated other comprehensive income. The additional disclosures include: (1) changes in accumulated other comprehensive income balances by component and (2) 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 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48"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 xml:space="preserve">In October 2012, the FASB issued ASU 2012-4,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an impact on the Company’s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jc w:val="both"/>
        <w:ind w:left="660" w:right="20"/>
        <w:spacing w:after="0" w:line="288" w:lineRule="auto"/>
        <w:rPr>
          <w:sz w:val="20"/>
          <w:szCs w:val="20"/>
          <w:color w:val="auto"/>
        </w:rPr>
      </w:pPr>
      <w:r>
        <w:rPr>
          <w:rFonts w:ascii="Arial" w:cs="Arial" w:eastAsia="Arial" w:hAnsi="Arial"/>
          <w:sz w:val="16"/>
          <w:szCs w:val="16"/>
          <w:color w:val="auto"/>
        </w:rPr>
        <w:t xml:space="preserve">Earnings per share is computed under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w:t>
      </w:r>
    </w:p>
    <w:p>
      <w:pPr>
        <w:jc w:val="both"/>
        <w:ind w:left="660"/>
        <w:spacing w:after="0" w:line="261" w:lineRule="auto"/>
        <w:rPr>
          <w:sz w:val="20"/>
          <w:szCs w:val="20"/>
          <w:color w:val="auto"/>
        </w:rPr>
      </w:pPr>
      <w:r>
        <w:rPr>
          <w:rFonts w:ascii="Arial" w:cs="Arial" w:eastAsia="Arial" w:hAnsi="Arial"/>
          <w:sz w:val="18"/>
          <w:szCs w:val="18"/>
          <w:color w:val="auto"/>
        </w:rPr>
        <w:t>Dilutive potential common shares represent outstanding restricted stock. The components of basic and diluted earnings per share were as follows (in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November 2,</w:t>
            </w:r>
          </w:p>
        </w:tc>
        <w:tc>
          <w:tcPr>
            <w:tcW w:w="16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27,</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2,</w:t>
            </w:r>
          </w:p>
        </w:tc>
        <w:tc>
          <w:tcPr>
            <w:tcW w:w="180" w:type="dxa"/>
            <w:vAlign w:val="bottom"/>
          </w:tcPr>
          <w:p>
            <w:pPr>
              <w:spacing w:after="0"/>
              <w:rPr>
                <w:sz w:val="13"/>
                <w:szCs w:val="13"/>
                <w:color w:val="auto"/>
              </w:rPr>
            </w:pPr>
          </w:p>
        </w:tc>
        <w:tc>
          <w:tcPr>
            <w:tcW w:w="108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8"/>
              </w:rPr>
              <w:t>October 27,</w:t>
            </w:r>
          </w:p>
        </w:tc>
      </w:tr>
      <w:tr>
        <w:trPr>
          <w:trHeight w:val="192"/>
        </w:trPr>
        <w:tc>
          <w:tcPr>
            <w:tcW w:w="5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39,366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43,741</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40,596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40,527</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40,633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40,563</w:t>
            </w:r>
          </w:p>
        </w:tc>
      </w:tr>
      <w:tr>
        <w:trPr>
          <w:trHeight w:val="67"/>
        </w:trPr>
        <w:tc>
          <w:tcPr>
            <w:tcW w:w="5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5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Earnings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67"/>
        </w:trPr>
        <w:tc>
          <w:tcPr>
            <w:tcW w:w="5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5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As of November 2, 2013 and October 27, 2012,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November 2, 2013, and October 27, 2012, approximated their fair values.</w:t>
      </w:r>
    </w:p>
    <w:p>
      <w:pPr>
        <w:spacing w:after="0" w:line="35" w:lineRule="exact"/>
        <w:rPr>
          <w:sz w:val="20"/>
          <w:szCs w:val="20"/>
          <w:color w:val="auto"/>
        </w:rPr>
      </w:pPr>
    </w:p>
    <w:p>
      <w:pPr>
        <w:ind w:left="660" w:right="360"/>
        <w:spacing w:after="0" w:line="308" w:lineRule="auto"/>
        <w:rPr>
          <w:sz w:val="20"/>
          <w:szCs w:val="20"/>
          <w:color w:val="auto"/>
        </w:rPr>
      </w:pPr>
      <w:r>
        <w:rPr>
          <w:rFonts w:ascii="Arial" w:cs="Arial" w:eastAsia="Arial" w:hAnsi="Arial"/>
          <w:sz w:val="17"/>
          <w:szCs w:val="17"/>
          <w:color w:val="auto"/>
        </w:rPr>
        <w:t>The carrying amount for the amended and restated credit agreement (“credit agreement”) approximated its fair value at October 27, 2012 as the interest rates of these borrowings fluctuate with the market. The credit agreement falls within Level 2 of the fair value hierarchy.</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58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300" w:type="dxa"/>
            <w:vAlign w:val="bottom"/>
          </w:tcPr>
          <w:p>
            <w:pPr>
              <w:ind w:left="80"/>
              <w:spacing w:after="0"/>
              <w:rPr>
                <w:sz w:val="20"/>
                <w:szCs w:val="20"/>
                <w:color w:val="auto"/>
              </w:rPr>
            </w:pPr>
            <w:r>
              <w:rPr>
                <w:rFonts w:ascii="Arial" w:cs="Arial" w:eastAsia="Arial" w:hAnsi="Arial"/>
                <w:sz w:val="18"/>
                <w:szCs w:val="18"/>
                <w:b w:val="1"/>
                <w:bCs w:val="1"/>
                <w:color w:val="auto"/>
              </w:rPr>
              <w:t>Inventories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The components of inventories were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24"/>
                <w:szCs w:val="24"/>
                <w:color w:val="auto"/>
              </w:rPr>
            </w:pPr>
          </w:p>
        </w:tc>
        <w:tc>
          <w:tcPr>
            <w:tcW w:w="1240" w:type="dxa"/>
            <w:vAlign w:val="bottom"/>
          </w:tcPr>
          <w:p>
            <w:pPr>
              <w:jc w:val="center"/>
              <w:ind w:right="196"/>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19,490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111,236</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131,562</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3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Debt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73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7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Long-term debt consisted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24"/>
                <w:szCs w:val="24"/>
                <w:color w:val="auto"/>
              </w:rPr>
            </w:pPr>
          </w:p>
        </w:tc>
        <w:tc>
          <w:tcPr>
            <w:tcW w:w="1240" w:type="dxa"/>
            <w:vAlign w:val="bottom"/>
          </w:tcPr>
          <w:p>
            <w:pPr>
              <w:jc w:val="center"/>
              <w:ind w:right="196"/>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Financial-institution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 w:type="dxa"/>
            <w:vAlign w:val="bottom"/>
            <w:tcBorders>
              <w:bottom w:val="single" w:sz="8" w:color="CCEEFF"/>
            </w:tcBorders>
            <w:shd w:val="clear" w:color="auto" w:fill="CCEEFF"/>
          </w:tcPr>
          <w:p>
            <w:pPr>
              <w:spacing w:after="0"/>
              <w:rPr>
                <w:sz w:val="22"/>
                <w:szCs w:val="22"/>
                <w:color w:val="auto"/>
              </w:rPr>
            </w:pPr>
          </w:p>
        </w:tc>
        <w:tc>
          <w:tcPr>
            <w:tcW w:w="7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ended November 2, 2013, the Company had borrowing availability of $125.0 million under the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34" w:lineRule="auto"/>
        <w:rPr>
          <w:sz w:val="20"/>
          <w:szCs w:val="20"/>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to estimate the Company’s annual effective tax rate.</w:t>
      </w:r>
    </w:p>
    <w:p>
      <w:pPr>
        <w:spacing w:after="0" w:line="1"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effective tax rate for the thirteen weeks ended November 2, 2013, was 36.9%, compared to 35.2% for the thirteen weeks ended October 27, 2012. The effective tax rate increase was primarily related to discrete items recorded during the third quarter in the prior year, partially offset by a lower net operating loss in Japan for the thirteen weeks ended November 2, 2013.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effective tax rate for the thirty-nine weeks ended November 2, 2013, was 37.7%, compared to 37.2% for the thirty-nine weeks ended</w:t>
      </w:r>
    </w:p>
    <w:p>
      <w:pPr>
        <w:spacing w:after="0" w:line="35"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October 27, 2012. The effective tax rate increase was primarily related to discrete items recorded during the third quarter in the prior year, partially offset by a lower net operating loss in Japan for the thirty-nine weeks ended November 2, 2013.</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jc w:val="both"/>
        <w:ind w:left="660" w:right="300"/>
        <w:spacing w:after="0" w:line="286" w:lineRule="auto"/>
        <w:rPr>
          <w:sz w:val="20"/>
          <w:szCs w:val="20"/>
          <w:color w:val="auto"/>
        </w:rPr>
      </w:pPr>
      <w:r>
        <w:rPr>
          <w:rFonts w:ascii="Arial" w:cs="Arial" w:eastAsia="Arial" w:hAnsi="Arial"/>
          <w:sz w:val="17"/>
          <w:szCs w:val="17"/>
          <w:color w:val="auto"/>
        </w:rPr>
        <w:t xml:space="preserve">The Company accounts for stock-based compensation under the fair-value recognition provisions of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3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90"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During the thirteen weeks ended November 2, 2013, the Company granted 2,546 time-based restricted stock units with an aggregate fair value of $0.1 million under the 2010 Equity and Incentive Plan compared to a total of 2,353 time-based restricted stock units with an aggregate fair value of $0.1 million granted in the same period of the prior year.</w:t>
      </w:r>
    </w:p>
    <w:p>
      <w:pPr>
        <w:spacing w:after="0" w:line="181" w:lineRule="exact"/>
        <w:rPr>
          <w:sz w:val="20"/>
          <w:szCs w:val="20"/>
          <w:color w:val="auto"/>
        </w:rPr>
      </w:pPr>
    </w:p>
    <w:p>
      <w:pPr>
        <w:ind w:left="660" w:right="120" w:firstLine="36"/>
        <w:spacing w:after="0" w:line="293" w:lineRule="auto"/>
        <w:rPr>
          <w:sz w:val="20"/>
          <w:szCs w:val="20"/>
          <w:color w:val="auto"/>
        </w:rPr>
      </w:pPr>
      <w:r>
        <w:rPr>
          <w:rFonts w:ascii="Arial" w:cs="Arial" w:eastAsia="Arial" w:hAnsi="Arial"/>
          <w:sz w:val="18"/>
          <w:szCs w:val="18"/>
          <w:color w:val="auto"/>
        </w:rPr>
        <w:t>During the thirty-nine weeks ended November 2, 2013, the Company granted a total of 247,360 time-based and performance-based restricted stock units with an aggregate fair value of $5.8 million to certain employees and non-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4" w:right="259" w:bottom="1440" w:gutter="0" w:footer="0" w:header="0"/>
        </w:sectPr>
      </w:pPr>
    </w:p>
    <w:bookmarkStart w:id="10" w:name="page11"/>
    <w:bookmarkEnd w:id="10"/>
    <w:p>
      <w:pPr>
        <w:jc w:val="both"/>
        <w:ind w:left="660"/>
        <w:spacing w:after="0" w:line="264" w:lineRule="auto"/>
        <w:rPr>
          <w:sz w:val="20"/>
          <w:szCs w:val="20"/>
          <w:color w:val="auto"/>
        </w:rPr>
      </w:pPr>
      <w:r>
        <w:rPr>
          <w:rFonts w:ascii="Arial" w:cs="Arial" w:eastAsia="Arial" w:hAnsi="Arial"/>
          <w:sz w:val="18"/>
          <w:szCs w:val="18"/>
          <w:color w:val="auto"/>
        </w:rPr>
        <w:t>employee directors under the 2010 Equity and Incentive Plan compared to a total of 179,865 time-based and performance-based restricted stock units with an aggregate fair value of $5.3 million granted in the same period of the prior year. The Company determined the fair value of the awards based on the closing price of the Company’s common stock on the grant date.</w:t>
      </w:r>
    </w:p>
    <w:p>
      <w:pPr>
        <w:spacing w:after="0" w:line="127"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time-based restricted stock units vest and settle in shares of the Company’s common stock, on a one-for-one basis, in equal installments on each of the first three anniversaries of the grant date. The Company is recognizing the expense relating to these units, net of estimated forfeitures, on a straight-line basis over three years. Beginning in fiscal 2014, all restricted stock awards issued to non-employee Directors vest after a one-year period from grant date. The Company is recognizing the expense relating to these units, net of estimated forfeitures, on a straight-line basis over one year.</w:t>
      </w:r>
    </w:p>
    <w:p>
      <w:pPr>
        <w:spacing w:after="0" w:line="134"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units, net of estimated forfeitures and based on the probable outcome of achievement of the net income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November 2, 2013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Grant</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5"/>
              </w:rPr>
              <w:t>(per unit)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2, 2013</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November 2, 2013</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220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of November 2, 2013, there was $5.3 million of total unrecognized compensation cost, net of estimated forfeitures, related to nonvested restricted stock units. That cost is expected to be recognized over a weighted average period of 1.8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The Direct segment includes the Company’s full-price and outlet stores, department store locations in Japan, the Company’s websites, verabradley.com and verabradley.co.jp, and the annual outlet sale. Revenues generated through this segment are driven through the sale of Company-branded products from Vera Bradley to end consumers. The Indirect segment represents revenues generated through the distribution of Company-branded products to approximately 3,400 specialty retailers, substantially all of which are located in the United States, as well as key accounts, which include select department stores, national accounts and third party e-commerce sites. 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660"/>
        <w:spacing w:after="0" w:line="264"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20" w:type="dxa"/>
            <w:vAlign w:val="bottom"/>
          </w:tcPr>
          <w:p>
            <w:pPr>
              <w:spacing w:after="0"/>
              <w:rPr>
                <w:sz w:val="13"/>
                <w:szCs w:val="13"/>
                <w:color w:val="auto"/>
              </w:rPr>
            </w:pPr>
          </w:p>
        </w:tc>
        <w:tc>
          <w:tcPr>
            <w:tcW w:w="13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27,</w:t>
            </w: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20" w:type="dxa"/>
            <w:vAlign w:val="bottom"/>
          </w:tcPr>
          <w:p>
            <w:pPr>
              <w:spacing w:after="0"/>
              <w:rPr>
                <w:sz w:val="13"/>
                <w:szCs w:val="13"/>
                <w:color w:val="auto"/>
              </w:rPr>
            </w:pPr>
          </w:p>
        </w:tc>
        <w:tc>
          <w:tcPr>
            <w:tcW w:w="124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October 27,</w:t>
            </w:r>
          </w:p>
        </w:tc>
      </w:tr>
      <w:tr>
        <w:trPr>
          <w:trHeight w:val="192"/>
        </w:trPr>
        <w:tc>
          <w:tcPr>
            <w:tcW w:w="4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68,857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64,318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217,560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189,234</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189,350</w:t>
            </w:r>
          </w:p>
        </w:tc>
      </w:tr>
      <w:tr>
        <w:trPr>
          <w:trHeight w:val="237"/>
        </w:trPr>
        <w:tc>
          <w:tcPr>
            <w:tcW w:w="438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130,094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138,346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378,499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378,584</w:t>
            </w:r>
          </w:p>
        </w:tc>
      </w:tr>
      <w:tr>
        <w:trPr>
          <w:trHeight w:val="67"/>
        </w:trPr>
        <w:tc>
          <w:tcPr>
            <w:tcW w:w="43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14,861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17,745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50,944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49,376</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76,403</w:t>
            </w:r>
          </w:p>
        </w:tc>
      </w:tr>
      <w:tr>
        <w:trPr>
          <w:trHeight w:val="237"/>
        </w:trPr>
        <w:tc>
          <w:tcPr>
            <w:tcW w:w="438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40,817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116,445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125,779</w:t>
            </w:r>
          </w:p>
        </w:tc>
      </w:tr>
      <w:tr>
        <w:trPr>
          <w:trHeight w:val="67"/>
        </w:trPr>
        <w:tc>
          <w:tcPr>
            <w:tcW w:w="43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40,817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48,046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116,445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125,779</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(55,599)</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70,180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ectPr>
          <w:pgSz w:w="11900" w:h="16838" w:orient="portrait"/>
          <w:cols w:equalWidth="0" w:num="1">
            <w:col w:w="11380"/>
          </w:cols>
          <w:pgMar w:left="240" w:top="206" w:right="27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thirty-nine weeks ended November 2, 2013, and October 27, 2012. The following discussion should be read in conjunction with our Annual Report on Form 10-K for the fiscal year ended February 2, 2013,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opened four new full-price stores and one outlet store during the third quarter in both current and new markets.</w:t>
      </w:r>
    </w:p>
    <w:p>
      <w:pPr>
        <w:spacing w:after="0" w:line="9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migrated our website to a responsive design in order to provide a better shopping experience for our customers by providing an optimal viewing experience regardless of the device being used to shop.</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launched the Vera Bradley for Disney Collection at the Florida World of Disney Store in September.</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realigned our resources to provide greater support to our key accounts within the Indirect segment.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Quarterly Financial Summary</w:t>
      </w:r>
    </w:p>
    <w:p>
      <w:pPr>
        <w:spacing w:after="0" w:line="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6.0% to $130.1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segment sales increased 7.1% to $68.9 million. Comparable store net sales declined 6.5%.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Indirect segment sales decreased 17.3% to $61.2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$71.9 million (55.3%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$24.2 million (18.6%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$15.2 million or $0.37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$13.7 million at November 2, 2013.</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generated from operations of $34.8 million was used to fund capital expenditures of $3.4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full-price and outlet stores, department store locations in Japan, our websites, verabradley.com and verabradley.co.jp, eBay, and our annual outlet sale in Fort Wayne, Indiana. Revenues for the Indirect segment reflect sales to specialty retail partners, department stores, national accounts and third party e-commerce sites.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Comparable-store sales are calculated based upon our stores that have been open at least 12 full fiscal months.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 Comparable-store sales do not include e-commerce sales.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06" w:right="25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35"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and labor costs in Asia.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6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October 27,</w:t>
            </w:r>
          </w:p>
        </w:tc>
        <w:tc>
          <w:tcPr>
            <w:tcW w:w="24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60" w:type="dxa"/>
            <w:vAlign w:val="bottom"/>
          </w:tcPr>
          <w:p>
            <w:pPr>
              <w:spacing w:after="0"/>
              <w:rPr>
                <w:sz w:val="13"/>
                <w:szCs w:val="13"/>
                <w:color w:val="auto"/>
              </w:rPr>
            </w:pPr>
          </w:p>
        </w:tc>
        <w:tc>
          <w:tcPr>
            <w:tcW w:w="1280" w:type="dxa"/>
            <w:vAlign w:val="bottom"/>
          </w:tcPr>
          <w:p>
            <w:pPr>
              <w:jc w:val="center"/>
              <w:ind w:right="192"/>
              <w:spacing w:after="0" w:line="153" w:lineRule="exact"/>
              <w:rPr>
                <w:sz w:val="20"/>
                <w:szCs w:val="20"/>
                <w:color w:val="auto"/>
              </w:rPr>
            </w:pPr>
            <w:r>
              <w:rPr>
                <w:rFonts w:ascii="Arial" w:cs="Arial" w:eastAsia="Arial" w:hAnsi="Arial"/>
                <w:sz w:val="14"/>
                <w:szCs w:val="14"/>
                <w:b w:val="1"/>
                <w:bCs w:val="1"/>
                <w:color w:val="auto"/>
                <w:w w:val="93"/>
              </w:rPr>
              <w:t>October 27,</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24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130,094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138,346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378,499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378,584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58,118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166,327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164,442</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71,933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80,228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212,172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214,142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148,622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70,180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69,665</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8,905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23,799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25,924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43,741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6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October 27,</w:t>
            </w:r>
          </w:p>
        </w:tc>
        <w:tc>
          <w:tcPr>
            <w:tcW w:w="24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60" w:type="dxa"/>
            <w:vAlign w:val="bottom"/>
          </w:tcPr>
          <w:p>
            <w:pPr>
              <w:spacing w:after="0"/>
              <w:rPr>
                <w:sz w:val="13"/>
                <w:szCs w:val="13"/>
                <w:color w:val="auto"/>
              </w:rPr>
            </w:pPr>
          </w:p>
        </w:tc>
        <w:tc>
          <w:tcPr>
            <w:tcW w:w="12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3"/>
              </w:rPr>
              <w:t>October 27,</w:t>
            </w:r>
          </w:p>
        </w:tc>
      </w:t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24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21"/>
                <w:szCs w:val="21"/>
                <w:color w:val="auto"/>
              </w:rPr>
            </w:pPr>
          </w:p>
        </w:tc>
        <w:tc>
          <w:tcPr>
            <w:tcW w:w="1280" w:type="dxa"/>
            <w:vAlign w:val="bottom"/>
          </w:tcPr>
          <w:p>
            <w:pPr>
              <w:jc w:val="center"/>
              <w:ind w:right="176"/>
              <w:spacing w:after="0"/>
              <w:rPr>
                <w:sz w:val="20"/>
                <w:szCs w:val="20"/>
                <w:color w:val="auto"/>
              </w:rPr>
            </w:pPr>
            <w:r>
              <w:rPr>
                <w:rFonts w:ascii="Arial" w:cs="Arial" w:eastAsia="Arial" w:hAnsi="Arial"/>
                <w:sz w:val="14"/>
                <w:szCs w:val="14"/>
                <w:color w:val="auto"/>
                <w:w w:val="93"/>
              </w:rPr>
              <w:t>(unaudited)</w:t>
            </w: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68,857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64,318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217,560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189,234</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61,237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74,028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160,939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189,350</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130,094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138,346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378,499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378,584</w:t>
            </w:r>
          </w:p>
        </w:tc>
      </w:tr>
      <w:tr>
        <w:trPr>
          <w:trHeight w:val="67"/>
        </w:trPr>
        <w:tc>
          <w:tcPr>
            <w:tcW w:w="4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0"/>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9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13"/>
                <w:szCs w:val="13"/>
                <w:color w:val="auto"/>
              </w:rPr>
            </w:pPr>
          </w:p>
        </w:tc>
        <w:tc>
          <w:tcPr>
            <w:tcW w:w="13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October 27,</w:t>
            </w:r>
          </w:p>
        </w:tc>
        <w:tc>
          <w:tcPr>
            <w:tcW w:w="260" w:type="dxa"/>
            <w:vAlign w:val="bottom"/>
          </w:tcPr>
          <w:p>
            <w:pPr>
              <w:spacing w:after="0"/>
              <w:rPr>
                <w:sz w:val="13"/>
                <w:szCs w:val="13"/>
                <w:color w:val="auto"/>
              </w:rPr>
            </w:pPr>
          </w:p>
        </w:tc>
        <w:tc>
          <w:tcPr>
            <w:tcW w:w="14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13"/>
                <w:szCs w:val="13"/>
                <w:color w:val="auto"/>
              </w:rPr>
            </w:pPr>
          </w:p>
        </w:tc>
        <w:tc>
          <w:tcPr>
            <w:tcW w:w="128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3"/>
              </w:rPr>
              <w:t>October 27,</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240" w:type="dxa"/>
            <w:vAlign w:val="bottom"/>
          </w:tcPr>
          <w:p>
            <w:pPr>
              <w:spacing w:after="0"/>
              <w:rPr>
                <w:sz w:val="21"/>
                <w:szCs w:val="21"/>
                <w:color w:val="auto"/>
              </w:rPr>
            </w:pPr>
          </w:p>
        </w:tc>
        <w:tc>
          <w:tcPr>
            <w:tcW w:w="1280" w:type="dxa"/>
            <w:vAlign w:val="bottom"/>
          </w:tcPr>
          <w:p>
            <w:pPr>
              <w:jc w:val="center"/>
              <w:ind w:right="174"/>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14,861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17,745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50,944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49,376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30,301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65,501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76,403</w:t>
            </w:r>
          </w:p>
        </w:tc>
        <w:tc>
          <w:tcPr>
            <w:tcW w:w="0" w:type="dxa"/>
            <w:vAlign w:val="bottom"/>
          </w:tcPr>
          <w:p>
            <w:pPr>
              <w:spacing w:after="0"/>
              <w:rPr>
                <w:sz w:val="1"/>
                <w:szCs w:val="1"/>
                <w:color w:val="auto"/>
              </w:rPr>
            </w:pPr>
          </w:p>
        </w:tc>
      </w:tr>
      <w:tr>
        <w:trPr>
          <w:trHeight w:val="237"/>
        </w:trPr>
        <w:tc>
          <w:tcPr>
            <w:tcW w:w="49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40,817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48,046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116,445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125,779</w:t>
            </w:r>
          </w:p>
        </w:tc>
        <w:tc>
          <w:tcPr>
            <w:tcW w:w="0" w:type="dxa"/>
            <w:vAlign w:val="bottom"/>
          </w:tcPr>
          <w:p>
            <w:pPr>
              <w:spacing w:after="0"/>
              <w:rPr>
                <w:sz w:val="1"/>
                <w:szCs w:val="1"/>
                <w:color w:val="auto"/>
              </w:rPr>
            </w:pPr>
          </w:p>
        </w:tc>
      </w:tr>
      <w:tr>
        <w:trPr>
          <w:trHeight w:val="67"/>
        </w:trPr>
        <w:tc>
          <w:tcPr>
            <w:tcW w:w="4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Less: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Corporate unallocated</w:t>
            </w:r>
          </w:p>
        </w:tc>
        <w:tc>
          <w:tcPr>
            <w:tcW w:w="24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(16,628)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(52,999)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(55,599)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24,189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63,446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70,180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as a Percentage of Net Revenues by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Segment:</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Store Data: (1)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24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Comparable-store sales increase (decrease) (2)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4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207,096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153,515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207,096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153,515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net revenues per gross square foot (3)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our full-price and outlet stores</w:t>
      </w:r>
    </w:p>
    <w:p>
      <w:pPr>
        <w:spacing w:after="0" w:line="23" w:lineRule="exact"/>
        <w:rPr>
          <w:rFonts w:ascii="Arial" w:cs="Arial" w:eastAsia="Arial" w:hAnsi="Arial"/>
          <w:sz w:val="18"/>
          <w:szCs w:val="18"/>
          <w:color w:val="auto"/>
        </w:rPr>
      </w:pPr>
    </w:p>
    <w:p>
      <w:pPr>
        <w:ind w:left="540" w:right="200" w:hanging="532"/>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Comparable-store sales are the net revenues of our stores that have been open at least 12 full fiscal months.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Calculation excludes e-commerce sales.</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 xml:space="preserve">Thirteen Weeks Ended November 2, 2013, Compared to Thirteen Weeks Ended October 27, 2012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thirteen weeks ended November 2, 2013, net revenues decreased $8.3 million, or 6.0%, to $130.1 million, from $138.3 million in the comparable prior-year period.</w:t>
      </w:r>
    </w:p>
    <w:p>
      <w:pPr>
        <w:spacing w:after="0" w:line="11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November 2, 2013, net revenues in the Direct segment increased $4.5 million, or 7.1%, to $68.9 million, from $64.3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This growth resulted from a $9.1 million increase in revenues related to additional full-price and outlet stores. This growth was partially offset by a comparable-store sales decrease of $2.2 million, or 6.5%, primarily driven by lower traffic and an underperforming product offering , as well as a $2.2 million decrease in e-commerce revenues due primarily to decreased traffic and lower average average transaction size. The aggregate number of our full-price and outlet stores grew from 75 at October 27, 2012, to 99 at November 2, 2013.</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November 2, 2013, net revenues in the Indirect segment decreased $12.8 million, or 17.3%, to $61.2 million, from</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$74.0 million in the comparable prior-year period, driven by continued decreases in orders from specialty retailers across all geographic areas. This reduction in sales from the specialty retailers was partially offset by an increase in revenue from key retail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For the thirteen weeks ended November 2, 2013, gross profit decreased $8.3 million, or 10.3%, to $71.9 million, from $80.2 million in the comparable prior-year period. As a percentage of net revenues, gross profit decreased to 55.3% for the thirteen weeks ended November 2, 2013, from 58.0% in the comparable prior-year period. The decrease as a percentage of net revenues was primarily due to sales of lower-margin product accounting for a higher percentage of total net revenues in the current quarter, as well as increased promotional activity year-over-year.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thirteen weeks ended November 2, 2013, SG&amp;A expenses decreased $4.8 million, or 9.0%, to $48.8 million, from $53.6 million in the comparable prior-year period. As a percentage of net revenues, SG&amp;A expenses decreased to 37.5% for the thirteen weeks ended November 2, 2013, from 38.7% in the comparable prior-year period. The decrease as a percentage of net revenues was primarily a result of expense management measures, as well as reductions in variable compensation expense associated with Company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the thirteen weeks ended November 2, 2013, other income increased $0.1 million, or 9.1%, to $1.0 million, from $0.9 million in the comparable prior-year period. The increase in other income was in line with an increase in associated advertising costs related to mailers for our specialty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thirteen weeks ended November 2, 2013, operating income decreased $3.4 million, or 12.3%, to $24.2 million, from $27.6 million in the comparable prior-year period. As a percentage of net revenues, operating income was 18.6% and 19.9% for the thirteen weeks ended November 2, 2013, and October 27, 2012, respectively.</w:t>
      </w:r>
    </w:p>
    <w:p>
      <w:pPr>
        <w:spacing w:after="0" w:line="12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November 2, 2013, operating income in the Direct segment decreased $2.9 million, or 16.3%. As a percentage of Direct</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net revenues, operating income in the Direct segment was 21.6% and 27.6% for the thirteen weeks ended November 2, 2013, and October 27, 2012, respectively. This decrease as a percentage of net revenues in the Direct segment was due primarily to sales of lower-margin product accounting for a higher percentage of total segment revenue, as well as increased promotional activity.</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thirteen weeks ended November 2, 2013, operating income in the Indirect segment decreased $4.3 million, or 14.3%. As a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segment net revenues, operating income in the Indirect segment was 42.4% and 40.9% for the thirteen weeks ended November 2, 2013, and October 27, 2012, respectively. This increase as a percentage of net revenues in the Indirect segment resulted primarily from a decrease in variable compensation expense, cost containment measures and the impact of additional sales to key retail accounts.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November 2, 2013, unallocated expenses decreased $3.8 million, or 18.8%, primarily due to cost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measures, as well as reductions in variable compensation expense associated with company performance, partially offset by an increase in stock-based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effective tax rate for the thirteen weeks ended November 2, 2013, was 36.9%, compared to 35.2% for the thirteen weeks ended October 27, 2012. The effective tax rate increase was primarily related to discrete items recorded during the third quarter in the prior year, partially offset by a lower net operating loss in Japan for the thirteen weeks ended November 2, 2013.</w:t>
      </w:r>
    </w:p>
    <w:p>
      <w:pPr>
        <w:spacing w:after="0" w:line="204" w:lineRule="exact"/>
        <w:rPr>
          <w:sz w:val="20"/>
          <w:szCs w:val="20"/>
          <w:color w:val="auto"/>
        </w:rPr>
      </w:pPr>
    </w:p>
    <w:p>
      <w:pPr>
        <w:ind w:right="3460"/>
        <w:spacing w:after="0" w:line="346" w:lineRule="auto"/>
        <w:rPr>
          <w:sz w:val="20"/>
          <w:szCs w:val="20"/>
          <w:color w:val="auto"/>
        </w:rPr>
      </w:pPr>
      <w:r>
        <w:rPr>
          <w:rFonts w:ascii="Arial" w:cs="Arial" w:eastAsia="Arial" w:hAnsi="Arial"/>
          <w:sz w:val="18"/>
          <w:szCs w:val="18"/>
          <w:b w:val="1"/>
          <w:bCs w:val="1"/>
          <w:color w:val="auto"/>
        </w:rPr>
        <w:t xml:space="preserve">Thirty-Nine Weeks Ended November 2, 2013, Compared to Thirty-Nine Weeks Ended October 27, 2012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thirty-nine weeks ended November 2, 2013, net revenues remained consistent at $378.5 million compared to $378.6 million for the thirty-nine weeks ended October 27, 2012.</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November 2, 2013, net revenues in the Direct segment increased $28.3 million, or 15.0%, to $217.6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$189.2 million in the comparable prior-year period. This growth resulted primarily from a $27.0 million increase in revenues related to additional full-price and outlet stores, and a $3.3 million increase in e-commerce revenues due primarily to increased traffic. This growth was partially offset by a comparable-store sales decrease of $3.4 million, or 3.5%, primarily driven by a decrease in store traffic. The aggregate number of our full-price and outlet stores grew from 75 at October 27, 2012 to 99 at November 2, 2013.</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November 2, 2013, net revenues in the Indirect segment decreased $28.4 million, or 15.0%, to $160.9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$189.4 million in the comparable prior-year period, driven by continued decreases in orders from specialty retailers across all geographic areas. This reduction in sales from the specialty retailers was partially offset by an increase in revenue from key retail accounts.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For the thirty-nine weeks ended November 2, 2013, gross profit decreased $2.0 million, or 0.9%, to $212.2 million, from $214.1 million in the comparable prior-year period. As a percentage of net revenues, gross profit decreased to 56.1% for the thirty-nine weeks ended November 2, 2013, from 56.6% in the comparable prior-year period. The decrease as a percentage of net revenues was primarily due to sales of lower-margin product accounting for a higher percentage of total net revenues in the current quarter, as well as increased promotional activity year-over-year.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thirty-nine weeks ended November 2, 2013, SG&amp;A expenses increased $3.7 million, or 2.5%, to $152.3 million, from $148.6 million in the comparable prior-year period. As a percentage of net revenues, SG&amp;A expenses were 40.2% and 39.3% for the fiscal quarters ended November 2, 2013, and October 27, 2012, respectively. The increase in SG&amp;A expenses as a percentage of net revenues was primarily due to deleveraging of store opening expenses, which were partially offset by cost management measures as well as reductions in variable compensation expense associated with Company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the thirty-nine weeks ended November 2, 2013, other income decreased $1.1 million, or 22.6%, to $3.6 million, from $4.7 million in the comparable prior-year period. The decrease in other income was in line with a decrease in associated advertising costs related to mailers for our specialty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thirty-nine weeks ended November 2, 2013, operating income decreased $6.7 million, or 9.6%, to $63.4 million, from $70.2 million in the comparable prior-year period. As a percentage of net revenues, operating income was 16.8% and 18.5% for the thirty-nine weeks ended November 2, 2013, and October 27, 2012, respectively.</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thirty-nine weeks ended November 2, 2013, operating income in the Direct segment increased $1.6 million, or 3.2%. As a percentage of 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net revenues, operating income in the Direct segment was 23.4% and 26.1% for the thirty-nine weeks ended November 2, 2013, and October 27, 2012, respectively. This decrease as a percentage of net revenues in the Direct segment was primarily due to the sales of lower-margin product accounting for a higher percentage of total segment revenues, increased promotional activity year-over-year, increased store payroll costs spread across lower revenue in our comparable full-price stores, and build-out costs related to four additional stores opened this year, compared to the prior year.</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thirty-nine weeks ended November 2, 2013, operating income in the Indirect segment decreased $10.9 million, or 14.3%.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segment net revenues, operating income in the Indirect segment was consistent at 40.7% and 40.4% for the thirty-nine weeks ended November 2, 2013, and October 27, 2012, respectively, reflecting lower variable compensation on the lower revenues as well as certain cost management measures.</w:t>
      </w:r>
    </w:p>
    <w:p>
      <w:pPr>
        <w:spacing w:after="0" w:line="17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November 2, 2013, unallocated expenses decreased $2.6 million, or 4.7%,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management measures, as well as reductions in variable compensation expense associated with company performance, which were partially offset by higher corporate personnel costs and stock-based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effective tax rate for the thirty-nine weeks ended November 2, 2013, was 37.7%, compared to 37.2% for the thirty-nine weeks ended October 27, 2012. The effective tax rate increase was primarily related to discrete items recorded during the third quarter in the prior year, partially offset by a lower net operating loss in Japan for the thirty-nine weeks ended November 2,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 We do not believe that the expansion of our Direct business will materially increase borrowings under our amended and restated credit agreement, in the near term.</w:t>
      </w:r>
    </w:p>
    <w:p>
      <w:pPr>
        <w:spacing w:after="0" w:line="13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13"/>
                <w:szCs w:val="13"/>
                <w:color w:val="auto"/>
              </w:rPr>
            </w:pPr>
          </w:p>
        </w:tc>
        <w:tc>
          <w:tcPr>
            <w:tcW w:w="124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3"/>
              </w:rPr>
              <w:t>October 27,</w:t>
            </w:r>
          </w:p>
        </w:tc>
      </w:t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1"/>
                <w:szCs w:val="21"/>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34,846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22,237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(32,114)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9,448</w:t>
            </w:r>
          </w:p>
        </w:tc>
      </w:tr>
      <w:tr>
        <w:trPr>
          <w:trHeight w:val="27"/>
        </w:trPr>
        <w:tc>
          <w:tcPr>
            <w:tcW w:w="8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provided by operating activities for the thirty-nine weeks ended November 2, 2013 was $34.8 million, compared to $22.2 million for the thirty-nine weeks ended October 27, 2012, an increase primarily due to less growth in inventory.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investing activities was $15.4 million and $32.1 million for the thirty-nine weeks ended November 2, 2013, and October 27, 2012, respectively. The $16.7 million decrease in capital expenditures was due primarily to the expansion of the distribution facility in fiscal 2013, partially offset by an increased investment in new stores, including the opening of 23 stores during the thirty-nine weeks ended November 2, 2013, compared to 19 stores during the thirty-nine weeks ended October 27, 2012.</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Capital expenditures for fiscal year 2014 are expected to be approximately $25.0 million, which includes approximately $6.0 million related to the design center and distribution center corporate office expansions.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17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Net cash used in financing activities was $15.3 million for the thirty-nine weeks ended November 2, 2013, resulting primarily from $15.0 million net payments under our amended and restated credit agreement. This compares to net cash provided by financing activities of $9.4 million for the thirty-nine weeks ended October 27, 2012, resulting primarily from $10.3 million net borrowings under our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November 2, 2013.</w:t>
      </w:r>
    </w:p>
    <w:p>
      <w:pPr>
        <w:spacing w:after="0" w:line="13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During the quarter ended November 2, 2013, the interest rate on outstanding borrowings under the Company’s $125.0 million credit agreement was 1.30%. At November 2, 2013, the Company had borrowing availability of $125.0 million under the agreement.</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2013.</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2013.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(ASU)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(“ASU 2013-02”). This guidance adds new disclosure requirements for items reclassified out</w:t>
      </w:r>
      <w:r>
        <w:rPr>
          <w:rFonts w:ascii="Arial" w:cs="Arial" w:eastAsia="Arial" w:hAnsi="Arial"/>
          <w:sz w:val="16"/>
          <w:szCs w:val="16"/>
          <w:i w:val="1"/>
          <w:iCs w:val="1"/>
          <w:color w:val="auto"/>
        </w:rPr>
        <w:t xml:space="preserve"> </w:t>
      </w:r>
      <w:r>
        <w:rPr>
          <w:rFonts w:ascii="Arial" w:cs="Arial" w:eastAsia="Arial" w:hAnsi="Arial"/>
          <w:sz w:val="16"/>
          <w:szCs w:val="16"/>
          <w:color w:val="auto"/>
        </w:rPr>
        <w:t>of accumulated other comprehensive income. The additional disclosures include: (1) changes in accumulated other comprehensive income balances by component and (2) 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 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1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October 2012, the FASB issued ASU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 material impact on the Company’s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8" w:right="259" w:bottom="1440" w:gutter="0" w:footer="0" w:header="0"/>
        </w:sectPr>
      </w:pPr>
    </w:p>
    <w:bookmarkStart w:id="20" w:name="page21"/>
    <w:bookmarkEnd w:id="20"/>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2, 2013, there was no material change in the market risks described in “Quantitative and Qualitative Disclosures About Market Risks” in the Company’s Annual Report on Form 10-K for the fiscal year ended February 2, 2013.</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Controller, Chief Accounting Officer, and Interim Chief Financial Officer of the effectiveness of the design and operation of the Company’s disclosure controls and procedures pursuant to Rule 13a-15 of the Securities Exchange Act of 1934. Based on that evaluation, the Chief Executive Officer and Controller, Chief Accounting Officer, and Interim Chief Financial Officer concluded that the Company’s disclosure controls and procedures were effective as of November 2, 2013.</w:t>
      </w:r>
    </w:p>
    <w:p>
      <w:pPr>
        <w:spacing w:after="0" w:line="10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2, 2013.</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Fiscal 2014 Restricted Stock Unit/Performance Unit Terms and Conditions (Incorporated by reference to Exhibit 10.1 of registrant's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Fiscal 2014 Outside Director Restricted Stock Unit Terms and Conditions (Incorporated by reference to Exhibit 10.2 of registrant's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2014 Annual Incentive Compensation Plan (Executives) (Incorporated by reference to Exhibit 10.3 of registrant's Form 10-Q for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Employment Agreement dated November 11, 2013 of Robert Wallstrom (Incorporated by reference to Exhibit 10.1 of registrant's Form 8-K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Award Agreement for Grant of Time-Based Restricted Stock Units dated November 11, 2013 of Robert Wallstrom (Incorporated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10.2 of registrant's Form 8-K 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Award Agreement for Grant of Performance Units dated November 11, 2013 of Robert Wallstrom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10.3 of registrant's Form 8-K 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Inc. 2010 Equity and Incentive Plan Chief Executive Officer Sign-On Grant Terms and Conditions (Incorporated by reference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to Exhibit 10.4 of registrant's Form 8-K dated November 5, 2013)</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60" w:hanging="1265"/>
        <w:spacing w:after="0" w:line="286"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November 2, 2013 formatted in Extensible Business Reporting Language (XBRL): (i) Consolidated Statements of Income for the Thirteen and Thirty-Nine Weeks ended November 2, 2013 and October 27, 2012; (ii) Consolidated Statements of Comprehensive Income for the Thirteen and Thirty-Nine Weeks ended November 2, 2013 and October 27, 2012; (iii) Consolidated Balance Sheets at November 2, 2013 and February 2, 2013;</w:t>
      </w:r>
    </w:p>
    <w:p>
      <w:pPr>
        <w:spacing w:after="0" w:line="1" w:lineRule="exact"/>
        <w:rPr>
          <w:rFonts w:ascii="Arial" w:cs="Arial" w:eastAsia="Arial" w:hAnsi="Arial"/>
          <w:sz w:val="16"/>
          <w:szCs w:val="16"/>
          <w:color w:val="auto"/>
        </w:rPr>
      </w:pPr>
    </w:p>
    <w:p>
      <w:pPr>
        <w:ind w:left="1300" w:right="28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November 2, 2013 and October 27, 2012,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2013</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 Controller, Chief Accounting Officer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Financial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580" w:right="4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Fiscal 2014 Restricted Stock Unit/Performance Unit Terms and Conditions (Incorporated by reference to Exhibit 10.1 of registrant's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Fiscal 2014 Outside Director Restricted Stock Unit Terms and Conditions (Incorporated by reference to Exhibit 10.2 of registrant's Form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2014 Annual Incentive Compensation Plan (Executives) (Incorporated by reference to Exhibit 10.3 of registrant's Form 10-Q for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period ending May 4,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Employment Agreement dated November 11, 2013 of Robert Wallstrom (Incorporated by reference to Exhibit 10.1 of registrant's Form 8-K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Award Agreement for Grant of Time-Based Restricted Stock Units dated November 11, 2013 of Robert Wallstrom (Incorporated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10.2 of registrant's Form 8-K 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Award Agreement for Grant of Performance Units dated November 11, 2013 of Robert Wallstrom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10.3 of registrant's Form 8-K dated November 5, 2013)</w:t>
            </w:r>
          </w:p>
        </w:tc>
        <w:tc>
          <w:tcPr>
            <w:tcW w:w="0" w:type="dxa"/>
            <w:vAlign w:val="bottom"/>
          </w:tcPr>
          <w:p>
            <w:pPr>
              <w:spacing w:after="0"/>
              <w:rPr>
                <w:sz w:val="1"/>
                <w:szCs w:val="1"/>
                <w:color w:val="auto"/>
              </w:rPr>
            </w:pPr>
          </w:p>
        </w:tc>
      </w:tr>
      <w:tr>
        <w:trPr>
          <w:trHeight w:val="377"/>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Inc. 2010 Equity and Incentive Plan Chief Executive Officer Sign-On Grant Terms and Conditions (Incorporated by reference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to Exhibit 10.4 of registrant's Form 8-K dated November 5, 2013)</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60" w:hanging="1265"/>
        <w:spacing w:after="0" w:line="286"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November 2, 2013 formatted in Extensible Business Reporting Language (XBRL): (i) Consolidated Statements of Income for the Thirteen and Thirty-Nine Weeks ended November 2, 2013 and October 27, 2012; (ii) Consolidated Statements of Comprehensive Income for the Thirteen and Thirty-Nine Weeks ended November 2, 2013 and October 27, 2012; (iii) Consolidated Balance Sheets at November 2, 2013 and February 2, 2013;</w:t>
      </w:r>
    </w:p>
    <w:p>
      <w:pPr>
        <w:spacing w:after="0" w:line="1" w:lineRule="exact"/>
        <w:rPr>
          <w:rFonts w:ascii="Arial" w:cs="Arial" w:eastAsia="Arial" w:hAnsi="Arial"/>
          <w:sz w:val="16"/>
          <w:szCs w:val="16"/>
          <w:color w:val="auto"/>
        </w:rPr>
      </w:pPr>
    </w:p>
    <w:p>
      <w:pPr>
        <w:ind w:left="1300" w:right="28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November 2, 2013 and October 27, 2012,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2013</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2013</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Vice President - Controller, Chief Accounting Officer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Interim Chief Financial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August 3,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Kevin J. Sierks, the Vice President - Controller, Chief Accounting Officer and Interim Chief Financial Officer of Vera Bradley, Inc., certify that</w:t>
      </w:r>
    </w:p>
    <w:p>
      <w:pPr>
        <w:spacing w:after="0" w:line="35" w:lineRule="exact"/>
        <w:rPr>
          <w:sz w:val="20"/>
          <w:szCs w:val="20"/>
          <w:color w:val="auto"/>
        </w:rPr>
      </w:pPr>
    </w:p>
    <w:p>
      <w:pPr>
        <w:ind w:right="160" w:firstLine="8"/>
        <w:spacing w:after="0" w:line="255"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August 3,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Vice President - Controller, Chief Accounting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and Interim Chief Financial Officer</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0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2019-12-07T21:59:48Z</dcterms:created>
  <dcterms:modified xsi:type="dcterms:W3CDTF">2019-12-07T21:59:48Z</dcterms:modified>
</cp:coreProperties>
</file>