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spacing w:lineRule="auto" w:line="288" w:before="80" w:after="283"/>
        <w:jc w:val="center"/>
        <w:rPr>
          <w:color w:val="000000"/>
        </w:rPr>
      </w:pPr>
      <w:r>
        <w:rPr>
          <w:color w:val="000000"/>
        </w:rPr>
        <w:t> </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January 30, 2021</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001-34918</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spacing w:before="80" w:after="283"/>
        <w:jc w:val="center"/>
        <w:rPr/>
      </w:pPr>
      <w:r>
        <w:rPr/>
        <w:drawing>
          <wp:inline distT="0" distB="63500" distL="0" distR="0">
            <wp:extent cx="2362200"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1190625"/>
                    </a:xfrm>
                    <a:prstGeom prst="rect">
                      <a:avLst/>
                    </a:prstGeom>
                  </pic:spPr>
                </pic:pic>
              </a:graphicData>
            </a:graphic>
          </wp:inline>
        </w:drawing>
      </w:r>
    </w:p>
    <w:p>
      <w:pPr>
        <w:pStyle w:val="TextBody"/>
        <w:spacing w:lineRule="auto" w:line="288" w:before="100" w:after="283"/>
        <w:jc w:val="center"/>
        <w:rPr>
          <w:rFonts w:ascii="Times New Roman;sans-serif" w:hAnsi="Times New Roman;sans-serif"/>
          <w:b/>
          <w:color w:val="000000"/>
          <w:sz w:val="44"/>
        </w:rPr>
      </w:pPr>
      <w:r>
        <w:rPr>
          <w:rFonts w:ascii="Times New Roman;sans-serif" w:hAnsi="Times New Roman;sans-serif"/>
          <w:b/>
          <w:color w:val="000000"/>
          <w:sz w:val="44"/>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 </w:t>
      </w:r>
    </w:p>
    <w:tbl>
      <w:tblPr>
        <w:tblW w:w="4736" w:type="dxa"/>
        <w:jc w:val="left"/>
        <w:tblInd w:w="0" w:type="dxa"/>
        <w:tblCellMar>
          <w:top w:w="28" w:type="dxa"/>
          <w:left w:w="28" w:type="dxa"/>
          <w:bottom w:w="28" w:type="dxa"/>
          <w:right w:w="28" w:type="dxa"/>
        </w:tblCellMar>
      </w:tblPr>
      <w:tblGrid>
        <w:gridCol w:w="1060"/>
        <w:gridCol w:w="927"/>
        <w:gridCol w:w="938"/>
        <w:gridCol w:w="109"/>
        <w:gridCol w:w="109"/>
        <w:gridCol w:w="109"/>
        <w:gridCol w:w="433"/>
        <w:gridCol w:w="433"/>
        <w:gridCol w:w="618"/>
      </w:tblGrid>
      <w:tr>
        <w:trPr/>
        <w:tc>
          <w:tcPr>
            <w:tcW w:w="1060"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Indiana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27-2935063</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12420 Stonebridge Road,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Roanoke, Indiana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46783</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(877) 708-8372</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219" w:type="dxa"/>
        <w:jc w:val="left"/>
        <w:tblInd w:w="0" w:type="dxa"/>
        <w:tblCellMar>
          <w:top w:w="28" w:type="dxa"/>
          <w:left w:w="28" w:type="dxa"/>
          <w:bottom w:w="28" w:type="dxa"/>
          <w:right w:w="28" w:type="dxa"/>
        </w:tblCellMar>
      </w:tblPr>
      <w:tblGrid>
        <w:gridCol w:w="1046"/>
        <w:gridCol w:w="922"/>
        <w:gridCol w:w="927"/>
        <w:gridCol w:w="539"/>
        <w:gridCol w:w="539"/>
        <w:gridCol w:w="541"/>
        <w:gridCol w:w="1085"/>
        <w:gridCol w:w="1085"/>
        <w:gridCol w:w="1535"/>
      </w:tblGrid>
      <w:tr>
        <w:trPr/>
        <w:tc>
          <w:tcPr>
            <w:tcW w:w="1046"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9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VRA</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 </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    Yes  ☐    No  ☒</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    Yes  ☐    No  ☒</w:t>
      </w:r>
    </w:p>
    <w:p>
      <w:pPr>
        <w:pStyle w:val="TextBody"/>
        <w:spacing w:lineRule="auto" w:line="288" w:before="100" w:after="283"/>
        <w:ind w:left="0" w:right="0" w:firstLine="36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00" w:after="283"/>
        <w:ind w:left="0" w:right="0" w:firstLine="36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912" w:type="dxa"/>
        <w:jc w:val="left"/>
        <w:tblInd w:w="0" w:type="dxa"/>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lineRule="auto" w:line="288" w:before="100" w:after="283"/>
        <w:ind w:left="0" w:right="0" w:firstLine="360"/>
        <w:rPr/>
      </w:pPr>
      <w:r>
        <w:rPr>
          <w:rFonts w:ascii="Times New Roman;sans-serif" w:hAnsi="Times New Roman;sans-serif"/>
          <w:b w:val="false"/>
          <w:color w:val="000000"/>
          <w:sz w:val="20"/>
        </w:rPr>
        <w:t xml:space="preserve">The aggregate market value of the registrant’s voting common stock held by non-affiliates of the registrant as of August 1, 2020 was </w:t>
      </w:r>
      <w:r>
        <w:rPr>
          <w:rFonts w:ascii="Times New Roman;sans-serif" w:hAnsi="Times New Roman;sans-serif"/>
          <w:b w:val="false"/>
          <w:color w:val="000000"/>
          <w:sz w:val="20"/>
          <w:highlight w:val="white"/>
        </w:rPr>
        <w:t>$100,358,776</w:t>
      </w:r>
      <w:r>
        <w:rPr>
          <w:rFonts w:ascii="Times New Roman;sans-serif" w:hAnsi="Times New Roman;sans-serif"/>
          <w:b w:val="false"/>
          <w:color w:val="000000"/>
          <w:sz w:val="20"/>
        </w:rPr>
        <w:t>.</w:t>
      </w:r>
    </w:p>
    <w:p>
      <w:pPr>
        <w:pStyle w:val="TextBody"/>
        <w:spacing w:lineRule="auto" w:line="288" w:before="100" w:after="283"/>
        <w:ind w:left="0" w:right="0" w:firstLine="360"/>
        <w:rPr/>
      </w:pPr>
      <w:r>
        <w:rPr>
          <w:rFonts w:ascii="Times New Roman;sans-serif" w:hAnsi="Times New Roman;sans-serif"/>
          <w:b w:val="false"/>
          <w:color w:val="000000"/>
          <w:sz w:val="20"/>
        </w:rPr>
        <w:t xml:space="preserve">The registrant had </w:t>
      </w:r>
      <w:r>
        <w:rPr>
          <w:rFonts w:ascii="Times New Roman;sans-serif" w:hAnsi="Times New Roman;sans-serif"/>
          <w:b w:val="false"/>
          <w:color w:val="000000"/>
          <w:sz w:val="20"/>
          <w:highlight w:val="white"/>
        </w:rPr>
        <w:t>33,414,490</w:t>
      </w:r>
      <w:r>
        <w:rPr>
          <w:color w:val="000000"/>
        </w:rPr>
        <w:t xml:space="preserve"> </w:t>
      </w:r>
      <w:r>
        <w:rPr>
          <w:rFonts w:ascii="Times New Roman;sans-serif" w:hAnsi="Times New Roman;sans-serif"/>
          <w:b w:val="false"/>
          <w:color w:val="000000"/>
          <w:sz w:val="20"/>
        </w:rPr>
        <w:t>shares of its common stock outstanding as of March 23, 2021.</w:t>
      </w:r>
    </w:p>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DOCUMENT INCORPORATED BY REFERENCE:</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the registrant’s definitive proxy statement for the 2021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January 30, 2021.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10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public health pandemics, including the continued outbreak of the novel coronavirus (COVID-19) and actions to contain the spread of the virus by governmental or other actors;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inability to successfully implement our long-term strategic plans;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declines in our comparable sales;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possible inability to maintain and enhance our brands;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failure of our multi-channel distribution model;</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adverse changes in general economic conditions and their impact on consumer confidence and consumer spending, including as may be related to the continued outbreak of COVID-19;</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inability to predict and respond in a timely manner to changes in consumer demand;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inability to successfully open new stores and/or operate current stores as planned;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loss of key management or design associates or inability to attract and retain the talent required for our business;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data security or privacy breaches or disruptions in our computer systems or website;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disruptions in our supply chain;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new or increased tariffs on our products that could lead to increased product costs and lower profit margins;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possible inability to successfully implement integration strategies related to the Pura Vida business and possible inability to derive expected benefits from or to successfully integrate any future business acquisition.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For a discussion of the above described risks and other risks and uncertainties that could cause actual results to differ materially from those contained in our forward-looking statements, please refer to “Risk Factors” in Item 1A of this report.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3"/>
        <w:gridCol w:w="258"/>
        <w:gridCol w:w="260"/>
        <w:gridCol w:w="2996"/>
        <w:gridCol w:w="2992"/>
        <w:gridCol w:w="3032"/>
        <w:gridCol w:w="109"/>
        <w:gridCol w:w="109"/>
        <w:gridCol w:w="156"/>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996" w:type="dxa"/>
            <w:tcBorders/>
            <w:shd w:fill="auto" w:val="clear"/>
            <w:vAlign w:val="center"/>
          </w:tcPr>
          <w:p>
            <w:pPr>
              <w:pStyle w:val="TableContents"/>
              <w:spacing w:before="0" w:after="283"/>
              <w:rPr>
                <w:sz w:val="4"/>
                <w:szCs w:val="4"/>
              </w:rPr>
            </w:pPr>
            <w:r>
              <w:rPr>
                <w:sz w:val="4"/>
                <w:szCs w:val="4"/>
              </w:rPr>
            </w:r>
          </w:p>
        </w:tc>
        <w:tc>
          <w:tcPr>
            <w:tcW w:w="2992"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3">
              <w:r>
                <w:rPr>
                  <w:rStyle w:val="InternetLink"/>
                  <w:rFonts w:ascii="Times New Roman;sans-serif" w:hAnsi="Times New Roman;sans-serif"/>
                  <w:b/>
                  <w:color w:val="0000FF"/>
                  <w:sz w:val="20"/>
                  <w:u w:val="single"/>
                </w:rPr>
                <w:t>PART I.</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3">
              <w:r>
                <w:rPr>
                  <w:rStyle w:val="InternetLink"/>
                  <w:rFonts w:ascii="Times New Roman;sans-serif" w:hAnsi="Times New Roman;sans-serif"/>
                  <w:b w:val="false"/>
                  <w:strike w:val="false"/>
                  <w:dstrike w:val="false"/>
                  <w:color w:val="000000"/>
                  <w:sz w:val="20"/>
                  <w:u w:val="none"/>
                  <w:effect w:val="none"/>
                </w:rPr>
                <w:t>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6">
              <w:r>
                <w:rPr>
                  <w:rStyle w:val="InternetLink"/>
                  <w:rFonts w:ascii="Times New Roman;sans-serif" w:hAnsi="Times New Roman;sans-serif"/>
                  <w:b w:val="false"/>
                  <w:color w:val="0000FF"/>
                  <w:sz w:val="20"/>
                  <w:u w:val="single"/>
                </w:rPr>
                <w:t>Business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6">
              <w:r>
                <w:rPr>
                  <w:rStyle w:val="InternetLink"/>
                  <w:rFonts w:ascii="Times New Roman;sans-serif" w:hAnsi="Times New Roman;sans-serif"/>
                  <w:b w:val="false"/>
                  <w:strike w:val="false"/>
                  <w:dstrike w:val="false"/>
                  <w:color w:val="000000"/>
                  <w:sz w:val="20"/>
                  <w:u w:val="none"/>
                  <w:effect w:val="none"/>
                </w:rPr>
                <w:t>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9">
              <w:r>
                <w:rPr>
                  <w:rStyle w:val="InternetLink"/>
                  <w:rFonts w:ascii="Times New Roman;sans-serif" w:hAnsi="Times New Roman;sans-serif"/>
                  <w:b w:val="false"/>
                  <w:color w:val="0000FF"/>
                  <w:sz w:val="20"/>
                  <w:u w:val="single"/>
                </w:rPr>
                <w:t>Risk Factors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9">
              <w:r>
                <w:rPr>
                  <w:rStyle w:val="InternetLink"/>
                  <w:rFonts w:ascii="Times New Roman;sans-serif" w:hAnsi="Times New Roman;sans-serif"/>
                  <w:b w:val="false"/>
                  <w:strike w:val="false"/>
                  <w:dstrike w:val="false"/>
                  <w:color w:val="000000"/>
                  <w:sz w:val="20"/>
                  <w:u w:val="none"/>
                  <w:effect w:val="none"/>
                </w:rPr>
                <w:t>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22">
              <w:r>
                <w:rPr>
                  <w:rStyle w:val="InternetLink"/>
                  <w:rFonts w:ascii="Times New Roman;sans-serif" w:hAnsi="Times New Roman;sans-serif"/>
                  <w:b w:val="false"/>
                  <w:color w:val="0000FF"/>
                  <w:sz w:val="20"/>
                  <w:u w:val="single"/>
                </w:rPr>
                <w:t>Unresolved Staff Comments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22">
              <w:r>
                <w:rPr>
                  <w:rStyle w:val="InternetLink"/>
                  <w:rFonts w:ascii="Times New Roman;sans-serif" w:hAnsi="Times New Roman;sans-serif"/>
                  <w:b w:val="false"/>
                  <w:strike w:val="false"/>
                  <w:dstrike w:val="false"/>
                  <w:color w:val="000000"/>
                  <w:sz w:val="20"/>
                  <w:u w:val="none"/>
                  <w:effect w:val="none"/>
                </w:rPr>
                <w:t>30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25">
              <w:r>
                <w:rPr>
                  <w:rStyle w:val="InternetLink"/>
                  <w:rFonts w:ascii="Times New Roman;sans-serif" w:hAnsi="Times New Roman;sans-serif"/>
                  <w:b w:val="false"/>
                  <w:color w:val="0000FF"/>
                  <w:sz w:val="20"/>
                  <w:u w:val="single"/>
                </w:rPr>
                <w:t>Properties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25">
              <w:r>
                <w:rPr>
                  <w:rStyle w:val="InternetLink"/>
                  <w:rFonts w:ascii="Times New Roman;sans-serif" w:hAnsi="Times New Roman;sans-serif"/>
                  <w:b w:val="false"/>
                  <w:strike w:val="false"/>
                  <w:dstrike w:val="false"/>
                  <w:color w:val="000000"/>
                  <w:sz w:val="20"/>
                  <w:u w:val="none"/>
                  <w:effect w:val="none"/>
                </w:rPr>
                <w:t>30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28">
              <w:r>
                <w:rPr>
                  <w:rStyle w:val="InternetLink"/>
                  <w:rFonts w:ascii="Times New Roman;sans-serif" w:hAnsi="Times New Roman;sans-serif"/>
                  <w:b w:val="false"/>
                  <w:color w:val="0000FF"/>
                  <w:sz w:val="20"/>
                  <w:u w:val="single"/>
                </w:rPr>
                <w:t>Legal Proceedings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28">
              <w:r>
                <w:rPr>
                  <w:rStyle w:val="InternetLink"/>
                  <w:rFonts w:ascii="Times New Roman;sans-serif" w:hAnsi="Times New Roman;sans-serif"/>
                  <w:b w:val="false"/>
                  <w:strike w:val="false"/>
                  <w:dstrike w:val="false"/>
                  <w:color w:val="000000"/>
                  <w:sz w:val="20"/>
                  <w:u w:val="none"/>
                  <w:effect w:val="none"/>
                </w:rPr>
                <w:t>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31">
              <w:r>
                <w:rPr>
                  <w:rStyle w:val="InternetLink"/>
                  <w:rFonts w:ascii="Times New Roman;sans-serif" w:hAnsi="Times New Roman;sans-serif"/>
                  <w:b w:val="false"/>
                  <w:color w:val="0000FF"/>
                  <w:sz w:val="20"/>
                  <w:u w:val="single"/>
                </w:rPr>
                <w:t>Mine Safety Disclosure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31">
              <w:r>
                <w:rPr>
                  <w:rStyle w:val="InternetLink"/>
                  <w:rFonts w:ascii="Times New Roman;sans-serif" w:hAnsi="Times New Roman;sans-serif"/>
                  <w:b w:val="false"/>
                  <w:strike w:val="false"/>
                  <w:dstrike w:val="false"/>
                  <w:color w:val="000000"/>
                  <w:sz w:val="20"/>
                  <w:u w:val="none"/>
                  <w:effect w:val="none"/>
                </w:rPr>
                <w:t>32</w:t>
              </w:r>
            </w:hyperlink>
          </w:p>
        </w:tc>
      </w:tr>
      <w:tr>
        <w:trPr/>
        <w:tc>
          <w:tcPr>
            <w:tcW w:w="98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34">
              <w:r>
                <w:rPr>
                  <w:rStyle w:val="InternetLink"/>
                  <w:rFonts w:ascii="Times New Roman;sans-serif" w:hAnsi="Times New Roman;sans-serif"/>
                  <w:b/>
                  <w:color w:val="0000FF"/>
                  <w:sz w:val="20"/>
                  <w:u w:val="single"/>
                </w:rPr>
                <w:t>PART II.</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34">
              <w:r>
                <w:rPr>
                  <w:rStyle w:val="InternetLink"/>
                  <w:rFonts w:ascii="Times New Roman;sans-serif" w:hAnsi="Times New Roman;sans-serif"/>
                  <w:b w:val="false"/>
                  <w:strike w:val="false"/>
                  <w:dstrike w:val="false"/>
                  <w:color w:val="000000"/>
                  <w:sz w:val="20"/>
                  <w:u w:val="none"/>
                  <w:effect w:val="none"/>
                </w:rPr>
                <w:t>33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37">
              <w:r>
                <w:rPr>
                  <w:rStyle w:val="InternetLink"/>
                  <w:rFonts w:ascii="Times New Roman;sans-serif" w:hAnsi="Times New Roman;sans-serif"/>
                  <w:b w:val="false"/>
                  <w:strike w:val="false"/>
                  <w:dstrike w:val="false"/>
                  <w:color w:val="000000"/>
                  <w:sz w:val="20"/>
                  <w:u w:val="none"/>
                  <w:effect w:val="none"/>
                </w:rPr>
                <w:t>33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43">
              <w:r>
                <w:rPr>
                  <w:rStyle w:val="InternetLink"/>
                  <w:rFonts w:ascii="Times New Roman;sans-serif" w:hAnsi="Times New Roman;sans-serif"/>
                  <w:b w:val="false"/>
                  <w:strike w:val="false"/>
                  <w:dstrike w:val="false"/>
                  <w:color w:val="000000"/>
                  <w:sz w:val="20"/>
                  <w:u w:val="none"/>
                  <w:effect w:val="none"/>
                </w:rPr>
                <w:t>35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52">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52">
              <w:r>
                <w:rPr>
                  <w:rStyle w:val="InternetLink"/>
                  <w:rFonts w:ascii="Times New Roman;sans-serif" w:hAnsi="Times New Roman;sans-serif"/>
                  <w:b w:val="false"/>
                  <w:strike w:val="false"/>
                  <w:dstrike w:val="false"/>
                  <w:color w:val="000000"/>
                  <w:sz w:val="20"/>
                  <w:u w:val="none"/>
                  <w:effect w:val="none"/>
                </w:rPr>
                <w:t>50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55">
              <w:r>
                <w:rPr>
                  <w:rStyle w:val="InternetLink"/>
                  <w:rFonts w:ascii="Times New Roman;sans-serif" w:hAnsi="Times New Roman;sans-serif"/>
                  <w:b w:val="false"/>
                  <w:color w:val="0000FF"/>
                  <w:sz w:val="20"/>
                  <w:u w:val="single"/>
                </w:rPr>
                <w:t>Financial Statements and Supplementary Data</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55">
              <w:r>
                <w:rPr>
                  <w:rStyle w:val="InternetLink"/>
                  <w:rFonts w:ascii="Times New Roman;sans-serif" w:hAnsi="Times New Roman;sans-serif"/>
                  <w:b w:val="false"/>
                  <w:strike w:val="false"/>
                  <w:dstrike w:val="false"/>
                  <w:color w:val="000000"/>
                  <w:sz w:val="20"/>
                  <w:u w:val="none"/>
                  <w:effect w:val="none"/>
                </w:rPr>
                <w:t>51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7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75">
              <w:r>
                <w:rPr>
                  <w:rStyle w:val="InternetLink"/>
                  <w:rFonts w:ascii="Times New Roman;sans-serif" w:hAnsi="Times New Roman;sans-serif"/>
                  <w:b w:val="false"/>
                  <w:strike w:val="false"/>
                  <w:dstrike w:val="false"/>
                  <w:color w:val="000000"/>
                  <w:sz w:val="20"/>
                  <w:u w:val="none"/>
                  <w:effect w:val="none"/>
                </w:rPr>
                <w:t>91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78">
              <w:r>
                <w:rPr>
                  <w:rStyle w:val="InternetLink"/>
                  <w:rFonts w:ascii="Times New Roman;sans-serif" w:hAnsi="Times New Roman;sans-serif"/>
                  <w:b w:val="false"/>
                  <w:color w:val="0000FF"/>
                  <w:sz w:val="20"/>
                  <w:u w:val="single"/>
                </w:rPr>
                <w:t>Controls and Procedures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78">
              <w:r>
                <w:rPr>
                  <w:rStyle w:val="InternetLink"/>
                  <w:rFonts w:ascii="Times New Roman;sans-serif" w:hAnsi="Times New Roman;sans-serif"/>
                  <w:b w:val="false"/>
                  <w:strike w:val="false"/>
                  <w:dstrike w:val="false"/>
                  <w:color w:val="000000"/>
                  <w:sz w:val="20"/>
                  <w:u w:val="none"/>
                  <w:effect w:val="none"/>
                </w:rPr>
                <w:t>91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81">
              <w:r>
                <w:rPr>
                  <w:rStyle w:val="InternetLink"/>
                  <w:rFonts w:ascii="Times New Roman;sans-serif" w:hAnsi="Times New Roman;sans-serif"/>
                  <w:b w:val="false"/>
                  <w:color w:val="0000FF"/>
                  <w:sz w:val="20"/>
                  <w:u w:val="single"/>
                </w:rPr>
                <w:t>Other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81">
              <w:r>
                <w:rPr>
                  <w:rStyle w:val="InternetLink"/>
                  <w:rFonts w:ascii="Times New Roman;sans-serif" w:hAnsi="Times New Roman;sans-serif"/>
                  <w:b w:val="false"/>
                  <w:strike w:val="false"/>
                  <w:dstrike w:val="false"/>
                  <w:color w:val="000000"/>
                  <w:sz w:val="20"/>
                  <w:u w:val="none"/>
                  <w:effect w:val="none"/>
                </w:rPr>
                <w:t>91</w:t>
              </w:r>
            </w:hyperlink>
          </w:p>
        </w:tc>
      </w:tr>
      <w:tr>
        <w:trPr/>
        <w:tc>
          <w:tcPr>
            <w:tcW w:w="98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84">
              <w:r>
                <w:rPr>
                  <w:rStyle w:val="InternetLink"/>
                  <w:rFonts w:ascii="Times New Roman;sans-serif" w:hAnsi="Times New Roman;sans-serif"/>
                  <w:b/>
                  <w:color w:val="0000FF"/>
                  <w:sz w:val="20"/>
                  <w:u w:val="single"/>
                </w:rPr>
                <w:t>PART III.</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84">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87">
              <w:r>
                <w:rPr>
                  <w:rStyle w:val="InternetLink"/>
                  <w:rFonts w:ascii="Times New Roman;sans-serif" w:hAnsi="Times New Roman;sans-serif"/>
                  <w:b w:val="false"/>
                  <w:color w:val="0000FF"/>
                  <w:sz w:val="20"/>
                  <w:u w:val="single"/>
                </w:rPr>
                <w:t>Directors, Executive Officers and Corporate Governance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87">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90">
              <w:r>
                <w:rPr>
                  <w:rStyle w:val="InternetLink"/>
                  <w:rFonts w:ascii="Times New Roman;sans-serif" w:hAnsi="Times New Roman;sans-serif"/>
                  <w:b w:val="false"/>
                  <w:color w:val="0000FF"/>
                  <w:sz w:val="20"/>
                  <w:u w:val="single"/>
                </w:rPr>
                <w:t>Executive Compensation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90">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9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93">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9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96">
              <w:r>
                <w:rPr>
                  <w:rStyle w:val="InternetLink"/>
                  <w:rFonts w:ascii="Times New Roman;sans-serif" w:hAnsi="Times New Roman;sans-serif"/>
                  <w:b w:val="false"/>
                  <w:strike w:val="false"/>
                  <w:dstrike w:val="false"/>
                  <w:color w:val="000000"/>
                  <w:sz w:val="20"/>
                  <w:u w:val="none"/>
                  <w:effect w:val="none"/>
                </w:rPr>
                <w:t>93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199">
              <w:r>
                <w:rPr>
                  <w:rStyle w:val="InternetLink"/>
                  <w:rFonts w:ascii="Times New Roman;sans-serif" w:hAnsi="Times New Roman;sans-serif"/>
                  <w:b w:val="false"/>
                  <w:color w:val="0000FF"/>
                  <w:sz w:val="20"/>
                  <w:u w:val="single"/>
                </w:rPr>
                <w:t>Principal Accounting Fees and Services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199">
              <w:r>
                <w:rPr>
                  <w:rStyle w:val="InternetLink"/>
                  <w:rFonts w:ascii="Times New Roman;sans-serif" w:hAnsi="Times New Roman;sans-serif"/>
                  <w:b w:val="false"/>
                  <w:strike w:val="false"/>
                  <w:dstrike w:val="false"/>
                  <w:color w:val="000000"/>
                  <w:sz w:val="20"/>
                  <w:u w:val="none"/>
                  <w:effect w:val="none"/>
                </w:rPr>
                <w:t>93</w:t>
              </w:r>
            </w:hyperlink>
          </w:p>
        </w:tc>
      </w:tr>
      <w:tr>
        <w:trPr/>
        <w:tc>
          <w:tcPr>
            <w:tcW w:w="98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202">
              <w:r>
                <w:rPr>
                  <w:rStyle w:val="InternetLink"/>
                  <w:rFonts w:ascii="Times New Roman;sans-serif" w:hAnsi="Times New Roman;sans-serif"/>
                  <w:b/>
                  <w:color w:val="0000FF"/>
                  <w:sz w:val="20"/>
                  <w:u w:val="single"/>
                </w:rPr>
                <w:t>PART IV.</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202">
              <w:r>
                <w:rPr>
                  <w:rStyle w:val="InternetLink"/>
                  <w:rFonts w:ascii="Times New Roman;sans-serif" w:hAnsi="Times New Roman;sans-serif"/>
                  <w:b w:val="false"/>
                  <w:strike w:val="false"/>
                  <w:dstrike w:val="false"/>
                  <w:color w:val="000000"/>
                  <w:sz w:val="20"/>
                  <w:u w:val="none"/>
                  <w:effect w:val="none"/>
                </w:rPr>
                <w:t>94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205">
              <w:r>
                <w:rPr>
                  <w:rStyle w:val="InternetLink"/>
                  <w:rFonts w:ascii="Times New Roman;sans-serif" w:hAnsi="Times New Roman;sans-serif"/>
                  <w:b w:val="false"/>
                  <w:color w:val="0000FF"/>
                  <w:sz w:val="20"/>
                  <w:u w:val="single"/>
                </w:rPr>
                <w:t>Exhibits, Financial Statement Schedules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205">
              <w:r>
                <w:rPr>
                  <w:rStyle w:val="InternetLink"/>
                  <w:rFonts w:ascii="Times New Roman;sans-serif" w:hAnsi="Times New Roman;sans-serif"/>
                  <w:b w:val="false"/>
                  <w:strike w:val="false"/>
                  <w:dstrike w:val="false"/>
                  <w:color w:val="000000"/>
                  <w:sz w:val="20"/>
                  <w:u w:val="none"/>
                  <w:effect w:val="none"/>
                </w:rPr>
                <w:t>94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9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217">
              <w:r>
                <w:rPr>
                  <w:rStyle w:val="InternetLink"/>
                  <w:rFonts w:ascii="Times New Roman;sans-serif" w:hAnsi="Times New Roman;sans-serif"/>
                  <w:b w:val="false"/>
                  <w:color w:val="0000FF"/>
                  <w:sz w:val="20"/>
                  <w:u w:val="single"/>
                </w:rPr>
                <w:t>Form 10-K Summary</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205">
              <w:r>
                <w:rPr>
                  <w:rStyle w:val="InternetLink"/>
                  <w:rFonts w:ascii="Times New Roman;sans-serif" w:hAnsi="Times New Roman;sans-serif"/>
                  <w:b w:val="false"/>
                  <w:strike w:val="false"/>
                  <w:dstrike w:val="false"/>
                  <w:color w:val="000000"/>
                  <w:sz w:val="20"/>
                  <w:u w:val="none"/>
                  <w:effect w:val="none"/>
                </w:rPr>
                <w:t>94</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In this Form 10-K, references to “Vera Bradley, Inc.” or the “Company” refer to Vera Bradley, Inc. and its subsidiaries, including Vera Bradley Designs, Inc. and Creative Genius, LLC. References to “Vera Bradley” relate to the Vera Bradley stand-alone brand and references to “Pura Vida” relate to the Pura Vida stand-alone brand, except where the context requires otherwise or where otherwise indicated. The Company utilizes a 52-53 week fiscal year ending on the Saturday closest to January 31. The fiscal years ended January 30, 2021 (“fiscal 2021”), February 1, 2020 (“fiscal 2020”) and February 2, 2019 (“fiscal 2019”) were each 52-week periods. The fiscal year ending January 29, 2022 (“fiscal 2022”) will also be a 52-week period.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July 2019, Vera Bradley, Inc. acquired a 75% interest in Creative Genius, Inc., which also operates under the name Pura Vida Bracelets (“Pura Vida”). Pura Vida results are consolidated within the Company’s financial statements beginning on July 17, 2019, the first full day following the acquisition. Prior period results have not been recast and are therefore not comparable with the fiscal 2020 period.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Beginning in the second quarter of fiscal 2020, the Company has included an additional segment for Pura Vida due to its acquisition. As a result, the Company now has three reportable segments: Vera Bradley Direct (“VB Direct”), Vera Bradley Indirect (“VB Indirect”), and Pura Vida. For financial information about our reportable segments, refer to Note 18 of the Notes to Consolidated Financial Statements set forth in Part II, “Item 8. Financial Statements and Supplementary Data,” of this report.</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Vera Bradley </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Vera Bradley is a leading designer of women’s handbags, luggage and other travel items, fashion and home accessories, and unique gifts. Founded in 1982 by friends Barbara Bradley Baekgaard and Patricia R. Miller, the brand is known for its innovative designs, iconic patterns, and brilliant colors that inspire and connect women. The reportable segments within the Vera Bradley brand are VB Direct and VB Indirect.</w:t>
      </w:r>
    </w:p>
    <w:p>
      <w:pPr>
        <w:pStyle w:val="TextBody"/>
        <w:spacing w:lineRule="auto" w:line="288" w:before="100" w:after="283"/>
        <w:rPr/>
      </w:pPr>
      <w:r>
        <w:rPr>
          <w:rFonts w:ascii="Times New Roman;sans-serif" w:hAnsi="Times New Roman;sans-serif"/>
          <w:b w:val="false"/>
          <w:i/>
          <w:color w:val="000000"/>
          <w:sz w:val="20"/>
        </w:rPr>
        <w:t>VB Direct</w:t>
      </w:r>
      <w:r>
        <w:rPr>
          <w:rFonts w:ascii="Times New Roman;sans-serif" w:hAnsi="Times New Roman;sans-serif"/>
          <w:b w:val="false"/>
          <w:color w:val="000000"/>
          <w:sz w:val="20"/>
        </w:rPr>
        <w:t>. The VB Direct business consists of sales of Vera Bradley products through Vera Bradley full-line and factory outlet stores in the United States; verabradley.com; the Vera Bradley online outlet site; and typically the Vera Bradley annual outlet sale in Fort Wayne, Indiana. As of January 30, 2021, the Company operated 75 full-line stores and 69 factory outlet stores. The annual outlet sale was cancelled in 2020 as a result of the COVID-19 pandemic.</w:t>
      </w:r>
    </w:p>
    <w:p>
      <w:pPr>
        <w:pStyle w:val="TextBody"/>
        <w:spacing w:lineRule="auto" w:line="288" w:before="100" w:after="283"/>
        <w:rPr/>
      </w:pPr>
      <w:r>
        <w:rPr>
          <w:rFonts w:ascii="Times New Roman;sans-serif" w:hAnsi="Times New Roman;sans-serif"/>
          <w:b w:val="false"/>
          <w:i/>
          <w:color w:val="000000"/>
          <w:sz w:val="20"/>
        </w:rPr>
        <w:t>VB Indirect</w:t>
      </w:r>
      <w:r>
        <w:rPr>
          <w:rFonts w:ascii="Times New Roman;sans-serif" w:hAnsi="Times New Roman;sans-serif"/>
          <w:b w:val="false"/>
          <w:color w:val="000000"/>
          <w:sz w:val="20"/>
        </w:rPr>
        <w:t>. The VB Indirect business consists of sales of Vera Bradley products to approximately 2,000 specialty retail locations, substantially all of which are located in the United States; sales to department stores, national accounts, third-party e-commerce sites, and third-party inventory liquidators; and royalties recognized through licensing agreements related to the Vera Bradley brand.</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Pura Vida</w:t>
      </w:r>
    </w:p>
    <w:p>
      <w:pPr>
        <w:pStyle w:val="TextBody"/>
        <w:spacing w:lineRule="auto" w:line="288" w:before="100" w:after="283"/>
        <w:rPr/>
      </w:pPr>
      <w:r>
        <w:rPr>
          <w:rFonts w:ascii="Times New Roman;sans-serif" w:hAnsi="Times New Roman;sans-serif"/>
          <w:b w:val="false"/>
          <w:color w:val="000000"/>
          <w:sz w:val="20"/>
        </w:rPr>
        <w:t>Pura Vida, based in La Jolla, California, is a digitally native lifestyle brand that we believe deeply resonates with its loyal consumer following. The Pura Vida brand has a differentiated and expanding offering of bracelets, jewelry, and other lifestyle accessories. 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 R</w:t>
      </w:r>
      <w:r>
        <w:rPr>
          <w:rFonts w:ascii="Times New Roman;sans-serif" w:hAnsi="Times New Roman;sans-serif"/>
          <w:b w:val="false"/>
          <w:color w:val="000000"/>
          <w:sz w:val="20"/>
          <w:highlight w:val="white"/>
        </w:rPr>
        <w:t>efer to Note 15 o</w:t>
      </w:r>
      <w:r>
        <w:rPr>
          <w:rFonts w:ascii="Times New Roman;sans-serif" w:hAnsi="Times New Roman;sans-serif"/>
          <w:b w:val="false"/>
          <w:color w:val="000000"/>
          <w:sz w:val="20"/>
        </w:rPr>
        <w:t>f the Notes to Consolidated Financial Statements set forth in Part II, “Item 8. Financial Statements and Supplementary Data,” of this report for additional information regarding the Pura Vida acquisition.</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they were traveling together, Fort Wayne, Indiana friends Barbara Bradley Baekgaard and Patricia Miller realized there was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w:t>
      </w:r>
    </w:p>
    <w:p>
      <w:pPr>
        <w:pStyle w:val="TextBody"/>
        <w:spacing w:lineRule="auto" w:line="288" w:before="180" w:after="283"/>
        <w:rPr/>
      </w:pPr>
      <w:r>
        <w:rPr>
          <w:rFonts w:ascii="Times New Roman;sans-serif" w:hAnsi="Times New Roman;sans-serif"/>
          <w:b w:val="false"/>
          <w:color w:val="000000"/>
          <w:sz w:val="20"/>
        </w:rPr>
        <w:t>The passion for design and customer service established by our founders has driven our Compan</w:t>
      </w:r>
      <w:r>
        <w:rPr>
          <w:rFonts w:ascii="Times New Roman;sans-serif" w:hAnsi="Times New Roman;sans-serif"/>
          <w:b w:val="false"/>
          <w:color w:val="000000"/>
          <w:sz w:val="20"/>
          <w:highlight w:val="white"/>
        </w:rPr>
        <w:t xml:space="preserve">y for nearly 40 years </w:t>
      </w:r>
      <w:r>
        <w:rPr>
          <w:rFonts w:ascii="Times New Roman;sans-serif" w:hAnsi="Times New Roman;sans-serif"/>
          <w:b w:val="false"/>
          <w:color w:val="000000"/>
          <w:sz w:val="20"/>
        </w:rPr>
        <w:t xml:space="preserve">and remains the cornerstone of Vera Bradley, Inc. today. Ms. Baekgaard retired from Vera Bradley operations in 2017 but continues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to serve on the Board of Directors and as a brand ambassador. Ms. Miller retired in October 2012 as our National Spokesperson and in August 2019 from the Board of Directors.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July 2019, Vera Bradley, Inc. acquired a majority interest in Pura Vida.</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the Vera Bradley brand, Pura Vida was founded by two Southern California friends, Griffin Thall and Paul Goodman. Thall and Goodman, while traveling through Costa Rica in 2010, crossed paths with two bracelet artisans. Thall and Goodman asked the artisans to make 400 bracelets to take home with them.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Upon returning to San Diego, Thall and Goodman placed the bracelets in a bowl at a local boutique. Within days, the bracelets sold out and customers were asking for more. Thall and Goodman quickly recognized the significance of these simple string bracelets. They were more than just ordinary locally-crafted bracelets; they symbolized a movement valuing the simple things in life. So, Pura Vida, which means “pure life” in Spanish and is a philosophy that encourages the appreciation of life’s simple treasures, was born.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believe Pura Vida is a great strategic fit for Vera Bradley and that the two companies have combined to make Vera Bradley, Inc. a unique lifestyle company.</w:t>
      </w:r>
    </w:p>
    <w:p>
      <w:pPr>
        <w:pStyle w:val="TextBody"/>
        <w:spacing w:lineRule="auto" w:line="288" w:before="28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Vision 20/20 Initiatives and Growth Strategies</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In fiscal 2018, we embarked on Vision 20/20 - our aggressive three-year plan to restore the Vera Bradley brand and business to a healthy foundation, and in fiscal 2021 we completed the first full year of consolidated operations of Pura Vida. Despite challenges related to the pandemic, we strengthened our infrastructure and better positioned both the Pura Vida and Vera Bradley brands for the future. Some achievements in the product, marketing, and distribution areas for fiscal 2021 follow.</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Vera Bradley</w:t>
      </w:r>
    </w:p>
    <w:p>
      <w:pPr>
        <w:pStyle w:val="TextBody"/>
        <w:spacing w:lineRule="auto" w:line="288" w:before="100" w:after="283"/>
        <w:rPr/>
      </w:pPr>
      <w:r>
        <w:rPr>
          <w:rFonts w:ascii="Times New Roman;sans-serif" w:hAnsi="Times New Roman;sans-serif"/>
          <w:b w:val="false"/>
          <w:i/>
          <w:color w:val="000000"/>
          <w:sz w:val="20"/>
        </w:rPr>
        <w:t xml:space="preserve">Product. </w:t>
      </w:r>
      <w:r>
        <w:rPr>
          <w:rFonts w:ascii="Times New Roman;sans-serif" w:hAnsi="Times New Roman;sans-serif"/>
          <w:b w:val="false"/>
          <w:color w:val="000000"/>
          <w:sz w:val="20"/>
        </w:rPr>
        <w:t>We have identified three key franchise businesses – Youth/Campus, Travel, and Everyday where we can offer our customers thoughtful solutions that we believe will propel our future growth. We will continue to look for opportunities to expand into relevant new categories that reflect our brands and signature attributes of comfortable, casual, affordable, and fun. We will also continue to use licenses and strategic partnerships as appropriate to expand our product categories.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fiscal 2021:</w:t>
      </w:r>
    </w:p>
    <w:p>
      <w:pPr>
        <w:pStyle w:val="TextBody"/>
        <w:spacing w:lineRule="auto" w:line="276" w:before="100" w:after="283"/>
        <w:ind w:left="0" w:right="0" w:hanging="360"/>
        <w:rPr/>
      </w:pPr>
      <w:r>
        <w:rPr>
          <w:color w:val="000000"/>
        </w:rPr>
        <w:t>•</w:t>
      </w:r>
      <w:r>
        <w:rPr>
          <w:rFonts w:ascii="Times New Roman;sans-serif" w:hAnsi="Times New Roman;sans-serif"/>
          <w:b w:val="false"/>
          <w:color w:val="000000"/>
          <w:sz w:val="20"/>
        </w:rPr>
        <w:t>We accelerated our robust fabric innovation pipeline to develop new fabric offerings and build on our platform of sustainable fabrics; we expanded our full-line Performance Twill and recycled ReActive collections, introduced our Ultralight fabrication in our factory stores, and developed our recycled cotton collection that will launch in spring 2021;</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quickly reacted to the consumer demand for personal protective equipment, producing and selling millions of cotton face masks, generating revenue and gross margin dollars for the fiscal year;</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continued another year of collaborations with several iconic brands, including Crocs, Disney, and Gillette Venus to create and sell limited-edition product collections; introduced our signature masks and 1982 backpacks in Target stores and on target.com; and launched our collaboration with Warner Bros. Consumer Products for the creation of our Harry Potter™ + Vera Bradley collection. These collaborations will continue into fiscal 2022.</w:t>
      </w:r>
    </w:p>
    <w:p>
      <w:pPr>
        <w:pStyle w:val="TextBody"/>
        <w:spacing w:lineRule="auto" w:line="288" w:before="100" w:after="200"/>
        <w:rPr/>
      </w:pPr>
      <w:r>
        <w:rPr>
          <w:rFonts w:ascii="Times New Roman;sans-serif" w:hAnsi="Times New Roman;sans-serif"/>
          <w:b w:val="false"/>
          <w:i/>
          <w:color w:val="000000"/>
          <w:sz w:val="20"/>
        </w:rPr>
        <w:t>Distribution Channels.</w:t>
      </w:r>
      <w:r>
        <w:rPr>
          <w:color w:val="000000"/>
        </w:rPr>
        <w:t xml:space="preserve"> </w:t>
      </w:r>
      <w:r>
        <w:rPr>
          <w:rFonts w:ascii="Times New Roman;sans-serif" w:hAnsi="Times New Roman;sans-serif"/>
          <w:b w:val="false"/>
          <w:color w:val="000000"/>
          <w:sz w:val="20"/>
        </w:rPr>
        <w:t xml:space="preserve">Vera Bradley products are available through our Direct channel including full-line and factory outlet stores, online through verabradley.com and our online outlet site, and typically our Vera Bradley annual outlet sale, as well as through the Indirect channel including department and specialty retail stores, national accounts, third-party e-commerce sites, and third-party inventory liquidators. We continue to focus on tightly integrating our multi-channel business by strengthening and right-sizing both our Direct and Indirect distribution channels. </w:t>
      </w:r>
    </w:p>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We opened six new factory outlet stores in fiscal 2021. We plan to open five new factory outlet stores in fiscal 2022.</w:t>
      </w:r>
    </w:p>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We are continuing to improve the profitability of our full-line store portfolio by re-balancing our existing fleet through select closures along with identifying future market opportunities. We will continue to focus on our highest-potential stores, enhancing the customer experience and further localizing our assortments. We will continue to develop and test new formats; however, we have currently suspended full-line store growth. In fact, we have closed 39 underperforming full-line stores since the beginning of fiscal 2018 and forecast that we will close additional full-line stores.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 our digital flagship, verabradley.com, remains a key part of our distribution strategy. During fiscal 2021, we converted our e-commerce platform to Shopify Plus. This conversion was part of our overall IT project called Project Novus, which also replaced our ERP, POS, Business Intelligence, and Order Management systems. These changes decreased the complexity of our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systems and provided us with a technology platform to help us make quick, data-based, informed decisions, which we believe will further enhance the customer experience and help us achieve our growth objectives.</w:t>
      </w:r>
    </w:p>
    <w:p>
      <w:pPr>
        <w:pStyle w:val="TextBody"/>
        <w:spacing w:lineRule="auto" w:line="288" w:before="100" w:after="283"/>
        <w:rPr/>
      </w:pPr>
      <w:r>
        <w:rPr>
          <w:rFonts w:ascii="Times New Roman;sans-serif" w:hAnsi="Times New Roman;sans-serif"/>
          <w:b w:val="false"/>
          <w:color w:val="000000"/>
          <w:sz w:val="20"/>
        </w:rPr>
        <w:t xml:space="preserve">Our Vera Bradley online outlet flash sales allowed us to continue to sell clearance merchandise in a more discreet manner, reducing clearance activity on verabradley.com and in our full-line stores. In fiscal 2021, we had approximately </w:t>
      </w:r>
      <w:r>
        <w:rPr>
          <w:rFonts w:ascii="Times New Roman;sans-serif" w:hAnsi="Times New Roman;sans-serif"/>
          <w:b w:val="false"/>
          <w:color w:val="000000"/>
          <w:sz w:val="20"/>
          <w:highlight w:val="white"/>
        </w:rPr>
        <w:t>66 million</w:t>
      </w:r>
      <w:r>
        <w:rPr>
          <w:color w:val="000000"/>
        </w:rPr>
        <w:t xml:space="preserve"> </w:t>
      </w:r>
      <w:r>
        <w:rPr>
          <w:rFonts w:ascii="Times New Roman;sans-serif" w:hAnsi="Times New Roman;sans-serif"/>
          <w:b w:val="false"/>
          <w:color w:val="000000"/>
          <w:sz w:val="20"/>
        </w:rPr>
        <w:t>visits to our website and our online outlet site.</w:t>
      </w:r>
    </w:p>
    <w:p>
      <w:pPr>
        <w:pStyle w:val="TextBody"/>
        <w:spacing w:lineRule="auto" w:line="288" w:before="100" w:after="283"/>
        <w:rPr/>
      </w:pPr>
      <w:r>
        <w:rPr>
          <w:rFonts w:ascii="Times New Roman;sans-serif" w:hAnsi="Times New Roman;sans-serif"/>
          <w:b w:val="false"/>
          <w:color w:val="000000"/>
          <w:sz w:val="20"/>
        </w:rPr>
        <w:t xml:space="preserve">Our department store relationships allow us to expose our brand to new customers and showcase new product assortments. We are currently in approximately </w:t>
      </w:r>
      <w:r>
        <w:rPr>
          <w:rFonts w:ascii="Times New Roman;sans-serif" w:hAnsi="Times New Roman;sans-serif"/>
          <w:b w:val="false"/>
          <w:color w:val="000000"/>
          <w:sz w:val="20"/>
          <w:highlight w:val="white"/>
        </w:rPr>
        <w:t>276</w:t>
      </w:r>
      <w:r>
        <w:rPr>
          <w:color w:val="000000"/>
        </w:rPr>
        <w:t xml:space="preserve"> </w:t>
      </w:r>
      <w:r>
        <w:rPr>
          <w:rFonts w:ascii="Times New Roman;sans-serif" w:hAnsi="Times New Roman;sans-serif"/>
          <w:b w:val="false"/>
          <w:color w:val="000000"/>
          <w:sz w:val="20"/>
        </w:rPr>
        <w:t>department store locations. In the department stores, we continue to work on enhancing our brand presentation and profitability.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specialty retail channel is the heritage of our business and remains important to us. We continue to add select accounts while discontinuing unproductive accounts. While the specialty retail business is a smaller percentage of our total revenue base, we are working to stabilize it by assisting retailers with optimizing their businesses. </w:t>
      </w:r>
    </w:p>
    <w:p>
      <w:pPr>
        <w:pStyle w:val="TextBody"/>
        <w:spacing w:lineRule="auto" w:line="288" w:before="180" w:after="200"/>
        <w:rPr/>
      </w:pPr>
      <w:r>
        <w:rPr>
          <w:rFonts w:ascii="Times New Roman;sans-serif" w:hAnsi="Times New Roman;sans-serif"/>
          <w:b w:val="false"/>
          <w:i/>
          <w:color w:val="000000"/>
          <w:sz w:val="20"/>
        </w:rPr>
        <w:t>Marketing.</w:t>
      </w:r>
      <w:r>
        <w:rPr>
          <w:color w:val="000000"/>
        </w:rPr>
        <w:t> </w:t>
      </w:r>
      <w:r>
        <w:rPr>
          <w:rFonts w:ascii="Times New Roman;sans-serif" w:hAnsi="Times New Roman;sans-serif"/>
          <w:b w:val="false"/>
          <w:color w:val="000000"/>
          <w:sz w:val="20"/>
        </w:rPr>
        <w:t>Marketing and brand positioning are both critical elements as we continue to engage new consumers and strengthen our bond with existing customers.</w:t>
      </w:r>
    </w:p>
    <w:p>
      <w:pPr>
        <w:pStyle w:val="TextBody"/>
        <w:spacing w:lineRule="auto" w:line="288" w:before="180" w:after="200"/>
        <w:rPr>
          <w:rFonts w:ascii="Times New Roman;sans-serif" w:hAnsi="Times New Roman;sans-serif"/>
          <w:b w:val="false"/>
          <w:color w:val="000000"/>
          <w:sz w:val="20"/>
        </w:rPr>
      </w:pPr>
      <w:r>
        <w:rPr>
          <w:rFonts w:ascii="Times New Roman;sans-serif" w:hAnsi="Times New Roman;sans-serif"/>
          <w:b w:val="false"/>
          <w:color w:val="000000"/>
          <w:sz w:val="20"/>
        </w:rPr>
        <w:t>In fiscal 2021:</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As mentioned, we launched our new verabradley.com Shopify Plus site which we believe allowed us to improve our customer's buying experience.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Our investments in customer data science, and business analytics allowed us to collect and analyze data, respond to customer changes, and adjust marketing spending in an agile way, which helped us to navigate the COVID-19 pandemic. Data science and analytics will continue to drive our marketing decisions going forward.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We believe our digital first strategy, focused on targeted digital efforts, increased brand awareness. Total impressions for the fiscal year more than doubled to almost 10.0 billion compared to the prior-year period.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Under the umbrella of VB Cares, we reinforced our position as a total stakeholder-focused and socially-conscious organization and continued to strengthen our community support and charitable initiatives that are meaningful to our customers and that make a significant impact on those in need, particularly women and children. Efforts included supporting the Vera Bradley Foundation for Breast Cancer, the Coronavirus Response Fund for Nurses, New Hope Girls, and our national “Blessings in a Backpack” program. We will continue our VB Cares focus.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Pura Vida</w:t>
      </w:r>
    </w:p>
    <w:p>
      <w:pPr>
        <w:pStyle w:val="TextBody"/>
        <w:spacing w:lineRule="auto" w:line="288" w:before="100" w:after="200"/>
        <w:rPr/>
      </w:pPr>
      <w:r>
        <w:rPr>
          <w:rFonts w:ascii="Times New Roman;sans-serif" w:hAnsi="Times New Roman;sans-serif"/>
          <w:b w:val="false"/>
          <w:i/>
          <w:color w:val="000000"/>
          <w:sz w:val="20"/>
        </w:rPr>
        <w:t xml:space="preserve">Product. </w:t>
      </w:r>
      <w:r>
        <w:rPr>
          <w:rFonts w:ascii="Times New Roman;sans-serif" w:hAnsi="Times New Roman;sans-serif"/>
          <w:b w:val="false"/>
          <w:color w:val="000000"/>
          <w:sz w:val="20"/>
        </w:rPr>
        <w:t>Pura Vida offers prod</w:t>
      </w:r>
      <w:r>
        <w:rPr>
          <w:rFonts w:ascii="Times New Roman;sans-serif" w:hAnsi="Times New Roman;sans-serif"/>
          <w:b w:val="false"/>
          <w:color w:val="000000"/>
          <w:sz w:val="20"/>
          <w:highlight w:val="white"/>
        </w:rPr>
        <w:t>ucts in the accessories category, primarily bracelets, with the balance of products in other jewelry categories such as rings and necklaces. These products are created with the “pura vida” lifestyle and aesthetic in mind, slowing down and living life to the fullest. During fiscal 2021 Pura Vida further expanded into new product categories. Nearly 50% of our e-commerce business is comprised of jewelry categories other than traditional string bracelets, such as metal, semi-precious stone charms, charms, and the engravable collection. We believe these product categories highlight the brand's lifestyle appeal which we believe will continue to be a key driver of growth. C</w:t>
      </w:r>
      <w:r>
        <w:rPr>
          <w:rFonts w:ascii="Times New Roman;sans-serif" w:hAnsi="Times New Roman;sans-serif"/>
          <w:b w:val="false"/>
          <w:color w:val="000000"/>
          <w:sz w:val="20"/>
        </w:rPr>
        <w:t xml:space="preserve">harity bracelets remained popular, reaching over </w:t>
      </w:r>
      <w:r>
        <w:rPr>
          <w:rFonts w:ascii="Times New Roman;sans-serif" w:hAnsi="Times New Roman;sans-serif"/>
          <w:b w:val="false"/>
          <w:color w:val="000000"/>
          <w:sz w:val="20"/>
          <w:highlight w:val="white"/>
        </w:rPr>
        <w:t>$3.0 million</w:t>
      </w:r>
      <w:r>
        <w:rPr>
          <w:color w:val="000000"/>
        </w:rPr>
        <w:t xml:space="preserve"> </w:t>
      </w:r>
      <w:r>
        <w:rPr>
          <w:rFonts w:ascii="Times New Roman;sans-serif" w:hAnsi="Times New Roman;sans-serif"/>
          <w:b w:val="false"/>
          <w:color w:val="000000"/>
          <w:sz w:val="20"/>
        </w:rPr>
        <w:t>in lifetime charitable contributions to more than 200 charities.</w:t>
      </w:r>
    </w:p>
    <w:p>
      <w:pPr>
        <w:pStyle w:val="TextBody"/>
        <w:spacing w:lineRule="auto" w:line="288" w:before="0" w:after="200"/>
        <w:rPr/>
      </w:pPr>
      <w:r>
        <w:rPr>
          <w:rFonts w:ascii="Times New Roman;sans-serif" w:hAnsi="Times New Roman;sans-serif"/>
          <w:b w:val="false"/>
          <w:i/>
          <w:color w:val="000000"/>
          <w:sz w:val="20"/>
        </w:rPr>
        <w:t xml:space="preserve">Distribution Channels. </w:t>
      </w:r>
      <w:r>
        <w:rPr>
          <w:rFonts w:ascii="Times New Roman;sans-serif" w:hAnsi="Times New Roman;sans-serif"/>
          <w:b w:val="false"/>
          <w:color w:val="000000"/>
          <w:sz w:val="20"/>
        </w:rPr>
        <w:t>Our Pura Vida products are available on our websites, www.puravidabracelets.com, www.puravidabracelets.eu, and www.puravidabracelets.ca. Pura Vida is a digitally native brand and continuing to develop our websites and transmit the “pura vida” lifestyle through our digital storefront is a key distribution strategy. Pura Vida’s website immerses visitors in the brand, its products, and its social mission.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also distribute Pura Vida products through select wholesale accounts throughout the U.S. and Europe. We will continue to target some larger accounts for growth which should help build the Pura Vida brand. We expanded our presence with our wholesale partners by introducing larger in-store presentations in fiscal 2021.</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During fiscal 2021, we added Pura Vida shop-in-shops to six Vera Bradley full-line stores. We also plan to open Pura Vida's first retail store in fiscal 2022.</w:t>
      </w:r>
    </w:p>
    <w:p>
      <w:pPr>
        <w:pStyle w:val="TextBody"/>
        <w:spacing w:lineRule="auto" w:line="288" w:before="180" w:after="200"/>
        <w:rPr/>
      </w:pPr>
      <w:r>
        <w:rPr>
          <w:rFonts w:ascii="Times New Roman;sans-serif" w:hAnsi="Times New Roman;sans-serif"/>
          <w:b w:val="false"/>
          <w:i/>
          <w:color w:val="000000"/>
          <w:sz w:val="20"/>
        </w:rPr>
        <w:t xml:space="preserve">Marketing. </w:t>
      </w:r>
      <w:r>
        <w:rPr>
          <w:rFonts w:ascii="Times New Roman;sans-serif" w:hAnsi="Times New Roman;sans-serif"/>
          <w:b w:val="false"/>
          <w:color w:val="000000"/>
          <w:sz w:val="20"/>
        </w:rPr>
        <w:t>We have established what we believe to be a robust digital marketing platform with highly effective consumer engagement across social media and other online platforms. The Pura Vida digital marketing strategy is anchored in innovative and effective ways to connect with our consumers, including partnerships with select individuals who we believe encapsulate the brand’s identity and serve as natural extensions of the Pura Vida marketing strategy. These partnerships translate into authentic, user-generated content that we can repurpose as ads, e-mail campaigns, and our own social media content.</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00"/>
        <w:rPr/>
      </w:pPr>
      <w:r>
        <w:rPr>
          <w:rFonts w:ascii="Times New Roman;sans-serif" w:hAnsi="Times New Roman;sans-serif"/>
          <w:b w:val="false"/>
          <w:color w:val="000000"/>
          <w:sz w:val="20"/>
        </w:rPr>
        <w:t>Pura Vida remains one of the most highly-engaged brands in the accessories space, surp</w:t>
      </w:r>
      <w:r>
        <w:rPr>
          <w:rFonts w:ascii="Times New Roman;sans-serif" w:hAnsi="Times New Roman;sans-serif"/>
          <w:b w:val="false"/>
          <w:color w:val="000000"/>
          <w:sz w:val="20"/>
          <w:highlight w:val="white"/>
        </w:rPr>
        <w:t>assing the 2.0 million m</w:t>
      </w:r>
      <w:r>
        <w:rPr>
          <w:rFonts w:ascii="Times New Roman;sans-serif" w:hAnsi="Times New Roman;sans-serif"/>
          <w:b w:val="false"/>
          <w:color w:val="000000"/>
          <w:sz w:val="20"/>
        </w:rPr>
        <w:t>ark of followers on Instagram and is consistently listed as one of the most engaged jewelry brands on Instagram. Instagram followers and Facebook likes rose during fiscal 2021. Pura Vida continued to rank among the top of the industry for our Net Promoter and Customer Satisfaction Scores.</w:t>
      </w:r>
    </w:p>
    <w:p>
      <w:pPr>
        <w:pStyle w:val="TextBody"/>
        <w:spacing w:lineRule="auto" w:line="288" w:before="180" w:after="200"/>
        <w:rPr/>
      </w:pPr>
      <w:r>
        <w:rPr>
          <w:rFonts w:ascii="Times New Roman;sans-serif" w:hAnsi="Times New Roman;sans-serif"/>
          <w:b w:val="false"/>
          <w:color w:val="000000"/>
          <w:sz w:val="20"/>
          <w:highlight w:val="white"/>
        </w:rPr>
        <w:t>Over 150,000 m</w:t>
      </w:r>
      <w:r>
        <w:rPr>
          <w:rFonts w:ascii="Times New Roman;sans-serif" w:hAnsi="Times New Roman;sans-serif"/>
          <w:b w:val="false"/>
          <w:color w:val="000000"/>
          <w:sz w:val="20"/>
        </w:rPr>
        <w:t>icro-influencers have been on-boarded, and reliance on micro-influencers is a key part of Pura Vida’s strategy. Micro-i</w:t>
      </w:r>
      <w:r>
        <w:rPr>
          <w:rFonts w:ascii="Times New Roman;sans-serif" w:hAnsi="Times New Roman;sans-serif"/>
          <w:b w:val="false"/>
          <w:color w:val="000000"/>
          <w:sz w:val="20"/>
          <w:highlight w:val="white"/>
        </w:rPr>
        <w:t>nfluencers are brand ambassadors who showcase Pura Vida products on their social media channels in exchange for commission. In fiscal 2021, we entered into an agreement with TikTok sensation Charli D'Amelio for our collaborative Pura Vida bracelet style pack which launched on March 5, 2021, during our fiscal 2022. We plan to continue to build upon the influencer program, particularly focusing on individuals with the greatest number of followers.</w:t>
      </w:r>
    </w:p>
    <w:p>
      <w:pPr>
        <w:pStyle w:val="TextBody"/>
        <w:spacing w:lineRule="auto" w:line="288" w:before="180" w:after="20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fiscal 2021, we doubled our SMS messaging list from fiscal 2020 to over one million active subscribers.</w:t>
      </w:r>
    </w:p>
    <w:p>
      <w:pPr>
        <w:pStyle w:val="TextBody"/>
        <w:spacing w:lineRule="auto" w:line="288" w:before="180" w:after="200"/>
        <w:rPr>
          <w:rFonts w:ascii="Times New Roman;sans-serif" w:hAnsi="Times New Roman;sans-serif"/>
          <w:b/>
          <w:color w:val="000000"/>
          <w:sz w:val="20"/>
          <w:highlight w:val="white"/>
        </w:rPr>
      </w:pPr>
      <w:r>
        <w:rPr>
          <w:rFonts w:ascii="Times New Roman;sans-serif" w:hAnsi="Times New Roman;sans-serif"/>
          <w:b/>
          <w:color w:val="000000"/>
          <w:sz w:val="20"/>
          <w:highlight w:val="white"/>
        </w:rPr>
        <w:t>Enterprise Vision and Fiscal 2022 Growth Drivers</w:t>
      </w:r>
    </w:p>
    <w:p>
      <w:pPr>
        <w:pStyle w:val="TextBody"/>
        <w:spacing w:lineRule="auto" w:line="288" w:before="180" w:after="20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our enterprise's vision to become a purpose-driven, multi-brand, growth-oriented company, we will focus on enhancing our purpose-driven efforts while seeking out appropriate acquisitions of other comfortable, affordable, purpose-driven, digitally-native brands, similar to our Pura Vida acquisition. We will also expand our reach by adding adjacent product categories and geographies. For fiscal 2022, we believe the four key growth drivers for the Company will be:</w:t>
      </w:r>
    </w:p>
    <w:p>
      <w:pPr>
        <w:pStyle w:val="TextBody"/>
        <w:spacing w:lineRule="auto" w:line="276" w:before="0" w:after="0"/>
        <w:ind w:left="0" w:right="0" w:hanging="360"/>
        <w:rPr/>
      </w:pPr>
      <w:r>
        <w:rPr>
          <w:color w:val="000000"/>
          <w:highlight w:val="white"/>
        </w:rPr>
        <w:t>•</w:t>
      </w:r>
      <w:r>
        <w:rPr>
          <w:rFonts w:ascii="Times New Roman;sans-serif" w:hAnsi="Times New Roman;sans-serif"/>
          <w:b/>
          <w:color w:val="000000"/>
          <w:sz w:val="20"/>
          <w:highlight w:val="white"/>
        </w:rPr>
        <w:t>Driving our digital-first strategy</w:t>
      </w:r>
      <w:r>
        <w:rPr>
          <w:rFonts w:ascii="Times New Roman;sans-serif" w:hAnsi="Times New Roman;sans-serif"/>
          <w:b w:val="false"/>
          <w:color w:val="000000"/>
          <w:sz w:val="20"/>
          <w:highlight w:val="white"/>
        </w:rPr>
        <w:t>, by evolving the digital distribution of our products and further refining and utilizing digital experiences to serve our customers. We will support this initiative by continuously refining our technology, developing business process and technology platforms to improve agility, data-based decision making, customer centricity, and speed-to-market.</w:t>
      </w:r>
    </w:p>
    <w:p>
      <w:pPr>
        <w:pStyle w:val="TextBody"/>
        <w:spacing w:lineRule="auto" w:line="288" w:before="100" w:after="283"/>
        <w:ind w:left="0" w:right="0" w:hanging="360"/>
        <w:rPr/>
      </w:pPr>
      <w:r>
        <w:rPr>
          <w:color w:val="000000"/>
        </w:rPr>
        <w:t>•</w:t>
      </w:r>
      <w:r>
        <w:rPr>
          <w:rFonts w:ascii="Times New Roman;sans-serif" w:hAnsi="Times New Roman;sans-serif"/>
          <w:b/>
          <w:color w:val="000000"/>
          <w:sz w:val="20"/>
          <w:highlight w:val="white"/>
        </w:rPr>
        <w:t>Enhancing our product innovation pipeline,</w:t>
      </w:r>
      <w:r>
        <w:rPr>
          <w:color w:val="000000"/>
          <w:highlight w:val="white"/>
        </w:rPr>
        <w:t xml:space="preserve"> </w:t>
      </w:r>
      <w:r>
        <w:rPr>
          <w:rFonts w:ascii="Times New Roman;sans-serif" w:hAnsi="Times New Roman;sans-serif"/>
          <w:b/>
          <w:color w:val="000000"/>
          <w:sz w:val="20"/>
          <w:highlight w:val="white"/>
        </w:rPr>
        <w:t>collaborations, and category extensions</w:t>
      </w:r>
      <w:r>
        <w:rPr>
          <w:color w:val="000000"/>
          <w:highlight w:val="white"/>
        </w:rPr>
        <w:t xml:space="preserve"> </w:t>
      </w:r>
      <w:r>
        <w:rPr>
          <w:rFonts w:ascii="Times New Roman;sans-serif" w:hAnsi="Times New Roman;sans-serif"/>
          <w:b w:val="false"/>
          <w:color w:val="000000"/>
          <w:sz w:val="20"/>
          <w:highlight w:val="white"/>
        </w:rPr>
        <w:t>to attract new customers and increase the share of wallet with existing customers.</w:t>
      </w:r>
    </w:p>
    <w:p>
      <w:pPr>
        <w:pStyle w:val="TextBody"/>
        <w:spacing w:lineRule="auto" w:line="288" w:before="100" w:after="283"/>
        <w:ind w:left="0" w:right="0" w:hanging="360"/>
        <w:rPr/>
      </w:pPr>
      <w:r>
        <w:rPr>
          <w:color w:val="000000"/>
        </w:rPr>
        <w:t>•</w:t>
      </w:r>
      <w:r>
        <w:rPr>
          <w:rFonts w:ascii="Times New Roman;sans-serif" w:hAnsi="Times New Roman;sans-serif"/>
          <w:b/>
          <w:color w:val="000000"/>
          <w:sz w:val="20"/>
          <w:highlight w:val="white"/>
        </w:rPr>
        <w:t>Building our community</w:t>
      </w:r>
      <w:r>
        <w:rPr>
          <w:rFonts w:ascii="Times New Roman;sans-serif" w:hAnsi="Times New Roman;sans-serif"/>
          <w:b w:val="false"/>
          <w:color w:val="000000"/>
          <w:sz w:val="20"/>
          <w:highlight w:val="white"/>
        </w:rPr>
        <w:t>, through marketing and by creating an impactful, engaging brand movement that deepens brand loyalty.</w:t>
      </w:r>
    </w:p>
    <w:p>
      <w:pPr>
        <w:pStyle w:val="TextBody"/>
        <w:spacing w:lineRule="auto" w:line="288" w:before="100" w:after="283"/>
        <w:ind w:left="0" w:right="0" w:hanging="360"/>
        <w:rPr/>
      </w:pPr>
      <w:r>
        <w:rPr>
          <w:color w:val="000000"/>
        </w:rPr>
        <w:t>•</w:t>
      </w:r>
      <w:r>
        <w:rPr>
          <w:rFonts w:ascii="Times New Roman;sans-serif" w:hAnsi="Times New Roman;sans-serif"/>
          <w:b/>
          <w:color w:val="000000"/>
          <w:sz w:val="20"/>
          <w:highlight w:val="white"/>
        </w:rPr>
        <w:t>Evolving our distribution channels</w:t>
      </w:r>
      <w:r>
        <w:rPr>
          <w:rFonts w:ascii="Times New Roman;sans-serif" w:hAnsi="Times New Roman;sans-serif"/>
          <w:b w:val="false"/>
          <w:color w:val="000000"/>
          <w:sz w:val="20"/>
          <w:highlight w:val="white"/>
        </w:rPr>
        <w:t>, by focusing on future growth opportunities and addressing the drastically changing retail environment and the consumer marketplace.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Our Product Release Strategy </w:t>
      </w:r>
    </w:p>
    <w:p>
      <w:pPr>
        <w:pStyle w:val="TextBody"/>
        <w:spacing w:lineRule="auto" w:line="288" w:before="180" w:after="283"/>
        <w:rPr/>
      </w:pPr>
      <w:r>
        <w:rPr>
          <w:rFonts w:ascii="Times New Roman;sans-serif" w:hAnsi="Times New Roman;sans-serif"/>
          <w:b w:val="false"/>
          <w:i/>
          <w:color w:val="000000"/>
          <w:sz w:val="20"/>
        </w:rPr>
        <w:t>Vera Bradley</w:t>
      </w:r>
      <w:r>
        <w:rPr>
          <w:rFonts w:ascii="Times New Roman;sans-serif" w:hAnsi="Times New Roman;sans-serif"/>
          <w:b w:val="false"/>
          <w:color w:val="000000"/>
          <w:sz w:val="20"/>
        </w:rPr>
        <w:t>. We typically introduce new collections monthly. Each launch typically consists of one to three signature cotton-quilted prints, as well as other fabrications including Performance Twill, Re-Active, microfiber, or leather some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To keep our assortment current and fresh, and to focus our inventory investments on our best performers, we discontinue prints and fabrications as necessary. We sell our remaining inventory of retired products primarily through our website (including our online outlet site), factory outlet stores, typically our annual outlet sale, and third-party liquidators.</w:t>
      </w:r>
    </w:p>
    <w:p>
      <w:pPr>
        <w:pStyle w:val="TextBody"/>
        <w:spacing w:lineRule="auto" w:line="276" w:before="100" w:after="283"/>
        <w:rPr/>
      </w:pPr>
      <w:r>
        <w:rPr>
          <w:rFonts w:ascii="Times New Roman;sans-serif" w:hAnsi="Times New Roman;sans-serif"/>
          <w:b w:val="false"/>
          <w:i/>
          <w:color w:val="000000"/>
          <w:sz w:val="20"/>
        </w:rPr>
        <w:t>Pura Vida</w:t>
      </w:r>
      <w:r>
        <w:rPr>
          <w:rFonts w:ascii="Times New Roman;sans-serif" w:hAnsi="Times New Roman;sans-serif"/>
          <w:b w:val="false"/>
          <w:color w:val="000000"/>
          <w:sz w:val="20"/>
        </w:rPr>
        <w:t>. We introduce new Pura Vida products seasonally, approximately three times a year (spring, summer, and fall). Each product launch collection typically consists of 50 to 100 SKUs. We offer a mix of seasonally inspired designs and certain core designs. In April 2021, we plan to launch our Pura Vida apparel collection of shirts and hoodies, initially as a limited collection.</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Our Products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chart presents net revenues generated by each of the Company’s product categories and other revenues as a percentage of our total net revenues for fiscals 2021, 2020, and 2019.</w:t>
      </w:r>
    </w:p>
    <w:p>
      <w:pPr>
        <w:pStyle w:val="TextBody"/>
        <w:spacing w:lineRule="auto" w:line="288" w:before="0" w:after="0"/>
        <w:rPr>
          <w:color w:val="000000"/>
        </w:rPr>
      </w:pPr>
      <w:r>
        <w:rPr>
          <w:color w:val="000000"/>
        </w:rPr>
        <w:t> </w:t>
      </w:r>
    </w:p>
    <w:tbl>
      <w:tblPr>
        <w:tblW w:w="6101" w:type="dxa"/>
        <w:jc w:val="left"/>
        <w:tblInd w:w="0" w:type="dxa"/>
        <w:tblCellMar>
          <w:top w:w="28" w:type="dxa"/>
          <w:left w:w="28" w:type="dxa"/>
          <w:bottom w:w="28" w:type="dxa"/>
          <w:right w:w="28" w:type="dxa"/>
        </w:tblCellMar>
      </w:tblPr>
      <w:tblGrid>
        <w:gridCol w:w="569"/>
        <w:gridCol w:w="499"/>
        <w:gridCol w:w="507"/>
        <w:gridCol w:w="109"/>
        <w:gridCol w:w="109"/>
        <w:gridCol w:w="109"/>
        <w:gridCol w:w="307"/>
        <w:gridCol w:w="309"/>
        <w:gridCol w:w="551"/>
        <w:gridCol w:w="109"/>
        <w:gridCol w:w="109"/>
        <w:gridCol w:w="109"/>
        <w:gridCol w:w="307"/>
        <w:gridCol w:w="309"/>
        <w:gridCol w:w="541"/>
        <w:gridCol w:w="109"/>
        <w:gridCol w:w="109"/>
        <w:gridCol w:w="109"/>
        <w:gridCol w:w="307"/>
        <w:gridCol w:w="309"/>
        <w:gridCol w:w="605"/>
      </w:tblGrid>
      <w:tr>
        <w:trPr/>
        <w:tc>
          <w:tcPr>
            <w:tcW w:w="56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Accessories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6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Apparel/Footwear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(1)Fiscal 2020 increase in accessories due to the inclusion of Pura Vida beginning July 17, 2019.</w:t>
      </w:r>
    </w:p>
    <w:p>
      <w:pPr>
        <w:pStyle w:val="TextBody"/>
        <w:spacing w:lineRule="auto" w:line="288" w:before="10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(2)Includes primarily stationery, licensing, freight, merchandising, and gift card breakage revenue.</w:t>
      </w:r>
    </w:p>
    <w:p>
      <w:pPr>
        <w:pStyle w:val="TextBody"/>
        <w:spacing w:lineRule="auto" w:line="288" w:before="180" w:after="283"/>
        <w:rPr/>
      </w:pPr>
      <w:r>
        <w:rPr>
          <w:rFonts w:ascii="Times New Roman;sans-serif" w:hAnsi="Times New Roman;sans-serif"/>
          <w:b w:val="false"/>
          <w:i/>
          <w:color w:val="000000"/>
          <w:sz w:val="20"/>
        </w:rPr>
        <w:t>Bags.</w:t>
      </w:r>
      <w:r>
        <w:rPr>
          <w:color w:val="000000"/>
        </w:rPr>
        <w:t xml:space="preserve"> </w:t>
      </w:r>
      <w:r>
        <w:rPr>
          <w:rFonts w:ascii="Times New Roman;sans-serif" w:hAnsi="Times New Roman;sans-serif"/>
          <w:b w:val="false"/>
          <w:color w:val="000000"/>
          <w:sz w:val="20"/>
        </w:rPr>
        <w:t>Bags are a core part of our product offerings and are the primary component of every seasonal assortment. The category consists of classic and new styles developed by our product development team. Our bag product category includes items such as totes, crossbodies, satchels, clutches, backpacks, baby bags, and lunch bags. Bags play a prominent role in our visual merchandising, and we showcase the different fabrications, patterns, colors, and features of each bag.</w:t>
      </w:r>
    </w:p>
    <w:p>
      <w:pPr>
        <w:pStyle w:val="TextBody"/>
        <w:spacing w:lineRule="auto" w:line="288" w:before="180" w:after="283"/>
        <w:rPr/>
      </w:pPr>
      <w:r>
        <w:rPr>
          <w:rFonts w:ascii="Times New Roman;sans-serif" w:hAnsi="Times New Roman;sans-serif"/>
          <w:b w:val="false"/>
          <w:i/>
          <w:color w:val="000000"/>
          <w:sz w:val="20"/>
        </w:rPr>
        <w:t>Accessories.</w:t>
      </w:r>
      <w:r>
        <w:rPr>
          <w:color w:val="000000"/>
        </w:rPr>
        <w:t xml:space="preserve"> </w:t>
      </w:r>
      <w:r>
        <w:rPr>
          <w:rFonts w:ascii="Times New Roman;sans-serif" w:hAnsi="Times New Roman;sans-serif"/>
          <w:b w:val="false"/>
          <w:color w:val="000000"/>
          <w:sz w:val="20"/>
        </w:rPr>
        <w:t>Accessories include Vera Bradley-branded fashion accessories such as wallets, wristlets, eyeglass cases, scarves, various technology accessories, as well as Pura Vida-branded accessories such as bracelets, rings, and necklaces. We believe our accessories are attractively priced and allow the consumer to include some color in her wardrobe. Our product development team consistently updates the accessories assortment based on consumer demand and fashion trends.</w:t>
      </w:r>
    </w:p>
    <w:p>
      <w:pPr>
        <w:pStyle w:val="TextBody"/>
        <w:spacing w:lineRule="auto" w:line="288" w:before="180" w:after="283"/>
        <w:rPr/>
      </w:pPr>
      <w:r>
        <w:rPr>
          <w:rFonts w:ascii="Times New Roman;sans-serif" w:hAnsi="Times New Roman;sans-serif"/>
          <w:b w:val="false"/>
          <w:i/>
          <w:color w:val="000000"/>
          <w:sz w:val="20"/>
        </w:rPr>
        <w:t>Travel.</w:t>
      </w:r>
      <w:r>
        <w:rPr>
          <w:color w:val="000000"/>
        </w:rPr>
        <w:t xml:space="preserve"> </w:t>
      </w:r>
      <w:r>
        <w:rPr>
          <w:rFonts w:ascii="Times New Roman;sans-serif" w:hAnsi="Times New Roman;sans-serif"/>
          <w:b w:val="false"/>
          <w:color w:val="000000"/>
          <w:sz w:val="20"/>
        </w:rPr>
        <w:t>Our travel product category includes rolling luggage, cosmetics, travel and packing accessories, and travel bags which includes our iconic duffel and weekend bags. The first Vera Bradley product offering included duffel bags, which have consistently been strong performers. We believe their popularity, as well as the appeal of our other travel items, results from our vibrant designs, functional styles, and lightweight fabrications.</w:t>
      </w:r>
    </w:p>
    <w:p>
      <w:pPr>
        <w:pStyle w:val="TextBody"/>
        <w:spacing w:lineRule="auto" w:line="288" w:before="180" w:after="283"/>
        <w:rPr/>
      </w:pPr>
      <w:r>
        <w:rPr>
          <w:rFonts w:ascii="Times New Roman;sans-serif" w:hAnsi="Times New Roman;sans-serif"/>
          <w:b w:val="false"/>
          <w:i/>
          <w:color w:val="000000"/>
          <w:sz w:val="20"/>
        </w:rPr>
        <w:t>Apparel/Footwear</w:t>
      </w:r>
      <w:r>
        <w:rPr>
          <w:rFonts w:ascii="Times New Roman;sans-serif" w:hAnsi="Times New Roman;sans-serif"/>
          <w:b w:val="false"/>
          <w:color w:val="000000"/>
          <w:sz w:val="20"/>
        </w:rPr>
        <w:t>. Our apparel and footwear category includes sleepwear, footwear, cotton face masks, outerwear, socks, and scarves. Cotton face mask sales began during fiscal 2021 at both Vera Bradley and Pura Vida.</w:t>
      </w:r>
    </w:p>
    <w:p>
      <w:pPr>
        <w:pStyle w:val="TextBody"/>
        <w:spacing w:lineRule="auto" w:line="288" w:before="180" w:after="283"/>
        <w:rPr/>
      </w:pPr>
      <w:r>
        <w:rPr>
          <w:rFonts w:ascii="Times New Roman;sans-serif" w:hAnsi="Times New Roman;sans-serif"/>
          <w:b w:val="false"/>
          <w:i/>
          <w:color w:val="000000"/>
          <w:sz w:val="20"/>
        </w:rPr>
        <w:t xml:space="preserve">Home. </w:t>
      </w:r>
      <w:r>
        <w:rPr>
          <w:rFonts w:ascii="Times New Roman;sans-serif" w:hAnsi="Times New Roman;sans-serif"/>
          <w:b w:val="false"/>
          <w:color w:val="000000"/>
          <w:sz w:val="20"/>
        </w:rPr>
        <w:t>Our home category includes textiles, including throw blankets, beach towels, and comforters, as well as items such as mugs and tumblers.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Product Development </w:t>
      </w:r>
    </w:p>
    <w:p>
      <w:pPr>
        <w:pStyle w:val="TextBody"/>
        <w:spacing w:lineRule="auto" w:line="288" w:before="100" w:after="283"/>
        <w:rPr/>
      </w:pPr>
      <w:r>
        <w:rPr>
          <w:rFonts w:ascii="Times New Roman;sans-serif" w:hAnsi="Times New Roman;sans-serif"/>
          <w:b w:val="false"/>
          <w:i/>
          <w:color w:val="000000"/>
          <w:sz w:val="20"/>
        </w:rPr>
        <w:t xml:space="preserve">Vera Bradley. </w:t>
      </w:r>
      <w:r>
        <w:rPr>
          <w:rFonts w:ascii="Times New Roman;sans-serif" w:hAnsi="Times New Roman;sans-serif"/>
          <w:b w:val="false"/>
          <w:color w:val="000000"/>
          <w:sz w:val="20"/>
        </w:rPr>
        <w:t>We have implemented a fully integrated and cross-functional product development process that aligns design, trend and market research, merchandising, planning, sales, marketing, and sourcing. We believe product development is a core capability that makes our products unique and that our designs and aesthetics set our products apart and drive customer loyalty. Our design and product development teams combine an understanding of the desires of our target customers, with knowledge of upcoming color, material, consumer, and fashion trends to design new collections, as well as new product categories.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 our patterns as appropriate. We believe that great design is not only central to our products, but also is a fundamental part of our brand development and growth strategies.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Our design team works to ensure that new collections contain an assortment of products and styles that are in line with both trends and customer desires and regularly updates classic styles to enhance functionality. Our team monitors fashion trends and customer needs by typically attending major trend and industry shows in Europe, Asia, and the United States, subscribing to trend monitoring services, and engaging in comparison-shopping.</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Our work is also informed in part by market data analysis provided through our membership to industry services and organizations. The design and product development teams work to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products developed in-house, we also pursue brand extensions through strategic partnerships, licensing agreements, and brand collaborations. We currently have licenses in place for eyewear, collegiate (NCAA), bedding, technology accessories, stationery/drinkware, sleepwear and loungewear, bath collections, certain footwear, and female shaving products. We also have licensing agreements with Disney Theme Park Merchandise, Warner Brothers, and certain U.S. Military forces. We will continue to look for the right strategic partners and licensees that can augment the brand and provide established distribution networks for certain categories of business.</w:t>
      </w:r>
    </w:p>
    <w:p>
      <w:pPr>
        <w:pStyle w:val="TextBody"/>
        <w:spacing w:lineRule="auto" w:line="288" w:before="180" w:after="283"/>
        <w:rPr/>
      </w:pPr>
      <w:r>
        <w:rPr>
          <w:rFonts w:ascii="Times New Roman;sans-serif" w:hAnsi="Times New Roman;sans-serif"/>
          <w:b w:val="false"/>
          <w:i/>
          <w:color w:val="000000"/>
          <w:sz w:val="20"/>
        </w:rPr>
        <w:t>Pura Vida</w:t>
      </w:r>
      <w:r>
        <w:rPr>
          <w:rFonts w:ascii="Times New Roman;sans-serif" w:hAnsi="Times New Roman;sans-serif"/>
          <w:b w:val="false"/>
          <w:color w:val="000000"/>
          <w:sz w:val="20"/>
        </w:rPr>
        <w:t>. Pura Vida continues to develop new styles and re-invent existing styles. We have a cross-functional team that aligns product development with merchandising to strategically manage the design process. Our cross-functional team attends trade shows and performs market research to develop what we believe will be on-trend products that communicate and emulate the “pura vida” lifestyle.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Marketing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brands and our business is influenced by our ability to introduce and sell our merchandise in a way that clearly conveys the Vera Bradley and Pura Vida brand personalities. We use marketing as a critical tool in our efforts to promote our brands.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Vera Bradley</w:t>
      </w:r>
    </w:p>
    <w:p>
      <w:pPr>
        <w:pStyle w:val="TextBody"/>
        <w:spacing w:lineRule="auto" w:line="288" w:before="180" w:after="283"/>
        <w:rPr/>
      </w:pPr>
      <w:r>
        <w:rPr>
          <w:rFonts w:ascii="Times New Roman;sans-serif" w:hAnsi="Times New Roman;sans-serif"/>
          <w:b w:val="false"/>
          <w:i/>
          <w:color w:val="000000"/>
          <w:sz w:val="20"/>
        </w:rPr>
        <w:t>Retention Advertising.</w:t>
      </w:r>
      <w:r>
        <w:rPr>
          <w:color w:val="000000"/>
        </w:rPr>
        <w:t xml:space="preserve"> </w:t>
      </w:r>
      <w:r>
        <w:rPr>
          <w:rFonts w:ascii="Times New Roman;sans-serif" w:hAnsi="Times New Roman;sans-serif"/>
          <w:b w:val="false"/>
          <w:color w:val="000000"/>
          <w:sz w:val="20"/>
        </w:rPr>
        <w:t xml:space="preserve">We communicate with our established customers consistently throughout the year with regular e-mails, social media, and notifications, as well as seasonal direct mail catalogs and brochures related to the Vera Bradley brand. Our retention advertising is geared to keeping Vera Bradley top of mind with our customers, rewarding our customers, and providing them with news of our seasonal launches, new product introductions, and VB Cares initiatives. </w:t>
      </w:r>
    </w:p>
    <w:p>
      <w:pPr>
        <w:pStyle w:val="TextBody"/>
        <w:spacing w:lineRule="auto" w:line="288" w:before="180" w:after="283"/>
        <w:rPr/>
      </w:pPr>
      <w:r>
        <w:rPr>
          <w:rFonts w:ascii="Times New Roman;sans-serif" w:hAnsi="Times New Roman;sans-serif"/>
          <w:b w:val="false"/>
          <w:i/>
          <w:color w:val="000000"/>
          <w:sz w:val="20"/>
        </w:rPr>
        <w:t>New Customer Acquisition Advertising.</w:t>
      </w:r>
      <w:r>
        <w:rPr>
          <w:color w:val="000000"/>
        </w:rPr>
        <w:t xml:space="preserve"> </w:t>
      </w:r>
      <w:r>
        <w:rPr>
          <w:rFonts w:ascii="Times New Roman;sans-serif" w:hAnsi="Times New Roman;sans-serif"/>
          <w:b w:val="false"/>
          <w:color w:val="000000"/>
          <w:sz w:val="20"/>
        </w:rPr>
        <w:t>We primarily employ digital (i.e., display banner, mobile, geo-targeting, and pre-roll video) advertising to increase overall brand awareness and attract new customers.</w:t>
      </w:r>
    </w:p>
    <w:p>
      <w:pPr>
        <w:pStyle w:val="TextBody"/>
        <w:spacing w:lineRule="auto" w:line="288" w:before="180" w:after="283"/>
        <w:rPr/>
      </w:pPr>
      <w:r>
        <w:rPr>
          <w:rFonts w:ascii="Times New Roman;sans-serif" w:hAnsi="Times New Roman;sans-serif"/>
          <w:b w:val="false"/>
          <w:i/>
          <w:color w:val="000000"/>
          <w:sz w:val="20"/>
        </w:rPr>
        <w:t xml:space="preserve">Public Relations and Product Placement. </w:t>
      </w:r>
      <w:r>
        <w:rPr>
          <w:rFonts w:ascii="Times New Roman;sans-serif" w:hAnsi="Times New Roman;sans-serif"/>
          <w:b w:val="false"/>
          <w:color w:val="000000"/>
          <w:sz w:val="20"/>
        </w:rPr>
        <w:t xml:space="preserve">Vera Bradley has received considerable editorial exposure in the press, with mentions in </w:t>
      </w:r>
      <w:r>
        <w:rPr>
          <w:rFonts w:ascii="Times New Roman;sans-serif" w:hAnsi="Times New Roman;sans-serif"/>
          <w:b w:val="false"/>
          <w:i/>
          <w:color w:val="000000"/>
          <w:sz w:val="20"/>
        </w:rPr>
        <w:t>O the Oprah Magazine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WWD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Forbes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The Wall Street Journal</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Better Homes and Gardens</w:t>
      </w:r>
      <w:r>
        <w:rPr>
          <w:rFonts w:ascii="Times New Roman;sans-serif" w:hAnsi="Times New Roman;sans-serif"/>
          <w:b w:val="false"/>
          <w:color w:val="000000"/>
          <w:sz w:val="20"/>
        </w:rPr>
        <w:t xml:space="preserve">. In addition, we have expanded our public relations efforts to reach popular online influencers and bloggers. </w:t>
      </w:r>
    </w:p>
    <w:p>
      <w:pPr>
        <w:pStyle w:val="TextBody"/>
        <w:spacing w:lineRule="auto" w:line="288" w:before="180" w:after="200"/>
        <w:rPr/>
      </w:pPr>
      <w:r>
        <w:rPr>
          <w:rFonts w:ascii="Times New Roman;sans-serif" w:hAnsi="Times New Roman;sans-serif"/>
          <w:b w:val="false"/>
          <w:color w:val="000000"/>
          <w:sz w:val="20"/>
        </w:rPr>
        <w:t xml:space="preserve">Product placement of Vera Bradley products in feature-length films and on prime-time television shows remains strong with television placements in </w:t>
      </w:r>
      <w:r>
        <w:rPr>
          <w:rFonts w:ascii="Times New Roman;sans-serif" w:hAnsi="Times New Roman;sans-serif"/>
          <w:b w:val="false"/>
          <w:i/>
          <w:color w:val="000000"/>
          <w:sz w:val="20"/>
        </w:rPr>
        <w:t>Call Me Kat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The Neighbors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Blackish</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Superstore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American Housewife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The Conners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Bless This Mess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The Neighborhood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Last Man Standing</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A.P. Bio</w:t>
      </w:r>
      <w:r>
        <w:rPr>
          <w:rFonts w:ascii="Times New Roman;sans-serif" w:hAnsi="Times New Roman;sans-serif"/>
          <w:b w:val="false"/>
          <w:color w:val="000000"/>
          <w:sz w:val="20"/>
        </w:rPr>
        <w:t xml:space="preserve">. Movie placements include: </w:t>
      </w:r>
      <w:r>
        <w:rPr>
          <w:rFonts w:ascii="Times New Roman;sans-serif" w:hAnsi="Times New Roman;sans-serif"/>
          <w:b w:val="false"/>
          <w:i/>
          <w:color w:val="000000"/>
          <w:sz w:val="20"/>
        </w:rPr>
        <w:t>Pitch Perfect 3</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La La Land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Girl's Trip</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Baywatch</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 Bad Moms Christmas,</w:t>
      </w:r>
      <w:r>
        <w:rPr>
          <w:color w:val="000000"/>
        </w:rPr>
        <w:t xml:space="preserve"> </w:t>
      </w:r>
      <w:r>
        <w:rPr>
          <w:rFonts w:ascii="Times New Roman;sans-serif" w:hAnsi="Times New Roman;sans-serif"/>
          <w:b w:val="false"/>
          <w:i/>
          <w:color w:val="000000"/>
          <w:sz w:val="20"/>
        </w:rPr>
        <w:t>Den of Thieves, and Bad Boys III</w:t>
      </w:r>
      <w:r>
        <w:rPr>
          <w:rFonts w:ascii="Times New Roman;sans-serif" w:hAnsi="Times New Roman;sans-serif"/>
          <w:b w:val="false"/>
          <w:color w:val="000000"/>
          <w:sz w:val="20"/>
        </w:rPr>
        <w:t>.</w:t>
      </w:r>
    </w:p>
    <w:p>
      <w:pPr>
        <w:pStyle w:val="TextBody"/>
        <w:spacing w:lineRule="auto" w:line="288" w:before="180" w:after="283"/>
        <w:rPr/>
      </w:pPr>
      <w:r>
        <w:rPr>
          <w:rFonts w:ascii="Times New Roman;sans-serif" w:hAnsi="Times New Roman;sans-serif"/>
          <w:b w:val="false"/>
          <w:i/>
          <w:color w:val="000000"/>
          <w:sz w:val="20"/>
        </w:rPr>
        <w:t>Partnerships.</w:t>
      </w:r>
      <w:r>
        <w:rPr>
          <w:color w:val="000000"/>
        </w:rPr>
        <w:t xml:space="preserve"> </w:t>
      </w:r>
      <w:r>
        <w:rPr>
          <w:rFonts w:ascii="Times New Roman;sans-serif" w:hAnsi="Times New Roman;sans-serif"/>
          <w:b w:val="false"/>
          <w:color w:val="000000"/>
          <w:sz w:val="20"/>
        </w:rPr>
        <w:t>During fiscal 2021, under the umbrella of VB Cares, we reinforced our position as a total stakeholder-focused and socially-conscious organization and continued to strengthen our community support and charitable initiatives that are meaningful to our customers and that make a significant impact on those in need, particularly women and child</w:t>
      </w:r>
      <w:r>
        <w:rPr>
          <w:rFonts w:ascii="Times New Roman;sans-serif" w:hAnsi="Times New Roman;sans-serif"/>
          <w:b w:val="false"/>
          <w:color w:val="000000"/>
          <w:sz w:val="20"/>
          <w:highlight w:val="white"/>
        </w:rPr>
        <w:t>ren. Efforts included supporting the Vera Bradley Foundation for Breast Cancer, the Coronavirus Response Fund for Nurses, our national “Blessings in a Backpack” program, and New Hope Girls, among others.</w:t>
      </w:r>
    </w:p>
    <w:p>
      <w:pPr>
        <w:pStyle w:val="TextBody"/>
        <w:spacing w:lineRule="auto" w:line="288" w:before="180" w:after="283"/>
        <w:rPr/>
      </w:pPr>
      <w:r>
        <w:rPr>
          <w:rFonts w:ascii="Times New Roman;sans-serif" w:hAnsi="Times New Roman;sans-serif"/>
          <w:b w:val="false"/>
          <w:i/>
          <w:color w:val="000000"/>
          <w:sz w:val="20"/>
        </w:rPr>
        <w:t xml:space="preserve">Social Media and Online Marketing. </w:t>
      </w:r>
      <w:r>
        <w:rPr>
          <w:rFonts w:ascii="Times New Roman;sans-serif" w:hAnsi="Times New Roman;sans-serif"/>
          <w:b w:val="false"/>
          <w:color w:val="000000"/>
          <w:sz w:val="20"/>
        </w:rPr>
        <w:t xml:space="preserve">We use online marketing and social networking sites as tools to increase brand awareness and drive traffic to verabradley.com and to our Vera Bradley stores. </w:t>
      </w:r>
    </w:p>
    <w:p>
      <w:pPr>
        <w:pStyle w:val="TextBody"/>
        <w:spacing w:lineRule="auto" w:line="288" w:before="180" w:after="283"/>
        <w:rPr/>
      </w:pPr>
      <w:r>
        <w:rPr>
          <w:rFonts w:ascii="Times New Roman;sans-serif" w:hAnsi="Times New Roman;sans-serif"/>
          <w:b w:val="false"/>
          <w:color w:val="000000"/>
          <w:sz w:val="20"/>
        </w:rPr>
        <w:t xml:space="preserve">For Vera Bradley, we have captured approximately </w:t>
      </w:r>
      <w:r>
        <w:rPr>
          <w:rFonts w:ascii="Times New Roman;sans-serif" w:hAnsi="Times New Roman;sans-serif"/>
          <w:b w:val="false"/>
          <w:color w:val="000000"/>
          <w:sz w:val="20"/>
          <w:highlight w:val="white"/>
        </w:rPr>
        <w:t>6.4 million</w:t>
      </w:r>
      <w:r>
        <w:rPr>
          <w:color w:val="000000"/>
        </w:rPr>
        <w:t xml:space="preserve"> </w:t>
      </w:r>
      <w:r>
        <w:rPr>
          <w:rFonts w:ascii="Times New Roman;sans-serif" w:hAnsi="Times New Roman;sans-serif"/>
          <w:b w:val="false"/>
          <w:color w:val="000000"/>
          <w:sz w:val="20"/>
        </w:rPr>
        <w:t>active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January 30, 2021, we had approximately 2.0 million Facebook fans and approximately 80,000 Twitter followers. Our Instagram has grown to approximately 540,000 followers and is our most highly engaged social medium. In addition, we often partner with brand-right bloggers to promote product.</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pPr>
      <w:r>
        <w:rPr>
          <w:rFonts w:ascii="Times New Roman;sans-serif" w:hAnsi="Times New Roman;sans-serif"/>
          <w:b w:val="false"/>
          <w:i/>
          <w:color w:val="000000"/>
          <w:sz w:val="20"/>
        </w:rPr>
        <w:t>Direct Mail.</w:t>
      </w:r>
      <w:r>
        <w:rPr>
          <w:color w:val="000000"/>
        </w:rPr>
        <w:t xml:space="preserve"> </w:t>
      </w:r>
      <w:r>
        <w:rPr>
          <w:rFonts w:ascii="Times New Roman;sans-serif" w:hAnsi="Times New Roman;sans-serif"/>
          <w:b w:val="false"/>
          <w:color w:val="000000"/>
          <w:sz w:val="20"/>
        </w:rPr>
        <w:t>Vera Bradley catalogs are a vehicle for promoting the Vera Bradley brand and product portfolio. Each catalog is sent to a targeted customer mailing list. In addition to distributing the catalog, we produce and distribute a number of other marketing pieces, including postcards and mini-mailers. We believe our direct mail medium generates excitement and awareness about the Vera Bradley brand and allows us to reach both new and loyal customers in their homes.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Pura Vida</w:t>
      </w:r>
    </w:p>
    <w:p>
      <w:pPr>
        <w:pStyle w:val="TextBody"/>
        <w:spacing w:lineRule="auto" w:line="288" w:before="180" w:after="283"/>
        <w:rPr/>
      </w:pPr>
      <w:r>
        <w:rPr>
          <w:rFonts w:ascii="Times New Roman;sans-serif" w:hAnsi="Times New Roman;sans-serif"/>
          <w:b w:val="false"/>
          <w:i/>
          <w:color w:val="000000"/>
          <w:sz w:val="20"/>
        </w:rPr>
        <w:t>Retention Advertising.</w:t>
      </w:r>
      <w:r>
        <w:rPr>
          <w:color w:val="000000"/>
        </w:rPr>
        <w:t xml:space="preserve"> </w:t>
      </w:r>
      <w:r>
        <w:rPr>
          <w:rFonts w:ascii="Times New Roman;sans-serif" w:hAnsi="Times New Roman;sans-serif"/>
          <w:b w:val="false"/>
          <w:color w:val="000000"/>
          <w:sz w:val="20"/>
        </w:rPr>
        <w:t xml:space="preserve">We connect with our established customers with regular emails, affiliate marketing, SMS marketing, and social media marketing. Our retention advertising focuses on informing Pura Vida customers of new product launches, exclusive offers, inventory restocks of best sellers, upselling subscription products, and the latest Pura Vida news. </w:t>
      </w:r>
    </w:p>
    <w:p>
      <w:pPr>
        <w:pStyle w:val="TextBody"/>
        <w:spacing w:lineRule="auto" w:line="288" w:before="180" w:after="283"/>
        <w:rPr/>
      </w:pPr>
      <w:r>
        <w:rPr>
          <w:rFonts w:ascii="Times New Roman;sans-serif" w:hAnsi="Times New Roman;sans-serif"/>
          <w:b w:val="false"/>
          <w:i/>
          <w:color w:val="000000"/>
          <w:sz w:val="20"/>
        </w:rPr>
        <w:t>New Customer Acquisition Advertising.</w:t>
      </w:r>
      <w:r>
        <w:rPr>
          <w:color w:val="000000"/>
        </w:rPr>
        <w:t xml:space="preserve"> </w:t>
      </w:r>
      <w:r>
        <w:rPr>
          <w:rFonts w:ascii="Times New Roman;sans-serif" w:hAnsi="Times New Roman;sans-serif"/>
          <w:b w:val="false"/>
          <w:color w:val="000000"/>
          <w:sz w:val="20"/>
        </w:rPr>
        <w:t xml:space="preserve">Pura Vida focuses on digital advertising through Facebook, Instagram, Google, Snapchat, and Pinterest to acquire new customers. We are consistently testing new audiences, channels, creative, and promotions to maximize our return on paid media spend.  </w:t>
      </w:r>
    </w:p>
    <w:p>
      <w:pPr>
        <w:pStyle w:val="TextBody"/>
        <w:spacing w:lineRule="auto" w:line="288" w:before="180" w:after="283"/>
        <w:rPr/>
      </w:pPr>
      <w:r>
        <w:rPr>
          <w:rFonts w:ascii="Times New Roman;sans-serif" w:hAnsi="Times New Roman;sans-serif"/>
          <w:b w:val="false"/>
          <w:i/>
          <w:color w:val="000000"/>
          <w:sz w:val="20"/>
        </w:rPr>
        <w:t>Ambassador Program</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0"/>
        </w:rPr>
        <w:t>We have a grassroot program of over 150,000 brand ambassadors who drive customers to our website and generate buzz in local communities, digitally through their social media channels, in person through events, and through word of mouth. This program helps us reach our customers in a personal fashion. We acquire these brand ambassadors through advertising on Instagram and Snapchat, as well as regular promotion through our organic channels.</w:t>
      </w:r>
    </w:p>
    <w:p>
      <w:pPr>
        <w:pStyle w:val="TextBody"/>
        <w:spacing w:lineRule="auto" w:line="288" w:before="180" w:after="283"/>
        <w:rPr/>
      </w:pPr>
      <w:r>
        <w:rPr>
          <w:rFonts w:ascii="Times New Roman;sans-serif" w:hAnsi="Times New Roman;sans-serif"/>
          <w:b w:val="false"/>
          <w:i/>
          <w:color w:val="000000"/>
          <w:sz w:val="20"/>
        </w:rPr>
        <w:t>Influencer Marketing</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0"/>
        </w:rPr>
        <w:t>We have tiers of small to large sized influencers across various key markets and demographic profiles. We work with influencers on product collaborations and campaigns, and foster organic relationships with them through photoshoots, trips, and events which we believe drives organic growth for the brand.</w:t>
      </w:r>
    </w:p>
    <w:p>
      <w:pPr>
        <w:pStyle w:val="TextBody"/>
        <w:spacing w:lineRule="auto" w:line="288" w:before="180" w:after="283"/>
        <w:rPr/>
      </w:pPr>
      <w:r>
        <w:rPr>
          <w:rFonts w:ascii="Times New Roman;sans-serif" w:hAnsi="Times New Roman;sans-serif"/>
          <w:b w:val="false"/>
          <w:i/>
          <w:color w:val="000000"/>
          <w:sz w:val="20"/>
        </w:rPr>
        <w:t>Charity Collaborations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0"/>
        </w:rPr>
        <w:t>We actively partner with charities to donate to causes that are important to our customers. To date, we have donated over $3.0 million to various charities around the world.</w:t>
      </w:r>
    </w:p>
    <w:p>
      <w:pPr>
        <w:pStyle w:val="TextBody"/>
        <w:spacing w:lineRule="auto" w:line="288" w:before="180" w:after="283"/>
        <w:rPr/>
      </w:pPr>
      <w:r>
        <w:rPr>
          <w:rFonts w:ascii="Times New Roman;sans-serif" w:hAnsi="Times New Roman;sans-serif"/>
          <w:b w:val="false"/>
          <w:i/>
          <w:color w:val="000000"/>
          <w:sz w:val="20"/>
        </w:rPr>
        <w:t>Events Marketing</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0"/>
        </w:rPr>
        <w:t>We utilize our vintage 1972 airstream that we have converted into a traveling retail store to bring the Pura Vida brand to life for our customers. We would typically travel nationwide to different music festivals, surf competitions, yoga festivals, as well as local events in San Diego. However, events marketing has been temporarily suspended since March 2020 as a result of COVID-19.</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Vera Bradley and Pura Vida products are frequently given as gifts, we have historically realized, and expect to continue to realize, higher sales and operating income in the fourth quarter of our fiscal year, which includes the holiday months of November and December. In addition, our products are popular during back-to-school periods of August and September. Fluctuations in sales and operating income in any fiscal quarter are affected by the timing of seasonal wholesale shipments and other events affecting retail sales.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Channels of Distribution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distribute our Vera Bradley products through our VB Direct and VB Indirect segments and Pura Vida products through e-commerce and wholesale retailers. This multi-channel distribution model is designed to enable operational flexibility and maximizes the methods by which we can access potential customers.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Vera Bradley Direct Segment</w:t>
      </w:r>
    </w:p>
    <w:p>
      <w:pPr>
        <w:pStyle w:val="TextBody"/>
        <w:spacing w:lineRule="auto" w:line="288" w:before="100" w:after="283"/>
        <w:rPr/>
      </w:pPr>
      <w:r>
        <w:rPr>
          <w:rFonts w:ascii="Times New Roman;sans-serif" w:hAnsi="Times New Roman;sans-serif"/>
          <w:b w:val="false"/>
          <w:i/>
          <w:color w:val="000000"/>
          <w:sz w:val="20"/>
        </w:rPr>
        <w:t>Full-Line Stores.</w:t>
      </w:r>
      <w:r>
        <w:rPr>
          <w:color w:val="000000"/>
        </w:rPr>
        <w:t xml:space="preserve"> </w:t>
      </w:r>
      <w:r>
        <w:rPr>
          <w:rFonts w:ascii="Times New Roman;sans-serif" w:hAnsi="Times New Roman;sans-serif"/>
          <w:b w:val="false"/>
          <w:color w:val="000000"/>
          <w:sz w:val="20"/>
        </w:rPr>
        <w:t>We have developed a retail presence through our full-line stores, all located in the United States, which provides us with a format to showcase our brand and the full array of Vera Bradley products. As of January 30, 2021, we operated 75 full-line stores averaging approximately 1,900 square feet per store. Our sales associates are passionate about our products and customer service, which, we believe, translates into a superior shopping experience.</w:t>
      </w:r>
    </w:p>
    <w:p>
      <w:pPr>
        <w:pStyle w:val="TextBody"/>
        <w:spacing w:lineRule="auto" w:line="288" w:before="180" w:after="283"/>
        <w:rPr/>
      </w:pPr>
      <w:r>
        <w:rPr>
          <w:rFonts w:ascii="Times New Roman;sans-serif" w:hAnsi="Times New Roman;sans-serif"/>
          <w:b w:val="false"/>
          <w:i/>
          <w:color w:val="000000"/>
          <w:sz w:val="20"/>
        </w:rPr>
        <w:t xml:space="preserve">Factory Outlet Stores. </w:t>
      </w:r>
      <w:r>
        <w:rPr>
          <w:rFonts w:ascii="Times New Roman;sans-serif" w:hAnsi="Times New Roman;sans-serif"/>
          <w:b w:val="false"/>
          <w:color w:val="000000"/>
          <w:sz w:val="20"/>
        </w:rPr>
        <w:t>Our factory outlet stores are a vehicle for selling factory exclusive styles, as well as retired merchandise at discounted prices, while maintaining brand integrity. At the end of fiscal 2021, over 95% of the merchandise found in our factory outlet stores consisted of factory exclusive styles. Factory outlet stores are an integral part of our distribution strategy, as this format provides an additional channel of distribution for our products and enables us to better target value-oriented customers. Our factory outlet stores average approximately 3,400 square feet per store. As of January 30, 2021, we operated 69 factory outlet stores, all located in the United States.</w:t>
      </w:r>
    </w:p>
    <w:p>
      <w:pPr>
        <w:pStyle w:val="TextBody"/>
        <w:spacing w:lineRule="auto" w:line="288" w:before="180" w:after="283"/>
        <w:rPr/>
      </w:pPr>
      <w:r>
        <w:rPr>
          <w:rFonts w:ascii="Times New Roman;sans-serif" w:hAnsi="Times New Roman;sans-serif"/>
          <w:b w:val="false"/>
          <w:i/>
          <w:color w:val="000000"/>
          <w:sz w:val="20"/>
        </w:rPr>
        <w:t xml:space="preserve">Store Location Selection Strategy. </w:t>
      </w:r>
      <w:r>
        <w:rPr>
          <w:rFonts w:ascii="Times New Roman;sans-serif" w:hAnsi="Times New Roman;sans-serif"/>
          <w:b w:val="false"/>
          <w:color w:val="000000"/>
          <w:sz w:val="20"/>
        </w:rPr>
        <w:t xml:space="preserve">Our store location decisions for both full-line and factory outlet stores are made based upon our comprehensive retail strategy that includes actual and planned penetration in both Indirect and Direct segments, as well as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existing e-commerce demand. At this time, we do not believe all geographical markets have been fully penetrated by our distribution channels, although we have temporarily suspended full-line store growth and forecast that we will close additional full-line stores. We believe that long-term expansion of our store base will increase brand awareness and reinforce our brand image.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w:t>
      </w:r>
    </w:p>
    <w:p>
      <w:pPr>
        <w:pStyle w:val="TextBody"/>
        <w:spacing w:lineRule="auto" w:line="288" w:before="180" w:after="283"/>
        <w:rPr/>
      </w:pPr>
      <w:r>
        <w:rPr>
          <w:rFonts w:ascii="Times New Roman;sans-serif" w:hAnsi="Times New Roman;sans-serif"/>
          <w:b w:val="false"/>
          <w:i/>
          <w:color w:val="000000"/>
          <w:sz w:val="20"/>
        </w:rPr>
        <w:t xml:space="preserve">Store Operations. </w:t>
      </w:r>
      <w:r>
        <w:rPr>
          <w:rFonts w:ascii="Times New Roman;sans-serif" w:hAnsi="Times New Roman;sans-serif"/>
          <w:b w:val="false"/>
          <w:color w:val="000000"/>
          <w:sz w:val="20"/>
        </w:rPr>
        <w:t xml:space="preserve">The focus of our store operations is providing consumers with a comfortable and memorable shopping experience. We strive to make the 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 </w:t>
      </w:r>
    </w:p>
    <w:p>
      <w:pPr>
        <w:pStyle w:val="TextBody"/>
        <w:spacing w:lineRule="auto" w:line="288" w:before="180" w:after="283"/>
        <w:rPr/>
      </w:pPr>
      <w:r>
        <w:rPr>
          <w:rFonts w:ascii="Times New Roman;sans-serif" w:hAnsi="Times New Roman;sans-serif"/>
          <w:b w:val="false"/>
          <w:i/>
          <w:color w:val="000000"/>
          <w:sz w:val="20"/>
        </w:rPr>
        <w:t>St</w:t>
      </w:r>
      <w:r>
        <w:rPr>
          <w:rFonts w:ascii="Times New Roman;sans-serif" w:hAnsi="Times New Roman;sans-serif"/>
          <w:b w:val="false"/>
          <w:i/>
          <w:color w:val="000000"/>
          <w:sz w:val="20"/>
          <w:highlight w:val="white"/>
        </w:rPr>
        <w:t xml:space="preserve">ore Economics. </w:t>
      </w:r>
      <w:r>
        <w:rPr>
          <w:rFonts w:ascii="Times New Roman;sans-serif" w:hAnsi="Times New Roman;sans-serif"/>
          <w:b w:val="false"/>
          <w:color w:val="000000"/>
          <w:sz w:val="20"/>
          <w:highlight w:val="white"/>
        </w:rPr>
        <w:t>We expect our full-line stores to average approximately 1,800 square feet per store, and we expect to invest approximately $0.4 million per new store, consisting of inventory, pre-opening costs, and build-out costs, less tenant-improvement allowances.</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expect our factory outlet stores to average approximately 3,400 square feet per store, and we expect to invest approximately $0.5 million per new store, consisting of inventory, pre-opening costs, and build-out costs, less tenant-improvement allowances.</w:t>
      </w:r>
    </w:p>
    <w:p>
      <w:pPr>
        <w:pStyle w:val="TextBody"/>
        <w:spacing w:lineRule="auto" w:line="288" w:before="180" w:after="283"/>
        <w:rPr/>
      </w:pPr>
      <w:r>
        <w:rPr>
          <w:rFonts w:ascii="Times New Roman;sans-serif" w:hAnsi="Times New Roman;sans-serif"/>
          <w:b w:val="false"/>
          <w:i/>
          <w:color w:val="000000"/>
          <w:sz w:val="20"/>
        </w:rPr>
        <w:t>E-Commerce</w:t>
      </w:r>
      <w:r>
        <w:rPr>
          <w:rFonts w:ascii="Times New Roman;sans-serif" w:hAnsi="Times New Roman;sans-serif"/>
          <w:b w:val="false"/>
          <w:i/>
          <w:color w:val="000000"/>
          <w:sz w:val="20"/>
          <w:highlight w:val="white"/>
        </w:rPr>
        <w:t>.</w:t>
      </w:r>
      <w:r>
        <w:rPr>
          <w:color w:val="000000"/>
          <w:highlight w:val="white"/>
        </w:rPr>
        <w:t xml:space="preserve"> </w:t>
      </w:r>
      <w:r>
        <w:rPr>
          <w:rFonts w:ascii="Times New Roman;sans-serif" w:hAnsi="Times New Roman;sans-serif"/>
          <w:b w:val="false"/>
          <w:color w:val="000000"/>
          <w:sz w:val="20"/>
        </w:rPr>
        <w:t xml:space="preserve">In 2006, we began selling our products through the verabradley.com website. The objective of verabradley.com is to provide both a mechanism for marketing directly to consumers and a storefront where consumers can find the entire full-line Vera Bradley collection. During fiscal 2021, we re-platformed our website to Shopify Plus to become more streamlined, nimble, and efficient in our technology platform and business processes. Since 2018, we have also operated an online outlet site to reduce clearance sales from verabradley.com. We had approximately </w:t>
      </w:r>
      <w:r>
        <w:rPr>
          <w:rFonts w:ascii="Times New Roman;sans-serif" w:hAnsi="Times New Roman;sans-serif"/>
          <w:b w:val="false"/>
          <w:color w:val="000000"/>
          <w:sz w:val="20"/>
          <w:highlight w:val="white"/>
        </w:rPr>
        <w:t>66 million</w:t>
      </w:r>
      <w:r>
        <w:rPr>
          <w:color w:val="000000"/>
        </w:rPr>
        <w:t xml:space="preserve"> </w:t>
      </w:r>
      <w:r>
        <w:rPr>
          <w:rFonts w:ascii="Times New Roman;sans-serif" w:hAnsi="Times New Roman;sans-serif"/>
          <w:b w:val="false"/>
          <w:color w:val="000000"/>
          <w:sz w:val="20"/>
        </w:rPr>
        <w:t>visits to verabradley.com and our online outlet site during fiscal 2021.</w:t>
      </w:r>
    </w:p>
    <w:p>
      <w:pPr>
        <w:pStyle w:val="TextBody"/>
        <w:spacing w:lineRule="auto" w:line="288" w:before="180" w:after="283"/>
        <w:rPr/>
      </w:pPr>
      <w:r>
        <w:rPr>
          <w:rFonts w:ascii="Times New Roman;sans-serif" w:hAnsi="Times New Roman;sans-serif"/>
          <w:b w:val="false"/>
          <w:i/>
          <w:color w:val="000000"/>
          <w:sz w:val="20"/>
        </w:rPr>
        <w:t>Annual Outlet Sale.</w:t>
      </w:r>
      <w:r>
        <w:rPr>
          <w:color w:val="000000"/>
        </w:rPr>
        <w:t xml:space="preserve"> </w:t>
      </w:r>
      <w:r>
        <w:rPr>
          <w:rFonts w:ascii="Times New Roman;sans-serif" w:hAnsi="Times New Roman;sans-serif"/>
          <w:b w:val="false"/>
          <w:color w:val="000000"/>
          <w:sz w:val="20"/>
        </w:rPr>
        <w:t>Our annual outlet sale is typically held in the Allen County War Memorial Coliseum Exposition Center in Fort Wayne, Indiana each spring. The annual outlet sale is an important tradition for Vera Bradley, has many loyal followers, and is an opportunity for us to sell our retired merchandise at discounted prices in a brand-right fashion. In light of the COVID-19 pandemic, we cancelled our calendar year 2021 and 2020 annual outlet sale. Our calendar year 2022 sale is currently planned for April 2022.</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Vera Bradley Indirect Segment</w:t>
      </w:r>
    </w:p>
    <w:p>
      <w:pPr>
        <w:pStyle w:val="TextBody"/>
        <w:spacing w:lineRule="auto" w:line="288" w:before="100" w:after="283"/>
        <w:rPr/>
      </w:pPr>
      <w:r>
        <w:rPr>
          <w:rFonts w:ascii="Times New Roman;sans-serif" w:hAnsi="Times New Roman;sans-serif"/>
          <w:b w:val="false"/>
          <w:color w:val="000000"/>
          <w:sz w:val="20"/>
        </w:rPr>
        <w:t>As of January 30, 2021, we sold our products in approximately 2,000 specialty retail locations, as well as department stores, national accounts, third-party e-commerce sites, and third-party inventory liquidators, as well as through licensing agreements. In fiscal 2012, we launched our products in the department store channel. We are currently in approxima</w:t>
      </w:r>
      <w:r>
        <w:rPr>
          <w:rFonts w:ascii="Times New Roman;sans-serif" w:hAnsi="Times New Roman;sans-serif"/>
          <w:b w:val="false"/>
          <w:color w:val="000000"/>
          <w:sz w:val="20"/>
          <w:highlight w:val="white"/>
        </w:rPr>
        <w:t>tely 276 d</w:t>
      </w:r>
      <w:r>
        <w:rPr>
          <w:rFonts w:ascii="Times New Roman;sans-serif" w:hAnsi="Times New Roman;sans-serif"/>
          <w:b w:val="false"/>
          <w:color w:val="000000"/>
          <w:sz w:val="20"/>
        </w:rPr>
        <w:t>epartment store locations.</w:t>
      </w:r>
    </w:p>
    <w:p>
      <w:pPr>
        <w:pStyle w:val="TextBody"/>
        <w:spacing w:lineRule="auto" w:line="288" w:before="100" w:after="283"/>
        <w:rPr/>
      </w:pPr>
      <w:r>
        <w:rPr>
          <w:rFonts w:ascii="Times New Roman;sans-serif" w:hAnsi="Times New Roman;sans-serif"/>
          <w:b w:val="false"/>
          <w:color w:val="000000"/>
          <w:sz w:val="20"/>
          <w:highlight w:val="white"/>
        </w:rPr>
        <w:t>The top 25% of our specialty retailers account for approximately 70% of total specialty retail</w:t>
      </w:r>
      <w:r>
        <w:rPr>
          <w:rFonts w:ascii="Times New Roman;sans-serif" w:hAnsi="Times New Roman;sans-serif"/>
          <w:b w:val="false"/>
          <w:color w:val="000000"/>
          <w:sz w:val="20"/>
        </w:rPr>
        <w:t>er revenue. No single Indirect retailer represented more than 10% of consolidated net revenues in fiscal 2021, with the top ten Indirect retailers, representing in the aggregate approxim</w:t>
      </w:r>
      <w:r>
        <w:rPr>
          <w:rFonts w:ascii="Times New Roman;sans-serif" w:hAnsi="Times New Roman;sans-serif"/>
          <w:b w:val="false"/>
          <w:color w:val="000000"/>
          <w:sz w:val="20"/>
          <w:highlight w:val="white"/>
        </w:rPr>
        <w:t>ately 50% of tot</w:t>
      </w:r>
      <w:r>
        <w:rPr>
          <w:rFonts w:ascii="Times New Roman;sans-serif" w:hAnsi="Times New Roman;sans-serif"/>
          <w:b w:val="false"/>
          <w:color w:val="000000"/>
          <w:sz w:val="20"/>
        </w:rPr>
        <w:t>al Indirect segment net revenues. The majority of our Indirect retailers have been customers for over five years.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Indirect Sales Force</w:t>
      </w:r>
    </w:p>
    <w:p>
      <w:pPr>
        <w:pStyle w:val="TextBody"/>
        <w:spacing w:lineRule="auto" w:line="288" w:before="100" w:after="283"/>
        <w:rPr/>
      </w:pPr>
      <w:r>
        <w:rPr>
          <w:rFonts w:ascii="Times New Roman;sans-serif" w:hAnsi="Times New Roman;sans-serif"/>
          <w:b w:val="false"/>
          <w:color w:val="000000"/>
          <w:sz w:val="20"/>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 As of January 30, 2021, our in-house sales team consisted of approximate</w:t>
      </w:r>
      <w:r>
        <w:rPr>
          <w:rFonts w:ascii="Times New Roman;sans-serif" w:hAnsi="Times New Roman;sans-serif"/>
          <w:b w:val="false"/>
          <w:color w:val="000000"/>
          <w:sz w:val="20"/>
          <w:highlight w:val="white"/>
        </w:rPr>
        <w:t>ly 30 f</w:t>
      </w:r>
      <w:r>
        <w:rPr>
          <w:rFonts w:ascii="Times New Roman;sans-serif" w:hAnsi="Times New Roman;sans-serif"/>
          <w:b w:val="false"/>
          <w:color w:val="000000"/>
          <w:sz w:val="20"/>
        </w:rPr>
        <w:t>ull-time sales consultants.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Pura Vida Segment</w:t>
      </w:r>
    </w:p>
    <w:p>
      <w:pPr>
        <w:pStyle w:val="TextBody"/>
        <w:spacing w:lineRule="auto" w:line="288" w:before="100" w:after="283"/>
        <w:rPr/>
      </w:pPr>
      <w:r>
        <w:rPr>
          <w:rFonts w:ascii="Times New Roman;sans-serif" w:hAnsi="Times New Roman;sans-serif"/>
          <w:b w:val="false"/>
          <w:i/>
          <w:color w:val="000000"/>
          <w:sz w:val="20"/>
        </w:rPr>
        <w:t xml:space="preserve">E-Commerce. </w:t>
      </w:r>
      <w:r>
        <w:rPr>
          <w:rFonts w:ascii="Times New Roman;sans-serif" w:hAnsi="Times New Roman;sans-serif"/>
          <w:b w:val="false"/>
          <w:color w:val="000000"/>
          <w:sz w:val="20"/>
        </w:rPr>
        <w:t>Pura Vida is a digitally native brand and the e-commerce storefront continues to be the primary source of revenues for the Pura Vida business. The e-commerce site also includes a monthly bracelet and jewelry subscription club. The subscription club is a mechanism to continue to build brand loyalty and stimulate higher retention.</w:t>
      </w:r>
    </w:p>
    <w:p>
      <w:pPr>
        <w:pStyle w:val="TextBody"/>
        <w:spacing w:lineRule="auto" w:line="288" w:before="180" w:after="283"/>
        <w:rPr/>
      </w:pPr>
      <w:r>
        <w:rPr>
          <w:rFonts w:ascii="Times New Roman;sans-serif" w:hAnsi="Times New Roman;sans-serif"/>
          <w:b w:val="false"/>
          <w:i/>
          <w:color w:val="000000"/>
          <w:sz w:val="20"/>
        </w:rPr>
        <w:t xml:space="preserve">Wholesale. </w:t>
      </w:r>
      <w:r>
        <w:rPr>
          <w:rFonts w:ascii="Times New Roman;sans-serif" w:hAnsi="Times New Roman;sans-serif"/>
          <w:b w:val="false"/>
          <w:color w:val="000000"/>
          <w:sz w:val="20"/>
        </w:rPr>
        <w:t>The Pura Vida wholesale channel is comprised primarily of specialty stores including Tilly’s, The Buckle, The Paper Store, Ron Jon Surf Shops, Hallmark stores, and Nordstrom, among others. Pura Vida also has a presence on Amazon through a third-party wholesaler. We have a combination of in-house and external sales personnel who work with our wholesale retailers regarding order fulfillment and compilation.</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Manufacturing and Supply Chain Model </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Vera Bradley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multi-country manufacturing and supply chain model is designed to achieve efficient, timely, and accurate order fulfillment while maintaining appropriate levels of inventory.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while maintaining and focusing on flexibility. Our sourcing team leverages its expertise in negotiation, relationship management, flexibility, and change management to maintain a strong global supply chain. Our sourcing team also focuses on achieving the right balance of production sites and countries of origin to mitigate the risk of concentrated production, including potential incremental tariffs. To continue to assist in this risk mitigation, our sourcing team reduced our Vera Bradley production in China from approximately 25% in fiscal 2020 to less than 15% in fiscal 2021 (which excludes mask production). With exception to China-centric production categories, we have an ongoing strategy that continues to reduce our China exposure in both finished goods and raw materials.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maintain the appropriate balance of inventory to enable us to provide a high level of service to our customers, including prompt and accurate delivery of our products at a reasonable cost. We believe that we have an active and nimble sales and operations planning process that helps us balance the supply and demand issues that we encounter in our business, optimize our inventory levels, and anticipate inventory needs. We have also integrated our Vera Bradley planning, forecasting, and segmentation processes under one function called Merchandise Planning and Allocation.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have started to experience delays as a result of port congestion for imported products, which may result in longer lead times or increased inbound freight costs. While we are working to mitigate the impact of these delays through various actions, there is a risk that these delays could adversely impact our sales during fiscal 2022.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Approximately half of Vera Bradley product sales are cotton-based. Our other fabrics include primarily nylon, polyester, microfiber, and leather. We source our raw materials from various suppliers in Asia, with the majority coming from China and South Korea. Our global sourcing team works with select suppliers enabling us to optimize the mix of cost, lead time, quality, and reliability within our global supply network. We actively mitigate raw materials price increases through purchasing at advantageous times and periods. All of our suppliers must comply with our quality standards, and we use only a limited number of pre-approved suppliers who have demonstrated a commitment to delivering the highest quality products. In April 2016, we opened an office in Hong Kong to lead the global supply chain in Asia, including the oversight of sourcing and procurement.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our Vera Bradley finished goods, not sourced through licenses or strategic partners, are manufactured by a variety of global manufacturers located primarily in Vietnam, Myanmar, Cambodia, Indonesia, and China. With the oversight of our office in Hong Kong and our independent contractors, we believe these financial benefits have been realized without sacrificing the level of quality inherent in our products or service to our customers.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Pura Vida</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Pura Vida products are sourced primarily from El Salvador, as well as China, Guatemala, and India. We have begun an active supply chain diversification process to ensure a focus on maintaining flexibility and to help mitigate the risk of concentrated production, similar to the Vera Bradley supply chain.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Distribution Centers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Vera Bradley owns a 428,500 square-foot distribution center in Roanoke, Indiana. This automated, computerized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make technology and automation enhancements to our distribution center processes to promote optimal output.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Vera Bradley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Pura Vida products for the U.S. e-commerce site and wholesale accounts are distributed primarily through a third-party provider in Tijuana, Mexico. Pura Vida also distributes product through a third-party provider in the Netherlands and Canada, which supports European and Canadian e-commerce operations, respectively. To support international e-commerce sales, we are exploring a potential provider in Asia in the future.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Management Information Systems </w:t>
      </w:r>
    </w:p>
    <w:p>
      <w:pPr>
        <w:pStyle w:val="TextBody"/>
        <w:spacing w:lineRule="auto" w:line="288" w:before="100" w:after="283"/>
        <w:rPr/>
      </w:pPr>
      <w:r>
        <w:rPr>
          <w:rFonts w:ascii="Times New Roman;sans-serif" w:hAnsi="Times New Roman;sans-serif"/>
          <w:b w:val="false"/>
          <w:color w:val="000000"/>
          <w:sz w:val="20"/>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comprehensive order processing, production, accounting, and mana</w:t>
      </w:r>
      <w:r>
        <w:rPr>
          <w:rFonts w:ascii="Times New Roman;sans-serif" w:hAnsi="Times New Roman;sans-serif"/>
          <w:b w:val="false"/>
          <w:color w:val="000000"/>
          <w:sz w:val="20"/>
          <w:highlight w:val="white"/>
        </w:rPr>
        <w:t>gement information and analytics for the product development, retail, sales, marketing, distribution, finance, and human resources functions of our business. In fiscal 2021 at Vera Bradley, we migrated our ERP, POS, Business Intelligence, and Order Management systems to cloud-based Microsoft D365 streamlining and simplifying our work and providing for additional capabilities such as mobile POS. Our ERP integration is planned for the fall of fiscal 2022 for Pura Vida. When complete, our entire enterprise will be on a unified technology platform. We continue to assess our on premise and cloud-based technology solutions in an effort to ensure we have the optimal solutions for our business.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both Vera Bradley and Pura Vida, 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Moreover, the general availability of contract manufacturing allows new entrants to relatively easily access the markets in which we compete, which may increase the number of competitors and adversely affect our competitive position and our business. We compete against other independent retailers, department stores, catalog retailers, gift retailers, and Internet businesses that engage in the retail sale of similar products.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market for handbags and accessories, in particular, is highly competitive. Our competitors include not only established companies that are expanding their production and marketing of handbags and accessories, but also frequent new entrants to the market. We directly compete with wholesalers and direct sellers of branded handbags and accessories.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brands, customer loyalty and engagement,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Copyrights and Trademarks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Vera Bradley, the development of new patterns includes the design of primary and secondary prints. Once developed, we generally copyright our patterns as appropriate. We currently have approximately 1,000 copyrights related to the Vera Bradley business.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also own the material trademark rights used in connection with the production, marketing, and distribution of all of our products, both in the United States and in the other countries in which our products are principally sold. Our trademarks include “Vera Bradley” and “Pura Vida.”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pStyle w:val="TextBody"/>
        <w:spacing w:lineRule="auto" w:line="288" w:before="28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Human Capital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Equal employment opportunities are available to all persons at Vera Bradley, Inc. without regard to race, sex, sexual orientation, gender, gender identity, gender expression, marital status, age, color, religion, creed, national origin, ancestry, mental or physical disability, medical condition, genetic information, military or veteran status or any other category protected under applicable federal, state, or local law. We put this standard into practice through our hiring, training, and an annual affirmative action program.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January 30, 2021, we had approximately 2,450 employees. Of the total, approximately 1,800 were engaged in Vera Bradley retail selling positions; approximately 285 were engaged in Vera Bradley distribution, sourcing and quality functions; approximately 60 were engaged in Vera Bradley product design; approximately 35 were involved in the Pura Vida business; and approximately 270 were engaged in corporate support and administrative functions. None of our employees are represented by a union. We believe that our relations with our employees are good, and we have never encountered a significant work stoppage other than as related to temporary stoppages necessitated by the COVID-19 pandemic.</w:t>
      </w:r>
    </w:p>
    <w:p>
      <w:pPr>
        <w:pStyle w:val="TextBody"/>
        <w:spacing w:lineRule="auto" w:line="276" w:before="100" w:after="283"/>
        <w:rPr/>
      </w:pPr>
      <w:r>
        <w:rPr>
          <w:rFonts w:ascii="Times New Roman;sans-serif" w:hAnsi="Times New Roman;sans-serif"/>
          <w:b w:val="false"/>
          <w:i/>
          <w:color w:val="000000"/>
          <w:sz w:val="20"/>
        </w:rPr>
        <w:t>Project Quilt</w:t>
      </w:r>
      <w:r>
        <w:rPr>
          <w:rFonts w:ascii="Times New Roman;sans-serif" w:hAnsi="Times New Roman;sans-serif"/>
          <w:b w:val="false"/>
          <w:color w:val="000000"/>
          <w:sz w:val="20"/>
        </w:rPr>
        <w:t>. In fiscal 2021, we launched our Company-wide diversity and inclusion initiative, Project Quilt, to continue to enhance diversity, equality, and inclusion, focusing on three key areas – the Associate Experience, the Customer Experience, and the Community Experience.</w:t>
      </w:r>
    </w:p>
    <w:p>
      <w:pPr>
        <w:pStyle w:val="TextBody"/>
        <w:spacing w:lineRule="auto" w:line="288" w:before="100" w:after="283"/>
        <w:rPr/>
      </w:pPr>
      <w:r>
        <w:rPr>
          <w:rFonts w:ascii="Times New Roman;sans-serif" w:hAnsi="Times New Roman;sans-serif"/>
          <w:b w:val="false"/>
          <w:i/>
          <w:color w:val="000000"/>
          <w:sz w:val="20"/>
        </w:rPr>
        <w:t>Engagement</w:t>
      </w:r>
      <w:r>
        <w:rPr>
          <w:rFonts w:ascii="Times New Roman;sans-serif" w:hAnsi="Times New Roman;sans-serif"/>
          <w:b w:val="false"/>
          <w:color w:val="000000"/>
          <w:sz w:val="20"/>
        </w:rPr>
        <w:t xml:space="preserve">. Vera Bradley believes it is critical to engage its different stakeholders in order to understand their views, values, and ideas and to design a more responsible environment for all involved. This stakeholder group includes associates. The Company engages its associates through surveys, town halls, and focus groups. Collectively, the Company's success is based upon the unique value of each person's contributions. Our long term success depends on talented and engaged associates. </w:t>
      </w:r>
    </w:p>
    <w:p>
      <w:pPr>
        <w:pStyle w:val="TextBody"/>
        <w:spacing w:lineRule="auto" w:line="288" w:before="100" w:after="283"/>
        <w:rPr/>
      </w:pPr>
      <w:r>
        <w:rPr>
          <w:rFonts w:ascii="Times New Roman;sans-serif" w:hAnsi="Times New Roman;sans-serif"/>
          <w:b w:val="false"/>
          <w:color w:val="000000"/>
          <w:sz w:val="20"/>
        </w:rPr>
        <w:t>Every year, we conduct an associate engagement survey in order to better understand our associates’ insights into our Company’s strengths and opportunities. In 2020, we once again had outstanding participa</w:t>
      </w:r>
      <w:r>
        <w:rPr>
          <w:rFonts w:ascii="Times New Roman;sans-serif" w:hAnsi="Times New Roman;sans-serif"/>
          <w:b w:val="false"/>
          <w:color w:val="000000"/>
          <w:sz w:val="20"/>
          <w:highlight w:val="white"/>
        </w:rPr>
        <w:t>tion, with 85% of ou</w:t>
      </w:r>
      <w:r>
        <w:rPr>
          <w:rFonts w:ascii="Times New Roman;sans-serif" w:hAnsi="Times New Roman;sans-serif"/>
          <w:b w:val="false"/>
          <w:color w:val="000000"/>
          <w:sz w:val="20"/>
        </w:rPr>
        <w:t xml:space="preserve">r associates sharing their candid feedback. Our 2020 overall engagement score was once again in the upper quartile compared to peer companies, which was exceptional and best in class, particularly in light of the pandemic and difficult work circumstances for many. The feedback gave us insight into improvement opportunities and was instrumental in decisions we made to shape, strengthen, and improve our Company. As a result of the survey feedback, over the last several years we have made meaningful improvements to benefits, career development, compensation, wellness programs, and our facilities. We believe listening to our associates’ feedback provided through the annual Engagement Surveys continually strengthens our corporate culture. </w:t>
      </w:r>
    </w:p>
    <w:p>
      <w:pPr>
        <w:pStyle w:val="TextBody"/>
        <w:spacing w:lineRule="auto" w:line="288" w:before="100" w:after="283"/>
        <w:rPr/>
      </w:pPr>
      <w:r>
        <w:rPr>
          <w:rFonts w:ascii="Times New Roman;sans-serif" w:hAnsi="Times New Roman;sans-serif"/>
          <w:b w:val="false"/>
          <w:i/>
          <w:color w:val="000000"/>
          <w:sz w:val="20"/>
        </w:rPr>
        <w:t>Pay and Benefits</w:t>
      </w:r>
      <w:r>
        <w:rPr>
          <w:rFonts w:ascii="Times New Roman;sans-serif" w:hAnsi="Times New Roman;sans-serif"/>
          <w:b w:val="false"/>
          <w:color w:val="000000"/>
          <w:sz w:val="20"/>
        </w:rPr>
        <w:t>. The Company offers competitive pay packages that include market-competitive base and hourly compensation, healthcare, a 401(k) savings plan that typically includes a Company contribution match, paid time off (including for volunteer work), paid family leave, matching gifts program, and an Employee Assistance Program.</w:t>
      </w:r>
    </w:p>
    <w:p>
      <w:pPr>
        <w:pStyle w:val="TextBody"/>
        <w:spacing w:lineRule="auto" w:line="288" w:before="100" w:after="283"/>
        <w:rPr/>
      </w:pPr>
      <w:r>
        <w:rPr>
          <w:rFonts w:ascii="Times New Roman;sans-serif" w:hAnsi="Times New Roman;sans-serif"/>
          <w:b w:val="false"/>
          <w:i/>
          <w:color w:val="000000"/>
          <w:sz w:val="20"/>
        </w:rPr>
        <w:t>Leadership Programs</w:t>
      </w:r>
      <w:r>
        <w:rPr>
          <w:rFonts w:ascii="Times New Roman;sans-serif" w:hAnsi="Times New Roman;sans-serif"/>
          <w:b w:val="false"/>
          <w:color w:val="000000"/>
          <w:sz w:val="20"/>
        </w:rPr>
        <w:t>. Our associates are our biggest asset and when they win, we all win. We recognize everyone in the Company has the ability to lead by example and influence others in a positive way that ultimately provides meaningful value and will make us stronger. Our long-term initiative, Leaders by Design, encourages our associates to grow as leaders through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associate orientation and onboarding, formal training programs, mentorship programs, job shadowing and career-pathing programs and development, including THE LEADERSHIP CHALLENGE®, a globally recognized, research-based leadership development program designed to enhance leadership effectiveness.</w:t>
      </w:r>
    </w:p>
    <w:p>
      <w:pPr>
        <w:pStyle w:val="TextBody"/>
        <w:spacing w:lineRule="auto" w:line="288" w:before="100" w:after="283"/>
        <w:rPr/>
      </w:pPr>
      <w:r>
        <w:rPr>
          <w:rFonts w:ascii="Times New Roman;sans-serif" w:hAnsi="Times New Roman;sans-serif"/>
          <w:b w:val="false"/>
          <w:i/>
          <w:color w:val="000000"/>
          <w:sz w:val="20"/>
        </w:rPr>
        <w:t>Associate Safety</w:t>
      </w:r>
      <w:r>
        <w:rPr>
          <w:rFonts w:ascii="Times New Roman;sans-serif" w:hAnsi="Times New Roman;sans-serif"/>
          <w:b w:val="false"/>
          <w:color w:val="000000"/>
          <w:sz w:val="20"/>
        </w:rPr>
        <w:t>. Associate safety and well-being is of paramount importance to our Company. We have a comprehensive Safety Manual that emphasizes our high standard of safety throughout all operations of the organization. The Safety Manual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addresses a variety of topics including reporting injuries, OSHA compliance and emergency procedures (related to workplace violence, active shooters, severe weather and blood-borne pathogens, among others). Policies are routinely communicated and training is provided to associates as appropriate.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Many of our imported products are subject to existing or potential duties or tariffs that may limit the quantity of products that we may import into the United States and other countries or impact the cost of such products.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each of our executive officers:</w:t>
      </w:r>
    </w:p>
    <w:tbl>
      <w:tblPr>
        <w:tblW w:w="9413" w:type="dxa"/>
        <w:jc w:val="left"/>
        <w:tblInd w:w="0" w:type="dxa"/>
        <w:tblCellMar>
          <w:top w:w="28" w:type="dxa"/>
          <w:left w:w="28" w:type="dxa"/>
          <w:bottom w:w="28" w:type="dxa"/>
          <w:right w:w="28" w:type="dxa"/>
        </w:tblCellMar>
      </w:tblPr>
      <w:tblGrid>
        <w:gridCol w:w="603"/>
        <w:gridCol w:w="528"/>
        <w:gridCol w:w="533"/>
        <w:gridCol w:w="109"/>
        <w:gridCol w:w="109"/>
        <w:gridCol w:w="109"/>
        <w:gridCol w:w="130"/>
        <w:gridCol w:w="130"/>
        <w:gridCol w:w="131"/>
        <w:gridCol w:w="109"/>
        <w:gridCol w:w="109"/>
        <w:gridCol w:w="109"/>
        <w:gridCol w:w="1957"/>
        <w:gridCol w:w="1957"/>
        <w:gridCol w:w="2790"/>
      </w:tblGrid>
      <w:tr>
        <w:trPr/>
        <w:tc>
          <w:tcPr>
            <w:tcW w:w="6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w:t>
            </w:r>
          </w:p>
        </w:tc>
      </w:tr>
      <w:tr>
        <w:trPr/>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Wallstrom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 Vera Bradley, Inc.</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Vera Bradley, Inc.</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 Dely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Administrative &amp; Legal Officer and Corporate Secretary, Vera Bradley, Inc.</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Daren Hull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President, Vera Bradley</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Korney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Merchandising Officer, Vera Bradley </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Beatrice Mac Cabe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Creative Officer, Vera Bradley</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Stephanie Scheele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Marketing Officer, Vera Bradley</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Beth Trypus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Revenue Officer, Vera Bradley</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Goodman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Pura Vida</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Griffin Thall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Pura Vida</w:t>
            </w:r>
          </w:p>
        </w:tc>
      </w:tr>
    </w:tbl>
    <w:p>
      <w:pPr>
        <w:pStyle w:val="TextBody"/>
        <w:spacing w:lineRule="auto" w:line="288" w:before="180" w:after="283"/>
        <w:rPr/>
      </w:pPr>
      <w:r>
        <w:rPr>
          <w:rFonts w:ascii="Times New Roman;sans-serif" w:hAnsi="Times New Roman;sans-serif"/>
          <w:b w:val="false"/>
          <w:i/>
          <w:color w:val="000000"/>
          <w:sz w:val="20"/>
        </w:rPr>
        <w:t>Robert Wallstrom</w:t>
      </w:r>
      <w:r>
        <w:rPr>
          <w:color w:val="000000"/>
        </w:rPr>
        <w:t xml:space="preserve"> </w:t>
      </w:r>
      <w:r>
        <w:rPr>
          <w:rFonts w:ascii="Times New Roman;sans-serif" w:hAnsi="Times New Roman;sans-serif"/>
          <w:b w:val="false"/>
          <w:color w:val="000000"/>
          <w:sz w:val="20"/>
        </w:rPr>
        <w:t xml:space="preserve">has served as our Chief Executive Officer, President and Director since November 2013. Prior to joining Vera Bradley, Mr. Wallstrom 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 </w:t>
      </w:r>
    </w:p>
    <w:p>
      <w:pPr>
        <w:pStyle w:val="TextBody"/>
        <w:spacing w:lineRule="auto" w:line="288" w:before="180" w:after="283"/>
        <w:rPr/>
      </w:pPr>
      <w:r>
        <w:rPr>
          <w:rFonts w:ascii="Times New Roman;sans-serif" w:hAnsi="Times New Roman;sans-serif"/>
          <w:b w:val="false"/>
          <w:i/>
          <w:color w:val="000000"/>
          <w:sz w:val="20"/>
        </w:rPr>
        <w:t xml:space="preserve">John Enwright </w:t>
      </w:r>
      <w:r>
        <w:rPr>
          <w:rFonts w:ascii="Times New Roman;sans-serif" w:hAnsi="Times New Roman;sans-serif"/>
          <w:b w:val="false"/>
          <w:color w:val="000000"/>
          <w:sz w:val="20"/>
        </w:rPr>
        <w:t>joined the Company in May 2014 as our Senior Director of Financial, Planning and Analysis and was soon promoted to Vice President, Financial, Planning and Analysis. Mr. Enwright was named Chief Financial Officer in April 2017. Prior to joining Vera Bradley, Mr. Enwright spent 15 years with Tiffany &amp; Co. in various financial roles of increasing responsibility, including most recently as Director of Financial, Planning and Analysis.</w:t>
      </w:r>
    </w:p>
    <w:p>
      <w:pPr>
        <w:pStyle w:val="TextBody"/>
        <w:spacing w:lineRule="auto" w:line="288" w:before="180" w:after="283"/>
        <w:rPr/>
      </w:pPr>
      <w:r>
        <w:rPr>
          <w:rFonts w:ascii="Times New Roman;sans-serif" w:hAnsi="Times New Roman;sans-serif"/>
          <w:b w:val="false"/>
          <w:i/>
          <w:color w:val="000000"/>
          <w:sz w:val="20"/>
        </w:rPr>
        <w:t>Mark C. Dely</w:t>
      </w:r>
      <w:r>
        <w:rPr>
          <w:color w:val="000000"/>
        </w:rPr>
        <w:t xml:space="preserve"> </w:t>
      </w:r>
      <w:r>
        <w:rPr>
          <w:rFonts w:ascii="Times New Roman;sans-serif" w:hAnsi="Times New Roman;sans-serif"/>
          <w:b w:val="false"/>
          <w:color w:val="000000"/>
          <w:sz w:val="20"/>
        </w:rPr>
        <w:t xml:space="preserve">joined the Company in August 2016 as our Vice President, Chief Legal Officer and Corporate Secretary and was promoted to also serve as the Chief Administrative Officer in September 2017. Between January 2013 and August 2016, Mr. Dely served as Senior Vice President, Chief Legal Officer, General Counsel and Secretary of Fred’s, Inc., a publicly-traded retailer and pharmacy with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 </w:t>
      </w:r>
    </w:p>
    <w:p>
      <w:pPr>
        <w:pStyle w:val="TextBody"/>
        <w:spacing w:lineRule="auto" w:line="288" w:before="180" w:after="283"/>
        <w:rPr/>
      </w:pPr>
      <w:r>
        <w:rPr>
          <w:rFonts w:ascii="Times New Roman;sans-serif" w:hAnsi="Times New Roman;sans-serif"/>
          <w:b w:val="false"/>
          <w:i/>
          <w:color w:val="000000"/>
          <w:sz w:val="20"/>
          <w:highlight w:val="white"/>
        </w:rPr>
        <w:t>Daren Hull</w:t>
      </w:r>
      <w:r>
        <w:rPr>
          <w:color w:val="000000"/>
          <w:highlight w:val="white"/>
        </w:rPr>
        <w:t xml:space="preserve"> </w:t>
      </w:r>
      <w:r>
        <w:rPr>
          <w:rFonts w:ascii="Times New Roman;sans-serif" w:hAnsi="Times New Roman;sans-serif"/>
          <w:b w:val="false"/>
          <w:color w:val="000000"/>
          <w:sz w:val="20"/>
          <w:highlight w:val="white"/>
        </w:rPr>
        <w:t>was promoted to Vera Bradley Brand President in February 2021 where he will focus on building customer engagement and expanding revenue while cultivating the ethos of the Vera Bradley brand. Prior to this, Mr. Hull served as our Chief Customer Officer since July 2018 where he was responsible for all sales, marketing, and digital initiatives. Prior to joining Vera Bradley, Mr. Hull served as Senior Vice President, Stores and West Elm Digital for Williams-Sonoma, a consumer retailer of cookware and tools, electrics, entertainment-related, and other products, where he evolved the technology and customer experience from November 2016 until July 2018. Between November 2015 and September 2016, he served as Chief Operating Officer of Outdoor Voices where, among other things, he developed the team, process, programs, and infrastructure to drive revenue growth. Between July 2015 and November 2015 he served as SVP Global eCommerce, Head of Disruptive Innovation at PepsiCo and between January 2012 and April 2015, he served as General Manager for MyHabitat at Amazon. Mr. Hull gained additional experience with L'Oreal and Guthy-Renker.</w:t>
      </w:r>
    </w:p>
    <w:p>
      <w:pPr>
        <w:pStyle w:val="TextBody"/>
        <w:spacing w:lineRule="auto" w:line="288" w:before="180" w:after="283"/>
        <w:rPr/>
      </w:pPr>
      <w:r>
        <w:rPr>
          <w:rFonts w:ascii="Times New Roman;sans-serif" w:hAnsi="Times New Roman;sans-serif"/>
          <w:b w:val="false"/>
          <w:i/>
          <w:color w:val="000000"/>
          <w:sz w:val="20"/>
        </w:rPr>
        <w:t>Kevin Korney</w:t>
      </w:r>
      <w:r>
        <w:rPr>
          <w:color w:val="000000"/>
        </w:rPr>
        <w:t xml:space="preserve"> </w:t>
      </w:r>
      <w:r>
        <w:rPr>
          <w:rFonts w:ascii="Times New Roman;sans-serif" w:hAnsi="Times New Roman;sans-serif"/>
          <w:b w:val="false"/>
          <w:color w:val="000000"/>
          <w:sz w:val="20"/>
        </w:rPr>
        <w:t xml:space="preserve">has served as our Chief Merchandising Officer since January 2018. Prior to joining Vera Bradley, Mr. Korney served as Vice President, Global Merchandising for Converse, a shoe, apparel and accessories manufacturer and distributor, where he introduced the Global Merchandising function in June 2015. Between November 2012 and June 2015, he served as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Senior Divisional Merchandise Manager for Fossil. From July 2011 to November 2012, he served as the General Merchandise Manager for Dallas Cowboys Merchandising and from September 2006 to March 2009, he served as Global Vice President within various Merchandising and Creative functions at The Walt Disney Company. Mr. Korney gained prior experience with Nautica, Ralph Lauren, and Gap.</w:t>
      </w:r>
    </w:p>
    <w:p>
      <w:pPr>
        <w:pStyle w:val="TextBody"/>
        <w:spacing w:lineRule="auto" w:line="288" w:before="180" w:after="283"/>
        <w:rPr/>
      </w:pPr>
      <w:r>
        <w:rPr>
          <w:rFonts w:ascii="Times New Roman;sans-serif" w:hAnsi="Times New Roman;sans-serif"/>
          <w:b w:val="false"/>
          <w:i/>
          <w:color w:val="000000"/>
          <w:sz w:val="20"/>
        </w:rPr>
        <w:t xml:space="preserve">Beatrice Mac Cabe </w:t>
      </w:r>
      <w:r>
        <w:rPr>
          <w:rFonts w:ascii="Times New Roman;sans-serif" w:hAnsi="Times New Roman;sans-serif"/>
          <w:b w:val="false"/>
          <w:color w:val="000000"/>
          <w:sz w:val="20"/>
        </w:rPr>
        <w:t>joined the Company in January 2016 as our Vice President – Design and was promoted to her current post as Chief Creative Officer in September 2017. From 2013 until joining Vera Bradley, Ms. Mac Cabe served as Vice President, Chief Creative Director at Fossil where she directed the design process from initial concept for lifestyle categories. From 2012 to 2013 she was Design and Merchandising Director, Private Brand Accessories for JC Penney and from 2011 to 2012 she was Creative Director, Handbags for Vince Camuto. Ms. Mac Cabe gained prior design and brand development experience at other fashion brands including Diane von Furstenberg, John Galliano in Paris, and Marni in Milan.</w:t>
      </w:r>
    </w:p>
    <w:p>
      <w:pPr>
        <w:pStyle w:val="TextBody"/>
        <w:spacing w:lineRule="auto" w:line="288" w:before="180" w:after="283"/>
        <w:rPr/>
      </w:pPr>
      <w:r>
        <w:rPr>
          <w:rFonts w:ascii="Times New Roman;sans-serif" w:hAnsi="Times New Roman;sans-serif"/>
          <w:b w:val="false"/>
          <w:i/>
          <w:color w:val="000000"/>
          <w:sz w:val="20"/>
        </w:rPr>
        <w:t xml:space="preserve">Stephanie Scheele </w:t>
      </w:r>
      <w:r>
        <w:rPr>
          <w:rFonts w:ascii="Times New Roman;sans-serif" w:hAnsi="Times New Roman;sans-serif"/>
          <w:b w:val="false"/>
          <w:color w:val="000000"/>
          <w:sz w:val="20"/>
        </w:rPr>
        <w:t>was named Chief Marketing Officer in April 2018 and before that served as our Vice President – Marketing Strategy and Operations since 2015, leading the insights and customer database programs and overseeing the marketing strategy team. Ms. Scheele has spent over 15 years with Vera Bradley in various roles of increasing responsibility.</w:t>
      </w:r>
    </w:p>
    <w:p>
      <w:pPr>
        <w:pStyle w:val="TextBody"/>
        <w:spacing w:lineRule="auto" w:line="288" w:before="180" w:after="283"/>
        <w:rPr/>
      </w:pPr>
      <w:r>
        <w:rPr>
          <w:rFonts w:ascii="Times New Roman;sans-serif" w:hAnsi="Times New Roman;sans-serif"/>
          <w:b w:val="false"/>
          <w:i/>
          <w:color w:val="000000"/>
          <w:sz w:val="20"/>
        </w:rPr>
        <w:t xml:space="preserve">Mary Beth Trypus </w:t>
      </w:r>
      <w:r>
        <w:rPr>
          <w:rFonts w:ascii="Times New Roman;sans-serif" w:hAnsi="Times New Roman;sans-serif"/>
          <w:b w:val="false"/>
          <w:color w:val="000000"/>
          <w:sz w:val="20"/>
        </w:rPr>
        <w:t>joined the Company in May 2016 as our Vice President – Global Wholesale Sales and was promoted to Chief Sales Officer in March 2018 and then to Chief Revenue Officer in March 2021. In her current role, she is responsible for all revenue channels including retail, wholesale, and e-commerce, as well as customer service. From September 2015 to May 2016, Ms. Trypus consulted for accessories start-ups and non-profit businesses where she developed brand architecture, defined the financial structure, and engineered sales and customer acquisition strategy. From August 2014 to August 2015, she was Executive Vice President Sales and Marketing for Bulova Corporation where she drove marketing strategy and revenue growth across a multi-brand watch portfolio in the wholesale and e-commerce channels. From March 2011 to July 2014, Ms. Trypus was Senior Vice President Sales and Planning at Nine West Group in the handbag division and held prior leadership positions at Liz Claiborne, Inc. and May Department Stores.</w:t>
      </w:r>
    </w:p>
    <w:p>
      <w:pPr>
        <w:pStyle w:val="TextBody"/>
        <w:spacing w:lineRule="auto" w:line="288" w:before="180" w:after="283"/>
        <w:rPr/>
      </w:pPr>
      <w:r>
        <w:rPr>
          <w:rFonts w:ascii="Times New Roman;sans-serif" w:hAnsi="Times New Roman;sans-serif"/>
          <w:b w:val="false"/>
          <w:i/>
          <w:color w:val="000000"/>
          <w:sz w:val="20"/>
        </w:rPr>
        <w:t xml:space="preserve">Paul Goodman and Griffin Thall </w:t>
      </w:r>
      <w:r>
        <w:rPr>
          <w:rFonts w:ascii="Times New Roman;sans-serif" w:hAnsi="Times New Roman;sans-serif"/>
          <w:b w:val="false"/>
          <w:color w:val="000000"/>
          <w:sz w:val="20"/>
        </w:rPr>
        <w:t>co-founded Pura Vida and continue to lead the Pura Vida operations from its corporate headquarters in La Jolla, California. The have each been with Pura Vida since its founding in 2010.</w:t>
      </w:r>
    </w:p>
    <w:p>
      <w:pPr>
        <w:pStyle w:val="TextBody"/>
        <w:spacing w:before="18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the COVID-19 Pandemic</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The outbreak of the novel coronavirus (COVID-19), or events related thereto, may continue to cause significant disruptions in our revenue streams, operations, global supply chain and other facets of our business, which may continue to adversely impact our results of operations, financial condition, and share price.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operations are currently subject to significant disruptions as a result of the COVID-19 pandemic. The pandemic has resulted in travel restrictions both domestically and internationally, community and self-quarantines, certain factory closures or reduced operations, as well as mall closures and reduced mall operating hours. We temporarily closed our retail stores on March 19, 2020. On May 5, 2020, we began to reopen our retail stores in a phased approach, with all stores open as of the end of fiscal 2021. Despite the reopening of our retail stores, we have experienced, and may continue to experience, significantly reduced traffic, demand, and sales. Further, evolving guidance and mandates from governments and public health officials, may necessitate additional closures to some, or all, of our retail stores, the stores of our Indirect segment partners and Pura Vida wholesale retailers, or otherwise detrimentally impact aspects of our operations. The pandemic has also and may continue to reduce consumers' willingness and ability to travel to major cities and vacation destinations in which some of our stores are located.</w:t>
      </w:r>
    </w:p>
    <w:p>
      <w:pPr>
        <w:pStyle w:val="TextBody"/>
        <w:spacing w:lineRule="auto" w:line="288" w:before="100" w:after="283"/>
        <w:rPr/>
      </w:pPr>
      <w:r>
        <w:rPr>
          <w:rFonts w:ascii="Times New Roman;sans-serif" w:hAnsi="Times New Roman;sans-serif"/>
          <w:b w:val="false"/>
          <w:color w:val="000000"/>
          <w:sz w:val="20"/>
        </w:rPr>
        <w:t>Although not material as of the date of this filing, COVID-19 has led to temporary factory closures and production and logistics constraints due to wo</w:t>
      </w:r>
      <w:r>
        <w:rPr>
          <w:rFonts w:ascii="Times New Roman;sans-serif" w:hAnsi="Times New Roman;sans-serif"/>
          <w:b w:val="false"/>
          <w:color w:val="000000"/>
          <w:sz w:val="20"/>
          <w:highlight w:val="white"/>
        </w:rPr>
        <w:t>rkforce availability primarily in China, among other impacts. Although we continue to reduce our reliance on production from China, China accounted for approximately 15% of production (excluding mask production) during fiscal 2021. As</w:t>
      </w:r>
      <w:r>
        <w:rPr>
          <w:color w:val="000000"/>
        </w:rPr>
        <w:t xml:space="preserve"> </w:t>
      </w:r>
      <w:r>
        <w:rPr>
          <w:rFonts w:ascii="Times New Roman;sans-serif" w:hAnsi="Times New Roman;sans-serif"/>
          <w:b w:val="false"/>
          <w:color w:val="000000"/>
          <w:sz w:val="20"/>
        </w:rPr>
        <w:t>a result of the aforementioned restrictions, or other related factors, we may experience delayed shipments and increased shipping costs for some of our fiscal 2022 merchandise. We may also be adversely impacted should the pandemic compromise operations at our corporate headquarters and distribution center located in Roanoke, Indiana.</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extent of the pandemic’s continued impact on our results of operations, financial condition, and share price will likely depend on future developments including, but not limited to, the duration of the spread of the outbreak, including the potential for spikes in the number of COVID-19 cases in future periods, including as may be related to the spread of new virus variants; mitigation activities undertaken by governments and the general public; the overall economic impacts of quarantines and business closures; and current, and potentially long-term, changes in consumer behavior.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a result of the above-mentioned factors, the Company’s liquidity, results of operations, and financial condition have been, and are likely to continue to be, adversely impacted.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Beginning in mid-March 2020, we began taking several actions to navigate the COVID-19 pandemic, protect our financial position, maximize our liquidity, and to position the Company for a strong reopening and future. In addition to the aforementioned store closures, these actions included: temporarily furloughing approximately 80% of our workforce during the first quarter; temporarily reducing compensation for remaining salaried associates based on a graduated scale; temporarily suspending cash compensation to our board of directors; temporarily suspending our share repurchase program; drawing $60.0 million of our $75.0 million Credit Agreement; temporarily eliminating the Company 401(k) and associate charitable contribution matches; tightly managing inventory levels through the cancellation of purchase orders, delay of receipts, or seeking price concessions where possible; actively working with landlords on addressing rent abatements, payments terms, accelerating store closures, and delaying or cancelling certain planned new store openings; reducing non-payroll operating expenses; and extending vendor payment terms. During the second quarter of fiscal 2021, we brought back the majority of associates from furlough; began to reinstate portions of the base compensation reductions; and paid back $30.0 million of our $60.0 million borrowing under our Credit Agreement. During the fourth quarter of fiscal 2021, we reinstated the remaining base compensation adjustments and board of director reductions, paid back the remaining $30.0 million of borrowings under our Credit Agreement, and reinstated the Company 401(k) contribution match. As of the end of fiscal 2021, substantially all of our associates have returned from furlough.</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Measures to mitigate COVID-19 impacts to our business may result in additional risk exposure or prove ineffectual. For example, we have and may continue to incur additional interest costs associated with borrowings under our Credit Agreement.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 team continues to focus on mitigating the risk of the COVID-19 pandemic. This may result in less time to concentrate on other areas of the business, including operations, than prior to the pandemic and may cause increased risks of our ability to effectively manage our business operations if conditions related to the pandemic were to continue or worsen.</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 Operations and Industry</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If we are unable to successfully implement our long-term strategic plans and growth strategies, our future operating results could suffer.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success of our long-term strategic plan and growth strategies, alone or collectively, will depend on various factors, including the appeal of our product designs, retail presentation to consumers, effectiveness of our marketing initiatives, expense saving initiatives, competitive conditions, and economic conditions. There is no assurance that we will be able to successfully implement our strategic plan and growth strategies. If we are unsuccessful in implementing some or all of our strategies or initiatives, our future operating results could be adversely impacted.</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Changes in general economic conditions, and their impact on consumer confidence and consumer spending, could adversely impact our results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performance is subject to general economic conditions and their impact on levels of consumer confidence and consumer spending. Consumer confidence and consumer spending may be influenced by the ongoing COVID-19 pandemic,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political turmoil, and weather and weather-related phenomena. Consumer purchases of discretionary items, including our merchandise, generally decline during periods when disposable income is adversely affected or there is economic uncertainty, and these occurrences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inability to predict and respond in a timely manner to changes in consumer demand could adversely affect our net revenues and results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develop appealing patterns, styles, and collections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We may experience declines in comparable sales and there can be no guarantee that the strategic initiatives we are implementing to improve our results will be successful.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the COVID-19 pandemic, pricing, inflation, the timing of the release of new merchandise and promotional events, changes in our merchandise mix, marketing programs, changes in consumer shopping trends, site selection strategy, and weather conditions. These factors may cause our comparable sales results to be lower in the future than in recent periods or lower than expectations, either of which could result in a decline in the price of our common stock.</w:t>
      </w:r>
    </w:p>
    <w:p>
      <w:pPr>
        <w:pStyle w:val="TextBody"/>
        <w:spacing w:lineRule="auto" w:line="417" w:before="280" w:after="283"/>
        <w:rPr>
          <w:rFonts w:ascii="Times New Roman;sans-serif" w:hAnsi="Times New Roman;sans-serif"/>
          <w:b/>
          <w:i/>
          <w:color w:val="000000"/>
          <w:sz w:val="20"/>
        </w:rPr>
      </w:pPr>
      <w:r>
        <w:rPr>
          <w:rFonts w:ascii="Times New Roman;sans-serif" w:hAnsi="Times New Roman;sans-serif"/>
          <w:b/>
          <w:i/>
          <w:color w:val="000000"/>
          <w:sz w:val="20"/>
        </w:rPr>
        <w:t xml:space="preserve">If our multi-channel distribution model is not successful, our business and results of operations may suffer.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currently sell our Vera Bradley-branded products into two segments: Direct to consumers through Vera Bradley full-line and factory outlet stores in the United States, verabradley.com, the Vera Bradley online outlet site, and typically the Vera Bradley annual outlet sale in Fort Wayne, Indiana; and through our Vera Bradley Indirect wholesale business which consists of sales to specialty retail locations, department stores, national accounts, third-party e-commerce sites, third-party inventory liquidators, as well as royalties recognized through licensing agreements related to the Vera Bradley brand. We currently sell our Pura Vida-branded products direct to consumers through our e-commerce websites, puravidabracelets.com, puravidabracelets.eu, and puravidabracelets.ca and through wholesale retailers. These channels are sometimes in direct competition and sales through these channels may not be incremental to total sales.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We may not be able to successfully open new stores and/or operate new and current stores as planned, which could adversely impact our results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future growth prospects include our ability to successfully open new stores and operate new and current Vera Bradley stores. In recent years, however, Vera Bradley comparable store sales have declined. Consequently, the rate in which we have opened new stores has slowed and we do not currently plan to open any new full-line stores during fiscal 2022. We have closed a total of 39 underperforming full-line stores and one underperforming factory outlet store since the beginning of fiscal 2018 and forecast that we will close additional full-line stores. We plan to open five new Vera Bradley factory outlet stores and our first Pura Vida retail store during fiscal 2022. We will continue to evaluate our plans for store openings in future years in light of demand and store performance.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open and operate stores depends on many factors, including our ability to:</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identify suitable store locations, the availability of which may be uncertain;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negotiate acceptable lease terms, including desired tenant improvement allowances;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hire, train, and retain store personnel and management;</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assimilate new store personnel and management into our corporate culture;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source and manufacture inventory;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successfully integrate new stores into our existing operations and information technology systems.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business depends on strong brands. If we are unable to execute our marketing strategies, intended to enhance our brands, then revenues and our results of operations could be adversely impacted.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the brand images that we have developed have contributed significantly to the success of our business. We also believe that enhancing the Vera Bradley and Pura Vida brands through our marketing strategies is critical to maintaining and expanding our customer base. Enhancing our brands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Closing stores could result in significant costs to us.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Since December 2014, we have closed 43 underperforming Vera Bradley stores. We have closed a total of 39 underperforming full-line stores and one underperforming factory outlet store since the beginning of fiscal 2018 and forecast that we will close additional full-line stores. We could, in the future, decide to close additional stores beyond those currently forecasted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and could adversely affect our cash on hand.</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ability to attract customers to our stores depends heavily on the success of the shopping centers in which many of our stores are located.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Vera Bradley Direct stores are located in regional mall shopping centers, and many of our Vera Bradley Indirect customers are also located in regional mall shopping centers. Factors beyond our control impact mall traffic, including public health pandemics such as COVID-19, general economic conditions, and consumer spending levels. Consumer spending and mall traffic have been depressed in recent years. As a result, mall operators have faced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pStyle w:val="TextBody"/>
        <w:spacing w:before="280" w:after="283"/>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leasing substantial amounts of space, including future increases in occupancy costs.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requiring that a substantial portion of our available cash be applied to pay our rental obligations, thus reducing cash available for other purposes;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increasing our vulnerability to general adverse economic and industry conditions;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limiting our flexibility in planning for or reacting to changes in our business or industry;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limiting our ability to obtain additional financing.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failure to effectively compete with other retailers for sales could have a material adverse effect on our financial condition, results of operations, and cash flows.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market for bags, accessories, travel items and our other products is increasingly competitive. Our competitive challenges include: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attracting customer traffic;</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sourcing and manufacturing merchandise efficiently;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competitively pricing our products and achieving customer perception of value;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maintaining favorable brand recognition and effectively marketing our products to consumers in diverse market segments;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developing designs that appeal to a broad range of demographic and age segments;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developing high-quality products;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offering attractive promotional incentives while maintaining profit margins;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establishing and maintaining good working relationships with our wholesale retailers.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our Vera Bradley Indirect business and Pura Vida wholesale business, we compete with numerous manufacturers, importers, and distributors of handbags, accessories, and other products for the limited space available for the display of such products to the consumer. In our Vera Bradley Direct business and Pura Vida e-commerce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addition, in light of a continued difficult consumer environment, pricing is a significant driver of consumer choice in our industry and we regularly engage in price competition, particularly through our promotional programs, which impacts our margins. To the extent that we decrease our promotional activity, our ability to maintain sales levels may be impacted.</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wholesale business could suffer as a result of decisions by our wholesale retailers to decrease or eliminate the amount of merchandise purchased from us.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enter into long-term agreements with any of our wholesale retailers. Instead, we enter into a number of purchase order commitments with our customers for each of our lines every season. A decision by a significant number of wholesale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wholesale retailers, we typically do not provide dealer allowances or other economic incentives to support those prices. Possible promotional pricing or discounting by wholesale retailers in response to softening retail demand could have a negative effect on our brand image and prestige, which might be difficult to counteract. </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 xml:space="preserve">Bankruptcies or other operational or financial difficulties of our wholesale retailers could adversely impact our business.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wholesale merchandise primarily to specialty retail and department stores across the United States and extend trade credit based on an evaluation of each wholesale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wholesale retailer, we might assume credit risk that we would otherwise avoid relating to our receivables from that customer. Inability to collect on accounts receivable from our wholesale retailers would adversely impact our results of operations. </w:t>
      </w:r>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Global Sourcing and Distribution</w:t>
      </w:r>
    </w:p>
    <w:p>
      <w:pPr>
        <w:pStyle w:val="TextBody"/>
        <w:spacing w:lineRule="auto" w:line="288" w:before="28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rely on various contract manufacturers to produce all of our products and generally do not have long-term contracts with our manufacturers. </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health pandemics such as COVID-19,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pStyle w:val="TextBody"/>
        <w:spacing w:lineRule="auto" w:line="288" w:before="28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We rely on various suppliers to supply a significant majority of our raw materials.</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at all. In such a case, we could have difficulty meeting consumer demand and net revenues could be adversely impacted.</w:t>
      </w:r>
    </w:p>
    <w:p>
      <w:pPr>
        <w:pStyle w:val="TextBody"/>
        <w:spacing w:lineRule="auto" w:line="288" w:before="28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rely on a limited number of distribution facilities for the products we sell. </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Distribution operations for Vera Bradley-branded products are currently concentrated in a single, company-owned distribution center in Roanoke, Indiana. Pura Vida-branded products are primarily distributed from one third-party distribution center in Tijuana, Mexico. </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Any significant disruption in the operation of these facilities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alternative facilities. In addition to the aforementioned events, the COVID-19 pandemic could cause disruptions in our distribution operations if we were to temporarily suspend operations. If we encounter difficulties with our distribution facilities or other problems or disasters arise, we cannot ensure that critical systems and operations will be restored in a timely manner or at all, and this would have a material adverse effect on our business. In addition, growth could require us to further expand our current facilities, which could affect us adversely in ways that we cannot predict.</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The cost of raw materials could increase our cost of sales and cause our results of operations to suffer.</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pStyle w:val="TextBody"/>
        <w:spacing w:lineRule="auto" w:line="288" w:before="28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Our business is subject to the risks inherent in global sourcing and manufacturing activities.</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source our Vera Bradley fabrics primarily from manufacturers in China and South Korea and outsource the production of a significant majority of our products to companies in Asia. We source our Pura Vida components primarily from Asia and outsource the production of products primarily to El Salvador. We are subject to the risks inherent in global sourcing and manufacturing, including, but not limited to:</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exchange rate fluctuations and trends;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availability of raw materials;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compliance with labor laws and other foreign governmental regulations;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compliance with U.S. import and export laws and regulations;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disruption or delays in shipments;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loss or impairment of key manufacturing sites;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product quality issues;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political unrest;</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natural disasters, acts of war and terrorism, changing macroeconomic trends, public health emergencies (such as COVID-19), and other external factors over which we have no control; and</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quotas, duties, tariffs, or other trade restrictions or regulations.</w:t>
      </w:r>
    </w:p>
    <w:p>
      <w:pPr>
        <w:pStyle w:val="TextBody"/>
        <w:spacing w:lineRule="auto" w:line="288" w:before="18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Significant disruption of manufacturing for any of the above reasons, including the current political unrest in Myanmar,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brands, diminishing the value of our brands and reducing demand for our products.</w:t>
      </w:r>
    </w:p>
    <w:p>
      <w:pPr>
        <w:pStyle w:val="TextBody"/>
        <w:spacing w:lineRule="auto" w:line="288" w:before="28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Our ability to source our products at favorable prices, or at all, could be harmed, with adverse effects on our results of operations, if new trade restrictions are imposed or if existing trade restrictions become more burdensome.</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significant majority of our Vera Bradley and Pura Vida products are currently manufactured for us in Asia and Central America, respectively.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pStyle w:val="TextBody"/>
        <w:spacing w:lineRule="auto" w:line="288" w:before="28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We rely on independent transportation providers for substantially all of our product shipments.</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pStyle w:val="TextBody"/>
        <w:spacing w:lineRule="auto" w:line="288" w:before="18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costs. We also would face shipping and distribution risks and uncertainties associated with any expansion of our distribution facilities and related systems.</w:t>
      </w:r>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the Acquisition of Pura Vida </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The Pura Vida acquisition may not be successful in achieving intended benefits and may disrupt current operations.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a majority interest in Creative Genius, Inc. or “Pura Vida,” on July 16, 2019. This acquisition poses a number of potential integration risks that may result in negative consequences to our business, financial condition, and results of operations. These risks include, but are not limited to:</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failure of the business to perform as planned following the acquisition to achieve anticipated revenue or profitability targets;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assimilation and retention of employees, including key employees;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higher than expected costs and/or a need to allocate resources to manage unexpected operating difficulties;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diversion of the attention and resources of management or other disruptions to current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retaining key customers and suppliers;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retaining required regulatory approvals, licenses, and permits;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assumption of liabilities of the acquired business not identified during due diligence;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other unanticipated issues, expenses, and liabilities.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Prior to its acquisition, Pura Vida was a privately-held company and its new obligations from being part of a public company may require significant additional resources and management consideration.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Upon the completion of the Pura Vida acquisition, Pura Vida became a subsidiary of our consolidated Company and must comply with U.S. Generally Accepted Accounting Principles (“GAAP”), the Sarbanes-Oxley Act of 2002 (“SOX”), the Dodd-Frank Act and the rules and regulations subsequently implemented by the SEC and the Public Company Accounting Oversight Board. We must ensure that Pura Vida maintains effective disclosure controls as well as internal controls and procedures for financial reporting under U.S. GAAP, and such compliance efforts may be costly and may divert the attention of management.</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Because a significant portion of Pura Vida’s total assets are represented by goodwill, indefinite-lived intangible assets, and definite-lived intangible assets, we could be required to write off some or all of this goodwill and other intangibles, which may adversely affect the company’s financial condition and results of operations.</w:t>
      </w:r>
    </w:p>
    <w:p>
      <w:pPr>
        <w:pStyle w:val="TextBody"/>
        <w:spacing w:lineRule="auto" w:line="288" w:before="100" w:after="283"/>
        <w:rPr/>
      </w:pPr>
      <w:r>
        <w:rPr>
          <w:rFonts w:ascii="Times New Roman;sans-serif" w:hAnsi="Times New Roman;sans-serif"/>
          <w:b w:val="false"/>
          <w:color w:val="000000"/>
          <w:sz w:val="20"/>
        </w:rPr>
        <w:t>We are using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 (2) the fair value of any noncontrolling interest in the acquiree over the net assets acquired and liabilities assumed. The purchase price allocation resulted in a goodwill value of $44.3 million and a value of $61.7 million related to other intangible assets. The carrying value of these assets as of January 30, 2021, was $44.3 million and $47.3 million, respectively</w:t>
      </w:r>
      <w:r>
        <w:rPr>
          <w:rFonts w:ascii="Times New Roman;sans-serif" w:hAnsi="Times New Roman;sans-serif"/>
          <w:b w:val="false"/>
          <w:color w:val="000000"/>
          <w:sz w:val="20"/>
          <w:highlight w:val="white"/>
        </w:rPr>
        <w:t>. Refer to Note 15 of the</w:t>
      </w:r>
      <w:r>
        <w:rPr>
          <w:color w:val="000000"/>
        </w:rPr>
        <w:t xml:space="preserve"> </w:t>
      </w:r>
      <w:r>
        <w:rPr>
          <w:rFonts w:ascii="Times New Roman;sans-serif" w:hAnsi="Times New Roman;sans-serif"/>
          <w:b w:val="false"/>
          <w:color w:val="000000"/>
          <w:sz w:val="20"/>
        </w:rPr>
        <w:t xml:space="preserve">Notes to Consolidated Financial Statements set forth in Part II, “Item 8. Financial Statements and Supplementary Data,” of this report. for additional information regarding the purchase price allocation. When the Company performs impairment tests, it is possible that the carrying value of goodwill or other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Put/Call Agreement between the Company, certain of its subsidiaries, and Creative Genius, Inc. may require us to purchase the remaining 25% interest in the Pura Vida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In the event of a change in control of the Company, the parties may exercise a portion of their put and call rights prior to the fifth anniversary of the closing date (as defined in the Put/Call Agreement).</w:t>
      </w:r>
    </w:p>
    <w:p>
      <w:pPr>
        <w:pStyle w:val="TextBody"/>
        <w:spacing w:lineRule="auto" w:line="288" w:before="280" w:after="283"/>
        <w:rPr>
          <w:rFonts w:ascii="Times New Roman;sans-serif" w:hAnsi="Times New Roman;sans-serif"/>
          <w:b w:val="false"/>
          <w:color w:val="000000"/>
          <w:sz w:val="20"/>
        </w:rPr>
      </w:pPr>
      <w:r>
        <w:rPr>
          <w:rFonts w:ascii="Times New Roman;sans-serif" w:hAnsi="Times New Roman;sans-serif"/>
          <w:b w:val="false"/>
          <w:color w:val="000000"/>
          <w:sz w:val="20"/>
        </w:rPr>
        <w:t>The execution of the Sellers right to require us to purchase the Remaining Pura Vida Interest may represent a significant financial obligation that could have a material adverse impact on our liquidity, results of operations, and financial condition.</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Information Technology and Security</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A data security or privacy breach could damage our reputation and our relationships with our customers, expose us to litigation risk and adversely affect our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business could suffer if our computer systems and websites are disrupted or cease to operate effectively.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e-commerce websites in the U.S. and Europe. Given the complexity of our business and the significant number of transactions that we engage in,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2020, we began a two-year process of re-platforming our enterprise resource planning and other key information systems to become more streamlined, nimble, and efficient in our technology platform and business processes. We continue to assess our on premise and cloud-based technology solutions in an effort to ensure we have the optimal solutions for our business. However, there are risks and uncertainties related to this re-platforming that could have a material adverse effect on our business, financial condition and results of operations.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We are exposed to business risks as a result of our e-commerce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e-commerce stores at www.verabradley.com, which includes an online outlet site we created in fiscal 2018, www.puravidabracelets.com, www.puravidabracelets.eu, and www.puravidabracelets.ca.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entry of our vendors into the Internet business in direct competition with us; (iii) the level of merchandise returns experienced by us; (iv) governmental regulation; (v) e-commerce security breaches involving unauthorized access to our and/or customer information; (vi) credit card fraud; and (vii) competition and general economic conditions specific to the Internet, e-commerce, and the accessories industry. Our inability to effectively address these risks and any other risks that we face in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connection with our Internet operations could materially adversely affect our business, financial condition, results of operations, and/or cash flows.</w:t>
      </w:r>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Tax and Valuation Matters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Fluctuations in our tax obligations and effective tax rate may result in volatility of our operating results and stock price.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 xml:space="preserve">We have recorded asset impairment charges in the past and we may record material asset impairment charges in the future.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Quarterly, we assess whether events or changes in circumstances have occurred that indicate the carrying value of long-lived asset groups may not be recoverable. If we determine that the carrying value of long-lived asset groups are not recoverable, we will be required to record impairment charges relating to those assets. For example, our assessments during fiscal 2021 indicated that operating losses or insufficient operating income existed at certain retail stores, with a projection that the operating losses or insufficient operating income for those locations would continue. As such, we recorded non-cash charges of $7.4 million during fiscal 2021 within selling, general, and administrative expenses in the consolidated statements of operations to write down the carrying values of these stores' long-lived asset groups to their estimated fair values.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projected key financial metrics for any reason, including if any of the strategic initiatives we implement do not result in significant improvements in our current financial performance trend, this would indicate that the value of our long-lived assets was not recoverable and we would incur additional impairment of assets in the future.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the event we record additional impairment charges, this could have a material adverse effect on our results of operations and financial condition.</w:t>
      </w:r>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Legal Matters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There are claims made against us from time to time that can result in litigation or regulatory proceedings, which could distract management from our business activities and result in significant liability or damage to the images associated with our brands.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 xml:space="preserve">Our inability or failure to protect our intellectual property or our infringement of other’s intellectual property could have a negative impact on our operating results.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our registered copyrights, registered and common law trademarks, and other proprietary rights have significant value and are critical to our ability to create and sustain demand for our products. The actions taken by us to establish and protect our proprietary rights may not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inability to protect our copyrights, trademarks, and other proprietary rights could adversely impact our results of operations. Any litigation regarding our proprietary rights could be time consuming and costly.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the risk that claims will be brought against us for infringement of the intellectual property rights of third parties, seeking to block the sale of our products claimed to violate their intellectual property rights or to receive payment of monetary amounts related thereto. Although we have not been inhibited from selling our products in connection with intellectual property disputes, intellectual property-related obstacles may arise as we expand our product lines and extend our brands as well as the geographic scope of our sales and marketing. In particular, we may be subject to copyright infringement claims for which we may not be entitled to indemnification from our suppliers. In addition, in recent years, companies in the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results of operations could suffer if we lose key management or design associates or are unable to attract and retain the talent required for our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We may also need to attract and retain additional qualified employees and develop, train, and manage an increasing number of management-level, sales, and other employees. Competition for qualified employees is intense. We may not be able to attract and retain employees as needed in the future.</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results of operations are subject to quarterly fluctuations, which could adversely affect the market price of our common stock.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may fluctuate significantly as a result of a variety of factors, including, among other things: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timing of new store openings and store closings;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net revenues and profits contributed by new stores;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increases or decreases in store traffic and comparable sales;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shifts in the timing of holidays, particularly in the United States and China;</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changes in our merchandise mix;</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timing of marketing campaigns or promotions;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timing of sales to Vera Bradley and Pura Vida wholesale retailers;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timing of new pattern and collection releases and new product introductions.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Any quarterly fluctuations that we report in the future may not match the expectations of market analysts and investors. This could cause the trading price of our common stock to fluctuate significantly.</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We may be subject to unionization, work stoppages, slowdowns, or increased labor costs.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work stoppages and slowdowns as a unionized business. In addition, if the terms of the collective bargaining agreement were significantly more favorable to union workers than our current pay-and-benefits arrangements, our costs would increase and our results of operations would suffer.</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We may suffer negative publicity and our business may be harmed if we need to recall any products we sell.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The phaseout of the London Interbank Offered Rate (LIBOR), or the replacement of LIBOR with a different reference rate, may adversely affect interest rates.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Changes in the method of calculating LIBOR, or the replacement of LIBOR with an alternative rate or benchmark, may adversely affect interest rates and result in higher borrowing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costs. This development could materially and adversely affect the Company's results of operations, cash flows and liquidity. We cannot predict the effect of the potential changes to LIBOR or the establishment and use of alternative rates or benchmarks. We may need to renegotiate our revolving credit facility or incur other indebtedness and changes in the method of calculating LIBOR, or the use of an alternative rate or benchmark, may negatively impact the terms of such indebtedness. If changes are made to the method of calculating LIBOR or LIBOR ceases to exist, we may need to amend certain contracts and cannot predict what alternative rate or benchmark would be negotiated. This may result in an increase to our interest expense.</w:t>
      </w:r>
    </w:p>
    <w:p>
      <w:pPr>
        <w:pStyle w:val="TextBody"/>
        <w:spacing w:lineRule="auto" w:line="288" w:before="280" w:after="283"/>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the Securities Markets and Ownership of Our Common Stock</w:t>
      </w:r>
    </w:p>
    <w:p>
      <w:pPr>
        <w:pStyle w:val="TextBody"/>
        <w:spacing w:lineRule="auto" w:line="288" w:before="100" w:after="283"/>
        <w:rPr>
          <w:rFonts w:ascii="Times New Roman;sans-serif" w:hAnsi="Times New Roman;sans-serif"/>
          <w:b/>
          <w:i/>
          <w:color w:val="000000"/>
          <w:sz w:val="20"/>
        </w:rPr>
      </w:pPr>
      <w:r>
        <w:rPr>
          <w:rFonts w:ascii="Times New Roman;sans-serif" w:hAnsi="Times New Roman;sans-serif"/>
          <w:b/>
          <w:i/>
          <w:color w:val="000000"/>
          <w:sz w:val="20"/>
        </w:rPr>
        <w:t>Our stock price may be volatile or may decline regardless of our operating performance, and you may not be able to resell shares at or above the price at which you purchase them.</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significantly in response to a number of factors, most of which we cannot control, including: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continued outbreak of COVID-19 and its adverse impact on the capital markets;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actions by other shopping mall or lifestyle center tenants;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weather conditions, particularly during the holiday shopping period;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unexpected departures of key executives;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financial projections that we may choose to provide to the public, any changes in these projections or our failure for any reason to meet these projections;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public’s response to press releases or other public announcements by us or others, including our filings with the SEC and announcements relating to litigation and other matters;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speculation about our business in the press or the investment community;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future sales of our common stock by our significant shareholders, officers, and directors;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our entry into new markets;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changes in laws or regulations that impact the retail industry;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strategic actions by us or our competitors, such as acquisitions or restructurings;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changes in accounting principles.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factors may result in a lower market price of our common stock, regardless of our actual operating performance.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business could be negatively affected as a result of the actions of activist stockholders.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Over the last few years, proxy contests and other forms of stockholder activism have been directed against numerous public companies in retail businesses. We could become engaged in a consent solicitation, or proxy contest, or experience other stockholder activism, in the future. Activist shareholders may advocate for certain governance and strategic changes at our company. In the event of stockholder activism, particularly with respect to matters which our Board of Directors (“Board”),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plans and create additional value for our stockholders may be adversely affected. </w:t>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 limited number of shareholders control a large percentage of the voting power of our common stock, and therefore investors may have limited ability to determine the outcome of shareholder votes.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Robert Hall, Barbara Bradley Baekgaard, Joan Hall (Mr. Hall’s wife and Ms. Bradley Baekgaard’s daughter), Patricia R. Miller, and P. Michael Miller, directly or indirectly, beneficially own and have the ability to exercise voting control over, in the aggregate, 23.4% of our outstanding shares of common stock as of January 30, 2021.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an investor's ability to influence corporate matters, and the interests of these shareholders may not coincide with our interests or interests of investors. As a result, we may take actions that investors do not believe to be in our interests or their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Our actual operating results may differ significantly from our guidance, which could cause incongruous fluctuation in our stock price.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into the future that the data are forecast. Further, the COVID-19 pandemic could cause a material adverse impact to the Company’s liquidity, results of operations, and financial condition that cannot be predicted.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light of the foregoing, if investors, analysts, and others fail to review our guidance within the proper context or place undue reliance on our guidance, deviations from such guidance may result in incongruous fluctuation in our stock price.</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authorizing our board of directors to issue preferred stock and additional shares of our common stock without shareholder approval;</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prohibiting shareholder action by written consent;</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prohibiting our shareholders from calling a special meeting of shareholders;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prohibiting our shareholders from amending our amended and restated bylaws;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requiring advance notice for raising business matters or nominating directors at shareholders’ meetings.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our common stock at a discount, leading to the dilution of the potential acquirer’s stake. The adoption of a poison pill, or the board’s ability to do so, can have negative effects such as those described above.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location, use, and size of our distribution, corporate facilities, and showrooms as of January 30, 2021. The leases on the leased properties expire at various times through 2030, subject to renewal options.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572"/>
        <w:gridCol w:w="505"/>
        <w:gridCol w:w="508"/>
        <w:gridCol w:w="109"/>
        <w:gridCol w:w="109"/>
        <w:gridCol w:w="109"/>
        <w:gridCol w:w="1516"/>
        <w:gridCol w:w="1516"/>
        <w:gridCol w:w="1526"/>
        <w:gridCol w:w="109"/>
        <w:gridCol w:w="109"/>
        <w:gridCol w:w="109"/>
        <w:gridCol w:w="666"/>
        <w:gridCol w:w="666"/>
        <w:gridCol w:w="668"/>
        <w:gridCol w:w="109"/>
        <w:gridCol w:w="109"/>
        <w:gridCol w:w="109"/>
        <w:gridCol w:w="319"/>
        <w:gridCol w:w="312"/>
        <w:gridCol w:w="450"/>
      </w:tblGrid>
      <w:tr>
        <w:trPr/>
        <w:tc>
          <w:tcPr>
            <w:tcW w:w="572"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r>
      <w:tr>
        <w:trPr/>
        <w:tc>
          <w:tcPr>
            <w:tcW w:w="1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Primary Use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Square Footage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Leased/Owned</w:t>
            </w:r>
          </w:p>
        </w:tc>
      </w:tr>
      <w:tr>
        <w:trPr/>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Roanoke, Indiana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corporate headquarters, design center, and showroom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188,000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Roanoke, Indiana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warehouse and distribution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428,500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office and showroom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Asia sourcing 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showroom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showroom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15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 Jolla, California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 corporate headquarters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bl>
    <w:p>
      <w:pPr>
        <w:pStyle w:val="TextBody"/>
        <w:spacing w:lineRule="auto" w:line="288" w:before="100" w:after="283"/>
        <w:rPr/>
      </w:pPr>
      <w:r>
        <w:rPr>
          <w:rFonts w:ascii="Times New Roman;sans-serif" w:hAnsi="Times New Roman;sans-serif"/>
          <w:b w:val="false"/>
          <w:color w:val="000000"/>
          <w:sz w:val="20"/>
        </w:rPr>
        <w:t xml:space="preserve">As of January 30, 2021, we also leased </w:t>
      </w:r>
      <w:r>
        <w:rPr>
          <w:rFonts w:ascii="Times New Roman;sans-serif" w:hAnsi="Times New Roman;sans-serif"/>
          <w:b w:val="false"/>
          <w:color w:val="000000"/>
          <w:sz w:val="20"/>
          <w:highlight w:val="white"/>
        </w:rPr>
        <w:t>145</w:t>
      </w:r>
      <w:r>
        <w:rPr>
          <w:color w:val="000000"/>
        </w:rPr>
        <w:t xml:space="preserve"> </w:t>
      </w:r>
      <w:r>
        <w:rPr>
          <w:rFonts w:ascii="Times New Roman;sans-serif" w:hAnsi="Times New Roman;sans-serif"/>
          <w:b w:val="false"/>
          <w:color w:val="000000"/>
          <w:sz w:val="20"/>
        </w:rPr>
        <w:t>store locations in the United States, including one store location opened in fiscal 2022. See below for more information regarding the locations of our open stores as of January 30, 2021.</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consider these properties to be in good condition generally and believe that our facilities are adequate for our operations and provide sufficient capacity to meet our anticipated requirements. The Vera Bradley properties in the above table are used by both the Vera Bradley Direct segment and Vera Bradley Indirect segment, excluding the two standalone showrooms which are used exclusively by the Vera Bradley Indirect segment.</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Store Locations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full-line stores are located primarily in high-traffic regional malls, lifestyle centers, and mixed-use shopping centers across the United States. The following table shows the number of full-line and factory outlet stores we operated in each state as of January 30, 2021:</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63"/>
        <w:gridCol w:w="409"/>
        <w:gridCol w:w="419"/>
        <w:gridCol w:w="109"/>
        <w:gridCol w:w="109"/>
        <w:gridCol w:w="109"/>
        <w:gridCol w:w="445"/>
        <w:gridCol w:w="445"/>
        <w:gridCol w:w="446"/>
        <w:gridCol w:w="109"/>
        <w:gridCol w:w="109"/>
        <w:gridCol w:w="109"/>
        <w:gridCol w:w="531"/>
        <w:gridCol w:w="531"/>
        <w:gridCol w:w="533"/>
        <w:gridCol w:w="109"/>
        <w:gridCol w:w="109"/>
        <w:gridCol w:w="109"/>
        <w:gridCol w:w="457"/>
        <w:gridCol w:w="457"/>
        <w:gridCol w:w="450"/>
        <w:gridCol w:w="109"/>
        <w:gridCol w:w="109"/>
        <w:gridCol w:w="109"/>
        <w:gridCol w:w="445"/>
        <w:gridCol w:w="445"/>
        <w:gridCol w:w="446"/>
        <w:gridCol w:w="109"/>
        <w:gridCol w:w="109"/>
        <w:gridCol w:w="109"/>
        <w:gridCol w:w="480"/>
        <w:gridCol w:w="480"/>
        <w:gridCol w:w="688"/>
      </w:tblGrid>
      <w:tr>
        <w:trPr/>
        <w:tc>
          <w:tcPr>
            <w:tcW w:w="46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Full-Line Stores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Factory Outlet Stores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Full-Line Stores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Factory Outlet Stores</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Hampshire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Hawaii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Times New Roman;sans-serif" w:hAnsi="Times New Roman;sans-serif"/>
          <w:b w:val="false"/>
          <w:color w:val="000000"/>
          <w:sz w:val="20"/>
        </w:rPr>
        <w:t>We lease all of our stores. Lease terms for our retail s</w:t>
      </w:r>
      <w:r>
        <w:rPr>
          <w:rFonts w:ascii="Times New Roman;sans-serif" w:hAnsi="Times New Roman;sans-serif"/>
          <w:b w:val="false"/>
          <w:color w:val="000000"/>
          <w:sz w:val="20"/>
          <w:highlight w:val="white"/>
        </w:rPr>
        <w:t>tores are generally ten y</w:t>
      </w:r>
      <w:r>
        <w:rPr>
          <w:rFonts w:ascii="Times New Roman;sans-serif" w:hAnsi="Times New Roman;sans-serif"/>
          <w:b w:val="false"/>
          <w:color w:val="000000"/>
          <w:sz w:val="20"/>
        </w:rPr>
        <w:t>ears with options to renew for varying terms. The leases generally provide for a fixed minimum rental plus contingent rent, which is determined as a percentage of sales in excess of specified levels.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 meal and rest breaks, non-compliant wage statements and records and other similar allegations related to employment. The Plaintiff has also filed a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Private Attorney General Act claim with the state of California regarding the same allegations. The Company denies all liability and intends to vigorously defend itself in the case. The case is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NASDAQ Global Select Market under the symbol “VRA”. </w:t>
      </w:r>
    </w:p>
    <w:p>
      <w:pPr>
        <w:pStyle w:val="TextBody"/>
        <w:spacing w:lineRule="auto" w:line="288" w:before="180" w:after="283"/>
        <w:rPr/>
      </w:pPr>
      <w:r>
        <w:rPr>
          <w:rFonts w:ascii="Times New Roman;sans-serif" w:hAnsi="Times New Roman;sans-serif"/>
          <w:b w:val="false"/>
          <w:color w:val="000000"/>
          <w:sz w:val="20"/>
          <w:highlight w:val="white"/>
        </w:rPr>
        <w:t xml:space="preserve">As of March 27, 2021, we had approximately 25 registered shareholders of record. </w:t>
      </w:r>
      <w:r>
        <w:rPr>
          <w:rFonts w:ascii="Times New Roman;sans-serif" w:hAnsi="Times New Roman;sans-serif"/>
          <w:b w:val="false"/>
          <w:color w:val="000000"/>
          <w:sz w:val="20"/>
        </w:rPr>
        <w:t>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There was no activity under the 2018 Share Repurchase Program during the thirteen weeks ended January 30, 2021. To conserve cash as a result of COVID-19, the Company temporarily suspended the 2018 Share Repurchase Program. Refer to Note 13 of the Notes to the Consolidated Financial Statements as set forth in Part II, Item 8. of this Annual Report on Form 10-K for additional information regarding our share repurchase programs.</w:t>
      </w:r>
    </w:p>
    <w:tbl>
      <w:tblPr>
        <w:tblW w:w="10205" w:type="dxa"/>
        <w:jc w:val="left"/>
        <w:tblInd w:w="0" w:type="dxa"/>
        <w:tblCellMar>
          <w:top w:w="28" w:type="dxa"/>
          <w:left w:w="28" w:type="dxa"/>
          <w:bottom w:w="28" w:type="dxa"/>
          <w:right w:w="28" w:type="dxa"/>
        </w:tblCellMar>
      </w:tblPr>
      <w:tblGrid>
        <w:gridCol w:w="585"/>
        <w:gridCol w:w="515"/>
        <w:gridCol w:w="524"/>
        <w:gridCol w:w="432"/>
        <w:gridCol w:w="432"/>
        <w:gridCol w:w="433"/>
        <w:gridCol w:w="109"/>
        <w:gridCol w:w="109"/>
        <w:gridCol w:w="109"/>
        <w:gridCol w:w="319"/>
        <w:gridCol w:w="614"/>
        <w:gridCol w:w="164"/>
        <w:gridCol w:w="109"/>
        <w:gridCol w:w="109"/>
        <w:gridCol w:w="109"/>
        <w:gridCol w:w="739"/>
        <w:gridCol w:w="739"/>
        <w:gridCol w:w="741"/>
        <w:gridCol w:w="109"/>
        <w:gridCol w:w="109"/>
        <w:gridCol w:w="109"/>
        <w:gridCol w:w="435"/>
        <w:gridCol w:w="2228"/>
        <w:gridCol w:w="324"/>
      </w:tblGrid>
      <w:tr>
        <w:trPr/>
        <w:tc>
          <w:tcPr>
            <w:tcW w:w="58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1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12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Number of Shares Purchased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Approximate Dollar Value of Shares that May Yet be Purchased Under the Plans or Programs</w:t>
            </w:r>
          </w:p>
        </w:tc>
      </w:tr>
      <w:tr>
        <w:trPr/>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2020 - November 28, 2020</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32,939,607 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29, 2020 - January 2, 2021</w:t>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32,939,607 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 2021 - January 30, 2021</w:t>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32,939,607 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common stock began trading on October 21, 2010, following our initial public offering. Since that time, we have not declared any cash dividends, and we do not anticipate declaring any cash dividends in the foreseeable future.</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set forth below compares the cumulative shareholder return on our common stock between January 30, 2016, and January 30, 2021, to the cumulative return of (i) the S&amp;P 500 Index and (ii) the S&amp;P 500 Apparel, Accessories, and Luxury Goods Index over the same period. This graph assumes an initial investment of $100 on January 30, 2016, in our common stock, the S&amp;P 500 Index, and the S&amp;P 500 Apparel, Accessories, and Luxury Goods Index and assumes the reinvestment of dividends, if any.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pStyle w:val="TextBody"/>
        <w:spacing w:before="0" w:after="0"/>
        <w:rPr/>
      </w:pPr>
      <w:r>
        <w:rPr/>
      </w:r>
    </w:p>
    <w:p>
      <w:pPr>
        <w:pStyle w:val="TextBody"/>
        <w:spacing w:before="0" w:after="0"/>
        <w:jc w:val="center"/>
        <w:rPr/>
      </w:pPr>
      <w:r>
        <w:rPr/>
      </w:r>
    </w:p>
    <w:p>
      <w:pPr>
        <w:pStyle w:val="TextBody"/>
        <w:spacing w:before="0" w:after="0"/>
        <w:jc w:val="center"/>
        <w:rPr/>
      </w:pPr>
      <w:r>
        <w:rPr/>
        <w:drawing>
          <wp:inline distT="0" distB="63500" distL="0" distR="0">
            <wp:extent cx="6438900" cy="45720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438900" cy="4572000"/>
                    </a:xfrm>
                    <a:prstGeom prst="rect">
                      <a:avLst/>
                    </a:prstGeom>
                  </pic:spPr>
                </pic:pic>
              </a:graphicData>
            </a:graphic>
          </wp:inline>
        </w:drawing>
      </w:r>
    </w:p>
    <w:tbl>
      <w:tblPr>
        <w:tblW w:w="10205" w:type="dxa"/>
        <w:jc w:val="left"/>
        <w:tblInd w:w="0" w:type="dxa"/>
        <w:tblCellMar>
          <w:top w:w="28" w:type="dxa"/>
          <w:left w:w="28" w:type="dxa"/>
          <w:bottom w:w="28" w:type="dxa"/>
          <w:right w:w="28" w:type="dxa"/>
        </w:tblCellMar>
      </w:tblPr>
      <w:tblGrid>
        <w:gridCol w:w="705"/>
        <w:gridCol w:w="620"/>
        <w:gridCol w:w="62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Company/Market/Peer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1/30/2016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1/28/2017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2/3/2018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2/2/2019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2/1/2020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1/30/2021</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Apparel, Accessories, and Luxury Goods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pStyle w:val="TextBody"/>
        <w:spacing w:lineRule="auto" w:line="288" w:before="28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The COVID-19 Pandemic </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COVID-19 pandemic resulted in travel restrictions both domestically and internationally, community and self-quarantines, certain factory closures or reduced operations, as well as mall closures and reduced mall operating hours during fiscal 2021. Although e-commerce operations remained open for both of our brands, the aforementioned items had a material adverse impact on overall consumer demand, traffic, and sales. We cannot currently predict the extent that COVID-19 will impact our future liquidity, operating results, and financial condition, but it could have a significant adverse effect on these metrics. Beginning in mid-March 2020, we began taking several actions to navigate the COVID-19 pandemic, protect our financial position, maximize our liquidity, and to position the Company for a strong reopening and future. These actions included:</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Temporarily closing all Vera Bradley store locations on March 19;</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Temporarily furloughing approximately 80% of our workforce mid first quarter;</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Temporarily reducing base compensation for remaining salaried associates, with reductions on a graduated scale ranging from 15% to 30%, and 75% for our Chief Executive Officer;</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Temporarily suspending cash compensation to our Board of Directors;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Temporarily suspending our share repurchase program;</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Drawing $60.0 million of our $75.0 million Credit Agreement;</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Temporarily eliminating the Company 401(k) and associate charitable contribution matches;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Tightly managing inventory levels through the cancellation of purchase orders, delay of receipts, or seeking price concessions where possible;</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Actively working with landlords on addressing rent abatement, payment terms, accelerating store closures, and delaying or cancelling certain planned new store openings;</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Reducing non-payroll operating expenses, including but not limited to, marketing and travel; and</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Extending vendor payment terms.</w:t>
      </w:r>
    </w:p>
    <w:p>
      <w:pPr>
        <w:pStyle w:val="TextBody"/>
        <w:spacing w:lineRule="auto" w:line="276" w:before="10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Update on COVID-19 Actions as of January 30, 2021</w:t>
      </w:r>
    </w:p>
    <w:p>
      <w:pPr>
        <w:pStyle w:val="TextBody"/>
        <w:spacing w:lineRule="auto" w:line="276"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May 5, 2020, we began to open our Vera Bradley retail stores in a phased approach. All factory and full line stores were opened as of the end of the fiscal year, although with reduced hours, lower staffing levels, reduced foot traffic, and greatly enhanced safety protocols.</w:t>
      </w:r>
    </w:p>
    <w:p>
      <w:pPr>
        <w:pStyle w:val="TextBody"/>
        <w:spacing w:lineRule="auto" w:line="276"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sales of cotton face masks, coupled with a full year of Pura Vida operations, helped to offset sales declines otherwise associated with Vera Bradley. Net revenues from masks represented approximately 10% of consolidated net revenues for fiscal 2021.</w:t>
      </w:r>
    </w:p>
    <w:p>
      <w:pPr>
        <w:pStyle w:val="TextBody"/>
        <w:spacing w:lineRule="auto" w:line="276"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have brought back substantially all of our associates from furlough; reinstated the base compensation reductions; reinstated the cash compensation to our Board of Directors; paid back $60.0 million of borrowings under our Credit Agreement, leaving us with no debt as of the end of the fiscal year; and reinstated the 401(k) match in January 2021. We continued to manage operating expenses and inventory levels, and work with landlords on rent abatement and payment terms, which helped in the achievement of expense leverage. </w:t>
      </w:r>
    </w:p>
    <w:p>
      <w:pPr>
        <w:pStyle w:val="TextBody"/>
        <w:spacing w:lineRule="auto" w:line="276"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the Company is leveraging elements of the Coronavirus Aid Relief and Economic Security (CARES) Act. The CARES Act tax provisions include retention credits, the deferral of the employer portion of certain payroll taxes, and tax benefits related to a net operating loss carryback.</w:t>
      </w:r>
    </w:p>
    <w:p>
      <w:pPr>
        <w:pStyle w:val="TextBody"/>
        <w:spacing w:before="280" w:after="283"/>
        <w:rPr/>
      </w:pPr>
      <w:r>
        <w:rPr/>
      </w:r>
    </w:p>
    <w:p>
      <w:pPr>
        <w:pStyle w:val="TextBody"/>
        <w:spacing w:before="280" w:after="283"/>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Executive Summary</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As more fully described herein, fiscal 2021 was the final year of our Vision 20/20 strategic plan, which we began implementing in the third quarter of fiscal 2018. Despite the COVID-19 situation, we strengthened our infrastructure and better positioned both the Pura Vida and Vera Bradley brands for the future.</w:t>
      </w:r>
    </w:p>
    <w:p>
      <w:pPr>
        <w:pStyle w:val="TextBody"/>
        <w:spacing w:before="0" w:after="0"/>
        <w:rPr/>
      </w:pPr>
      <w:r>
        <w:rPr/>
      </w:r>
    </w:p>
    <w:p>
      <w:pPr>
        <w:pStyle w:val="TextBody"/>
        <w:spacing w:lineRule="auto" w:line="288" w:before="100" w:after="283"/>
        <w:ind w:left="0" w:right="0" w:firstLine="495"/>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Strategic Progress Highlights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In the </w:t>
      </w:r>
      <w:r>
        <w:rPr>
          <w:rFonts w:ascii="Times New Roman;sans-serif" w:hAnsi="Times New Roman;sans-serif"/>
          <w:b/>
          <w:i/>
          <w:color w:val="000000"/>
          <w:sz w:val="20"/>
          <w:u w:val="single"/>
        </w:rPr>
        <w:t>Information Technology</w:t>
      </w:r>
      <w:r>
        <w:rPr>
          <w:color w:val="000000"/>
        </w:rPr>
        <w:t xml:space="preserve"> </w:t>
      </w:r>
      <w:r>
        <w:rPr>
          <w:rFonts w:ascii="Times New Roman;sans-serif" w:hAnsi="Times New Roman;sans-serif"/>
          <w:b w:val="false"/>
          <w:color w:val="000000"/>
          <w:sz w:val="20"/>
        </w:rPr>
        <w:t>area:</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We completed Project Novus, our information technology platform conversion, migrating our e-commerce site to cloud-based Shopify Plus and replacing our existing ERP, POS, Business Intelligence, and Order Management systems with cloud-based Microsoft D365. This conversion not only decreased the complexity of our IT systems but has provided us with a more efficient technology platform enabling our entire enterprise to make quick, data-based, informed decisions in order to further enhance our customer experience and achieve our long-term growth objectives.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In the </w:t>
      </w:r>
      <w:r>
        <w:rPr>
          <w:rFonts w:ascii="Times New Roman;sans-serif" w:hAnsi="Times New Roman;sans-serif"/>
          <w:b/>
          <w:i/>
          <w:color w:val="000000"/>
          <w:sz w:val="20"/>
          <w:u w:val="single"/>
        </w:rPr>
        <w:t>Vera Bradley product</w:t>
      </w:r>
      <w:r>
        <w:rPr>
          <w:color w:val="000000"/>
        </w:rPr>
        <w:t xml:space="preserve"> </w:t>
      </w:r>
      <w:r>
        <w:rPr>
          <w:rFonts w:ascii="Times New Roman;sans-serif" w:hAnsi="Times New Roman;sans-serif"/>
          <w:b w:val="false"/>
          <w:color w:val="000000"/>
          <w:sz w:val="20"/>
        </w:rPr>
        <w:t>area:</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quickly reacted to the consumer demand for personal protective equipment, producing and selling millions of cotton face masks, generating meaningful revenue and gross margin dollars for the fiscal year.</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We continued another year of collaborations with several iconic brands, including Crocs, Disney, and Gillette Venus to create and sell limited-edition product collections; introduced our signature masks and 1982 backpacks in Target stores and on target.com; and launched our collaboration with Warner Bros. Consumer Products for the creation of our Harry Potter™ + Vera Bradley collection.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In the </w:t>
      </w:r>
      <w:r>
        <w:rPr>
          <w:rFonts w:ascii="Times New Roman;sans-serif" w:hAnsi="Times New Roman;sans-serif"/>
          <w:b/>
          <w:i/>
          <w:color w:val="000000"/>
          <w:sz w:val="20"/>
          <w:u w:val="single"/>
        </w:rPr>
        <w:t>Vera Bradley distribution</w:t>
      </w:r>
      <w:r>
        <w:rPr>
          <w:color w:val="000000"/>
        </w:rPr>
        <w:t xml:space="preserve"> </w:t>
      </w:r>
      <w:r>
        <w:rPr>
          <w:rFonts w:ascii="Times New Roman;sans-serif" w:hAnsi="Times New Roman;sans-serif"/>
          <w:b w:val="false"/>
          <w:color w:val="000000"/>
          <w:sz w:val="20"/>
        </w:rPr>
        <w:t>area:</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continued to strengthen and rationalize our store base. We opened six new factory stores and closed 13 underperforming full-line stores, ending the fiscal year with 75 full-line and 69 factory locations.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expanded and strengthened our partnerships with key online retailers such as Amazon.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In the </w:t>
      </w:r>
      <w:r>
        <w:rPr>
          <w:rFonts w:ascii="Times New Roman;sans-serif" w:hAnsi="Times New Roman;sans-serif"/>
          <w:b/>
          <w:i/>
          <w:color w:val="000000"/>
          <w:sz w:val="20"/>
          <w:u w:val="single"/>
        </w:rPr>
        <w:t>Vera Bradley marketing</w:t>
      </w:r>
      <w:r>
        <w:rPr>
          <w:color w:val="000000"/>
        </w:rPr>
        <w:t xml:space="preserve"> </w:t>
      </w:r>
      <w:r>
        <w:rPr>
          <w:rFonts w:ascii="Times New Roman;sans-serif" w:hAnsi="Times New Roman;sans-serif"/>
          <w:b w:val="false"/>
          <w:color w:val="000000"/>
          <w:sz w:val="20"/>
        </w:rPr>
        <w:t xml:space="preserve">area: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successfully launched our new verabradley.com site which allowed us to improve our customer’s online buying experience. We added a number of key site capabilities to support customers who shifted to online purchasing during the pandemic.</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Our investments in customer data science and business analytics positioned us to navigate through the pandemic, allowing us to collect and analyze data and respond to customer changes and adjust marketing spend in an agile way.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reinforced our commitment to be an</w:t>
      </w:r>
      <w:r>
        <w:rPr>
          <w:color w:val="000000"/>
        </w:rPr>
        <w:t xml:space="preserve"> </w:t>
      </w:r>
      <w:r>
        <w:rPr>
          <w:rFonts w:ascii="Times New Roman;sans-serif" w:hAnsi="Times New Roman;sans-serif"/>
          <w:b/>
          <w:i/>
          <w:color w:val="000000"/>
          <w:sz w:val="20"/>
          <w:u w:val="single"/>
        </w:rPr>
        <w:t>ESG-driven</w:t>
      </w:r>
      <w:r>
        <w:rPr>
          <w:color w:val="000000"/>
        </w:rPr>
        <w:t xml:space="preserve"> </w:t>
      </w:r>
      <w:r>
        <w:rPr>
          <w:rFonts w:ascii="Times New Roman;sans-serif" w:hAnsi="Times New Roman;sans-serif"/>
          <w:b w:val="false"/>
          <w:color w:val="000000"/>
          <w:sz w:val="20"/>
        </w:rPr>
        <w:t>organization.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continued to strengthen our community support and charitable efforts under the umbrellas of VB Cares, particularly through organizations that can profoundly improve the lives of women and children, including raising and donating $1.4 million to the Vera Bradley Foundation Center for Breast Cancer Research, over $630,000 to the Coronavirus Response Fund for Nurses, and donations to New Hope Girls, Blessings in a Backpack, and other causes.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As another aspect of VB Cares focused on caring for our associates, we paid over $800,000 in bonuses to those serving on the front lines during the pandemic. Our associate engagement scores also continued to be best in class, underscoring the engagement and commitment from our talented teams.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For </w:t>
      </w:r>
      <w:r>
        <w:rPr>
          <w:rFonts w:ascii="Times New Roman;sans-serif" w:hAnsi="Times New Roman;sans-serif"/>
          <w:b/>
          <w:i/>
          <w:color w:val="000000"/>
          <w:sz w:val="20"/>
          <w:u w:val="single"/>
        </w:rPr>
        <w:t>Pura Vida</w:t>
      </w:r>
      <w:r>
        <w:rPr>
          <w:rFonts w:ascii="Times New Roman;sans-serif" w:hAnsi="Times New Roman;sans-serif"/>
          <w:b w:val="false"/>
          <w:color w:val="000000"/>
          <w:sz w:val="20"/>
        </w:rPr>
        <w:t xml:space="preserve">: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Using Vera Bradley’s global sourcing expertise, we significantly strengthened Pura Vida’s supply chain, diversifying raw material sourcing, and adding three additional production facilities in countries outside of El Salvador.</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re-examined promotional activity and eliminated deep discounting, particularly around Black Friday, which led to gross margin rate improvement.</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In the </w:t>
      </w:r>
      <w:r>
        <w:rPr>
          <w:rFonts w:ascii="Times New Roman;sans-serif" w:hAnsi="Times New Roman;sans-serif"/>
          <w:b/>
          <w:i/>
          <w:color w:val="000000"/>
          <w:sz w:val="20"/>
          <w:u w:val="single"/>
        </w:rPr>
        <w:t>Pura Vida Product</w:t>
      </w:r>
      <w:r>
        <w:rPr>
          <w:color w:val="000000"/>
        </w:rPr>
        <w:t xml:space="preserve"> </w:t>
      </w:r>
      <w:r>
        <w:rPr>
          <w:rFonts w:ascii="Times New Roman;sans-serif" w:hAnsi="Times New Roman;sans-serif"/>
          <w:b w:val="false"/>
          <w:color w:val="000000"/>
          <w:sz w:val="20"/>
        </w:rPr>
        <w:t xml:space="preserve">area: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Pura Vida continued to show strength as a lifestyle brand by successfully expanding into new product categories. Nearly 50% of our e-commerce business is now comprised of jewelry categories other than traditional string bracelets, such as metal, semi-precious stones, charms, and the engravable collection,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underscoring the brand’s lifestyle appeal. We believe this lifestyle appeal will continue to be a key driver of growth.</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Charity bracelets remained an important element of the Pura Vida lifestyle and an important draw for our cause-minded customers. Since inception, Pura Vida has donated over $3.0 million to more than 200 charities.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In the </w:t>
      </w:r>
      <w:r>
        <w:rPr>
          <w:rFonts w:ascii="Times New Roman;sans-serif" w:hAnsi="Times New Roman;sans-serif"/>
          <w:b/>
          <w:i/>
          <w:color w:val="000000"/>
          <w:sz w:val="20"/>
          <w:u w:val="single"/>
        </w:rPr>
        <w:t>Pura Vida Distribution</w:t>
      </w:r>
      <w:r>
        <w:rPr>
          <w:color w:val="000000"/>
        </w:rPr>
        <w:t xml:space="preserve"> </w:t>
      </w:r>
      <w:r>
        <w:rPr>
          <w:rFonts w:ascii="Times New Roman;sans-serif" w:hAnsi="Times New Roman;sans-serif"/>
          <w:b w:val="false"/>
          <w:color w:val="000000"/>
          <w:sz w:val="20"/>
        </w:rPr>
        <w:t>area:</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Pura Vida expanded on the distribution front by launching fulfillment capabilities in Canada and entering into a third-party agreement for the wholesale distribution of our products in Europe to complement our existing e-commerce business and third-party operations there.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added Pura Vida shop-in-shops to six full-line Vera Bradley stores and expanded our presence in wholesale partners with larger in-store presentations.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In the </w:t>
      </w:r>
      <w:r>
        <w:rPr>
          <w:rFonts w:ascii="Times New Roman;sans-serif" w:hAnsi="Times New Roman;sans-serif"/>
          <w:b/>
          <w:i/>
          <w:color w:val="000000"/>
          <w:sz w:val="20"/>
          <w:u w:val="single"/>
        </w:rPr>
        <w:t>Pura Vida Marketing</w:t>
      </w:r>
      <w:r>
        <w:rPr>
          <w:color w:val="000000"/>
        </w:rPr>
        <w:t xml:space="preserve"> </w:t>
      </w:r>
      <w:r>
        <w:rPr>
          <w:rFonts w:ascii="Times New Roman;sans-serif" w:hAnsi="Times New Roman;sans-serif"/>
          <w:b w:val="false"/>
          <w:color w:val="000000"/>
          <w:sz w:val="20"/>
        </w:rPr>
        <w:t>area:</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Our brands in the accessories space remained one of the most highly-engaged brands in terms of social media engagement, with over 2.0 million Instagram followers. We are consistently listed as one of the most, if not the most, engaged jewelry brands on Instagram. TikTok exposure also increased with over 200,000 followers, a team of Brand Ambassadors, and close to 150,000 micro influencers who collectively are an active part of the brand and a key part of our marketing strategy.</w:t>
      </w:r>
    </w:p>
    <w:p>
      <w:pPr>
        <w:pStyle w:val="TextBody"/>
        <w:spacing w:lineRule="auto" w:line="288" w:before="28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Financial Summary</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Refer to "The COVID-19 Pandemic" for additional information regarding the impacts of the pandemic on fiscal 2021 financial results. Fiscal 2020 results (our prior fiscal year) included Pura Vida operations as of July 17, 2019, the first full-day following the acquisition.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Net revenues were $468.3 million in fiscal 2021 compared to $495.2 million in fiscal 2020.</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Vera Bradley Direct (“VB Direct”) segment sales were $289.3 million in fiscal 2021 compared to $347.5 million in fiscal 2020.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Vera Bradley Indirect (“VB Indirect”) segment sales were $66.5 million in fiscal 2021 compared to $81.8 million in fiscal 2020.</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Pura Vida segment sales were $112.5 million in fiscal 2021 compared to $65.9 million for the partial period since the acquisition.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Gross profit was $265.5 million (56.7% of net revenue) in fiscal 2021 compared to $271.8 million (54.9% of net revenue) in fiscal 2020. COVID-19-related purchase order cancellations totaled $1.3 million (0.3% of net revenue) during fiscal 2021. Inventory step-up amortization related to the Pura Vida acquisition totaled $8.3 million (1.7% of net revenue) during fiscal 2020.</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SG&amp;A expenses were $252.6 million (53.9% of net revenue) in fiscal 2021 compared to $253.4 million (51.2% of net revenue) in fiscal 2020.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During fiscal 2021, SG&amp;A expenses included $9.2 million of Pura Vida purchase-related charges; $7.4 million of store asset impairment charges; $2.7 million of charges related to Project Novus; and $0.2 million of COVID-19-related charges.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During fiscal 2020, SG&amp;A expenses included $8.0 million of Pura Vida purchase-related charges and $3.0 million of charges related to Project Novus.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Operating income was $13.1 million (2.8% of net revenue) in fiscal 2021 compared to $19.5 million (3.9% of net revenue) in fiscal 2020.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During fiscal 2021, operating income was negatively impacted by $9.2 million of Pura Vida purchase-related charges; $7.4 million of store asset impairment charges; $2.7 million of charges related to Project Novus; and $1.5 million of COVID-19-related charges.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During fiscal 2020, operating income was negatively impacted by Pura Vida purchase-related charges of $16.3 million and charges of $3.0 million related to Project Novus.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Net income attributable to Vera Bradley, Inc. was $8.7 million in fiscal 2021 compared to $16.0 million in fiscal 2020.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During fiscal 2021, net income attributable to Vera Bradley, Inc. was negatively impacted by $4.5 million of store asset impairment charges; $5.0 million of Pura Vida purchase-related charges; $2.1 million of charges related to Project Novus; and $1.1 million of COVID-19-related charges.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During fiscal 2020, net income attributable to Vera Bradley, Inc. was negatively impacted by Pura Vida purchase-related charges of $9.7 million and charges of $2.4 million related to Project Novus.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Diluted net income per share was $0.26 in fiscal 2021 compared to $0.47 in fiscal 2020. The aforementioned charges negatively impacted net income per share by $0.38 and $0.35 in fiscal 2021 and 2020, respectively.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Cash, cash equivalents, and investments were $65.5 million at January 30, 2021 compared to $73.8 million at February 1, 2020. The Company provided cash consideration of $76.0 million during fiscal 2020 for the Pura Vida acquisition.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Capital expenditures for fiscal 2021 totaled $5.7 million compared to $13.3 million for fiscal 2020.</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Repurchases of common stock for fiscal 2021 totaled $2.9 million, or 0.4 million shares, compared to $11.3 million, or 1.1 million shares, in fiscal 2020.</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How We Assess the Performance of Our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assessing the performance of our business, we consider a variety of performance and financial measures.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Revenues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and through the distribution of Pura Vida-branded products to wholesale retailers.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Comparable Sales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Typically, comparable sales are calculated based upon our stores that have been open for at least 12 full fiscal months and net revenues from our Vera Bradley e-commerce operations. Pura Vida e-commerce operations are included within the Company's comparable sales beginning with the fiscal 2021 third quarter. Pura Vida e-commerce operations include sales from the subscription club.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 </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As a result of the temporary closure of all Vera Bradley stores due to COVID-19 during portions of the first and second quarters, the Company's fiscal 2021 comparable store sales and comparable sales calculations are not meaningful and therefore are not provided.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Typically, measuring the change in year-over-year comparable sales allows us and our investors to evaluate how our store base and e-commerce operations are performing. Various factors affect our comparable sales, including: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Overall economic trends;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Consumer preferences and fashion trends;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Competition;</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timing of our releases of new patterns and collections;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Changes in our product mix;</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Pricing and level of promotions;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Amount of store, mall, and e-commerce traffic;</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level of customer service that we provide in stores and to our on-line customers;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Our ability to source and distribute products efficiently;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number of stores we open and close in any period;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timing and success of promotional and marketing efforts.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Gross Profit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Gross profit can be impacted by changes in volume; fluctuations in sales price; operational efficiencies, such as leveraging of fixed costs; promotional activities, including free shipping; commodity prices, such as for cotton; tariffs; and labor costs.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(“SG&amp;A”)</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include selling; advertising, marketing, and product development; and administrative expenses. Selling expenses include: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VB Direct business expenses, such as store expenses, employee compensation, and store occupancy and supply costs;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VB Indirect business expenses consisting primarily of employee compensation and other expenses associated with sales to Indirect retailers; and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Pura Vida business expenses primarily related to employee compensation.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Other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Other income includes certain legal settlements, proceeds from the sales of tickets to our annual outlet sale (for fiscals 2020 and 2019), and sales tax credits received for timely filings. In addition, we support many of our Indirect retailers’ marketing efforts by distributing certain catalogs and promotional mailers to current and prospective customers. Our Vera Bradley Indirect retailers reimburse us for a portion of the cost to produce these materials. Reimbursement received is recorded as other income. The related cost to design, produce, and distribute the catalogs and mailers is recorded as SG&amp;A expense.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Operating income is equal to gross profit less SG&amp;A expenses plus other income. Operating income excludes interest income, interest expense, and income taxes.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Income Before 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is equal to operating income plus interest income less interest expense.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income is equal to income before income taxes less income tax expense.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Income (Loss) Attributable to Redeemable Noncontrolling Interest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redeemable noncontrolling interest represents the operating results of Pura Vida that are not attributable to Vera Bradley, Inc.</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Vera Bradley, Inc.</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Vera Bradley, Inc. is equal to net income less net income (loss) attributable to redeemable noncontrolling interest.</w:t>
      </w:r>
    </w:p>
    <w:p>
      <w:pPr>
        <w:pStyle w:val="TextBody"/>
        <w:spacing w:before="280" w:after="283"/>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Pura Vida Acquisition</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growing, digitally native, and highly engaging lifestyle brand that deeply resonates with its loyal consumer following. The Pura Vida brand has a differentiated and expanding offering of bracelets, jewelry, and other lifestyle accessories. The Company believes that the acquisition strengthened the Company by providing increased product diversification and future growth opportunities partially as a result of resource and knowledge-sharing. </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fiscal 2021. Pre-tax transaction costs totaled $2.7 million for fiscal 2020. These costs are recorded within selling, general, and administrative expenses in the Condensed Consolidated Statements of Operations and within corporate unallocated expenses. </w:t>
      </w:r>
    </w:p>
    <w:p>
      <w:pPr>
        <w:pStyle w:val="TextBody"/>
        <w:spacing w:lineRule="auto" w:line="288" w:before="100" w:after="100"/>
        <w:rPr/>
      </w:pPr>
      <w:r>
        <w:rPr>
          <w:rFonts w:ascii="Times New Roman;sans-serif" w:hAnsi="Times New Roman;sans-serif"/>
          <w:b w:val="false"/>
          <w:color w:val="000000"/>
          <w:sz w:val="20"/>
        </w:rPr>
        <w:t>Pura Vida has been fully consolidated within our financial statements beginning on July 17, 2019, the first full day following the acquisition. Pura Vida was also added as a reportable segment as a result of the acquisi</w:t>
      </w:r>
      <w:r>
        <w:rPr>
          <w:rFonts w:ascii="Times New Roman;sans-serif" w:hAnsi="Times New Roman;sans-serif"/>
          <w:b w:val="false"/>
          <w:color w:val="000000"/>
          <w:sz w:val="20"/>
          <w:highlight w:val="white"/>
        </w:rPr>
        <w:t>tion. Refer to Note 15 to the No</w:t>
      </w:r>
      <w:r>
        <w:rPr>
          <w:rFonts w:ascii="Times New Roman;sans-serif" w:hAnsi="Times New Roman;sans-serif"/>
          <w:b w:val="false"/>
          <w:color w:val="000000"/>
          <w:sz w:val="20"/>
        </w:rPr>
        <w:t>tes to the Consolidated Financial Statements herein for additional information regarding the Pura Vida acquisition.</w:t>
      </w:r>
    </w:p>
    <w:p>
      <w:pPr>
        <w:pStyle w:val="TextBody"/>
        <w:spacing w:lineRule="auto" w:line="288" w:before="280" w:after="100"/>
        <w:rPr>
          <w:rFonts w:ascii="Times New Roman;sans-serif" w:hAnsi="Times New Roman;sans-serif"/>
          <w:b/>
          <w:color w:val="000000"/>
          <w:sz w:val="20"/>
        </w:rPr>
      </w:pPr>
      <w:r>
        <w:rPr>
          <w:rFonts w:ascii="Times New Roman;sans-serif" w:hAnsi="Times New Roman;sans-serif"/>
          <w:b/>
          <w:color w:val="000000"/>
          <w:sz w:val="20"/>
        </w:rPr>
        <w:t>Impairment Charges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2 to the Notes to the Consolidated Financial Statements herein. Impairment charges of $7.4 million were recognized in the fiscal year ended January 30, 2021 for property, plant, and equipment assets and lease right-of-use assets related to underperforming stores and are included in SG&amp;A expenses in the Consolidated Statements of Operations and in impairment charges in the Consolidated Statements of Cash Flows. The impairment charges are included in the VB Direct segment. There were no impairment charges recorded during the fiscal years ended February 1, 2020 or February 2, 2019. The COVID-19 pandemic, including the temporary closure of Vera Bradley retail stores beginning in mid-March, significantly impacted the Company's operations and cash flows which was the main driver of the impairment charges. We are unable to predict the extent of the impact that the COVID-19 pandemic will have on our operations, the economy, or other factors; therefore, it is possible additional impairments could be identified in future periods, and such amounts could be material.</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components of our consolidated results of operations for the last three fiscal years, both in dollars and as a percentage of our net revenues. Fiscal 2020 includes Pura Vida operations beginning on July 17, 2019, the first full business day following the acquisition. Fiscal 2019 has not been recast to include the results of Pura Vida. Refer to Note 15 to the Notes to Consolidated Financial Statements herein for additional information.</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961"/>
        <w:gridCol w:w="1642"/>
        <w:gridCol w:w="165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961"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5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Fiscal Year Ended </w:t>
            </w:r>
            <w:r>
              <w:rPr>
                <w:rFonts w:ascii="Times New Roman;sans-serif" w:hAnsi="Times New Roman;sans-serif"/>
                <w:b/>
                <w:color w:val="000000"/>
                <w:sz w:val="13"/>
              </w:rPr>
              <w:t>(1)</w:t>
            </w:r>
          </w:p>
        </w:tc>
      </w:tr>
      <w:tr>
        <w:trPr/>
        <w:tc>
          <w:tcPr>
            <w:tcW w:w="5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Income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416,097 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202,754 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177,510 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238,587 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Selling, general, and administrative expenses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211,984 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Income tax expense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 of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Vera Bradley,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net revenues by operating segment, both in dollars and as a percentage of our net revenues, and Vera Bradley full-line and factory outlet store data for the last three fiscal years:</w:t>
      </w:r>
    </w:p>
    <w:p>
      <w:pPr>
        <w:pStyle w:val="TextBody"/>
        <w:spacing w:lineRule="auto" w:line="288" w:before="0" w:after="0"/>
        <w:rPr>
          <w:color w:val="000000"/>
        </w:rPr>
      </w:pPr>
      <w:r>
        <w:rPr>
          <w:color w:val="000000"/>
        </w:rPr>
        <w:t> </w:t>
      </w:r>
    </w:p>
    <w:tbl>
      <w:tblPr>
        <w:tblW w:w="8475" w:type="dxa"/>
        <w:jc w:val="left"/>
        <w:tblInd w:w="0" w:type="dxa"/>
        <w:tblCellMar>
          <w:top w:w="28" w:type="dxa"/>
          <w:left w:w="28" w:type="dxa"/>
          <w:bottom w:w="28" w:type="dxa"/>
          <w:right w:w="28" w:type="dxa"/>
        </w:tblCellMar>
      </w:tblPr>
      <w:tblGrid>
        <w:gridCol w:w="1275"/>
        <w:gridCol w:w="1121"/>
        <w:gridCol w:w="1129"/>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275"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Fiscal Year Ended </w:t>
            </w:r>
            <w:r>
              <w:rPr>
                <w:rFonts w:ascii="Times New Roman;sans-serif" w:hAnsi="Times New Roman;sans-serif"/>
                <w:b/>
                <w:color w:val="000000"/>
                <w:sz w:val="13"/>
              </w:rPr>
              <w:t>(1)</w:t>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as otherwise indicated)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Segment: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Direct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347,484 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Indirect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 of Net Revenues by Segment: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Direct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Indirect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9687" w:type="dxa"/>
        <w:jc w:val="left"/>
        <w:tblInd w:w="0" w:type="dxa"/>
        <w:tblCellMar>
          <w:top w:w="28" w:type="dxa"/>
          <w:left w:w="28" w:type="dxa"/>
          <w:bottom w:w="28" w:type="dxa"/>
          <w:right w:w="28" w:type="dxa"/>
        </w:tblCellMar>
      </w:tblPr>
      <w:tblGrid>
        <w:gridCol w:w="1920"/>
        <w:gridCol w:w="1683"/>
        <w:gridCol w:w="1691"/>
        <w:gridCol w:w="109"/>
        <w:gridCol w:w="109"/>
        <w:gridCol w:w="109"/>
        <w:gridCol w:w="413"/>
        <w:gridCol w:w="413"/>
        <w:gridCol w:w="331"/>
        <w:gridCol w:w="109"/>
        <w:gridCol w:w="109"/>
        <w:gridCol w:w="109"/>
        <w:gridCol w:w="257"/>
        <w:gridCol w:w="569"/>
        <w:gridCol w:w="279"/>
        <w:gridCol w:w="109"/>
        <w:gridCol w:w="109"/>
        <w:gridCol w:w="109"/>
        <w:gridCol w:w="257"/>
        <w:gridCol w:w="569"/>
        <w:gridCol w:w="324"/>
      </w:tblGrid>
      <w:tr>
        <w:trPr/>
        <w:tc>
          <w:tcPr>
            <w:tcW w:w="1920"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5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Vera Bradley Store Data </w:t>
            </w:r>
            <w:r>
              <w:rPr>
                <w:rFonts w:ascii="Times New Roman;sans-serif" w:hAnsi="Times New Roman;sans-serif"/>
                <w:b/>
                <w:color w:val="000000"/>
                <w:sz w:val="13"/>
              </w:rPr>
              <w:t>(4)</w:t>
            </w: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stores opened during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stores closed during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stores open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Comparable sales (including e-commerce) increase (decrease)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square footage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386,028 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379,792 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Average net revenues per gross square foot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(1)The Company utilizes a 52-53 week fiscal year ending on the Saturday closest to January 31. Fiscal years 2021, 2020, and 2019 consisted of 52 weeks.</w:t>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 xml:space="preserve">(2)Impairment charges, related to underperforming stores, totaled $7.4 million during the fiscal year ended January 30, 2021. There were no impairment charges recorded during the fiscal years ended February 1, 2020 and February 2, 2019. </w:t>
      </w:r>
    </w:p>
    <w:p>
      <w:pPr>
        <w:pStyle w:val="TextBody"/>
        <w:spacing w:lineRule="auto" w:line="288" w:before="0" w:after="0"/>
        <w:ind w:left="0" w:right="0" w:hanging="63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(3)Includes a $2.8 million tax benefit related to the net operating loss carryback provisions of the CARES Act in fiscal 2021.</w:t>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(4)Includes Vera Bradley full-line and factory outlet stores.</w:t>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(5)Comparable sales are calculated based upon stores that have been open for at least 12 full fiscal months and net revenues from e-commerce operations. Increase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As a result of Vera Bradley retail stores being temporarily closed for approximately half of the first and second quarters of fiscal 2021, comparable sales were not meaningful and were therefore not provided.</w:t>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(6)Dollars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a result of Vera Bradley retail stores being temporarily closed for approximately half of the first and second quarters of fiscal 2021, average net revenues per gross square foot were not meaningful and were therefore not provided.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Fiscal 2021 Compared to Fiscal 2020 </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Net Revenues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net revenues decreased $26.9 million, or 5.4%, to $468.3 million, from $495.2 million for fiscal 2020.</w:t>
      </w:r>
    </w:p>
    <w:p>
      <w:pPr>
        <w:pStyle w:val="TextBody"/>
        <w:spacing w:lineRule="auto" w:line="288" w:before="180" w:after="283"/>
        <w:rPr/>
      </w:pPr>
      <w:r>
        <w:rPr>
          <w:rFonts w:ascii="Times New Roman;sans-serif" w:hAnsi="Times New Roman;sans-serif"/>
          <w:b w:val="false"/>
          <w:i/>
          <w:color w:val="000000"/>
          <w:sz w:val="20"/>
        </w:rPr>
        <w:t>VB Direct.</w:t>
      </w:r>
      <w:r>
        <w:rPr>
          <w:color w:val="000000"/>
        </w:rPr>
        <w:t> </w:t>
      </w:r>
      <w:r>
        <w:rPr>
          <w:rFonts w:ascii="Times New Roman;sans-serif" w:hAnsi="Times New Roman;sans-serif"/>
          <w:b w:val="false"/>
          <w:color w:val="000000"/>
          <w:sz w:val="20"/>
        </w:rPr>
        <w:t xml:space="preserve">For fiscal 2021, net revenues decreased $58.2 million, or 16.8%, to $289.3 million, from $347.5 million for fiscal 2020. The decline primarily resulted from the Company’s stores that were temporarily closed as a result of COVID-19 and lower traffic and sales as they reopened with reduced staffing, hours, and capacity, as well as the COVID-19-related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cancellation of our annual outlet sale which typically occurs in April. This decline was partially offset by current-year period Vera Bradley e-commerce sales which increased 49.0% over the comparable period in the prior-year.</w:t>
      </w:r>
    </w:p>
    <w:p>
      <w:pPr>
        <w:pStyle w:val="TextBody"/>
        <w:spacing w:lineRule="auto" w:line="288" w:before="180" w:after="283"/>
        <w:rPr/>
      </w:pPr>
      <w:r>
        <w:rPr>
          <w:rFonts w:ascii="Times New Roman;sans-serif" w:hAnsi="Times New Roman;sans-serif"/>
          <w:b w:val="false"/>
          <w:i/>
          <w:color w:val="000000"/>
          <w:sz w:val="20"/>
        </w:rPr>
        <w:t>VB Indirect.</w:t>
      </w:r>
      <w:r>
        <w:rPr>
          <w:color w:val="000000"/>
        </w:rPr>
        <w:t> </w:t>
      </w:r>
      <w:r>
        <w:rPr>
          <w:rFonts w:ascii="Times New Roman;sans-serif" w:hAnsi="Times New Roman;sans-serif"/>
          <w:b w:val="false"/>
          <w:color w:val="000000"/>
          <w:sz w:val="20"/>
        </w:rPr>
        <w:t>For fiscal 2021, net revenues decreased $15.3 million, or 18.7%, to $66.5 million, from $81.8 million for fiscal 2020. The decline was primarily due to a reduction in orders from specialty, department stores and other key accounts, largely related to COVID-19, as well as a reduction in the number of specialty and department store accounts.</w:t>
      </w:r>
    </w:p>
    <w:p>
      <w:pPr>
        <w:pStyle w:val="TextBody"/>
        <w:spacing w:lineRule="auto" w:line="288" w:before="180" w:after="283"/>
        <w:rPr/>
      </w:pPr>
      <w:r>
        <w:rPr>
          <w:rFonts w:ascii="Times New Roman;sans-serif" w:hAnsi="Times New Roman;sans-serif"/>
          <w:b w:val="false"/>
          <w:i/>
          <w:color w:val="000000"/>
          <w:sz w:val="20"/>
        </w:rPr>
        <w:t>Pura Vida</w:t>
      </w:r>
      <w:r>
        <w:rPr>
          <w:rFonts w:ascii="Times New Roman;sans-serif" w:hAnsi="Times New Roman;sans-serif"/>
          <w:b w:val="false"/>
          <w:color w:val="000000"/>
          <w:sz w:val="20"/>
        </w:rPr>
        <w:t xml:space="preserve">. For fiscal 2021, net revenues were $112.5 million compared to $65.9 million </w:t>
      </w:r>
      <w:r>
        <w:rPr>
          <w:rFonts w:ascii="Times New Roman;sans-serif" w:hAnsi="Times New Roman;sans-serif"/>
          <w:b w:val="false"/>
          <w:color w:val="000000"/>
          <w:sz w:val="20"/>
          <w:highlight w:val="white"/>
        </w:rPr>
        <w:t>in the partial period of the prior-year. E-commerce revenues increased 6.5% during the comparable six-month periods of fiscals 2021 and 2020. Refer to Note 15 to</w:t>
      </w:r>
      <w:r>
        <w:rPr>
          <w:color w:val="000000"/>
        </w:rPr>
        <w:t xml:space="preserve"> </w:t>
      </w:r>
      <w:r>
        <w:rPr>
          <w:rFonts w:ascii="Times New Roman;sans-serif" w:hAnsi="Times New Roman;sans-serif"/>
          <w:b w:val="false"/>
          <w:color w:val="000000"/>
          <w:sz w:val="20"/>
        </w:rPr>
        <w:t>the Consolidated Financial Statements herein for additional information regarding the Pura Vida acquisition.</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Gross Profit</w:t>
      </w:r>
    </w:p>
    <w:p>
      <w:pPr>
        <w:pStyle w:val="TextBody"/>
        <w:spacing w:lineRule="auto" w:line="288" w:before="100" w:after="283"/>
        <w:rPr/>
      </w:pPr>
      <w:r>
        <w:rPr>
          <w:rFonts w:ascii="Times New Roman;sans-serif" w:hAnsi="Times New Roman;sans-serif"/>
          <w:b w:val="false"/>
          <w:color w:val="000000"/>
          <w:sz w:val="20"/>
        </w:rPr>
        <w:t xml:space="preserve">For fiscal 2021, gross profit decreased $6.3 million, or 2.3%, to $265.5 million, from $271.8 million for fiscal 2020. As a percentage of net revenues, gross profit increased to 56.7% for fiscal 2021, from 54.9% for fiscal 2020. </w:t>
      </w:r>
      <w:r>
        <w:rPr>
          <w:rFonts w:ascii="Times New Roman;sans-serif" w:hAnsi="Times New Roman;sans-serif"/>
          <w:b w:val="false"/>
          <w:color w:val="000000"/>
          <w:sz w:val="20"/>
          <w:highlight w:val="white"/>
        </w:rPr>
        <w:t>Charges for the cancellation of certain purchase orders due to COVID-19 in the current-year totaled $1.3 million and negatively impacted gross margin as a percentage of net revenues by 0.3%.</w:t>
      </w:r>
      <w:r>
        <w:rPr>
          <w:color w:val="000000"/>
        </w:rPr>
        <w:t xml:space="preserve"> </w:t>
      </w:r>
      <w:r>
        <w:rPr>
          <w:rFonts w:ascii="Times New Roman;sans-serif" w:hAnsi="Times New Roman;sans-serif"/>
          <w:b w:val="false"/>
          <w:color w:val="000000"/>
          <w:sz w:val="20"/>
        </w:rPr>
        <w:t>The prior-year period included $8.3 million o</w:t>
      </w:r>
      <w:r>
        <w:rPr>
          <w:rFonts w:ascii="Times New Roman;sans-serif" w:hAnsi="Times New Roman;sans-serif"/>
          <w:b w:val="false"/>
          <w:color w:val="000000"/>
          <w:sz w:val="20"/>
          <w:highlight w:val="white"/>
        </w:rPr>
        <w:t>f inventory step-up amortization related to the Pura Vida acquisition that negatively impacted gross margin as a percentage of net revenues by 1.7%</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The remaining increase as a percentage of net revenues was primarily due to mask sales, product collaborations, and inventory management.</w:t>
      </w:r>
    </w:p>
    <w:p>
      <w:pPr>
        <w:pStyle w:val="TextBody"/>
        <w:spacing w:lineRule="auto" w:line="288" w:before="28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Selling, General, and Administrative Expenses (“SG&amp;A”)</w:t>
      </w:r>
    </w:p>
    <w:p>
      <w:pPr>
        <w:pStyle w:val="TextBody"/>
        <w:spacing w:lineRule="auto" w:line="288" w:before="100" w:after="283"/>
        <w:rPr/>
      </w:pPr>
      <w:r>
        <w:rPr>
          <w:rFonts w:ascii="Times New Roman;sans-serif" w:hAnsi="Times New Roman;sans-serif"/>
          <w:b w:val="false"/>
          <w:color w:val="000000"/>
          <w:sz w:val="20"/>
        </w:rPr>
        <w:t xml:space="preserve">For fiscal 2021, SG&amp;A expenses decreased $0.8 million, or 0.3%, to $252.6 million, from $253.4 million for fiscal 2020. As a percentage of net revenues, SG&amp;A expenses were 53.9% and 51.2% for fiscal 2021 and fiscal 2020, respectively. </w:t>
      </w:r>
      <w:r>
        <w:rPr>
          <w:rFonts w:ascii="Times New Roman;sans-serif" w:hAnsi="Times New Roman;sans-serif"/>
          <w:b w:val="false"/>
          <w:color w:val="000000"/>
          <w:sz w:val="20"/>
          <w:highlight w:val="white"/>
        </w:rPr>
        <w:t>SG&amp;A expenses related to Vera Bradley and corporate unallocated were $194.7 million compared to $219.9 million in the comparable prior-year period. SG&amp;A expenses related to Pura Vida were $57.9 million compared to $33.5 million in the partial period of the prior-year. The decrease in consolidated SG&amp;A expenses for fiscal 2021 was primarily due to:</w:t>
      </w:r>
    </w:p>
    <w:p>
      <w:pPr>
        <w:pStyle w:val="TextBody"/>
        <w:spacing w:lineRule="auto" w:line="256" w:before="100" w:after="283"/>
        <w:ind w:left="0" w:right="0" w:hanging="360"/>
        <w:rPr/>
      </w:pPr>
      <w:r>
        <w:rPr>
          <w:color w:val="000000"/>
          <w:highlight w:val="white"/>
        </w:rPr>
        <w:t>•</w:t>
      </w:r>
      <w:r>
        <w:rPr>
          <w:rFonts w:ascii="Times New Roman;sans-serif" w:hAnsi="Times New Roman;sans-serif"/>
          <w:b w:val="false"/>
          <w:color w:val="000000"/>
          <w:sz w:val="20"/>
          <w:highlight w:val="white"/>
        </w:rPr>
        <w:t>Vera Bradley initiatives to reduce expenses in light of COVID-19 including the temporary furlough of certain associates; temporarily reducing the base compensation for all other salaried associates; certain expense reductions associated with the CARES Act retention credit; and reducing other non-payroll expenses including marketing, professional fees, and travel;</w:t>
      </w:r>
    </w:p>
    <w:p>
      <w:pPr>
        <w:pStyle w:val="TextBody"/>
        <w:spacing w:lineRule="auto" w:line="256" w:before="100" w:after="283"/>
        <w:ind w:left="0" w:right="0" w:hanging="360"/>
        <w:rPr/>
      </w:pPr>
      <w:r>
        <w:rPr>
          <w:color w:val="000000"/>
          <w:highlight w:val="white"/>
        </w:rPr>
        <w:t>•</w:t>
      </w:r>
      <w:r>
        <w:rPr>
          <w:rFonts w:ascii="Times New Roman;sans-serif" w:hAnsi="Times New Roman;sans-serif"/>
          <w:b w:val="false"/>
          <w:color w:val="000000"/>
          <w:sz w:val="20"/>
          <w:highlight w:val="white"/>
        </w:rPr>
        <w:t>a reduction of approximately $6.3 million in lease expense primarily as a result of lower contingent rent, lease right-of-use asset impairments recorded in the first quarter of the current-year, 13 full-line store closures during the last 12 months, and COVID-19-related rent abatements;</w:t>
      </w:r>
    </w:p>
    <w:p>
      <w:pPr>
        <w:pStyle w:val="TextBody"/>
        <w:spacing w:lineRule="auto" w:line="256" w:before="100" w:after="283"/>
        <w:ind w:left="0" w:right="0" w:hanging="360"/>
        <w:rPr/>
      </w:pPr>
      <w:r>
        <w:rPr>
          <w:color w:val="000000"/>
          <w:highlight w:val="white"/>
        </w:rPr>
        <w:t>•</w:t>
      </w:r>
      <w:r>
        <w:rPr>
          <w:rFonts w:ascii="Times New Roman;sans-serif" w:hAnsi="Times New Roman;sans-serif"/>
          <w:b w:val="false"/>
          <w:color w:val="000000"/>
          <w:sz w:val="20"/>
          <w:highlight w:val="white"/>
        </w:rPr>
        <w:t>a reduction of $4.5 million in depreciation expense primarily as a result of legacy software depreciation in the prior-year period that did not recur in the current-year period and savings as a result of property, plant, and equipment impairments recorded in the first quarter of the current-year; and</w:t>
      </w:r>
    </w:p>
    <w:p>
      <w:pPr>
        <w:pStyle w:val="TextBody"/>
        <w:spacing w:lineRule="auto" w:line="256" w:before="100" w:after="283"/>
        <w:ind w:left="0" w:right="0" w:hanging="360"/>
        <w:rPr/>
      </w:pPr>
      <w:r>
        <w:rPr>
          <w:color w:val="000000"/>
          <w:highlight w:val="white"/>
        </w:rPr>
        <w:t>•</w:t>
      </w:r>
      <w:r>
        <w:rPr>
          <w:rFonts w:ascii="Times New Roman;sans-serif" w:hAnsi="Times New Roman;sans-serif"/>
          <w:b w:val="false"/>
          <w:color w:val="000000"/>
          <w:sz w:val="20"/>
          <w:highlight w:val="white"/>
        </w:rPr>
        <w:t>$2.7 million of Pura Vida acquisition-related transaction costs that were incurred in the prior-year period that did not recur in the current-year.</w:t>
      </w:r>
    </w:p>
    <w:p>
      <w:pPr>
        <w:pStyle w:val="TextBody"/>
        <w:spacing w:lineRule="auto" w:line="256" w:before="100" w:after="283"/>
        <w:rPr/>
      </w:pPr>
      <w:r>
        <w:rPr>
          <w:rFonts w:ascii="Times New Roman;sans-serif" w:hAnsi="Times New Roman;sans-serif"/>
          <w:b w:val="false"/>
          <w:color w:val="000000"/>
          <w:sz w:val="20"/>
          <w:highlight w:val="white"/>
        </w:rPr>
        <w:t xml:space="preserve">These expense savings were partially offset by incremental Pura Vida operating expenses of $20.7 million; store impairment charges of $7.4 million; $3.7 million for incremental intangible asset amortization; and an adjustment to reduce the earn-out liability related to the Pura Vida acquisition of $1.6 million in the prior-year period that did not recur in the current-year period. </w:t>
      </w:r>
      <w:r>
        <w:rPr>
          <w:rFonts w:ascii="Times New Roman;sans-serif" w:hAnsi="Times New Roman;sans-serif"/>
          <w:b w:val="false"/>
          <w:color w:val="000000"/>
          <w:sz w:val="20"/>
        </w:rPr>
        <w:t>SG&amp;A expenses as a percentage of net revenues increased primarily due to the aforementio</w:t>
      </w:r>
      <w:r>
        <w:rPr>
          <w:rFonts w:ascii="Times New Roman;sans-serif" w:hAnsi="Times New Roman;sans-serif"/>
          <w:b w:val="false"/>
          <w:color w:val="000000"/>
          <w:sz w:val="20"/>
          <w:highlight w:val="white"/>
        </w:rPr>
        <w:t>ned items, as well as SG&amp;A expense de-leverage associated with decreased sales.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Other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other income decreased $1.0 million, or 87.7%, to $0.1 million, from $1.1 million for fiscal 2020, primarily due to a legal settlement received in the prior-year period that did not recur in the current-year period, as well as outlet sale ticket sales not received in the current-year period due to the cancellation of our 2020 annual outlet sale as a result of COVID-19.</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operating income decreased $6.4 million, or 32.9%, to $13.1 million from $19.5 million for fiscal 2020. As a percentage of net revenues, operating income was 2.8% and 3.9% for fiscal 2021 and fiscal 2020, respectively. Operating income decreased due to the factors described above.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information about our operating income (in thousands).</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tbl>
      <w:tblPr>
        <w:tblW w:w="8704" w:type="dxa"/>
        <w:jc w:val="left"/>
        <w:tblInd w:w="0" w:type="dxa"/>
        <w:tblCellMar>
          <w:top w:w="28" w:type="dxa"/>
          <w:left w:w="28" w:type="dxa"/>
          <w:bottom w:w="28" w:type="dxa"/>
          <w:right w:w="28" w:type="dxa"/>
        </w:tblCellMar>
      </w:tblPr>
      <w:tblGrid>
        <w:gridCol w:w="1146"/>
        <w:gridCol w:w="1006"/>
        <w:gridCol w:w="1012"/>
        <w:gridCol w:w="109"/>
        <w:gridCol w:w="109"/>
        <w:gridCol w:w="109"/>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308"/>
        <w:gridCol w:w="308"/>
        <w:gridCol w:w="418"/>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3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Direct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Indirect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Unallocated corporate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rPr/>
      </w:pPr>
      <w:r>
        <w:rPr>
          <w:rFonts w:ascii="Times New Roman;sans-serif" w:hAnsi="Times New Roman;sans-serif"/>
          <w:b w:val="false"/>
          <w:i/>
          <w:color w:val="000000"/>
          <w:sz w:val="20"/>
        </w:rPr>
        <w:t>VB Direct</w:t>
      </w:r>
      <w:r>
        <w:rPr>
          <w:rFonts w:ascii="Times New Roman;sans-serif" w:hAnsi="Times New Roman;sans-serif"/>
          <w:b w:val="false"/>
          <w:color w:val="000000"/>
          <w:sz w:val="20"/>
        </w:rPr>
        <w:t>. For fiscal 2021, operating income decreased $20.0 million, or 29.2%. As a percentage of VB Direct segment net revenues, operating income in the VB Direct segment was 16.8% and 19.7% for fiscals 2021 and 2020, respectively. The decrease in operating income as a percentage of VB Direct segment net revenues was primarily due to</w:t>
      </w:r>
      <w:r>
        <w:rPr>
          <w:color w:val="000000"/>
          <w:highlight w:val="white"/>
        </w:rPr>
        <w:t xml:space="preserve"> </w:t>
      </w:r>
      <w:r>
        <w:rPr>
          <w:rFonts w:ascii="Times New Roman;sans-serif" w:hAnsi="Times New Roman;sans-serif"/>
          <w:b w:val="false"/>
          <w:color w:val="000000"/>
          <w:sz w:val="20"/>
          <w:highlight w:val="white"/>
        </w:rPr>
        <w:t>store impairment charges, legacy software depreciation in the prior-year period that did not recur in the current-year period, and an allocation of charges for the cancellation of certain purchase orders related to COVID-19. These decreases were partially offset by an increase in gross margin as a percentage of net revenues and COVID-19-related expense savings, as described above.</w:t>
      </w:r>
    </w:p>
    <w:p>
      <w:pPr>
        <w:pStyle w:val="TextBody"/>
        <w:spacing w:lineRule="auto" w:line="288" w:before="180" w:after="283"/>
        <w:rPr/>
      </w:pPr>
      <w:r>
        <w:rPr>
          <w:rFonts w:ascii="Times New Roman;sans-serif" w:hAnsi="Times New Roman;sans-serif"/>
          <w:b w:val="false"/>
          <w:i/>
          <w:color w:val="000000"/>
          <w:sz w:val="20"/>
        </w:rPr>
        <w:t>VB Indirect</w:t>
      </w:r>
      <w:r>
        <w:rPr>
          <w:rFonts w:ascii="Times New Roman;sans-serif" w:hAnsi="Times New Roman;sans-serif"/>
          <w:b w:val="false"/>
          <w:color w:val="000000"/>
          <w:sz w:val="20"/>
        </w:rPr>
        <w:t xml:space="preserve">. For fiscal 2021, operating income decreased $6.6 million, or 21.2%. As a percentage of VB Indirect segment net revenues, operating income in the VB Indirect segment was 36.8% and 38.0% for fiscals 2021 and 2020, respectively. The decrease in operating income as a percentage of VB Indirect segment net revenues was primarily due to </w:t>
      </w:r>
      <w:r>
        <w:rPr>
          <w:rFonts w:ascii="Times New Roman;sans-serif" w:hAnsi="Times New Roman;sans-serif"/>
          <w:b w:val="false"/>
          <w:color w:val="000000"/>
          <w:sz w:val="20"/>
          <w:highlight w:val="white"/>
        </w:rPr>
        <w:t>SG&amp;A expense de-leverage associated with lower sales and an increase in the bad debt provision, partially offset by an increase in gross margin as a percentage of net revenues as described above.</w:t>
      </w:r>
    </w:p>
    <w:p>
      <w:pPr>
        <w:pStyle w:val="TextBody"/>
        <w:spacing w:lineRule="auto" w:line="288" w:before="180" w:after="283"/>
        <w:rPr/>
      </w:pPr>
      <w:r>
        <w:rPr>
          <w:rFonts w:ascii="Times New Roman;sans-serif" w:hAnsi="Times New Roman;sans-serif"/>
          <w:b w:val="false"/>
          <w:i/>
          <w:color w:val="000000"/>
          <w:sz w:val="20"/>
        </w:rPr>
        <w:t xml:space="preserve">Pura Vida. </w:t>
      </w:r>
      <w:r>
        <w:rPr>
          <w:rFonts w:ascii="Times New Roman;sans-serif" w:hAnsi="Times New Roman;sans-serif"/>
          <w:b w:val="false"/>
          <w:color w:val="000000"/>
          <w:sz w:val="20"/>
        </w:rPr>
        <w:t xml:space="preserve">For fiscal 2021, operating income in the Pura Vida segment was $8.0 million, or 7.1% of Pura Vida segment net revenues, compared to an operating loss of $(3.2) million, or (4.8)% of Pura Vida segment net revenues, in the partial prior-year period. </w:t>
      </w:r>
      <w:r>
        <w:rPr>
          <w:rFonts w:ascii="Times New Roman;sans-serif" w:hAnsi="Times New Roman;sans-serif"/>
          <w:b w:val="false"/>
          <w:color w:val="000000"/>
          <w:sz w:val="20"/>
          <w:highlight w:val="white"/>
        </w:rPr>
        <w:t>The current-year operating results included $9.0 million of intangible asset amortization expense. The prior-year period included $8.3 million of inventory step-up amortization and $5.4 million of intangible asset amortization.</w:t>
      </w:r>
      <w:r>
        <w:rPr>
          <w:color w:val="000000"/>
        </w:rPr>
        <w:t xml:space="preserve"> </w:t>
      </w:r>
      <w:r>
        <w:rPr>
          <w:rFonts w:ascii="Times New Roman;sans-serif" w:hAnsi="Times New Roman;sans-serif"/>
          <w:b w:val="false"/>
          <w:color w:val="000000"/>
          <w:sz w:val="20"/>
        </w:rPr>
        <w:t>Refer to Note 15 to the Notes to Consolidated Financial Statements herein for additional information regarding the Pura Vida acquisition.</w:t>
      </w:r>
    </w:p>
    <w:p>
      <w:pPr>
        <w:pStyle w:val="TextBody"/>
        <w:spacing w:lineRule="auto" w:line="288" w:before="280" w:after="283"/>
        <w:rPr/>
      </w:pPr>
      <w:r>
        <w:rPr>
          <w:rFonts w:ascii="Times New Roman;sans-serif" w:hAnsi="Times New Roman;sans-serif"/>
          <w:b w:val="false"/>
          <w:i/>
          <w:color w:val="000000"/>
          <w:sz w:val="20"/>
        </w:rPr>
        <w:t>Corporate Unallocated</w:t>
      </w:r>
      <w:r>
        <w:rPr>
          <w:rFonts w:ascii="Times New Roman;sans-serif" w:hAnsi="Times New Roman;sans-serif"/>
          <w:b w:val="false"/>
          <w:color w:val="000000"/>
          <w:sz w:val="20"/>
        </w:rPr>
        <w:t>. For fiscal 2021, unallocated expenses decreased $8.9 million, or 11.6% to $68.0 million from $76.9 million in the prior-year period. The decrease in unallocated expenses was primarily due to COVID-19-related expense savings</w:t>
      </w:r>
      <w:r>
        <w:rPr>
          <w:rFonts w:ascii="Times New Roman;sans-serif" w:hAnsi="Times New Roman;sans-serif"/>
          <w:b w:val="false"/>
          <w:color w:val="000000"/>
          <w:sz w:val="20"/>
          <w:highlight w:val="white"/>
        </w:rPr>
        <w:t>, Pura Vida acquisition-related transaction costs of $2.7 million in the prior-year period, as well as a reduction in depreciation expense primarily as a result of legacy software depreciation in the prior-year period that did not recur in the current-year period. These decreases were partially offset by a $1.6 million adjustment to reduce the earn-out liability in the prior-year period.</w:t>
      </w:r>
    </w:p>
    <w:p>
      <w:pPr>
        <w:pStyle w:val="TextBody"/>
        <w:spacing w:lineRule="auto" w:line="288" w:before="280" w:after="283"/>
        <w:rPr/>
      </w:pPr>
      <w:r>
        <w:rPr>
          <w:rFonts w:ascii="Times New Roman;sans-serif" w:hAnsi="Times New Roman;sans-serif"/>
          <w:b w:val="false"/>
          <w:i/>
          <w:color w:val="000000"/>
          <w:sz w:val="20"/>
        </w:rPr>
        <w:t>Interest Expense (Income), Net</w:t>
      </w:r>
      <w:r>
        <w:rPr>
          <w:color w:val="000000"/>
        </w:rPr>
        <w:t xml:space="preserv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interest expense totaled $1.2 million compared to interest income of $1.1 million in fiscal 2020. Interest expense increased primarily due to borrowings under the Company's credit agreement during the current-year period.</w:t>
      </w:r>
    </w:p>
    <w:p>
      <w:pPr>
        <w:pStyle w:val="TextBody"/>
        <w:spacing w:lineRule="auto" w:line="288" w:before="280" w:after="283"/>
        <w:rPr/>
      </w:pPr>
      <w:r>
        <w:rPr>
          <w:rFonts w:ascii="Times New Roman;sans-serif" w:hAnsi="Times New Roman;sans-serif"/>
          <w:b w:val="false"/>
          <w:i/>
          <w:color w:val="000000"/>
          <w:sz w:val="20"/>
        </w:rPr>
        <w:t>Income Tax Expense</w:t>
      </w:r>
      <w:r>
        <w:rPr>
          <w:color w:val="000000"/>
        </w:rPr>
        <w:t xml:space="preserv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we recorded income tax expense of $1.2 million at an effective tax rate of 9.9%, compared to income tax expense of $5.3 million at an effective tax rate of 25.9% for fiscal 2020. The effective tax rate decreased primarily due to the relative impact of a $2.8 million tax benefit related to the net operating loss carryback provisions of the CARES Act, partially offset by the impact of non-deductible executive compensation and tax shortfalls related to stock-based compensation.</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net income decreased $4.5 million, or 29.9%, to $10.7 million from $15.2 million in fiscal 2020 due to the factors described above.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Income (Loss) Attributable to Redeemable Noncontrolling Interest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net income attributable to redeemable noncontrolling interest was $2.0 million compared to a net loss of $0.8 million in the prior-year period. This represents the allocation of the Pura Vida net income (loss) to the noncontrolling interest. The net income (loss) was due to the factors described above in the Pura Vida operating segment.</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Vera Bradley, Inc.</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fiscal 2021, net income attributable to Vera Bradley, Inc. decreased $7.3 million to $8.7 million from $16.0 million in fiscal 2020 due to the factors described above.</w:t>
      </w:r>
    </w:p>
    <w:p>
      <w:pPr>
        <w:pStyle w:val="TextBody"/>
        <w:spacing w:before="10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Fiscal 2020 Compared to Fiscal 2019</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Refer to the Company's Annual Report on Form 10-K filed with the SEC on March 31, 2020, for a comparison of fiscal 2020 to fiscal 2019 operating results.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on hand and cash equivalents, investments, and cash flow from operations. We also have access to additional liquidity, if needed, through borrowings under our $75.0 million asset-based revolving credit agreement (the “Credit Agreement”) which was entered into on September 7, 2018. There were $60.0 million of borrowings under the Credit Agreement during the fiscal year ended January 30, 2021 which were repaid by the end of the fiscal year, and there was no debt outstanding as of January 30, 2021.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spacing w:lineRule="auto" w:line="288" w:before="100" w:after="283"/>
        <w:rPr/>
      </w:pPr>
      <w:r>
        <w:rPr>
          <w:rFonts w:ascii="Times New Roman;sans-serif" w:hAnsi="Times New Roman;sans-serif"/>
          <w:b w:val="false"/>
          <w:i/>
          <w:color w:val="000000"/>
          <w:sz w:val="20"/>
        </w:rPr>
        <w:t xml:space="preserve">Cash Equivalents. </w:t>
      </w:r>
      <w:r>
        <w:rPr>
          <w:rFonts w:ascii="Times New Roman;sans-serif" w:hAnsi="Times New Roman;sans-serif"/>
          <w:b w:val="false"/>
          <w:color w:val="000000"/>
          <w:sz w:val="20"/>
        </w:rPr>
        <w:t>Investments classified as cash equivalents relate to highly-liquid investments with a maturity of three months or less from the date of purchase. As of January 30, 2021 and February 1, 2020, these investments consisted of a money market fund. The balance as of February 1, 2020 also included commercial paper.</w:t>
      </w:r>
    </w:p>
    <w:p>
      <w:pPr>
        <w:pStyle w:val="TextBody"/>
        <w:spacing w:lineRule="auto" w:line="288" w:before="100" w:after="100"/>
        <w:rPr/>
      </w:pPr>
      <w:r>
        <w:rPr>
          <w:rFonts w:ascii="Times New Roman;sans-serif" w:hAnsi="Times New Roman;sans-serif"/>
          <w:b w:val="false"/>
          <w:i/>
          <w:color w:val="000000"/>
          <w:sz w:val="20"/>
        </w:rPr>
        <w:t xml:space="preserve">Short-Term Investments. </w:t>
      </w:r>
      <w:r>
        <w:rPr>
          <w:rFonts w:ascii="Times New Roman;sans-serif" w:hAnsi="Times New Roman;sans-serif"/>
          <w:b w:val="false"/>
          <w:color w:val="000000"/>
          <w:sz w:val="20"/>
        </w:rPr>
        <w:t>As of January 30, 2021, short-term investments consisted of U.S. and non-U.S. corporate debt securities with a maturity within one year of the balance sheet date. As of February 1, 2020, short-term investments consisted of U.S. and non-U.S. corporate debt securities, commercial paper, municipal securities, and U.S. asset-backed securities.</w:t>
      </w:r>
    </w:p>
    <w:p>
      <w:pPr>
        <w:pStyle w:val="TextBody"/>
        <w:spacing w:lineRule="auto" w:line="288" w:before="100" w:after="100"/>
        <w:rPr/>
      </w:pPr>
      <w:r>
        <w:rPr>
          <w:rFonts w:ascii="Times New Roman;sans-serif" w:hAnsi="Times New Roman;sans-serif"/>
          <w:b w:val="false"/>
          <w:i/>
          <w:color w:val="000000"/>
          <w:sz w:val="20"/>
        </w:rPr>
        <w:t xml:space="preserve">Long-Term Investments. </w:t>
      </w:r>
      <w:r>
        <w:rPr>
          <w:rFonts w:ascii="Times New Roman;sans-serif" w:hAnsi="Times New Roman;sans-serif"/>
          <w:b w:val="false"/>
          <w:color w:val="000000"/>
          <w:sz w:val="20"/>
        </w:rPr>
        <w:t>As of February 1, 2020, these investments consisted of U.S. and non-U.S. corporate debt securities, U.S. and non-U.S. asset-backed securities, and other foreign securities with a maturity greater than one year from the balance sheet date. There were no long-term investments as of January 30, 2021.</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Refer to Note 14 to the Notes to Consolidated Financial Statements herein for additional information regarding our investments.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 Analysis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summary of operating, investing, and financing activities is shown in the following table (in thousands):</w:t>
      </w:r>
    </w:p>
    <w:p>
      <w:pPr>
        <w:pStyle w:val="TextBody"/>
        <w:spacing w:lineRule="auto" w:line="288" w:before="0" w:after="0"/>
        <w:rPr>
          <w:color w:val="000000"/>
        </w:rPr>
      </w:pPr>
      <w:r>
        <w:rPr>
          <w:color w:val="000000"/>
        </w:rPr>
        <w:t> </w:t>
      </w:r>
    </w:p>
    <w:tbl>
      <w:tblPr>
        <w:tblW w:w="8349" w:type="dxa"/>
        <w:jc w:val="left"/>
        <w:tblInd w:w="0" w:type="dxa"/>
        <w:tblCellMar>
          <w:top w:w="28" w:type="dxa"/>
          <w:left w:w="28" w:type="dxa"/>
          <w:bottom w:w="28" w:type="dxa"/>
          <w:right w:w="28" w:type="dxa"/>
        </w:tblCellMar>
      </w:tblPr>
      <w:tblGrid>
        <w:gridCol w:w="1520"/>
        <w:gridCol w:w="1338"/>
        <w:gridCol w:w="1342"/>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20"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$20.7 million during fiscal 2021, as compared to $20.6 million during fiscal 2020. Cash provided by operating activities was substantially similar to the prior-year period. The net income adjusted for non-</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cash items in the current-year benefited by the full-year of Pura Vida operations compared to six months of operations in the prior-year period. Additional inventory payments primarily related to incremental Pura Vida inventory purchases which included inventory for the Charli D'Amelio launch in March 2021 and the acceleration of inventory purchases for Vera Bradley to mitigate industry-wide port and shipping delays. There were also additional payments related to Project Novus expenditures. These purchases were offset by timing of payments, including for income taxes (which included a benefit associated with the net operating loss carryback provisions of the CARES Act); deferrals of certain payments associated with the CARES Act; and accrued expenses, as well as timing; deferrals; rent abatements; and store closures associated with operating leases.</w:t>
      </w:r>
    </w:p>
    <w:p>
      <w:pPr>
        <w:pStyle w:val="TextBody"/>
        <w:spacing w:lineRule="auto" w:line="288" w:before="280" w:after="283"/>
        <w:rPr/>
      </w:pPr>
      <w:r>
        <w:rPr>
          <w:rFonts w:ascii="Times New Roman;sans-serif" w:hAnsi="Times New Roman;sans-serif"/>
          <w:b w:val="false"/>
          <w:i/>
          <w:color w:val="000000"/>
          <w:sz w:val="20"/>
          <w:highlight w:val="white"/>
        </w:rPr>
        <w:t xml:space="preserve">Net Cash Provided by (Used in) </w:t>
      </w:r>
      <w:r>
        <w:rPr>
          <w:rFonts w:ascii="Times New Roman;sans-serif" w:hAnsi="Times New Roman;sans-serif"/>
          <w:b w:val="false"/>
          <w:i/>
          <w:color w:val="000000"/>
          <w:sz w:val="20"/>
        </w:rPr>
        <w:t>Investing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Investing activities consisted primarily of investments and capital expenditures related to new store openings, buildings, operational equipment, and information technology investments, as well as the Pura Vida acquisition.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$17.7 million in fiscal 2021, compared to net cash used in investing activities of $70.0 million in fiscal 2020. The increase in cash provided by investing activities was a result of the decreased spending related to property, plant, and equipment and net investment activity in the current year, as well as the July 2019 acquisition of Pura Vida that occurred in the prior-year period.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fiscal 2022 are expected to be approximately $8.0 million to $10.0 million.</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$24.1 million in fiscal 2021 compared to $14.3 million in fiscal 2020. The increase in cash used in financing activities was primarily due to the $18.7 million payment of contingent consideration associated with the July 2019 acquisition of Pura Vida, partially offset by a decline of $8.3 million in repurchases of common stock.</w: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Refer to the Company's Annual Report on Form 10-K filed with the SEC on March 31, 2020, for a comparison of fiscal 2020 to fiscal 2019 cash flow activity.</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January 30, 2021.</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requires the loan parties, as defined in the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Any commitments made under the Credit Agreement mature on September 7, 2023.</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financing or unconsolidated special purpose entities.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balance of inventory adjustments was $0.7 million for these matters as of the fiscal years ended January 30, 2021, and February 1, 2020. The balance related primarily to certain collections being discontinued or currently discontinued by Vera Bradley and retired patterns. We have the ability to move retired finished goods through a number of channels, including the Vera Bradley annual outlet sale, our Vera Bradley website and online outlet site, factory outlet stores, and through third-party liquidators as needed.</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Valuation of Long-lived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and operating right-of-use assets are reviewed for impairment whenever events or changes in circumstances indicate that the carrying amount of an asset group may not be recoverable. In evaluating an asset group for recoverability, we estimate the future cash flows expected to result from the use of the asset group at the store level, the lowest identifiable level of cash flow, if applicable. If the sum of the estimated undiscounted future cash flows related to the asset group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$7.4 million for the period ended January 30, 2021. There were no impairment charges recorded for the periods ended February 1, 2020 and February 2, 2019.</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acquired a majority interest in Pura Vida on July 16, 2019. 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These fair value assessments require management judgment and include the use of significant estimates and assumptions including future cash flows, discount and other market rates, and asset lives, among other items. The details of these assessments for the Pura Vida acquisition are as follows: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Inventories were valued using the cost approach. The significant assumptions used for the valuation include inventory balances, projected gross and operating margins, and cost and time to dispose (sell) inventory on hand.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Pura Vida brand intangible asset was valued using the relief-from-royalty method. The significant assumptions used for the valuation include the royalty rate, estimated projected revenues, long-term growth rate, and the discount rate.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Customer relationships were valued using the multi-period excess earnings method. Significant assumptions used for the valuation include projected cash flows, the discount rate, and customer attrition rate.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Goodwill and Other Intangible Assets</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tests goodwill for impairment annually, or more frequently if events or changes in circumstances indicate that goodwill may be impaired. The Company may first use a qualitative analysis to assess whether it is more-likely-than-not that the fair value of the reporting unit (including goodwill) is less than its carrying value. This qualitative analysis may include, but is not limited to: macroeconomic factors; industry and market considerations; cost factors that have a negative effect on earnings and cash flows; entity specific factors; a change in the composition or carrying amount of the reporting unit’s net assets; and a sustained decrease in stock price. If it is determined that it is more-likely-than-not that the fair value is less than the carrying value after this analysis, a quantitative impairment test is performed. </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If we elect to bypass the qualitative assessment for the reporting unit, or if a qualitative assessment indicates it is more likely than not that the estimated carrying value of the reporting unit exceeds its fair value, we perform a quantitative goodwill impairment test. Under the quantitative test, the fair value of the reporting unit is compared with its carrying value (including goodwill). If the carrying value of the reporting unit exceeds its fair value, an impairment loss is recognized in an amount equal to that excess, limited to the total amount of goodwill allocated to the reporting unit. The fair value of the reporting unit is determined using an income-based approach and a market-based approach.</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income approach estimates fair value of the reporting unit using a discounted cash flow model that involves subjective estimates and assumptions such as projected revenue growth, operating profit, and the discount rate. Under the market approach, the Company may use the guideline public company method and/or the guideline transaction method to estimate fair value of the reporting unit. The guideline public company method uses market multiples derived from market prices of stocks of companies that are engaged in the same or similar lines of business as the reporting unit. The guideline transaction method employs transaction multiples derived from the acquisition of controlling interests in stocks of companies that are engaged in the same or similar lines of business as the reporting unit.</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January 30, 2021, the Company had recorded $44.3 million of goodwill which was allocated to the Pura Vida reporting unit. For the annual goodwill impairment analysis performed during fiscal 2021, we performed a quantitative analysis. No impairment was recorded for goodwill during fiscal 2021.</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indefinite-lived intangible asset represents the Pura Vida brand. We test the Pura Vida brand for impairment annually, or more frequently if events or changes in circumstances indicate that the asset may be impaired. Our annual impairment test may be completed through a qualitative assessment to determine if the fair value of the Pura Vida brand is more likely than not greater than the carrying amount. If we elect to bypass the qualitative assessment, or if a qualitative assessment indicates it is more likely than not that the estimated carrying value exceeds the fair value, we test for impairment using a quantitative process. Our quantitative process includes comparing the carrying value to the fair value of the Pura Vida brand, with any excess recognized as an impairment loss. Fair value is estimated using a relief-from-royalty method. The estimates and assumptions used in the determination of the fair value of the Pura Vida brand include the projected revenue growth, long-term growth rate, the royalty rate, and discount rate.</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January 30, 2021, the carrying value of the Pura Vida brand was $36.7 million. For the annual impairment analysis performed during fiscal 2021, we performed a quantitative analysis. No impairment was recorded for the Pura Vida brand during fiscal 2021.</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Pura Vida reporting unit and the Pura Vida brand are subject to change as a result of many factors including changing economic conditions. Should actual cash flows and our future estimates deteriorate from the estimates we used, impairment charges may be necessary in future years.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Transactions with Related Parties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See Item 13, “Certain Relationships and Related Transactions, and Director Independence,” of this report for information regarding transactions with related parties.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in connection with borrowings under our asset-based revolving credit agreement (the “Credit Agreement”). The Credit Agreement allows for a revolving credit commitment of $75.0 million, bearing interest at a variable rate, based on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Assuming borrowings available under the Credit Agreement are fully extended at $75.0 million, each quarter point increase or decrease in the interest rate would change our annual interest expense by approximately $0.2 million.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addition, LIBOR is expected to be discontinued after 2021. If LIBOR is discontinued, we may need to re-negotiate certain agreements and we cannot predict what alternative index would be negotiated with our lenders or the resulting impact on our interest expense.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Foreign Exchange Rate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source a majority of our finished goods from various suppliers primarily in Vietnam, Myanmar, Cambodia, Indonesia, and China. Substantially all purchases and sales involving foreign persons are denominated in U.S. dollars, and therefore we do not hedge using any derivative instruments. Historically, we have not been impacted materially by changes in exchange rates.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580"/>
        <w:gridCol w:w="3117"/>
        <w:gridCol w:w="3135"/>
        <w:gridCol w:w="109"/>
        <w:gridCol w:w="109"/>
        <w:gridCol w:w="155"/>
      </w:tblGrid>
      <w:tr>
        <w:trPr/>
        <w:tc>
          <w:tcPr>
            <w:tcW w:w="3580" w:type="dxa"/>
            <w:tcBorders/>
            <w:shd w:fill="auto" w:val="clear"/>
            <w:vAlign w:val="center"/>
          </w:tcPr>
          <w:p>
            <w:pPr>
              <w:pStyle w:val="TableContents"/>
              <w:spacing w:before="0" w:after="283"/>
              <w:rPr>
                <w:sz w:val="4"/>
                <w:szCs w:val="4"/>
              </w:rPr>
            </w:pPr>
            <w:r>
              <w:rPr>
                <w:sz w:val="4"/>
                <w:szCs w:val="4"/>
              </w:rPr>
            </w:r>
          </w:p>
        </w:tc>
        <w:tc>
          <w:tcPr>
            <w:tcW w:w="3117" w:type="dxa"/>
            <w:tcBorders/>
            <w:shd w:fill="auto" w:val="clear"/>
            <w:vAlign w:val="center"/>
          </w:tcPr>
          <w:p>
            <w:pPr>
              <w:pStyle w:val="TableContents"/>
              <w:spacing w:before="0" w:after="283"/>
              <w:rPr>
                <w:sz w:val="4"/>
                <w:szCs w:val="4"/>
              </w:rPr>
            </w:pPr>
            <w:r>
              <w:rPr>
                <w:sz w:val="4"/>
                <w:szCs w:val="4"/>
              </w:rPr>
            </w:r>
          </w:p>
        </w:tc>
        <w:tc>
          <w:tcPr>
            <w:tcW w:w="3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58">
              <w:r>
                <w:rPr>
                  <w:rStyle w:val="InternetLink"/>
                  <w:rFonts w:ascii="Times New Roman;sans-serif" w:hAnsi="Times New Roman;sans-serif"/>
                  <w:b w:val="false"/>
                  <w:color w:val="0000FF"/>
                  <w:sz w:val="20"/>
                  <w:u w:val="single"/>
                </w:rPr>
                <w:t>Reports of Independent Registered Public Accounting Firm</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58">
              <w:r>
                <w:rPr>
                  <w:rStyle w:val="InternetLink"/>
                  <w:rFonts w:ascii="Times New Roman;sans-serif" w:hAnsi="Times New Roman;sans-serif"/>
                  <w:b w:val="false"/>
                  <w:strike w:val="false"/>
                  <w:dstrike w:val="false"/>
                  <w:color w:val="000000"/>
                  <w:sz w:val="20"/>
                  <w:u w:val="none"/>
                  <w:effect w:val="none"/>
                </w:rPr>
                <w:t>52</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61">
              <w:r>
                <w:rPr>
                  <w:rStyle w:val="InternetLink"/>
                  <w:rFonts w:ascii="Times New Roman;sans-serif" w:hAnsi="Times New Roman;sans-serif"/>
                  <w:b w:val="false"/>
                  <w:color w:val="0000FF"/>
                  <w:sz w:val="20"/>
                  <w:u w:val="single"/>
                </w:rPr>
                <w:t>Consolidated Balance Sheets as of January 30, 2021, and February 1, 2020</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61">
              <w:r>
                <w:rPr>
                  <w:rStyle w:val="InternetLink"/>
                  <w:rFonts w:ascii="Times New Roman;sans-serif" w:hAnsi="Times New Roman;sans-serif"/>
                  <w:b w:val="false"/>
                  <w:strike w:val="false"/>
                  <w:dstrike w:val="false"/>
                  <w:color w:val="000000"/>
                  <w:sz w:val="20"/>
                  <w:u w:val="none"/>
                  <w:effect w:val="none"/>
                </w:rPr>
                <w:t>55</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67">
              <w:r>
                <w:rPr>
                  <w:rStyle w:val="InternetLink"/>
                  <w:rFonts w:ascii="Times New Roman;sans-serif" w:hAnsi="Times New Roman;sans-serif"/>
                  <w:b w:val="false"/>
                  <w:color w:val="0000FF"/>
                  <w:sz w:val="20"/>
                  <w:u w:val="single"/>
                </w:rPr>
                <w:t>Consolidated Statements of Operations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67">
              <w:r>
                <w:rPr>
                  <w:rStyle w:val="InternetLink"/>
                  <w:rFonts w:ascii="Times New Roman;sans-serif" w:hAnsi="Times New Roman;sans-serif"/>
                  <w:b w:val="false"/>
                  <w:strike w:val="false"/>
                  <w:dstrike w:val="false"/>
                  <w:color w:val="000000"/>
                  <w:sz w:val="20"/>
                  <w:u w:val="none"/>
                  <w:effect w:val="none"/>
                </w:rPr>
                <w:t>56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0">
              <w:r>
                <w:rPr>
                  <w:rStyle w:val="InternetLink"/>
                  <w:rFonts w:ascii="Times New Roman;sans-serif" w:hAnsi="Times New Roman;sans-serif"/>
                  <w:b w:val="false"/>
                  <w:color w:val="0000FF"/>
                  <w:sz w:val="20"/>
                  <w:u w:val="single"/>
                </w:rPr>
                <w:t>Consolidated Statements of Comprehensive Income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0">
              <w:r>
                <w:rPr>
                  <w:rStyle w:val="InternetLink"/>
                  <w:rFonts w:ascii="Times New Roman;sans-serif" w:hAnsi="Times New Roman;sans-serif"/>
                  <w:b w:val="false"/>
                  <w:strike w:val="false"/>
                  <w:dstrike w:val="false"/>
                  <w:color w:val="000000"/>
                  <w:sz w:val="20"/>
                  <w:u w:val="none"/>
                  <w:effect w:val="none"/>
                </w:rPr>
                <w:t>57</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3">
              <w:r>
                <w:rPr>
                  <w:rStyle w:val="InternetLink"/>
                  <w:rFonts w:ascii="Times New Roman;sans-serif" w:hAnsi="Times New Roman;sans-serif"/>
                  <w:b w:val="false"/>
                  <w:color w:val="0000FF"/>
                  <w:sz w:val="20"/>
                  <w:u w:val="single"/>
                </w:rPr>
                <w:t>Consolidated Statements of Shareholders’ Equity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3">
              <w:r>
                <w:rPr>
                  <w:rStyle w:val="InternetLink"/>
                  <w:rFonts w:ascii="Times New Roman;sans-serif" w:hAnsi="Times New Roman;sans-serif"/>
                  <w:b w:val="false"/>
                  <w:strike w:val="false"/>
                  <w:dstrike w:val="false"/>
                  <w:color w:val="000000"/>
                  <w:sz w:val="20"/>
                  <w:u w:val="none"/>
                  <w:effect w:val="none"/>
                </w:rPr>
                <w:t>58</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6">
              <w:r>
                <w:rPr>
                  <w:rStyle w:val="InternetLink"/>
                  <w:rFonts w:ascii="Times New Roman;sans-serif" w:hAnsi="Times New Roman;sans-serif"/>
                  <w:b w:val="false"/>
                  <w:color w:val="0000FF"/>
                  <w:sz w:val="20"/>
                  <w:u w:val="single"/>
                </w:rPr>
                <w:t>Consolidated Statements of Cash Flows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6">
              <w:r>
                <w:rPr>
                  <w:rStyle w:val="InternetLink"/>
                  <w:rFonts w:ascii="Times New Roman;sans-serif" w:hAnsi="Times New Roman;sans-serif"/>
                  <w:b w:val="false"/>
                  <w:strike w:val="false"/>
                  <w:dstrike w:val="false"/>
                  <w:color w:val="000000"/>
                  <w:sz w:val="20"/>
                  <w:u w:val="none"/>
                  <w:effect w:val="none"/>
                </w:rPr>
                <w:t>59</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9">
              <w:r>
                <w:rPr>
                  <w:rStyle w:val="InternetLink"/>
                  <w:rFonts w:ascii="Times New Roman;sans-serif" w:hAnsi="Times New Roman;sans-serif"/>
                  <w:b w:val="false"/>
                  <w:color w:val="0000FF"/>
                  <w:sz w:val="20"/>
                  <w:u w:val="single"/>
                </w:rPr>
                <w:t>Notes to Consolidated 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9">
              <w:r>
                <w:rPr>
                  <w:rStyle w:val="InternetLink"/>
                  <w:rFonts w:ascii="Times New Roman;sans-serif" w:hAnsi="Times New Roman;sans-serif"/>
                  <w:b w:val="false"/>
                  <w:strike w:val="false"/>
                  <w:dstrike w:val="false"/>
                  <w:color w:val="000000"/>
                  <w:sz w:val="20"/>
                  <w:u w:val="none"/>
                  <w:effect w:val="none"/>
                </w:rPr>
                <w:t>61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REPORT OF INDEPENDENT REGISTERED PUBLIC ACCOUNTING FIRM</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Vera Bradley, Inc.</w:t>
      </w:r>
    </w:p>
    <w:p>
      <w:pPr>
        <w:pStyle w:val="TextBody"/>
        <w:spacing w:lineRule="auto" w:line="256" w:before="100" w:after="283"/>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Vera Bradley, Inc. and subsidiaries (the "Company") as of January 30, 2021 and February 1, 2020, the related consolidated statements of operations, comprehensive income, shareholders' equity, and cash flows, for each of the three years in the period ended January 30, 2021, and the related notes (collectively referred to as the "financial statements"). In our opinion, the financial statements present fairly, in all material respects, the financial position of the Company as of January 30, 2021 and February 1, 2020, and the results of its operations and its cash flows for each of the three years in the period ended January 30, 2021, in conformity with accounting principles generally accepted in the United States of America. </w:t>
      </w:r>
    </w:p>
    <w:p>
      <w:pPr>
        <w:pStyle w:val="TextBody"/>
        <w:spacing w:lineRule="auto" w:line="256" w:before="100" w:after="283"/>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January 30,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March 30, 2021, expressed an unqualified opinion on the Company's internal control over financial reporting.</w:t>
      </w:r>
    </w:p>
    <w:p>
      <w:pPr>
        <w:pStyle w:val="TextBody"/>
        <w:spacing w:lineRule="auto" w:line="256" w:before="100" w:after="283"/>
        <w:rPr>
          <w:rFonts w:ascii="Times New Roman;sans-serif" w:hAnsi="Times New Roman;sans-serif"/>
          <w:b/>
          <w:color w:val="000000"/>
          <w:sz w:val="20"/>
        </w:rPr>
      </w:pPr>
      <w:r>
        <w:rPr>
          <w:rFonts w:ascii="Times New Roman;sans-serif" w:hAnsi="Times New Roman;sans-serif"/>
          <w:b/>
          <w:color w:val="000000"/>
          <w:sz w:val="20"/>
        </w:rPr>
        <w:t>Change in Accounting Principle</w:t>
      </w:r>
    </w:p>
    <w:p>
      <w:pPr>
        <w:pStyle w:val="TextBody"/>
        <w:spacing w:lineRule="auto" w:line="256" w:before="100" w:after="283"/>
        <w:rPr/>
      </w:pPr>
      <w:r>
        <w:rPr>
          <w:rFonts w:ascii="Times New Roman;sans-serif" w:hAnsi="Times New Roman;sans-serif"/>
          <w:b w:val="false"/>
          <w:color w:val="000000"/>
          <w:sz w:val="20"/>
        </w:rPr>
        <w:t xml:space="preserve">As discussed in Note 2 to the financial statements, effective February 3, 2019, the Company adopted FASB Accounting Standards Update 2016-02, </w:t>
      </w:r>
      <w:r>
        <w:rPr>
          <w:rFonts w:ascii="Times New Roman;sans-serif" w:hAnsi="Times New Roman;sans-serif"/>
          <w:b w:val="false"/>
          <w:i/>
          <w:color w:val="000000"/>
          <w:sz w:val="20"/>
        </w:rPr>
        <w:t>Leases</w:t>
      </w:r>
      <w:r>
        <w:rPr>
          <w:rFonts w:ascii="Times New Roman;sans-serif" w:hAnsi="Times New Roman;sans-serif"/>
          <w:b w:val="false"/>
          <w:color w:val="000000"/>
          <w:sz w:val="20"/>
        </w:rPr>
        <w:t>, using a modified retrospective approach.</w:t>
      </w:r>
    </w:p>
    <w:p>
      <w:pPr>
        <w:pStyle w:val="TextBody"/>
        <w:spacing w:lineRule="auto" w:line="256" w:before="100" w:after="283"/>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56" w:before="100" w:after="283"/>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76" w:before="100" w:after="283"/>
        <w:rPr>
          <w:rFonts w:ascii="Times New Roman;sans-serif" w:hAnsi="Times New Roman;sans-serif"/>
          <w:b/>
          <w:color w:val="000000"/>
          <w:sz w:val="20"/>
        </w:rPr>
      </w:pPr>
      <w:r>
        <w:rPr>
          <w:rFonts w:ascii="Times New Roman;sans-serif" w:hAnsi="Times New Roman;sans-serif"/>
          <w:b/>
          <w:color w:val="000000"/>
          <w:sz w:val="20"/>
        </w:rPr>
        <w:t>Goodwill and Intangible Assets – Refer to Notes 2 and 17 to the financial statements</w:t>
      </w:r>
    </w:p>
    <w:p>
      <w:pPr>
        <w:pStyle w:val="TextBody"/>
        <w:spacing w:lineRule="auto" w:line="276"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spacing w:lineRule="auto" w:line="256" w:before="100" w:after="283"/>
        <w:rPr/>
      </w:pPr>
      <w:r>
        <w:rPr>
          <w:rFonts w:ascii="Times New Roman;sans-serif" w:hAnsi="Times New Roman;sans-serif"/>
          <w:b w:val="false"/>
          <w:color w:val="000000"/>
          <w:sz w:val="20"/>
        </w:rPr>
        <w:t>The Company’s quantitative analysis of goodwill and the indefinite-lived Pura Vida brand for impairment involves the comparison of the fair value of the reporting unit or asset to its carrying value. The fair value of the reporting unit was determined using an income-based approach and a market-based approach, which required management to make significant estimates and assumptions including the projected revenue growth, operating profit and discount rate. The Company used the relief-from-royalty method to estimate the fair value of the Pura Vida brand, which required management to make significant estimates and assumptions related to the projected revenue growth, long-term growth rate, royalty rate and discount rate.</w:t>
      </w:r>
      <w:r>
        <w:rPr>
          <w:color w:val="000000"/>
          <w:highlight w:val="white"/>
        </w:rPr>
        <w:t xml:space="preserve"> </w:t>
      </w:r>
      <w:r>
        <w:rPr>
          <w:rFonts w:ascii="Times New Roman;sans-serif" w:hAnsi="Times New Roman;sans-serif"/>
          <w:b w:val="false"/>
          <w:color w:val="000000"/>
          <w:sz w:val="20"/>
        </w:rPr>
        <w:t xml:space="preserve">The goodwill balance was $44.3 million as of January 30, 2021, all of which related to the Pura Vida reporting unit. The carrying value of the Pura Vida brand was $36.7 million as of January 30, 2021. The fair values of the Pura Vida reporting unit and the Pura Vida brand exceeded their carrying values as of the measurement date and, therefore, no impairment was recognized during fiscal 2021. </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impairment analysis of goodwill and the Pura Vida brand as a critical audit matter because of the significant judgments made by management to estimate the fair value of these indefinite-lived assets. This required a high degree of auditor judgment and an increased extent of effort, including the need to involve our fair value specialists, when performing audit procedures to evaluate the reasonableness of management’s estimates and assumptions particularly related to the projected revenue growth and discount rate for the goodwill impairment analysis and the projected revenue growth, royalty rate, and discount rate for the Pura Vida brand impairment analysis.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76"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projected revenue growth and discount rates for goodwill and Pura Vida brand as well as the royalty rate for the Pura Vida brand included the following, among others: </w:t>
      </w:r>
    </w:p>
    <w:p>
      <w:pPr>
        <w:pStyle w:val="TextBody"/>
        <w:spacing w:lineRule="auto" w:line="276" w:before="100" w:after="283"/>
        <w:ind w:left="0" w:right="0" w:hanging="360"/>
        <w:rPr/>
      </w:pPr>
      <w:r>
        <w:rPr>
          <w:color w:val="000000"/>
        </w:rPr>
        <w:t>•</w:t>
      </w:r>
      <w:r>
        <w:rPr>
          <w:rFonts w:ascii="Times New Roman;sans-serif" w:hAnsi="Times New Roman;sans-serif"/>
          <w:b w:val="false"/>
          <w:color w:val="000000"/>
          <w:sz w:val="20"/>
        </w:rPr>
        <w:t xml:space="preserve">We tested the effectiveness of controls over management’s goodwill and Pura Vida brand impairment analyses, including those over the determination of the fair value, such as controls related to management’s forecasts of projected revenue growth, selection of royalty rate and discount rates. </w:t>
      </w:r>
    </w:p>
    <w:p>
      <w:pPr>
        <w:pStyle w:val="TextBody"/>
        <w:spacing w:lineRule="auto" w:line="276" w:before="100" w:after="283"/>
        <w:ind w:left="0" w:right="0" w:hanging="360"/>
        <w:rPr/>
      </w:pPr>
      <w:r>
        <w:rPr>
          <w:color w:val="000000"/>
        </w:rPr>
        <w:t>•</w:t>
      </w:r>
      <w:r>
        <w:rPr>
          <w:rFonts w:ascii="Times New Roman;sans-serif" w:hAnsi="Times New Roman;sans-serif"/>
          <w:b w:val="false"/>
          <w:color w:val="000000"/>
          <w:sz w:val="20"/>
        </w:rPr>
        <w:t xml:space="preserve">We evaluated management’s ability to accurately forecast by comparing actual results to management’s historical forecasts. </w:t>
      </w:r>
    </w:p>
    <w:p>
      <w:pPr>
        <w:pStyle w:val="TextBody"/>
        <w:spacing w:lineRule="auto" w:line="276" w:before="100" w:after="283"/>
        <w:ind w:left="0" w:right="0" w:hanging="360"/>
        <w:rPr/>
      </w:pPr>
      <w:r>
        <w:rPr>
          <w:color w:val="000000"/>
        </w:rPr>
        <w:t>•</w:t>
      </w:r>
      <w:r>
        <w:rPr>
          <w:rFonts w:ascii="Times New Roman;sans-serif" w:hAnsi="Times New Roman;sans-serif"/>
          <w:b w:val="false"/>
          <w:color w:val="000000"/>
          <w:sz w:val="20"/>
        </w:rPr>
        <w:t xml:space="preserve">We evaluated the reasonableness of management’s projected revenue growth by comparing the forecasts to (1) historical revenue, (2) internal communications to management and the Board of Directors, and (3) forecasted information included in industry reports. </w:t>
      </w:r>
    </w:p>
    <w:p>
      <w:pPr>
        <w:pStyle w:val="TextBody"/>
        <w:spacing w:lineRule="auto" w:line="276" w:before="100" w:after="283"/>
        <w:ind w:left="0" w:right="0" w:hanging="360"/>
        <w:rPr/>
      </w:pPr>
      <w:r>
        <w:rPr>
          <w:color w:val="000000"/>
        </w:rPr>
        <w:t>•</w:t>
      </w:r>
      <w:r>
        <w:rPr>
          <w:rFonts w:ascii="Times New Roman;sans-serif" w:hAnsi="Times New Roman;sans-serif"/>
          <w:b w:val="false"/>
          <w:color w:val="000000"/>
          <w:sz w:val="20"/>
        </w:rPr>
        <w:t>With the assistance of our fair value specialists, we evaluated the reasonableness of the discount rates and royalty rate assumptions, including testing the underlying source information and the mathematical accuracy of the calculations, and developing a range of independent estimates and comparing those to the discount rates and royalty rate selected by management.</w:t>
      </w:r>
    </w:p>
    <w:p>
      <w:pPr>
        <w:pStyle w:val="TextBody"/>
        <w:spacing w:lineRule="auto" w:line="256" w:before="300" w:after="283"/>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Indianapolis, Indiana</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March 30, 2021</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spacing w:before="0" w:after="160"/>
        <w:rPr/>
      </w:pPr>
      <w:r>
        <w:rPr/>
      </w:r>
    </w:p>
    <w:p>
      <w:pPr>
        <w:pStyle w:val="TextBody"/>
        <w:spacing w:before="0" w:after="20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REPORT OF INDEPENDENT REGISTERED PUBLIC ACCOUNTING FIRM</w:t>
      </w:r>
    </w:p>
    <w:p>
      <w:pPr>
        <w:pStyle w:val="TextBody"/>
        <w:spacing w:before="0" w:after="16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Vera Bradley, Inc.</w:t>
      </w:r>
    </w:p>
    <w:p>
      <w:pPr>
        <w:pStyle w:val="TextBody"/>
        <w:spacing w:lineRule="auto" w:line="256" w:before="100" w:after="283"/>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56" w:before="100" w:after="283"/>
        <w:rPr/>
      </w:pPr>
      <w:r>
        <w:rPr>
          <w:rFonts w:ascii="Times New Roman;sans-serif" w:hAnsi="Times New Roman;sans-serif"/>
          <w:b w:val="false"/>
          <w:color w:val="000000"/>
          <w:sz w:val="20"/>
        </w:rPr>
        <w:t xml:space="preserve">We have audited the internal control over financial reporting of Vera Bradley, Inc. and subsidiaries (the “Company”) as of January 30,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January 30,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January 30, 2021, of the Company and our report dated March 30, 2021, expressed an unqualified opinion on those financial statements.</w:t>
      </w:r>
    </w:p>
    <w:p>
      <w:pPr>
        <w:pStyle w:val="TextBody"/>
        <w:spacing w:lineRule="auto" w:line="256" w:before="100" w:after="283"/>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56" w:before="100" w:after="283"/>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56" w:before="100" w:after="283"/>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56" w:before="300" w:after="283"/>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Indianapolis, Indiana</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March 30, 2021</w:t>
      </w:r>
    </w:p>
    <w:p>
      <w:pPr>
        <w:pStyle w:val="TextBody"/>
        <w:spacing w:before="240" w:after="283"/>
        <w:rPr/>
      </w:pPr>
      <w:r>
        <w:rPr/>
      </w:r>
    </w:p>
    <w:p>
      <w:pPr>
        <w:pStyle w:val="TextBody"/>
        <w:spacing w:before="24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734"/>
        <w:gridCol w:w="2254"/>
        <w:gridCol w:w="2225"/>
        <w:gridCol w:w="109"/>
        <w:gridCol w:w="109"/>
        <w:gridCol w:w="109"/>
        <w:gridCol w:w="211"/>
        <w:gridCol w:w="826"/>
        <w:gridCol w:w="109"/>
        <w:gridCol w:w="109"/>
        <w:gridCol w:w="109"/>
        <w:gridCol w:w="109"/>
        <w:gridCol w:w="211"/>
        <w:gridCol w:w="826"/>
        <w:gridCol w:w="155"/>
      </w:tblGrid>
      <w:tr>
        <w:trPr/>
        <w:tc>
          <w:tcPr>
            <w:tcW w:w="2734"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5,000 shares authorized, no shares issued or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 200,000 shares authorized, 41,808 and 41,515 shares issued and 33,414 and 33,503 outstanding,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noncontrolling interest,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535,061 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111"/>
        <w:gridCol w:w="1807"/>
        <w:gridCol w:w="1821"/>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2111"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211,984 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Vera Bradley,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Vera Bradley, Inc. common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attributable to Vera Bradley, Inc.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222"/>
        <w:gridCol w:w="1905"/>
        <w:gridCol w:w="1927"/>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222"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6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available for sale debt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Vera Bradley,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in thousands, except share data)</w:t>
      </w:r>
    </w:p>
    <w:p>
      <w:pPr>
        <w:pStyle w:val="TextBody"/>
        <w:spacing w:lineRule="auto" w:line="288" w:before="0" w:after="0"/>
        <w:rPr>
          <w:color w:val="000000"/>
        </w:rPr>
      </w:pPr>
      <w:r>
        <w:rPr>
          <w:color w:val="000000"/>
        </w:rPr>
        <w:t> </w:t>
      </w:r>
    </w:p>
    <w:tbl>
      <w:tblPr>
        <w:tblW w:w="11359" w:type="dxa"/>
        <w:jc w:val="left"/>
        <w:tblInd w:w="0" w:type="dxa"/>
        <w:tblCellMar>
          <w:top w:w="28" w:type="dxa"/>
          <w:left w:w="28" w:type="dxa"/>
          <w:bottom w:w="28" w:type="dxa"/>
          <w:right w:w="28" w:type="dxa"/>
        </w:tblCellMar>
      </w:tblPr>
      <w:tblGrid>
        <w:gridCol w:w="619"/>
        <w:gridCol w:w="268"/>
        <w:gridCol w:w="269"/>
        <w:gridCol w:w="109"/>
        <w:gridCol w:w="109"/>
        <w:gridCol w:w="109"/>
        <w:gridCol w:w="488"/>
        <w:gridCol w:w="488"/>
        <w:gridCol w:w="256"/>
        <w:gridCol w:w="109"/>
        <w:gridCol w:w="109"/>
        <w:gridCol w:w="109"/>
        <w:gridCol w:w="443"/>
        <w:gridCol w:w="443"/>
        <w:gridCol w:w="256"/>
        <w:gridCol w:w="109"/>
        <w:gridCol w:w="109"/>
        <w:gridCol w:w="109"/>
        <w:gridCol w:w="196"/>
        <w:gridCol w:w="751"/>
        <w:gridCol w:w="109"/>
        <w:gridCol w:w="109"/>
        <w:gridCol w:w="109"/>
        <w:gridCol w:w="109"/>
        <w:gridCol w:w="196"/>
        <w:gridCol w:w="751"/>
        <w:gridCol w:w="109"/>
        <w:gridCol w:w="109"/>
        <w:gridCol w:w="109"/>
        <w:gridCol w:w="109"/>
        <w:gridCol w:w="321"/>
        <w:gridCol w:w="715"/>
        <w:gridCol w:w="180"/>
        <w:gridCol w:w="109"/>
        <w:gridCol w:w="109"/>
        <w:gridCol w:w="109"/>
        <w:gridCol w:w="196"/>
        <w:gridCol w:w="751"/>
        <w:gridCol w:w="109"/>
        <w:gridCol w:w="109"/>
        <w:gridCol w:w="109"/>
        <w:gridCol w:w="109"/>
        <w:gridCol w:w="205"/>
        <w:gridCol w:w="788"/>
        <w:gridCol w:w="163"/>
      </w:tblGrid>
      <w:tr>
        <w:trPr/>
        <w:tc>
          <w:tcPr>
            <w:tcW w:w="61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w:t>
              <w:br/>
              <w:t>Equity of Vera Bradley, Inc.</w:t>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February 3,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35,459,025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5,642,485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91,192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270,783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(76,578)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285,283</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available for sale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shares vested, net of repurchase for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181,533 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(1,293,138)</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1,293,138 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(16,261)</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adjustment for ASC 606 adoption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February 2,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34,347,420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6,935,623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95,572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291,994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(92,839)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294,703</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Vera Bradley,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available for sale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shares vested, net of repurchase for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231,578 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(1,075,749)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1,075,749 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(11,320)</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adjustment for ASC 842 adoption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 redemption value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February 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33,503,249</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8,011,372</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100,357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307,414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158</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(104,159)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303,770</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available for sale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shares vested, net of repurchase for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293,076 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(381,835)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381,835 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 redemption value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33,414,490</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8,393,207</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105,433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316,526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(107,060)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314,907</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188"/>
        <w:gridCol w:w="1874"/>
        <w:gridCol w:w="1888"/>
        <w:gridCol w:w="109"/>
        <w:gridCol w:w="109"/>
        <w:gridCol w:w="109"/>
        <w:gridCol w:w="211"/>
        <w:gridCol w:w="721"/>
        <w:gridCol w:w="109"/>
        <w:gridCol w:w="109"/>
        <w:gridCol w:w="109"/>
        <w:gridCol w:w="109"/>
        <w:gridCol w:w="211"/>
        <w:gridCol w:w="721"/>
        <w:gridCol w:w="109"/>
        <w:gridCol w:w="109"/>
        <w:gridCol w:w="109"/>
        <w:gridCol w:w="109"/>
        <w:gridCol w:w="211"/>
        <w:gridCol w:w="826"/>
        <w:gridCol w:w="155"/>
      </w:tblGrid>
      <w:tr>
        <w:trPr/>
        <w:tc>
          <w:tcPr>
            <w:tcW w:w="2188"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of earn-out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step-up in inventory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(gain) charges,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Proceeds from maturities and sales of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Cash received (paid) for business acquisition, net of cash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Proceeds from disposal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for equity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asset-based revolving credit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borrowings under asset-based revolving credit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 for business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10061" w:type="dxa"/>
        <w:jc w:val="center"/>
        <w:tblInd w:w="0" w:type="dxa"/>
        <w:tblCellMar>
          <w:top w:w="28" w:type="dxa"/>
          <w:left w:w="28" w:type="dxa"/>
          <w:bottom w:w="28" w:type="dxa"/>
          <w:right w:w="28" w:type="dxa"/>
        </w:tblCellMar>
      </w:tblPr>
      <w:tblGrid>
        <w:gridCol w:w="2182"/>
        <w:gridCol w:w="1919"/>
        <w:gridCol w:w="1928"/>
        <w:gridCol w:w="109"/>
        <w:gridCol w:w="109"/>
        <w:gridCol w:w="109"/>
        <w:gridCol w:w="223"/>
        <w:gridCol w:w="652"/>
        <w:gridCol w:w="115"/>
        <w:gridCol w:w="109"/>
        <w:gridCol w:w="109"/>
        <w:gridCol w:w="109"/>
        <w:gridCol w:w="211"/>
        <w:gridCol w:w="721"/>
        <w:gridCol w:w="109"/>
        <w:gridCol w:w="109"/>
        <w:gridCol w:w="109"/>
        <w:gridCol w:w="109"/>
        <w:gridCol w:w="219"/>
        <w:gridCol w:w="641"/>
        <w:gridCol w:w="160"/>
      </w:tblGrid>
      <w:tr>
        <w:trPr/>
        <w:tc>
          <w:tcPr>
            <w:tcW w:w="2182" w:type="dxa"/>
            <w:tcBorders/>
            <w:shd w:fill="auto" w:val="clear"/>
            <w:vAlign w:val="center"/>
          </w:tcPr>
          <w:p>
            <w:pPr>
              <w:pStyle w:val="TableContents"/>
              <w:spacing w:before="0" w:after="283"/>
              <w:rPr>
                <w:sz w:val="4"/>
                <w:szCs w:val="4"/>
              </w:rPr>
            </w:pPr>
            <w:r>
              <w:rPr>
                <w:sz w:val="4"/>
                <w:szCs w:val="4"/>
              </w:rPr>
            </w:r>
          </w:p>
        </w:tc>
        <w:tc>
          <w:tcPr>
            <w:tcW w:w="1919"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Repurchase of common stock incurred but not yet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As of January 30, 2021, February 1, 2020 and February 2,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As of February 1, 2020, February 2, 2019 and February 3,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Purchases of property, plant, and equipment incurred but not yet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30, 2021, February 1, 2020 and February 2,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 2020, February 2, 2019 and February 3,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Contingent consideration related to business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Refer to Note 4 herein for supplemental cash flow information regarding the Company’s leases.</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    Description of the Company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term “Company” refers to Vera Bradley, Inc. and its wholly and majority owned subsidiaries, except where the context requires otherwise or where otherwise indicated.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2019, Vera Bradley, Inc. acquired a 75% interest in Creative Genius, Inc., which also operates under the name Pura Vida Bracelets (“Pura Vida”). Pura Vida, based in La Jolla, California, is a digitally native lifestyle brand that we believe deeply resonates with its loyal consumer following. The Pura Vida brand has a differentiated and expanding offering of bracelets, jewelry, and other lifestyle accessories.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Beginning in the second quarter of fiscal 2020, the Company has included an additional segment for Pura Vida due to its acquisition. As a result, the Company now has three reportable segments: Vera Bradley Direct (“VB Direct”), Vera Bradley Indirect (“VB Indirect”), and Pura Vida.</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VB Direct business consists of sales of Vera Bradley products through Vera Bradley full-line and factory outlet stores in the United States; verabradley.com; the Vera Bradley online outlet site; and the Vera Bradley annual outlet sale in Fort Wayne, Indiana. As of January 30, 2021, the Company operated 75 full-line stores and 69 factory outlet stores. In light of the COVID-19 pandemic, the Company cancelled its 2020 annual outlet sale.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VB Indirect business consists of sales of Vera Bradley products to approximately 2,000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The Pura Vida segment represents revenues generated through the Pura Vida websites, www.puravidabracelets.com, www.puravidabracelets.eu, www.puravidabracelets.ca, and through the distribution of Pura Vida-branded products to wholesale retailers, substantially all of which are located in the United States.</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COVID-19 pandemic resulted in travel restrictions both domestically and internationally, community and self-quarantines, certain factory closures or reduced operations, as well as mall closures and reduced mall operating hours during fiscal 2021. Although e-commerce operations remained open for both of our brands, the aforementioned items had a material adverse impact on overall consumer demand, traffic, and sales. Beginning in mid-March 2020, the Company began taking several actions to navigate the COVID-19 pandemic, protect its financial position, maximize its liquidity, and to position the Company for a strong reopening and future. These actions included: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Temporarily closing all Vera Bradley store locations on March 19;</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Temporarily furloughing approximately 80% of its workforce mid first quarter;</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Temporarily reducing base compensation for remaining salaried associates, with reductions on a graduated scale ranging from 15% to 30%, and 75% for our Chief Executive Officer;</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Temporarily suspending cash compensation to the Company's Board of Directors;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Temporarily suspending the share repurchase program;</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Drawing $60.0 million of our $75.0 million Credit Agreement;</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Temporarily eliminating the Company 401(k) and associate charitable contribution matches;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Tightly managing inventory levels through the cancellation of purchase orders, delay of receipts, or seeking price concessions where possible;</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Actively working with landlords on addressing rent abatement, payment terms, accelerating store closures, and delaying or cancelling certain planned new store openings;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Reducing non-payroll operating expenses, including but not limited to, marketing and travel;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highlight w:val="white"/>
        </w:rPr>
        <w:t>Extending vendor payment terms.</w:t>
      </w:r>
    </w:p>
    <w:p>
      <w:pPr>
        <w:pStyle w:val="TextBody"/>
        <w:spacing w:lineRule="auto" w:line="276"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May 5, 2020, the Company began to open its Vera Bradley retail stores in a phased approach. All factory and full line stores were opened as of the end of the fiscal year, although with reduced hours, lower staffing levels, reduced foot traffic, and greatly enhanced safety protocols.</w:t>
      </w:r>
    </w:p>
    <w:p>
      <w:pPr>
        <w:pStyle w:val="TextBody"/>
        <w:spacing w:lineRule="auto" w:line="276"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has brought back substantially all associates from furlough; reinstated the base compensation reductions; reinstated the cash compensation to the Board of Directors; paid back $60.0 million of borrowings under its Credit Agreement; and reinstated the 401(k) match in January 2021. The Company continued to manage operating expenses and inventory levels, and work with landlords on rent abatement and payment terms.</w:t>
      </w:r>
    </w:p>
    <w:p>
      <w:pPr>
        <w:pStyle w:val="TextBody"/>
        <w:spacing w:lineRule="auto" w:line="276"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the Company is leveraging elements of the Coronavirus Aid Relief and Economic Security (CARES) Act. The CARES Act tax provisions include retention credits, the deferral of the employer portion of certain payroll taxes, and tax benefits related to a net operating loss carryback.</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wholly owned subsidiaries, and its majority owned subsidiary, Pura Vida beginning on July 17, 2019. The Company has eliminated intercompany balances and transactions in consolidation.</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Fiscal Periods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utilizes a 52-53 week fiscal year ended on the Saturday closest to January 31. As such, fiscal years 2021, 2020, and 2019, ending on January 30, 2021, February 1, 2020, and February 2, 2019 respectively, each reflected a 52-week period.</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pPr>
      <w:r>
        <w:rPr>
          <w:rFonts w:ascii="Times New Roman;sans-serif" w:hAnsi="Times New Roman;sans-serif"/>
          <w:b/>
          <w:color w:val="000000"/>
          <w:sz w:val="20"/>
        </w:rPr>
        <w:t>2.</w:t>
      </w:r>
      <w:r>
        <w:rPr>
          <w:color w:val="000000"/>
        </w:rPr>
        <w:t>    </w:t>
      </w:r>
      <w:r>
        <w:rPr>
          <w:rFonts w:ascii="Times New Roman;sans-serif" w:hAnsi="Times New Roman;sans-serif"/>
          <w:b/>
          <w:color w:val="000000"/>
          <w:sz w:val="20"/>
        </w:rPr>
        <w:t>Summary of Significant Accounting Policies</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Use of Significant Estimates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valuation of long-lived assets, including operating right-of-use assets, valuation of goodwill and indefinite-lived intangible assets, accounts receivable valuation allowances, sales return allowances, and the useful lives of assets for depreciation or amortization. Actual results could differ from these estimates. The Company revises its estimates and assumptions as new information becomes available.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represent cash on hand, deposits with financial institutions, and investments with an original maturity of three months or less.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consist of investments with a maturity within one year of the balance sheet date. As of January 30, 2021, these investments consisted of U.S. and non-U.S. corporate debt securities. As of February 1, 2020, these investments consisted of U.S. and non-U.S. corporate debt securities, commercial paper, municipal securities, and U.S. asset-backed securities. Long-term investments consist of investments with a maturity of greater than one year from the balance sheet date. There were no long-term investments as of January 30, 2021. As of February 1, 2020, these investments consisted of U.S. and non-U.S. corporate debt securities, U.S. and non-U.S. asset-backed securities, and other foreign securities. The Company’s objective with respect to these investments is to earn a higher rate of return, relative to deposit accounts, on funds that are otherwise not anticipated to be required to meet liquidity needs in the near-term while maintaining a low level of investment risk. These debt securities are classified as available-for-sale; therefore, unrealized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gains and losses are recorded within other comprehensive income. Interest income earned is recorded within interest expense (income), net, in the Company's Consolidated Statements of Operations.</w:t>
      </w:r>
    </w:p>
    <w:p>
      <w:pPr>
        <w:pStyle w:val="TextBody"/>
        <w:spacing w:lineRule="auto" w:line="288" w:before="100" w:after="283"/>
        <w:rPr/>
      </w:pPr>
      <w:r>
        <w:rPr>
          <w:rFonts w:ascii="Times New Roman;sans-serif" w:hAnsi="Times New Roman;sans-serif"/>
          <w:b w:val="false"/>
          <w:color w:val="000000"/>
          <w:sz w:val="20"/>
        </w:rPr>
        <w:t>Refe</w:t>
      </w:r>
      <w:r>
        <w:rPr>
          <w:rFonts w:ascii="Times New Roman;sans-serif" w:hAnsi="Times New Roman;sans-serif"/>
          <w:b w:val="false"/>
          <w:color w:val="000000"/>
          <w:sz w:val="20"/>
          <w:highlight w:val="white"/>
        </w:rPr>
        <w:t>r to Note 14 herein for ad</w:t>
      </w:r>
      <w:r>
        <w:rPr>
          <w:rFonts w:ascii="Times New Roman;sans-serif" w:hAnsi="Times New Roman;sans-serif"/>
          <w:b w:val="false"/>
          <w:color w:val="000000"/>
          <w:sz w:val="20"/>
        </w:rPr>
        <w:t>ditional information regarding the Company's investments.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inventories were as follows:</w:t>
      </w:r>
    </w:p>
    <w:tbl>
      <w:tblPr>
        <w:tblW w:w="4506" w:type="dxa"/>
        <w:jc w:val="left"/>
        <w:tblInd w:w="0" w:type="dxa"/>
        <w:tblCellMar>
          <w:top w:w="28" w:type="dxa"/>
          <w:left w:w="28" w:type="dxa"/>
          <w:bottom w:w="28" w:type="dxa"/>
          <w:right w:w="28" w:type="dxa"/>
        </w:tblCellMar>
      </w:tblPr>
      <w:tblGrid>
        <w:gridCol w:w="548"/>
        <w:gridCol w:w="483"/>
        <w:gridCol w:w="484"/>
        <w:gridCol w:w="109"/>
        <w:gridCol w:w="109"/>
        <w:gridCol w:w="109"/>
        <w:gridCol w:w="211"/>
        <w:gridCol w:w="826"/>
        <w:gridCol w:w="109"/>
        <w:gridCol w:w="109"/>
        <w:gridCol w:w="109"/>
        <w:gridCol w:w="109"/>
        <w:gridCol w:w="211"/>
        <w:gridCol w:w="826"/>
        <w:gridCol w:w="154"/>
      </w:tblGrid>
      <w:tr>
        <w:trPr/>
        <w:tc>
          <w:tcPr>
            <w:tcW w:w="54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Raw materials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506" w:type="dxa"/>
            <w:gridSpan w:val="15"/>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Relates solely to Pura Vida operations.</w:t>
            </w:r>
          </w:p>
        </w:tc>
      </w:tr>
    </w:tbl>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Property, Plant, and Equipment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carried at cost and depreciated or amortized over the following estimated useful lives using the straight-line method:</w:t>
      </w:r>
    </w:p>
    <w:p>
      <w:pPr>
        <w:pStyle w:val="TextBody"/>
        <w:spacing w:lineRule="auto" w:line="288" w:before="0" w:after="0"/>
        <w:rPr>
          <w:color w:val="000000"/>
        </w:rPr>
      </w:pPr>
      <w:r>
        <w:rPr>
          <w:color w:val="000000"/>
        </w:rPr>
        <w:t> </w:t>
      </w:r>
    </w:p>
    <w:tbl>
      <w:tblPr>
        <w:tblW w:w="7194" w:type="dxa"/>
        <w:jc w:val="left"/>
        <w:tblInd w:w="0" w:type="dxa"/>
        <w:tblCellMar>
          <w:top w:w="28" w:type="dxa"/>
          <w:left w:w="28" w:type="dxa"/>
          <w:bottom w:w="28" w:type="dxa"/>
          <w:right w:w="28" w:type="dxa"/>
        </w:tblCellMar>
      </w:tblPr>
      <w:tblGrid>
        <w:gridCol w:w="124"/>
        <w:gridCol w:w="109"/>
        <w:gridCol w:w="109"/>
        <w:gridCol w:w="1799"/>
        <w:gridCol w:w="1799"/>
        <w:gridCol w:w="1801"/>
        <w:gridCol w:w="359"/>
        <w:gridCol w:w="359"/>
        <w:gridCol w:w="363"/>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 ..............................................</w:t>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years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 ...........................................................................</w:t>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15 years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 and leasehold improvements ........................</w:t>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w:t>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w:t>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 ...................................................</w:t>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180" w:after="283"/>
        <w:rPr/>
      </w:pPr>
      <w:r>
        <w:rPr>
          <w:rFonts w:ascii="Times New Roman;sans-serif" w:hAnsi="Times New Roman;sans-serif"/>
          <w:b w:val="false"/>
          <w:color w:val="000000"/>
          <w:sz w:val="20"/>
        </w:rPr>
        <w:t>The Company recognizes depreciation and amortization expense within cost of sales for expenditures related to distribution center, sourcing, and other related functions and selling, general, and administrative expenses for all other expenditures. Leas</w:t>
      </w:r>
      <w:r>
        <w:rPr>
          <w:rFonts w:ascii="Times New Roman;sans-serif" w:hAnsi="Times New Roman;sans-serif"/>
          <w:b w:val="false"/>
          <w:color w:val="000000"/>
          <w:sz w:val="20"/>
          <w:highlight w:val="white"/>
        </w:rPr>
        <w:t>ehold improvements are amortized over the shorter of the life of the asset or the lease term. Lease terms typically range from three to ten years.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reviewed for impairment whenever events or changes in circumstances indicate that the carrying amount of the asset groups may not be recoverable. The reviews are conducted at the lowest identifiable level of cash flows, which is at the retail store level for store-related assets. If the estimated undiscounted future cash flows related to the property, plant, and equipment and operating right-of-use assets are less than the carrying value, the Company recognizes a loss equal to the difference between the carrying value and the fair value, as further defined below in “Fair Value of Financial Instruments.”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Routine maintenance and repair costs are expensed as incurred.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pStyle w:val="TextBody"/>
        <w:spacing w:before="280" w:after="283"/>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Revenue Recognition and Accounts Receivable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Vera Bradley and Pura Vida product sales to customers, including amounts billed to customers for shipping fees, as well as royalties from licensing arrangements related to the Vera Bradley brand, are included in net revenues. Costs related to shipping of product are classified in cost of sales in the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These steps are: (i) identify the contract with the customer; (ii) identify the performance obligations; (iii) determine the transaction price; (iv) allocate the transaction price to each performance obligation; and (v) recognize revenue as the performance obligations are satisfied.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collects payment at the point of sale for Vera Bradley full-line and factory outlet store transactions, upon shipment for Vera Bradley e-commerce transactions, and upon purchase for Pura Vida e-commerce transactions. The Company generally collects payment in arrears in accordance with established payment terms for each customer within the VB Indirect segment and for Pura Vida wholesale retailers.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Historical experience provides the Company the ability to reasonably estimate the amount of product sales that customers will return. Product returns are often resalable through multiple channels. Additionally, the Company reserves for customer allowances for certain VB Indirect retailers based upon various contract terms and other potential product credits granted to VB Indirect retailers.</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returns and credits reserve and the related activity for each fiscal year presented were as follows (in thousands):</w:t>
      </w:r>
    </w:p>
    <w:tbl>
      <w:tblPr>
        <w:tblW w:w="9635" w:type="dxa"/>
        <w:jc w:val="left"/>
        <w:tblInd w:w="0" w:type="dxa"/>
        <w:tblCellMar>
          <w:top w:w="28" w:type="dxa"/>
          <w:left w:w="28" w:type="dxa"/>
          <w:bottom w:w="28" w:type="dxa"/>
          <w:right w:w="28" w:type="dxa"/>
        </w:tblCellMar>
      </w:tblPr>
      <w:tblGrid>
        <w:gridCol w:w="1076"/>
        <w:gridCol w:w="945"/>
        <w:gridCol w:w="949"/>
        <w:gridCol w:w="109"/>
        <w:gridCol w:w="109"/>
        <w:gridCol w:w="109"/>
        <w:gridCol w:w="331"/>
        <w:gridCol w:w="967"/>
        <w:gridCol w:w="172"/>
        <w:gridCol w:w="109"/>
        <w:gridCol w:w="109"/>
        <w:gridCol w:w="109"/>
        <w:gridCol w:w="219"/>
        <w:gridCol w:w="748"/>
        <w:gridCol w:w="114"/>
        <w:gridCol w:w="109"/>
        <w:gridCol w:w="109"/>
        <w:gridCol w:w="109"/>
        <w:gridCol w:w="295"/>
        <w:gridCol w:w="1113"/>
        <w:gridCol w:w="152"/>
        <w:gridCol w:w="109"/>
        <w:gridCol w:w="109"/>
        <w:gridCol w:w="109"/>
        <w:gridCol w:w="267"/>
        <w:gridCol w:w="782"/>
        <w:gridCol w:w="197"/>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Beginning of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Provision</w:t>
              <w:br/>
              <w:t>Charged to</w:t>
              <w:br/>
              <w:t>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Allowances</w:t>
              <w:br/>
              <w:t>Taken / Written Off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End</w:t>
              <w:br/>
              <w:t>of Year</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January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(16,016)</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2,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$1.1 million and $0.5 million as of January 30, 2021 and February 1, 2020, respectively. The provision for doubtful accounts is based upon the likelihood of default expected during the life of the receivable.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Cost of sales includes material and labor costs, freight, inventory shrinkage, operating lease costs, duty, and other operating expenses, including depreciation of the Vera Bradley distribution center and equipment. Costs and related expenses to purchase and distribute the products are recorded as cost of sales when the related revenues are recognized.</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Operating Leases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right-of-use assets are reviewed for impairment whenever events or changes in circumstances indicate that the carrying amount of the assets may not be recoverable. The reviews are conducted at the lowest identifiable level of cash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flows, which is at the retail store level for store-related assets. If the estimated undiscounted future cash flows related to the operating right-of-use assets are less than the carrying value, the Company recognizes a loss equal to the difference between the carrying value and the fair value, as further defined below in “Fair Value of Financial Instruments.”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Refer to Note 4 herein for additional information regarding the Company's leases.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Store Pre-Opening, Occupancy, and Operating Costs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acquired a majority interest in Pura Vida on July 16, 2019. 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 Refer to Note 15 herein for additional information.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These fair value assessments require management judgment and include the use of significant estimates and assumptions including future cash flows, discount and other market rates, and asset lives, among other items.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Goodwill and Other Intangible Assets</w:t>
      </w:r>
    </w:p>
    <w:p>
      <w:pPr>
        <w:pStyle w:val="TextBody"/>
        <w:spacing w:lineRule="auto" w:line="288" w:before="100" w:after="283"/>
        <w:rPr/>
      </w:pPr>
      <w:r>
        <w:rPr>
          <w:rFonts w:ascii="Times New Roman;sans-serif" w:hAnsi="Times New Roman;sans-serif"/>
          <w:b w:val="false"/>
          <w:color w:val="000000"/>
          <w:sz w:val="20"/>
        </w:rPr>
        <w:t>Upon an acquisition, the Company records the fair value of goodwill and the identifiable intangible assets. As of January 30, 2021 and February 1, 2020, the identifiable intangible assets consisted of the</w:t>
      </w:r>
      <w:r>
        <w:rPr>
          <w:color w:val="000000"/>
          <w:highlight w:val="white"/>
        </w:rPr>
        <w:t xml:space="preserve"> </w:t>
      </w:r>
      <w:r>
        <w:rPr>
          <w:rFonts w:ascii="Times New Roman;sans-serif" w:hAnsi="Times New Roman;sans-serif"/>
          <w:b w:val="false"/>
          <w:color w:val="000000"/>
          <w:sz w:val="20"/>
          <w:highlight w:val="white"/>
        </w:rPr>
        <w:t>Pura Vida brand, customer relationships, and non-competition agreements. Assets that are determined to have an indefinite life, including goodwill and the Pura Vida brand, are not amortized but are assessed for impairment at least annually or whenever events or circumstances indicate that the goodwill may be impaired</w:t>
      </w:r>
      <w:r>
        <w:rPr>
          <w:rFonts w:ascii="Times New Roman;sans-serif" w:hAnsi="Times New Roman;sans-serif"/>
          <w:b w:val="false"/>
          <w:color w:val="000000"/>
          <w:sz w:val="20"/>
        </w:rPr>
        <w:t>. Definite-lived intangible assets, including customer relationships and non-competition agreements, are amortized over their estimated useful lives and are also subject to impairment testing, similar to the Company’s long-lived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annual goodwill and Pura Vida brand impairment test generally during the second quarter. The Company may first use a qualitative analysis to determine whether it is more-likely-than-not that the fair value of the reporting unit (including goodwill) is less than its carrying value. If it is determined that it is more-likely-than-not that the fair value is less than the carrying value after this analysis, a quantitative impairment test is performed. If the Company elects to bypass the qualitative analysis, or if it is determined through the qualitative analysis that it is more-likely-than-not that the fair value of the reporting unit is less than its carrying value, a quantitative analysis is performed. Under the quantitative test, the fair value of the reporting unit is compared with its carrying value (including goodwill). If the carrying value of the reporting unit exceeds its fair value, an impairment loss is recognized in an amount equal to that excess, limited to the amount of total goodwill allocated to the reporting unit. The fair value of the reporting unit is determined using an income-based approach and a market-based approach. The Company's critical estimates for the goodwill test include the revenue growth rate, operating profit, and discount rate. The fair value of the Pura Vida brand is estimated using the relief-from-royalty method. The critical estimates for the Pura Vida brand impairment test include the projected revenue growth, long-term growth rate, the royalty rate, and the discount rate.</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January 30, 2021, the carrying value of goodwill and the Pura Vida brand was $44.3 million and $36.7 million, respectively. For the annual impairment analysis performed during fiscal 2021, we performed a quantitative analysis. There was no impairment recorded for goodwill or the Pura Vida brand during fiscal 2021.</w:t>
      </w:r>
    </w:p>
    <w:p>
      <w:pPr>
        <w:pStyle w:val="TextBody"/>
        <w:spacing w:lineRule="auto" w:line="276"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Pura Vida reporting unit and the Pura Vida brand are subject to change as a result of many factors including changing economic conditions. Should actual cash flows and our future estimates deteriorate from the estimates we used, impairment charges may be necessary in future years.</w:t>
      </w:r>
    </w:p>
    <w:p>
      <w:pPr>
        <w:pStyle w:val="TextBody"/>
        <w:spacing w:before="280" w:after="283"/>
        <w:rPr/>
      </w:pPr>
      <w:r>
        <w:rPr/>
      </w:r>
    </w:p>
    <w:p>
      <w:pPr>
        <w:pStyle w:val="TextBody"/>
        <w:spacing w:before="280" w:after="283"/>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Redeemable Noncontrolling Interest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pStyle w:val="TextBody"/>
        <w:spacing w:lineRule="auto" w:line="288" w:before="100" w:after="283"/>
        <w:rPr/>
      </w:pPr>
      <w:r>
        <w:rPr>
          <w:rFonts w:ascii="Times New Roman;sans-serif" w:hAnsi="Times New Roman;sans-serif"/>
          <w:b w:val="false"/>
          <w:color w:val="000000"/>
          <w:sz w:val="20"/>
        </w:rPr>
        <w:t xml:space="preserve">As a result of this redemption feature, the Company recorded the noncontrolling interest as redeemable and classified it in temporary equity within its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net income attributable to Vera Bradley, Inc. for the measurement period adjustment to the extent </w:t>
      </w:r>
      <w:r>
        <w:rPr>
          <w:rFonts w:ascii="Times New Roman;sans-serif" w:hAnsi="Times New Roman;sans-serif"/>
          <w:b w:val="false"/>
          <w:color w:val="000000"/>
          <w:sz w:val="20"/>
          <w:highlight w:val="white"/>
        </w:rPr>
        <w:t>the redemption value exceeds the fair value of the noncontrolling interest on a cumulative basis. The fair value of the noncontrolling interest is estimated using a combination of the income approach, a discounted cash flow analysis, and the market approach, utilizing the guideline company method. The reporting unit’s discounted cash flow analysis requires significant management judgment with respect to revenue, total direct costs,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 Refer to Note 16 her</w:t>
      </w:r>
      <w:r>
        <w:rPr>
          <w:rFonts w:ascii="Times New Roman;sans-serif" w:hAnsi="Times New Roman;sans-serif"/>
          <w:b w:val="false"/>
          <w:color w:val="000000"/>
          <w:sz w:val="20"/>
        </w:rPr>
        <w:t>ein for additional information regarding the redeemable noncontrolling interest.</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100" w:after="283"/>
        <w:rPr/>
      </w:pPr>
      <w:r>
        <w:rPr>
          <w:rFonts w:ascii="Times New Roman;sans-serif" w:hAnsi="Times New Roman;sans-serif"/>
          <w:b w:val="false"/>
          <w:color w:val="000000"/>
          <w:sz w:val="20"/>
        </w:rPr>
        <w:t xml:space="preserve">The Company accounts for stock-based compensation using the fair-value recognition provisions of ASC 718, </w:t>
      </w:r>
      <w:r>
        <w:rPr>
          <w:rFonts w:ascii="Times New Roman;sans-serif" w:hAnsi="Times New Roman;sans-serif"/>
          <w:b w:val="false"/>
          <w:i/>
          <w:color w:val="000000"/>
          <w:sz w:val="20"/>
        </w:rPr>
        <w:t>Stock Compensation</w:t>
      </w:r>
      <w:r>
        <w:rPr>
          <w:rFonts w:ascii="Times New Roman;sans-serif" w:hAnsi="Times New Roman;sans-serif"/>
          <w:b w:val="false"/>
          <w:color w:val="000000"/>
          <w:sz w:val="20"/>
        </w:rPr>
        <w:t xml:space="preserve">.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expenses advertising costs at the time the promotion first appears in media, in stores, or on its websites, and includes those costs in selling, general, and administrative expenses in the Consolidated Statements of Operations.</w:t>
      </w:r>
    </w:p>
    <w:p>
      <w:pPr>
        <w:pStyle w:val="TextBody"/>
        <w:spacing w:lineRule="auto" w:line="288" w:before="10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advertising expense was as follows (in thousands):</w:t>
      </w:r>
    </w:p>
    <w:p>
      <w:pPr>
        <w:pStyle w:val="TextBody"/>
        <w:spacing w:lineRule="auto" w:line="288"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2679"/>
        <w:gridCol w:w="2314"/>
        <w:gridCol w:w="2324"/>
        <w:gridCol w:w="560"/>
        <w:gridCol w:w="1916"/>
        <w:gridCol w:w="412"/>
      </w:tblGrid>
      <w:tr>
        <w:trPr/>
        <w:tc>
          <w:tcPr>
            <w:tcW w:w="2679"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Fiscal year ended January 30, 2021 </w:t>
            </w:r>
            <w:r>
              <w:rPr>
                <w:rFonts w:ascii="Times New Roman;sans-serif" w:hAnsi="Times New Roman;sans-serif"/>
                <w:b w:val="false"/>
                <w:color w:val="000000"/>
                <w:sz w:val="13"/>
              </w:rPr>
              <w:t>(1)</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54,571 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Fiscal year ended February 1, 2020 </w:t>
            </w:r>
            <w:r>
              <w:rPr>
                <w:rFonts w:ascii="Times New Roman;sans-serif" w:hAnsi="Times New Roman;sans-serif"/>
                <w:b w:val="false"/>
                <w:color w:val="000000"/>
                <w:sz w:val="13"/>
              </w:rPr>
              <w:t>(1)</w:t>
            </w:r>
          </w:p>
        </w:tc>
        <w:tc>
          <w:tcPr>
            <w:tcW w:w="2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46,460 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2, 2019</w:t>
            </w:r>
          </w:p>
        </w:tc>
        <w:tc>
          <w:tcPr>
            <w:tcW w:w="2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27,488 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Increase primarily as a result of the inclusion of Pura Vida beginning July 17, 2019. Fiscal 2020 includes approximately six months of Pura Vida advertising expense whereas fiscal 2021 includes 12 months of expense.</w:t>
            </w:r>
          </w:p>
        </w:tc>
      </w:tr>
    </w:tbl>
    <w:p>
      <w:pPr>
        <w:pStyle w:val="TextBody"/>
        <w:spacing w:before="280" w:after="283"/>
        <w:rPr/>
      </w:pPr>
      <w:r>
        <w:rPr/>
      </w:r>
    </w:p>
    <w:p>
      <w:pPr>
        <w:pStyle w:val="TextBody"/>
        <w:spacing w:before="280" w:after="283"/>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pStyle w:val="TextBody"/>
        <w:spacing w:lineRule="auto" w:line="288" w:before="100" w:after="283"/>
        <w:rPr/>
      </w:pPr>
      <w:r>
        <w:rPr>
          <w:color w:val="000000"/>
        </w:rPr>
        <w:t>•</w:t>
      </w:r>
      <w:r>
        <w:rPr>
          <w:rFonts w:ascii="Times New Roman;sans-serif" w:hAnsi="Times New Roman;sans-serif"/>
          <w:b w:val="false"/>
          <w:color w:val="000000"/>
          <w:sz w:val="20"/>
        </w:rPr>
        <w:t>Level 1 – Quoted prices in active markets for identical assets or liabilities;</w:t>
      </w:r>
    </w:p>
    <w:p>
      <w:pPr>
        <w:pStyle w:val="TextBody"/>
        <w:spacing w:lineRule="auto" w:line="288" w:before="100" w:after="283"/>
        <w:rPr/>
      </w:pPr>
      <w:r>
        <w:rPr>
          <w:color w:val="000000"/>
        </w:rPr>
        <w:t>•</w:t>
      </w:r>
      <w:r>
        <w:rPr>
          <w:rFonts w:ascii="Times New Roman;sans-serif" w:hAnsi="Times New Roman;sans-serif"/>
          <w:b w:val="false"/>
          <w:color w:val="000000"/>
          <w:sz w:val="20"/>
        </w:rPr>
        <w:t>Level 2 – Inputs, other than the quoted prices in active markets, that are observable either directly or indirectly;</w:t>
      </w:r>
    </w:p>
    <w:p>
      <w:pPr>
        <w:pStyle w:val="TextBody"/>
        <w:spacing w:lineRule="auto" w:line="288" w:before="100" w:after="283"/>
        <w:rPr/>
      </w:pPr>
      <w:r>
        <w:rPr>
          <w:color w:val="000000"/>
        </w:rPr>
        <w:t>•</w:t>
      </w:r>
      <w:r>
        <w:rPr>
          <w:rFonts w:ascii="Times New Roman;sans-serif" w:hAnsi="Times New Roman;sans-serif"/>
          <w:b w:val="false"/>
          <w:color w:val="000000"/>
          <w:sz w:val="20"/>
        </w:rPr>
        <w:t>Level 3 – Unobservable inputs based on the Company’s own assumptions.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classification of fair value measurements within the hierarchy is based upon the lowest level of input that is significant to the measurement.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carrying amounts reflected on the Consolidated Balance Sheets for cash and cash equivalents, accounts receivable, and accounts payable as of January 30, 2021 and February 1, 2020, approximated their fair values.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fair value measurements of the Company’s investments as of January 30, 2021 and February 1, 2020 (in thousands):</w:t>
      </w:r>
    </w:p>
    <w:tbl>
      <w:tblPr>
        <w:tblW w:w="10205" w:type="dxa"/>
        <w:jc w:val="left"/>
        <w:tblInd w:w="0" w:type="dxa"/>
        <w:tblCellMar>
          <w:top w:w="28" w:type="dxa"/>
          <w:left w:w="28" w:type="dxa"/>
          <w:bottom w:w="28" w:type="dxa"/>
          <w:right w:w="28" w:type="dxa"/>
        </w:tblCellMar>
      </w:tblPr>
      <w:tblGrid>
        <w:gridCol w:w="868"/>
        <w:gridCol w:w="563"/>
        <w:gridCol w:w="566"/>
        <w:gridCol w:w="260"/>
        <w:gridCol w:w="762"/>
        <w:gridCol w:w="134"/>
        <w:gridCol w:w="118"/>
        <w:gridCol w:w="118"/>
        <w:gridCol w:w="118"/>
        <w:gridCol w:w="321"/>
        <w:gridCol w:w="551"/>
        <w:gridCol w:w="168"/>
        <w:gridCol w:w="118"/>
        <w:gridCol w:w="118"/>
        <w:gridCol w:w="118"/>
        <w:gridCol w:w="287"/>
        <w:gridCol w:w="553"/>
        <w:gridCol w:w="148"/>
        <w:gridCol w:w="118"/>
        <w:gridCol w:w="118"/>
        <w:gridCol w:w="118"/>
        <w:gridCol w:w="260"/>
        <w:gridCol w:w="759"/>
        <w:gridCol w:w="134"/>
        <w:gridCol w:w="118"/>
        <w:gridCol w:w="118"/>
        <w:gridCol w:w="118"/>
        <w:gridCol w:w="287"/>
        <w:gridCol w:w="553"/>
        <w:gridCol w:w="148"/>
        <w:gridCol w:w="118"/>
        <w:gridCol w:w="118"/>
        <w:gridCol w:w="118"/>
        <w:gridCol w:w="298"/>
        <w:gridCol w:w="573"/>
        <w:gridCol w:w="242"/>
      </w:tblGrid>
      <w:tr>
        <w:trPr/>
        <w:tc>
          <w:tcPr>
            <w:tcW w:w="868"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w:t>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U.S. corporate debt securities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Commercial paper</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Municipal securities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Non-U.S. corporate debt securities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U.S. asset-backed securities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investments:</w:t>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U.S. corporate debt securities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U.S. asset-backed securities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Non-U.S. corporate debt securities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foreign securities</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Non-U.S. asset-backed securities</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Cash equivalents include commercial paper and a money market fund that have a maturity of three months or less at the date of purchase. Due to their short maturity, the Company believes the carrying value approximates fair value.</w:t>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8208" w:type="dxa"/>
            <w:gridSpan w:val="33"/>
            <w:tcBorders/>
            <w:shd w:fill="auto" w:val="clear"/>
          </w:tcPr>
          <w:p>
            <w:pPr>
              <w:pStyle w:val="TableContents"/>
              <w:spacing w:before="0" w:after="283"/>
              <w:rPr>
                <w:sz w:val="4"/>
                <w:szCs w:val="4"/>
              </w:rPr>
            </w:pPr>
            <w:r>
              <w:rPr>
                <w:sz w:val="4"/>
                <w:szCs w:val="4"/>
              </w:rPr>
            </w:r>
          </w:p>
        </w:tc>
      </w:tr>
    </w:tbl>
    <w:p>
      <w:pPr>
        <w:pStyle w:val="TextBody"/>
        <w:spacing w:lineRule="auto" w:line="288" w:before="100" w:after="283"/>
        <w:rPr/>
      </w:pPr>
      <w:r>
        <w:rPr>
          <w:rFonts w:ascii="Times New Roman;sans-serif" w:hAnsi="Times New Roman;sans-serif"/>
          <w:b w:val="false"/>
          <w:color w:val="000000"/>
          <w:sz w:val="20"/>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w:t>
      </w:r>
      <w:r>
        <w:rPr>
          <w:color w:val="000000"/>
        </w:rPr>
        <w:t xml:space="preserve"> </w:t>
      </w:r>
      <w:r>
        <w:rPr>
          <w:rFonts w:ascii="Times New Roman;sans-serif" w:hAnsi="Times New Roman;sans-serif"/>
          <w:b w:val="false"/>
          <w:color w:val="000000"/>
          <w:sz w:val="20"/>
        </w:rPr>
        <w:t>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$7.4 million in impairment charges related to store assets including property, plant, and equipment and lease right-of-use assets during the fiscal year</w:t>
      </w:r>
      <w:r>
        <w:rPr>
          <w:color w:val="000000"/>
          <w:highlight w:val="white"/>
        </w:rPr>
        <w:t xml:space="preserve"> </w:t>
      </w:r>
      <w:r>
        <w:rPr>
          <w:rFonts w:ascii="Times New Roman;sans-serif" w:hAnsi="Times New Roman;sans-serif"/>
          <w:b w:val="false"/>
          <w:color w:val="000000"/>
          <w:sz w:val="20"/>
          <w:highlight w:val="white"/>
        </w:rPr>
        <w:t>ended January 30, 2021. There were no impairment charges for the fiscal years ended February 1, 2020 and February 2, 2019.</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pPr>
      <w:r>
        <w:rPr>
          <w:rFonts w:ascii="Times New Roman;sans-serif" w:hAnsi="Times New Roman;sans-serif"/>
          <w:b w:val="false"/>
          <w:color w:val="000000"/>
          <w:sz w:val="20"/>
          <w:highlight w:val="white"/>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15 herein</w:t>
      </w:r>
      <w:r>
        <w:rPr>
          <w:color w:val="000000"/>
        </w:rPr>
        <w:t xml:space="preserve"> </w:t>
      </w:r>
      <w:r>
        <w:rPr>
          <w:rFonts w:ascii="Times New Roman;sans-serif" w:hAnsi="Times New Roman;sans-serif"/>
          <w:b w:val="false"/>
          <w:color w:val="000000"/>
          <w:sz w:val="20"/>
        </w:rPr>
        <w:t>for additional information on the methods used in the valuation of acquired intangible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Cloud Computing Arrangements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in the same line item within the Company's Consolidated Statements of Operations as the related hosting fees. The balance of the unamortized CCA implementation costs totaled $8.1 million and $3.8 million as of January 30, 2021 and February 1, 2020, respectively. Of this total, $2.4 million and $0.3 million was recorded within prepaid expenses and other current assets and $5.7 million and $3.5 million was recorded within other assets on the Company's Consolidated Balance Sheets as of January 30, 2021 and February 1, 2020, respectively. The CCA implementation costs are recorded within operating activities in the Company's Consolidated Statements of Cash Flows.</w:t>
      </w:r>
    </w:p>
    <w:p>
      <w:pPr>
        <w:pStyle w:val="TextBody"/>
        <w:spacing w:lineRule="auto" w:line="288" w:before="28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Recently Issued Accounting Pronouncements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spacing w:lineRule="auto" w:line="288" w:before="100" w:after="283"/>
        <w:rPr/>
      </w:pPr>
      <w:r>
        <w:rPr>
          <w:rFonts w:ascii="Times New Roman;sans-serif" w:hAnsi="Times New Roman;sans-serif"/>
          <w:b w:val="false"/>
          <w:color w:val="000000"/>
          <w:sz w:val="20"/>
        </w:rPr>
        <w:t xml:space="preserve">In February 2016, the Financial Accounting Standards Board (“FASB”) issued Accounting Standards Update (“ASU”) 2016-02, </w:t>
      </w:r>
      <w:r>
        <w:rPr>
          <w:rFonts w:ascii="Times New Roman;sans-serif" w:hAnsi="Times New Roman;sans-serif"/>
          <w:b w:val="false"/>
          <w:i/>
          <w:color w:val="000000"/>
          <w:sz w:val="20"/>
        </w:rPr>
        <w:t>Leases</w:t>
      </w:r>
      <w:r>
        <w:rPr>
          <w:rFonts w:ascii="Times New Roman;sans-serif" w:hAnsi="Times New Roman;sans-serif"/>
          <w:b w:val="false"/>
          <w:color w:val="000000"/>
          <w:sz w:val="20"/>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adopted the standard using this adoption method on February 3, 2019 (the beginning of fiscal 2020) and recorded a $0.2 million beginning retained earnings adjustment. In addition, the Company evaluated the usage of applicable transition relief practical expedients at the adoption date as follows: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CellMar>
          <w:top w:w="28" w:type="dxa"/>
          <w:left w:w="28" w:type="dxa"/>
          <w:bottom w:w="28" w:type="dxa"/>
          <w:right w:w="28" w:type="dxa"/>
        </w:tblCellMar>
      </w:tblPr>
      <w:tblGrid>
        <w:gridCol w:w="529"/>
        <w:gridCol w:w="466"/>
        <w:gridCol w:w="467"/>
        <w:gridCol w:w="2556"/>
        <w:gridCol w:w="2556"/>
        <w:gridCol w:w="3631"/>
      </w:tblGrid>
      <w:tr>
        <w:trPr/>
        <w:tc>
          <w:tcPr>
            <w:tcW w:w="52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2556" w:type="dxa"/>
            <w:tcBorders/>
            <w:shd w:fill="auto" w:val="clear"/>
            <w:vAlign w:val="center"/>
          </w:tcPr>
          <w:p>
            <w:pPr>
              <w:pStyle w:val="TableContents"/>
              <w:spacing w:before="0" w:after="283"/>
              <w:rPr>
                <w:sz w:val="4"/>
                <w:szCs w:val="4"/>
              </w:rPr>
            </w:pPr>
            <w:r>
              <w:rPr>
                <w:sz w:val="4"/>
                <w:szCs w:val="4"/>
              </w:rPr>
            </w:r>
          </w:p>
        </w:tc>
        <w:tc>
          <w:tcPr>
            <w:tcW w:w="2556" w:type="dxa"/>
            <w:tcBorders/>
            <w:shd w:fill="auto" w:val="clear"/>
            <w:vAlign w:val="center"/>
          </w:tcPr>
          <w:p>
            <w:pPr>
              <w:pStyle w:val="TableContents"/>
              <w:spacing w:before="0" w:after="283"/>
              <w:rPr>
                <w:sz w:val="4"/>
                <w:szCs w:val="4"/>
              </w:rPr>
            </w:pPr>
            <w:r>
              <w:rPr>
                <w:sz w:val="4"/>
                <w:szCs w:val="4"/>
              </w:rPr>
            </w:r>
          </w:p>
        </w:tc>
        <w:tc>
          <w:tcPr>
            <w:tcW w:w="3631" w:type="dxa"/>
            <w:tcBorders/>
            <w:shd w:fill="auto" w:val="clear"/>
            <w:vAlign w:val="center"/>
          </w:tcPr>
          <w:p>
            <w:pPr>
              <w:pStyle w:val="TableContents"/>
              <w:spacing w:before="0" w:after="283"/>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Practical Expedient Package</w:t>
            </w:r>
          </w:p>
        </w:tc>
        <w:tc>
          <w:tcPr>
            <w:tcW w:w="874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the practical expedient package and did not re-assess whether a contract was or contained a lease; did not re-assess lease classification as an operating or financing lease for expired or existing leases; and did not re-assess whether a lease contained initial direct costs for expired or existing leases.</w:t>
            </w:r>
          </w:p>
        </w:tc>
      </w:tr>
      <w:tr>
        <w:trPr/>
        <w:tc>
          <w:tcPr>
            <w:tcW w:w="14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Hindsight</w:t>
            </w:r>
          </w:p>
        </w:tc>
        <w:tc>
          <w:tcPr>
            <w:tcW w:w="87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elect the hindsight practical expedient, which allows for hindsight when assessing the lease term and impairment of right-of-use assets.</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at all of its retail stores; therefore, the adoption of this standard resulted in a material increase of assets and liabilities on the Company’s Consolidated Balance Sheets. The opening balance of its operating lease liabilities was approximately $149 million and its operating right-of-use assets were approximately $126 million at transition on February 3, 2019. The Consolidated Statements of Cash Flows also had material presentation changes within operating activities upon adoption. The adoption of this standard had no impact on the Company's Consolidated Statements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Refer to Note 4 herein for additional information regarding ASC Topic 842, including details of practical expedients related to policy elections.</w:t>
      </w:r>
    </w:p>
    <w:p>
      <w:pPr>
        <w:pStyle w:val="TextBody"/>
        <w:spacing w:lineRule="auto" w:line="288" w:before="100" w:after="283"/>
        <w:rPr/>
      </w:pPr>
      <w:r>
        <w:rPr>
          <w:rFonts w:ascii="Times New Roman;sans-serif" w:hAnsi="Times New Roman;sans-serif"/>
          <w:b w:val="false"/>
          <w:color w:val="000000"/>
          <w:sz w:val="20"/>
        </w:rPr>
        <w:t xml:space="preserve">In August 2018, the FASB issued ASU 2018-13, </w:t>
      </w:r>
      <w:r>
        <w:rPr>
          <w:rFonts w:ascii="Times New Roman;sans-serif" w:hAnsi="Times New Roman;sans-serif"/>
          <w:b w:val="false"/>
          <w:i/>
          <w:color w:val="000000"/>
          <w:sz w:val="20"/>
        </w:rPr>
        <w:t>Disclosure Framework – Changes to the Disclosure Requirements for Fair Value Measurements</w:t>
      </w:r>
      <w:r>
        <w:rPr>
          <w:rFonts w:ascii="Times New Roman;sans-serif" w:hAnsi="Times New Roman;sans-serif"/>
          <w:b w:val="false"/>
          <w:color w:val="000000"/>
          <w:sz w:val="20"/>
        </w:rPr>
        <w:t xml:space="preserve">. The amendments in this update remove, modify, and add certain disclosure requirements to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adoption of this standard in the first quarter of fiscal 2021 did not have a material impact on the Company's consolidated financial statements.</w:t>
      </w:r>
    </w:p>
    <w:p>
      <w:pPr>
        <w:pStyle w:val="TextBody"/>
        <w:spacing w:lineRule="auto" w:line="288" w:before="100" w:after="283"/>
        <w:rPr/>
      </w:pPr>
      <w:r>
        <w:rPr>
          <w:rFonts w:ascii="Times New Roman;sans-serif" w:hAnsi="Times New Roman;sans-serif"/>
          <w:b w:val="false"/>
          <w:color w:val="000000"/>
          <w:sz w:val="20"/>
        </w:rPr>
        <w:t>In June 2016, the FASB issued ASU 2016-13,</w:t>
      </w:r>
      <w:r>
        <w:rPr>
          <w:color w:val="000000"/>
        </w:rPr>
        <w:t xml:space="preserve"> </w:t>
      </w:r>
      <w:r>
        <w:rPr>
          <w:rFonts w:ascii="Times New Roman;sans-serif" w:hAnsi="Times New Roman;sans-serif"/>
          <w:b w:val="false"/>
          <w:i/>
          <w:color w:val="000000"/>
          <w:sz w:val="20"/>
        </w:rPr>
        <w:t>Measurement of Credit Losses on Financial Instruments</w:t>
      </w:r>
      <w:r>
        <w:rPr>
          <w:rFonts w:ascii="Times New Roman;sans-serif" w:hAnsi="Times New Roman;sans-serif"/>
          <w:b w:val="false"/>
          <w:color w:val="000000"/>
          <w:sz w:val="20"/>
        </w:rPr>
        <w:t>. This standard replaces the incurred loss impairment methodology in current GAAP with a methodology that uses a forward-looking approach to recording credit losses for certain financial instruments including debt securities, trade receivables, and other financial assets. This guidance is effective for fiscal years beginning after December 15, 2019, including interim periods within those fiscal years, for SEC filers, which is the Company's fiscal 2021. Early adoption is permitted. The adoption of this standard in the first quarter of fiscal 2021 did not have a material impact on the Company's consolidated financial statements.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spacing w:lineRule="auto" w:line="288" w:before="100" w:after="200"/>
        <w:rPr/>
      </w:pPr>
      <w:r>
        <w:rPr>
          <w:rFonts w:ascii="Times New Roman;sans-serif" w:hAnsi="Times New Roman;sans-serif"/>
          <w:b w:val="false"/>
          <w:color w:val="000000"/>
          <w:sz w:val="20"/>
        </w:rPr>
        <w:t>In December 2019, the FASB issued ASU 2019-12,</w:t>
      </w:r>
      <w:r>
        <w:rPr>
          <w:color w:val="000000"/>
        </w:rPr>
        <w:t xml:space="preserve"> </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Company is currently evaluating the impact of the guidance on its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ind w:left="0" w:right="0" w:hanging="360"/>
        <w:rPr/>
      </w:pPr>
      <w:r>
        <w:rPr>
          <w:rFonts w:ascii="Times New Roman;sans-serif" w:hAnsi="Times New Roman;sans-serif"/>
          <w:b/>
          <w:color w:val="000000"/>
          <w:sz w:val="20"/>
        </w:rPr>
        <w:t>3.</w:t>
      </w:r>
      <w:r>
        <w:rPr>
          <w:color w:val="000000"/>
        </w:rPr>
        <w:t>    </w:t>
      </w:r>
      <w:r>
        <w:rPr>
          <w:rFonts w:ascii="Times New Roman;sans-serif" w:hAnsi="Times New Roman;sans-serif"/>
          <w:b/>
          <w:color w:val="000000"/>
          <w:sz w:val="20"/>
        </w:rPr>
        <w:t>Revenue from Contracts with Customers</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Company's net revenues disaggregated by product category for the fifty-two weeks ended January 30, 2021, February 1, 2020, and February 2, 2019 (in thousands):    </w:t>
      </w:r>
    </w:p>
    <w:tbl>
      <w:tblPr>
        <w:tblW w:w="10205" w:type="dxa"/>
        <w:jc w:val="left"/>
        <w:tblInd w:w="0" w:type="dxa"/>
        <w:tblCellMar>
          <w:top w:w="28" w:type="dxa"/>
          <w:left w:w="28" w:type="dxa"/>
          <w:bottom w:w="28" w:type="dxa"/>
          <w:right w:w="28" w:type="dxa"/>
        </w:tblCellMar>
      </w:tblPr>
      <w:tblGrid>
        <w:gridCol w:w="699"/>
        <w:gridCol w:w="573"/>
        <w:gridCol w:w="575"/>
        <w:gridCol w:w="138"/>
        <w:gridCol w:w="138"/>
        <w:gridCol w:w="138"/>
        <w:gridCol w:w="313"/>
        <w:gridCol w:w="1230"/>
        <w:gridCol w:w="161"/>
        <w:gridCol w:w="139"/>
        <w:gridCol w:w="139"/>
        <w:gridCol w:w="139"/>
        <w:gridCol w:w="351"/>
        <w:gridCol w:w="1203"/>
        <w:gridCol w:w="181"/>
        <w:gridCol w:w="139"/>
        <w:gridCol w:w="139"/>
        <w:gridCol w:w="139"/>
        <w:gridCol w:w="318"/>
        <w:gridCol w:w="1245"/>
        <w:gridCol w:w="164"/>
        <w:gridCol w:w="139"/>
        <w:gridCol w:w="139"/>
        <w:gridCol w:w="139"/>
        <w:gridCol w:w="268"/>
        <w:gridCol w:w="1050"/>
        <w:gridCol w:w="209"/>
      </w:tblGrid>
      <w:tr>
        <w:trPr/>
        <w:tc>
          <w:tcPr>
            <w:tcW w:w="69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1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Fifty-Two Weeks Ended</w:t>
            </w:r>
          </w:p>
        </w:tc>
      </w:tr>
      <w:tr>
        <w:trPr/>
        <w:tc>
          <w:tcPr>
            <w:tcW w:w="1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r>
      <w:tr>
        <w:trPr/>
        <w:tc>
          <w:tcPr>
            <w:tcW w:w="1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VB Direct Segment</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VB Indirect Segment</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Pura Vida Segment</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categories</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Bags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131,929 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71,797 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Accessories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164,332 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Apparel/Footwear</w:t>
            </w:r>
            <w:r>
              <w:rPr>
                <w:rFonts w:ascii="Times New Roman;sans-serif" w:hAnsi="Times New Roman;sans-serif"/>
                <w:b w:val="false"/>
                <w:color w:val="000000"/>
                <w:sz w:val="13"/>
              </w:rPr>
              <w:t>(6)</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52,035 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468,272 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Primarily includes net revenues from stationery, freight, and gift card breakage.</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Primarily includes net revenues from licensing agreements, freight, and merchandising.</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Related to freight.</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Net revenues were related to product sales recognized at a point in time.</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$63.5 million of net revenues related to product sales recognized at a point in time and $3.0 million of net revenues related to sales-based royalties recognized over time.</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Includes mask sales.</w:t>
            </w:r>
          </w:p>
        </w:tc>
      </w:tr>
    </w:tbl>
    <w:tbl>
      <w:tblPr>
        <w:tblW w:w="10205" w:type="dxa"/>
        <w:jc w:val="left"/>
        <w:tblInd w:w="0" w:type="dxa"/>
        <w:tblCellMar>
          <w:top w:w="28" w:type="dxa"/>
          <w:left w:w="28" w:type="dxa"/>
          <w:bottom w:w="28" w:type="dxa"/>
          <w:right w:w="28" w:type="dxa"/>
        </w:tblCellMar>
      </w:tblPr>
      <w:tblGrid>
        <w:gridCol w:w="713"/>
        <w:gridCol w:w="605"/>
        <w:gridCol w:w="607"/>
        <w:gridCol w:w="138"/>
        <w:gridCol w:w="138"/>
        <w:gridCol w:w="138"/>
        <w:gridCol w:w="313"/>
        <w:gridCol w:w="1228"/>
        <w:gridCol w:w="161"/>
        <w:gridCol w:w="138"/>
        <w:gridCol w:w="138"/>
        <w:gridCol w:w="138"/>
        <w:gridCol w:w="351"/>
        <w:gridCol w:w="1203"/>
        <w:gridCol w:w="181"/>
        <w:gridCol w:w="138"/>
        <w:gridCol w:w="138"/>
        <w:gridCol w:w="138"/>
        <w:gridCol w:w="337"/>
        <w:gridCol w:w="1156"/>
        <w:gridCol w:w="174"/>
        <w:gridCol w:w="138"/>
        <w:gridCol w:w="138"/>
        <w:gridCol w:w="138"/>
        <w:gridCol w:w="267"/>
        <w:gridCol w:w="1048"/>
        <w:gridCol w:w="205"/>
      </w:tblGrid>
      <w:tr>
        <w:trPr/>
        <w:tc>
          <w:tcPr>
            <w:tcW w:w="71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Fifty Two Weeks Ended</w:t>
            </w:r>
          </w:p>
        </w:tc>
      </w:tr>
      <w:tr>
        <w:trPr/>
        <w:tc>
          <w:tcPr>
            <w:tcW w:w="1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r>
      <w:tr>
        <w:trPr/>
        <w:tc>
          <w:tcPr>
            <w:tcW w:w="1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VB Direct Segment</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VB Indirect Segment</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Pura Vida Segment</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20"/>
              </w:rPr>
              <w:t>Product categories</w:t>
            </w:r>
            <w:r>
              <w:rPr>
                <w:rFonts w:ascii="Times New Roman;sans-serif" w:hAnsi="Times New Roman;sans-serif"/>
                <w:b w:val="false"/>
                <w:i/>
                <w:color w:val="000000"/>
                <w:sz w:val="13"/>
              </w:rPr>
              <w:t>(1)</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Bags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136,509 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177,715 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Accessories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155,200 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Apparel/Footwear</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495,212 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Other net revenues have been recast to exclude Apparel/Footwear to conform with the current-year presentation.</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Primarily includes net revenues from stationery, freight, and gift card breakage.</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Primarily includes net revenues from licensing agreements, freight, and merchandising.</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Related to freight.</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Net revenues were related to product sales recognized at a point in time.</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 $78.0 million of net revenues related to product sales recognized at a point in time and $3.8 million of net revenues related to sales-based royalties recognized over time.</w:t>
            </w:r>
          </w:p>
        </w:tc>
      </w:tr>
    </w:tbl>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CellMar>
          <w:top w:w="28" w:type="dxa"/>
          <w:left w:w="28" w:type="dxa"/>
          <w:bottom w:w="28" w:type="dxa"/>
          <w:right w:w="28" w:type="dxa"/>
        </w:tblCellMar>
      </w:tblPr>
      <w:tblGrid>
        <w:gridCol w:w="727"/>
        <w:gridCol w:w="618"/>
        <w:gridCol w:w="620"/>
        <w:gridCol w:w="139"/>
        <w:gridCol w:w="139"/>
        <w:gridCol w:w="139"/>
        <w:gridCol w:w="318"/>
        <w:gridCol w:w="1248"/>
        <w:gridCol w:w="163"/>
        <w:gridCol w:w="139"/>
        <w:gridCol w:w="139"/>
        <w:gridCol w:w="139"/>
        <w:gridCol w:w="358"/>
        <w:gridCol w:w="1226"/>
        <w:gridCol w:w="184"/>
        <w:gridCol w:w="139"/>
        <w:gridCol w:w="139"/>
        <w:gridCol w:w="139"/>
        <w:gridCol w:w="446"/>
        <w:gridCol w:w="860"/>
        <w:gridCol w:w="230"/>
        <w:gridCol w:w="139"/>
        <w:gridCol w:w="139"/>
        <w:gridCol w:w="139"/>
        <w:gridCol w:w="270"/>
        <w:gridCol w:w="1058"/>
        <w:gridCol w:w="211"/>
      </w:tblGrid>
      <w:tr>
        <w:trPr/>
        <w:tc>
          <w:tcPr>
            <w:tcW w:w="72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Fifty Two Weeks Ended</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 2019</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VB Direct Segment</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VB Indirect Segment</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Pura Vida Segment</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20"/>
              </w:rPr>
              <w:t>Product categories</w:t>
            </w:r>
            <w:r>
              <w:rPr>
                <w:rFonts w:ascii="Times New Roman;sans-serif" w:hAnsi="Times New Roman;sans-serif"/>
                <w:b w:val="false"/>
                <w:i/>
                <w:color w:val="000000"/>
                <w:sz w:val="13"/>
              </w:rPr>
              <w:t>(1)</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Bags</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128,255 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Accessories</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Apparel/Footwear</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Other net revenues have been recast to exclude Apparel/Footwear to conform with the current-year presentation.</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Primarily includes net revenues from stationery, freight, and gift card breakage.</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Primarily includes net revenues from licensing agreements, freight, and merchandising.</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Net revenues were related to product sales recognized at a point in time.</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$84.5 million of net revenues related to product sales recognized at a point in time and $3.6 million of net revenues related to sales-based royalties recognized over time.</w:t>
            </w:r>
          </w:p>
        </w:tc>
      </w:tr>
    </w:tbl>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spacing w:lineRule="auto" w:line="288" w:before="100" w:after="283"/>
        <w:rPr/>
      </w:pPr>
      <w:r>
        <w:rPr>
          <w:rFonts w:ascii="Times New Roman;sans-serif" w:hAnsi="Times New Roman;sans-serif"/>
          <w:b w:val="false"/>
          <w:color w:val="000000"/>
          <w:sz w:val="20"/>
        </w:rPr>
        <w:t>Contract liabilities as of January 30, 2021 and February 1, 2020, consisted of $4.1 million and $3.9 million, respectively. The balance as of January 30, 2021 consisted of unearned revenue related to the monthly bracelet and jewelry clubs of the Pura Vida segment, unredeemed gift cards, Pura Vida loyalty club points, Pura Vida customer deposits and payments collected before shipment, and an immaterial amount of unearned revenue for pre-payments of royalties in certain of the Company’s licensing arrangements. The balance as of February 1, 2020 consisted of the monthly bracelet and jewelry clubs of the Pura Vida segment, unredeemed gift cards, Pura Vida payments collected before shipment, and an immaterial amount of unearn</w:t>
      </w:r>
      <w:r>
        <w:rPr>
          <w:rFonts w:ascii="Times New Roman;sans-serif" w:hAnsi="Times New Roman;sans-serif"/>
          <w:b w:val="false"/>
          <w:color w:val="000000"/>
          <w:sz w:val="20"/>
          <w:highlight w:val="white"/>
        </w:rPr>
        <w:t>ed revenue for pre-payments of royalties in certain of the Company’s licensing arrangements. These contract liabilities are recognized within other accrued liabilities on the Company’s Consolidated Balance Sheets. Substantially all contract liabilities are recognized within one year. The Company did not have contract assets as of January 30, 2021 and February 1, 2020.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balance for accounts receivable from contracts with customers, net of allowances, as of January 30, 2021 and February 1, 2020 was $26.0 million and $16.3 million, respectively, which is recognized within accounts receivable, net, on the Company’s Consolidated Balance Sheets. The provision for doubtful accounts was $1.1 million and $0.5 million as of January 30, 2021 and February 1, 2020, respectively. The provision for doubtful accounts is based upon the likelihood of default expected during the life of the receivable.</w:t>
      </w:r>
    </w:p>
    <w:p>
      <w:pPr>
        <w:pStyle w:val="TextBody"/>
        <w:spacing w:lineRule="auto" w:line="288" w:before="0" w:after="0"/>
        <w:rPr>
          <w:color w:val="000000"/>
        </w:rPr>
      </w:pPr>
      <w:r>
        <w:rPr>
          <w:color w:val="000000"/>
        </w:rPr>
        <w:t>    </w:t>
      </w:r>
    </w:p>
    <w:p>
      <w:pPr>
        <w:pStyle w:val="TextBody"/>
        <w:spacing w:lineRule="auto" w:line="288" w:before="80" w:after="283"/>
        <w:rPr>
          <w:rFonts w:ascii="Times New Roman;sans-serif" w:hAnsi="Times New Roman;sans-serif"/>
          <w:b/>
          <w:color w:val="000000"/>
          <w:sz w:val="20"/>
        </w:rPr>
      </w:pPr>
      <w:r>
        <w:rPr>
          <w:rFonts w:ascii="Times New Roman;sans-serif" w:hAnsi="Times New Roman;sans-serif"/>
          <w:b/>
          <w:color w:val="000000"/>
          <w:sz w:val="20"/>
        </w:rPr>
        <w:t>Performance Obligations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pStyle w:val="TextBody"/>
        <w:spacing w:lineRule="auto" w:line="288" w:before="28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Remaining Performance Obligations</w:t>
      </w:r>
    </w:p>
    <w:p>
      <w:pPr>
        <w:pStyle w:val="TextBody"/>
        <w:spacing w:lineRule="auto" w:line="288" w:before="1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does not have remaining performance obligations in excess of one year or contracts that it does not have the right to invoice as of January 30, 2021.</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Significant Judgments</w:t>
      </w:r>
    </w:p>
    <w:p>
      <w:pPr>
        <w:pStyle w:val="TextBody"/>
        <w:spacing w:lineRule="auto" w:line="288" w:before="100" w:after="283"/>
        <w:rPr/>
      </w:pPr>
      <w:r>
        <w:rPr>
          <w:rFonts w:ascii="Times New Roman;sans-serif" w:hAnsi="Times New Roman;sans-serif"/>
          <w:b w:val="false"/>
          <w:i/>
          <w:color w:val="000000"/>
          <w:sz w:val="20"/>
        </w:rPr>
        <w:t>Product Sales</w:t>
      </w:r>
      <w:r>
        <w:rPr>
          <w:color w:val="000000"/>
        </w:rPr>
        <w:t xml:space="preserv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Vera Bradley retail stores (recognized within the VB Direct segment), control is transferred and net revenue is recognized at the point of sale. Product shipments for the Company’s e-commerce channels (recognized within the VB Direct and Pura Vida segments) and shipments to its wholesale retailers (recognized within the VB Indirect segment and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Pura Vida segment) are generally shipped Free on Board (“FOB”) shipping point typically from its distribution center in Roanoke, Indiana, for Vera Bradley products and primarily from its third-party fulfillment center in Tijuana, Mexico for Pura Vida products. Net revenue is recognized upon shipment consistent with when control is transferred to the customer. Upon shipment, the customer has the right to direct the use of, and obtain substantially all of the benefits from, the product.</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Licensing Royalties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grants rights to access its Vera Bradley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VB Indirect segment net revenues.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Transaction Price and Amounts Allocated to Performance Obligations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Contract Costs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commissions are paid to certain employees based upon specific sales achieved during a time period. As the Company’s contracts related to these sales commissions do not exceed one year, these incentive payments are expensed as incurred.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Other Practical Expedients</w:t>
      </w:r>
    </w:p>
    <w:p>
      <w:pPr>
        <w:pStyle w:val="TextBody"/>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remaining performance obligations for contracts with an original expected duration of one year or less or for contracts which it has the right to invoice.</w:t>
      </w:r>
    </w:p>
    <w:p>
      <w:pPr>
        <w:pStyle w:val="TextBody"/>
        <w:spacing w:lineRule="auto" w:line="288" w:before="2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Financing Components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pStyle w:val="TextBody"/>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Five customers represented approximately 45.0% of the balance of accounts receivable, net as of January 30,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360"/>
        <w:rPr>
          <w:rFonts w:ascii="Times New Roman;sans-serif" w:hAnsi="Times New Roman;sans-serif"/>
          <w:b/>
          <w:color w:val="000000"/>
          <w:sz w:val="20"/>
        </w:rPr>
      </w:pPr>
      <w:r>
        <w:rPr>
          <w:rFonts w:ascii="Times New Roman;sans-serif" w:hAnsi="Times New Roman;sans-serif"/>
          <w:b/>
          <w:color w:val="000000"/>
          <w:sz w:val="20"/>
        </w:rPr>
        <w:t>4.    Leases</w:t>
      </w:r>
    </w:p>
    <w:p>
      <w:pPr>
        <w:pStyle w:val="TextBody"/>
        <w:spacing w:lineRule="auto" w:line="288" w:before="100" w:after="283"/>
        <w:rPr/>
      </w:pPr>
      <w:r>
        <w:rPr>
          <w:rFonts w:ascii="Times New Roman;sans-serif" w:hAnsi="Times New Roman;sans-serif"/>
          <w:b w:val="false"/>
          <w:color w:val="000000"/>
          <w:sz w:val="20"/>
        </w:rPr>
        <w:t xml:space="preserve">The Company temporarily closed its full-line and factory outlet stores on March 19, 2020, due to the COVID-19 pandemic. As of the end of fiscal 2021, all stores have been reopened. As a result of the temporary closures, certain rent payments have been deferred. An </w:t>
      </w:r>
      <w:r>
        <w:rPr>
          <w:rFonts w:ascii="Times New Roman;sans-serif" w:hAnsi="Times New Roman;sans-serif"/>
          <w:b w:val="false"/>
          <w:color w:val="000000"/>
          <w:sz w:val="20"/>
          <w:highlight w:val="white"/>
        </w:rPr>
        <w:t>immaterial am</w:t>
      </w:r>
      <w:r>
        <w:rPr>
          <w:rFonts w:ascii="Times New Roman;sans-serif" w:hAnsi="Times New Roman;sans-serif"/>
          <w:b w:val="false"/>
          <w:color w:val="000000"/>
          <w:sz w:val="20"/>
        </w:rPr>
        <w:t>ount of rent abatements and deferrals were received as of January 30, 2021.</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the FASB issued guidance that allows a company to elect to account for COVID-19-related rent concessions as (1) if they were part of the enforceable rights and obligations under the existing lease contract or (2) lease modifications. Leases that are eligible under this guidance include those that do not have a substantial increase of obligations to the lessee.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treat COVID-19-related rent abatements as a reduction to its operating lease cost in the period the abatements are received for leases that do not have a substantial change in obligations. Lease abatements received which were coupled with lease extensions of greater than a month, or a substantial change of future lease payments, were recorded as a lease modification under ASC 842.</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also received lease payment deferrals in some cases, extending the due date of the lease payments. The Company did not remeasure the lease liability and continued to account for the lease following the rights and obligations of the existing lease.</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Nature of Leases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at all of its retail stores, as well as for its New York office, the California Pura Vida office, Asia sourcing office, and showrooms. The Company also has operating leases for certain equipment and storage spaces. The Company does not have residual value guarantees, restrictions, or covenants imposed by leases.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Determination of Lease Terms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Retail store leases have remaining terms of up to 10 years as of January 30, 2021. These leases generally have early termination rights when certain sales thresholds are not met for a specified measurement period. The Company's other leases have remaining terms of up to approximately six years as of January 30, 2021.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January 30, 2021.</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Variable Rental Payments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All of the Company's retail store leases contain variable rental payments when the retail store's sales exceed a specified breakpoint. In addition, certain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Significant Judgments and Assumptions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Determination of Whether a Contract Contains a Lease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discount rate as of January 30, 2021 and February 1, 2020, was 4.8% and 5.0%, respectively. The discount rate is not readily determinable in the lease; therefore, the Company estimated the incremental borrowing rate, at the commencement or remeasurement date of each lease, which is the rate of interest it would have to borrow on a collateralized basis over a similar term with similar payments.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Leases Not Yet Commenced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January 30, 2021, the Company did not have leases which were executed but did it not have control of the underlying assets.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Practical Expedients (Policy Elections)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following practical expedients as policy elections upon the adoption of ASC Topic 842.</w:t>
      </w:r>
    </w:p>
    <w:tbl>
      <w:tblPr>
        <w:tblW w:w="10205" w:type="dxa"/>
        <w:jc w:val="left"/>
        <w:tblInd w:w="0" w:type="dxa"/>
        <w:tblCellMar>
          <w:top w:w="28" w:type="dxa"/>
          <w:left w:w="28" w:type="dxa"/>
          <w:bottom w:w="28" w:type="dxa"/>
          <w:right w:w="28" w:type="dxa"/>
        </w:tblCellMar>
      </w:tblPr>
      <w:tblGrid>
        <w:gridCol w:w="1152"/>
        <w:gridCol w:w="997"/>
        <w:gridCol w:w="1003"/>
        <w:gridCol w:w="2076"/>
        <w:gridCol w:w="2060"/>
        <w:gridCol w:w="2917"/>
      </w:tblGrid>
      <w:tr>
        <w:trPr/>
        <w:tc>
          <w:tcPr>
            <w:tcW w:w="1152"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076"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917" w:type="dxa"/>
            <w:tcBorders/>
            <w:shd w:fill="auto" w:val="clear"/>
            <w:vAlign w:val="center"/>
          </w:tcPr>
          <w:p>
            <w:pPr>
              <w:pStyle w:val="TableContents"/>
              <w:spacing w:before="0" w:after="283"/>
              <w:rPr>
                <w:sz w:val="4"/>
                <w:szCs w:val="4"/>
              </w:rPr>
            </w:pPr>
            <w:r>
              <w:rPr>
                <w:sz w:val="4"/>
                <w:szCs w:val="4"/>
              </w:rPr>
            </w:r>
          </w:p>
        </w:tc>
      </w:tr>
      <w:tr>
        <w:trPr/>
        <w:tc>
          <w:tcPr>
            <w:tcW w:w="3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Leases</w:t>
            </w:r>
          </w:p>
        </w:tc>
        <w:tc>
          <w:tcPr>
            <w:tcW w:w="7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to exclude leases with a term of 12 months or less from recognition on the balance sheet for all leases.</w:t>
            </w:r>
          </w:p>
        </w:tc>
      </w:tr>
      <w:tr>
        <w:trPr/>
        <w:tc>
          <w:tcPr>
            <w:tcW w:w="3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 Separating Lease and Nonlease Components</w:t>
            </w:r>
          </w:p>
        </w:tc>
        <w:tc>
          <w:tcPr>
            <w:tcW w:w="7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to combine lease and nonlease components and recognize as a single lease component for all leases.</w:t>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Refer to Note 2 herein for information regarding transition practical expedients elected.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Recognized in the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lease expense is recorded within cost of sales for the Asia sourcing office and certain equipment leases and within selling, general, and administrative expenses for all other leases, including retail store leases, in the Company's Consolidated Statements of Operations for the fiscal years ended January 30, 2021 and February 1, 2020 (in thousands):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4945" w:type="dxa"/>
        <w:jc w:val="left"/>
        <w:tblInd w:w="0" w:type="dxa"/>
        <w:tblCellMar>
          <w:top w:w="28" w:type="dxa"/>
          <w:left w:w="28" w:type="dxa"/>
          <w:bottom w:w="28" w:type="dxa"/>
          <w:right w:w="28" w:type="dxa"/>
        </w:tblCellMar>
      </w:tblPr>
      <w:tblGrid>
        <w:gridCol w:w="651"/>
        <w:gridCol w:w="572"/>
        <w:gridCol w:w="576"/>
        <w:gridCol w:w="282"/>
        <w:gridCol w:w="966"/>
        <w:gridCol w:w="146"/>
        <w:gridCol w:w="109"/>
        <w:gridCol w:w="109"/>
        <w:gridCol w:w="109"/>
        <w:gridCol w:w="277"/>
        <w:gridCol w:w="946"/>
        <w:gridCol w:w="202"/>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Fifty-Two Weeks Ended</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February 2, 2019, the Company recognized rental expense for all leases of $34.3 million which included percentage rent expense of $3.4 million.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as of January 30, 2021 and February 1, 2020 was 5.4 years and 6.0 years,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Supplemental operating cash flow information was as follows (in thousands):</w:t>
      </w:r>
    </w:p>
    <w:tbl>
      <w:tblPr>
        <w:tblW w:w="10205" w:type="dxa"/>
        <w:jc w:val="left"/>
        <w:tblInd w:w="0" w:type="dxa"/>
        <w:tblCellMar>
          <w:top w:w="28" w:type="dxa"/>
          <w:left w:w="28" w:type="dxa"/>
          <w:bottom w:w="28" w:type="dxa"/>
          <w:right w:w="28" w:type="dxa"/>
        </w:tblCellMar>
      </w:tblPr>
      <w:tblGrid>
        <w:gridCol w:w="2570"/>
        <w:gridCol w:w="2252"/>
        <w:gridCol w:w="2265"/>
        <w:gridCol w:w="278"/>
        <w:gridCol w:w="955"/>
        <w:gridCol w:w="144"/>
        <w:gridCol w:w="109"/>
        <w:gridCol w:w="109"/>
        <w:gridCol w:w="109"/>
        <w:gridCol w:w="274"/>
        <w:gridCol w:w="936"/>
        <w:gridCol w:w="204"/>
      </w:tblGrid>
      <w:tr>
        <w:trPr/>
        <w:tc>
          <w:tcPr>
            <w:tcW w:w="2570"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7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Fifty-Two Weeks Ended</w:t>
            </w:r>
          </w:p>
        </w:tc>
      </w:tr>
      <w:tr>
        <w:trPr/>
        <w:tc>
          <w:tcPr>
            <w:tcW w:w="7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r>
      <w:tr>
        <w:trPr/>
        <w:tc>
          <w:tcPr>
            <w:tcW w:w="7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increase as a result of new and modified operating lease liabilities, net</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Maturity Analysis of Operating Lease Liabilities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the Company's operating lease liabilities (undiscounted) reconciled to its lease liability as of January 30, 2021 were as follows (in thousands): </w:t>
      </w:r>
    </w:p>
    <w:tbl>
      <w:tblPr>
        <w:tblW w:w="10205" w:type="dxa"/>
        <w:jc w:val="left"/>
        <w:tblInd w:w="0" w:type="dxa"/>
        <w:tblCellMar>
          <w:top w:w="28" w:type="dxa"/>
          <w:left w:w="28" w:type="dxa"/>
          <w:bottom w:w="28" w:type="dxa"/>
          <w:right w:w="28" w:type="dxa"/>
        </w:tblCellMar>
      </w:tblPr>
      <w:tblGrid>
        <w:gridCol w:w="2378"/>
        <w:gridCol w:w="2092"/>
        <w:gridCol w:w="2001"/>
        <w:gridCol w:w="659"/>
        <w:gridCol w:w="2590"/>
        <w:gridCol w:w="485"/>
      </w:tblGrid>
      <w:tr>
        <w:trPr/>
        <w:tc>
          <w:tcPr>
            <w:tcW w:w="2378" w:type="dxa"/>
            <w:tcBorders/>
            <w:shd w:fill="auto" w:val="clear"/>
            <w:vAlign w:val="center"/>
          </w:tcPr>
          <w:p>
            <w:pPr>
              <w:pStyle w:val="TableContents"/>
              <w:spacing w:before="0" w:after="283"/>
              <w:rPr>
                <w:sz w:val="4"/>
                <w:szCs w:val="4"/>
              </w:rPr>
            </w:pPr>
            <w:r>
              <w:rPr>
                <w:sz w:val="4"/>
                <w:szCs w:val="4"/>
              </w:rPr>
            </w:r>
          </w:p>
        </w:tc>
        <w:tc>
          <w:tcPr>
            <w:tcW w:w="2092"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259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6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64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Fiscal 2022 </w:t>
            </w:r>
            <w:r>
              <w:rPr>
                <w:rFonts w:ascii="Times New Roman;sans-serif" w:hAnsi="Times New Roman;sans-serif"/>
                <w:b w:val="false"/>
                <w:color w:val="000000"/>
                <w:sz w:val="13"/>
              </w:rPr>
              <w:t>(1)</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27,278 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c>
          <w:tcPr>
            <w:tcW w:w="3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25,315 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21,889 </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19,311 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13,676 </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obligations</w:t>
            </w:r>
          </w:p>
        </w:tc>
        <w:tc>
          <w:tcPr>
            <w:tcW w:w="3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131,001 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113,857 </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$2.5 million of lease liabilities are recorded within accounts payable on the Company's Consolidated Balance Sheets as of January 30, 2021, and will be paid in fiscal 2022. These lease liabilities are not included in the table above.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consisted of the following (in thousands):</w:t>
      </w:r>
    </w:p>
    <w:p>
      <w:pPr>
        <w:pStyle w:val="TextBody"/>
        <w:spacing w:lineRule="auto" w:line="288" w:before="0" w:after="0"/>
        <w:rPr>
          <w:color w:val="000000"/>
        </w:rPr>
      </w:pPr>
      <w:r>
        <w:rPr>
          <w:color w:val="000000"/>
        </w:rPr>
        <w:t> </w:t>
      </w:r>
    </w:p>
    <w:tbl>
      <w:tblPr>
        <w:tblW w:w="9261" w:type="dxa"/>
        <w:jc w:val="left"/>
        <w:tblInd w:w="0" w:type="dxa"/>
        <w:tblCellMar>
          <w:top w:w="28" w:type="dxa"/>
          <w:left w:w="28" w:type="dxa"/>
          <w:bottom w:w="28" w:type="dxa"/>
          <w:right w:w="28" w:type="dxa"/>
        </w:tblCellMar>
      </w:tblPr>
      <w:tblGrid>
        <w:gridCol w:w="2346"/>
        <w:gridCol w:w="2062"/>
        <w:gridCol w:w="2072"/>
        <w:gridCol w:w="109"/>
        <w:gridCol w:w="109"/>
        <w:gridCol w:w="109"/>
        <w:gridCol w:w="211"/>
        <w:gridCol w:w="721"/>
        <w:gridCol w:w="109"/>
        <w:gridCol w:w="109"/>
        <w:gridCol w:w="109"/>
        <w:gridCol w:w="109"/>
        <w:gridCol w:w="211"/>
        <w:gridCol w:w="721"/>
        <w:gridCol w:w="154"/>
      </w:tblGrid>
      <w:tr>
        <w:trPr/>
        <w:tc>
          <w:tcPr>
            <w:tcW w:w="2346"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20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leasehold improvements, 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vehicles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associated with property, plant, and equipment, excluding impairment charges (in thousands):</w:t>
      </w:r>
    </w:p>
    <w:p>
      <w:pPr>
        <w:pStyle w:val="TextBody"/>
        <w:spacing w:lineRule="auto" w:line="288" w:before="0" w:after="0"/>
        <w:rPr>
          <w:color w:val="000000"/>
        </w:rPr>
      </w:pPr>
      <w:r>
        <w:rPr>
          <w:color w:val="000000"/>
        </w:rPr>
        <w:t> </w:t>
      </w:r>
    </w:p>
    <w:tbl>
      <w:tblPr>
        <w:tblW w:w="4056" w:type="dxa"/>
        <w:jc w:val="left"/>
        <w:tblInd w:w="0" w:type="dxa"/>
        <w:tblCellMar>
          <w:top w:w="28" w:type="dxa"/>
          <w:left w:w="28" w:type="dxa"/>
          <w:bottom w:w="28" w:type="dxa"/>
          <w:right w:w="28" w:type="dxa"/>
        </w:tblCellMar>
      </w:tblPr>
      <w:tblGrid>
        <w:gridCol w:w="1076"/>
        <w:gridCol w:w="945"/>
        <w:gridCol w:w="949"/>
        <w:gridCol w:w="211"/>
        <w:gridCol w:w="721"/>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January 30,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1, 2020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2, 2019</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30, 2021 and February 1, 2020, the Company had no borrowings outstanding and availability of $75.0 million under its Credit Agreement. </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indebtedness and certain charter and other organizational, governing, and material agreements. The Company may avoid certain of such restrictions by meeting payment conditions defined in the Credit Agreement.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requires the loan parties, as defined in the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Any commitments made under the Credit Agreement mature on September 7, 2023. There were no material fees or expenses associated with the Credit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were as follows (in thousands):</w:t>
      </w:r>
    </w:p>
    <w:p>
      <w:pPr>
        <w:pStyle w:val="TextBody"/>
        <w:spacing w:lineRule="auto" w:line="288" w:before="0" w:after="0"/>
        <w:rPr>
          <w:color w:val="000000"/>
        </w:rPr>
      </w:pPr>
      <w:r>
        <w:rPr>
          <w:color w:val="000000"/>
        </w:rPr>
        <w:t> </w:t>
      </w:r>
    </w:p>
    <w:tbl>
      <w:tblPr>
        <w:tblW w:w="6192" w:type="dxa"/>
        <w:jc w:val="left"/>
        <w:tblInd w:w="0" w:type="dxa"/>
        <w:tblCellMar>
          <w:top w:w="28" w:type="dxa"/>
          <w:left w:w="28" w:type="dxa"/>
          <w:bottom w:w="28" w:type="dxa"/>
          <w:right w:w="28" w:type="dxa"/>
        </w:tblCellMar>
      </w:tblPr>
      <w:tblGrid>
        <w:gridCol w:w="824"/>
        <w:gridCol w:w="687"/>
        <w:gridCol w:w="694"/>
        <w:gridCol w:w="109"/>
        <w:gridCol w:w="109"/>
        <w:gridCol w:w="109"/>
        <w:gridCol w:w="211"/>
        <w:gridCol w:w="691"/>
        <w:gridCol w:w="109"/>
        <w:gridCol w:w="109"/>
        <w:gridCol w:w="109"/>
        <w:gridCol w:w="109"/>
        <w:gridCol w:w="220"/>
        <w:gridCol w:w="642"/>
        <w:gridCol w:w="113"/>
        <w:gridCol w:w="109"/>
        <w:gridCol w:w="109"/>
        <w:gridCol w:w="109"/>
        <w:gridCol w:w="219"/>
        <w:gridCol w:w="641"/>
        <w:gridCol w:w="160"/>
      </w:tblGrid>
      <w:tr>
        <w:trPr/>
        <w:tc>
          <w:tcPr>
            <w:tcW w:w="82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breakdown of the Company’s income before income taxes is as follows (in thousands):</w:t>
      </w:r>
    </w:p>
    <w:p>
      <w:pPr>
        <w:pStyle w:val="TextBody"/>
        <w:spacing w:lineRule="auto" w:line="288" w:before="0" w:after="0"/>
        <w:rPr>
          <w:color w:val="000000"/>
        </w:rPr>
      </w:pPr>
      <w:r>
        <w:rPr>
          <w:color w:val="000000"/>
        </w:rPr>
        <w:t> </w:t>
      </w:r>
    </w:p>
    <w:tbl>
      <w:tblPr>
        <w:tblW w:w="7014" w:type="dxa"/>
        <w:jc w:val="left"/>
        <w:tblInd w:w="0" w:type="dxa"/>
        <w:tblCellMar>
          <w:top w:w="28" w:type="dxa"/>
          <w:left w:w="28" w:type="dxa"/>
          <w:bottom w:w="28" w:type="dxa"/>
          <w:right w:w="28" w:type="dxa"/>
        </w:tblCellMar>
      </w:tblPr>
      <w:tblGrid>
        <w:gridCol w:w="1038"/>
        <w:gridCol w:w="912"/>
        <w:gridCol w:w="91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 expense to the amount computed at the federal statutory rate is as follows (in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32"/>
        <w:gridCol w:w="880"/>
        <w:gridCol w:w="883"/>
        <w:gridCol w:w="109"/>
        <w:gridCol w:w="109"/>
        <w:gridCol w:w="109"/>
        <w:gridCol w:w="211"/>
        <w:gridCol w:w="616"/>
        <w:gridCol w:w="109"/>
        <w:gridCol w:w="109"/>
        <w:gridCol w:w="109"/>
        <w:gridCol w:w="109"/>
        <w:gridCol w:w="277"/>
        <w:gridCol w:w="280"/>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9"/>
      </w:tblGrid>
      <w:tr>
        <w:trPr/>
        <w:tc>
          <w:tcPr>
            <w:tcW w:w="1232"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2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2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taxes at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related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Shortfall from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rate differential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uncertain tax positions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provided by the CARES 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tax year ending January 30, 2021, the effective tax rate reflects the favorable impact of the Coronavirus Aid, Relief and Economic Security (“CARES”) Act, enacted on March 27, 2020. The Company realized a $2.8 million tax benefit related to the net operating loss carryback provisions of the CARES Act.</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book and tax bases of assets and liabilities. Significant components of deferred tax assets and liabilities were as follows (in thousands):</w:t>
      </w:r>
    </w:p>
    <w:p>
      <w:pPr>
        <w:pStyle w:val="TextBody"/>
        <w:spacing w:lineRule="auto" w:line="288" w:before="0" w:after="0"/>
        <w:rPr>
          <w:color w:val="000000"/>
        </w:rPr>
      </w:pPr>
      <w:r>
        <w:rPr>
          <w:color w:val="000000"/>
        </w:rPr>
        <w:t> </w:t>
      </w:r>
    </w:p>
    <w:tbl>
      <w:tblPr>
        <w:tblW w:w="5405" w:type="dxa"/>
        <w:jc w:val="left"/>
        <w:tblInd w:w="0" w:type="dxa"/>
        <w:tblCellMar>
          <w:top w:w="28" w:type="dxa"/>
          <w:left w:w="28" w:type="dxa"/>
          <w:bottom w:w="28" w:type="dxa"/>
          <w:right w:w="28" w:type="dxa"/>
        </w:tblCellMar>
      </w:tblPr>
      <w:tblGrid>
        <w:gridCol w:w="952"/>
        <w:gridCol w:w="834"/>
        <w:gridCol w:w="838"/>
        <w:gridCol w:w="109"/>
        <w:gridCol w:w="109"/>
        <w:gridCol w:w="109"/>
        <w:gridCol w:w="211"/>
        <w:gridCol w:w="721"/>
        <w:gridCol w:w="109"/>
        <w:gridCol w:w="109"/>
        <w:gridCol w:w="109"/>
        <w:gridCol w:w="109"/>
        <w:gridCol w:w="211"/>
        <w:gridCol w:w="721"/>
        <w:gridCol w:w="154"/>
      </w:tblGrid>
      <w:tr>
        <w:trPr/>
        <w:tc>
          <w:tcPr>
            <w:tcW w:w="95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Uncertain Tax Positions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gross amount of unrecognized tax benefits (excluding interest and penalties) is as follows (in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263"/>
        <w:gridCol w:w="1984"/>
        <w:gridCol w:w="1995"/>
        <w:gridCol w:w="109"/>
        <w:gridCol w:w="109"/>
        <w:gridCol w:w="109"/>
        <w:gridCol w:w="305"/>
        <w:gridCol w:w="524"/>
        <w:gridCol w:w="158"/>
        <w:gridCol w:w="109"/>
        <w:gridCol w:w="109"/>
        <w:gridCol w:w="109"/>
        <w:gridCol w:w="300"/>
        <w:gridCol w:w="515"/>
        <w:gridCol w:w="157"/>
        <w:gridCol w:w="109"/>
        <w:gridCol w:w="109"/>
        <w:gridCol w:w="109"/>
        <w:gridCol w:w="257"/>
        <w:gridCol w:w="570"/>
        <w:gridCol w:w="196"/>
      </w:tblGrid>
      <w:tr>
        <w:trPr/>
        <w:tc>
          <w:tcPr>
            <w:tcW w:w="2263"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6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62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increases in unrecognized tax benefits as a result of current year activity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r>
      <w:tr>
        <w:trPr/>
        <w:tc>
          <w:tcPr>
            <w:tcW w:w="6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r>
      <w:tr>
        <w:trPr/>
        <w:tc>
          <w:tcPr>
            <w:tcW w:w="6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r>
      <w:tr>
        <w:trPr/>
        <w:tc>
          <w:tcPr>
            <w:tcW w:w="62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Times New Roman;sans-serif" w:hAnsi="Times New Roman;sans-serif"/>
          <w:b w:val="false"/>
          <w:color w:val="000000"/>
          <w:sz w:val="20"/>
        </w:rPr>
        <w:t xml:space="preserve">As of January 30, 2021, </w:t>
      </w:r>
      <w:r>
        <w:rPr>
          <w:rFonts w:ascii="Times New Roman;sans-serif" w:hAnsi="Times New Roman;sans-serif"/>
          <w:b w:val="false"/>
          <w:color w:val="000000"/>
          <w:sz w:val="20"/>
          <w:highlight w:val="white"/>
        </w:rPr>
        <w:t>$0.1 million</w:t>
      </w:r>
      <w:r>
        <w:rPr>
          <w:color w:val="000000"/>
        </w:rPr>
        <w:t xml:space="preserve"> </w:t>
      </w:r>
      <w:r>
        <w:rPr>
          <w:rFonts w:ascii="Times New Roman;sans-serif" w:hAnsi="Times New Roman;sans-serif"/>
          <w:b w:val="false"/>
          <w:color w:val="000000"/>
          <w:sz w:val="20"/>
        </w:rPr>
        <w:t>of total unrecognized tax benefits, net of federal benefit, would, if recognized, favorably affect the effective tax rate in future periods. Total unrecognized</w:t>
      </w:r>
      <w:r>
        <w:rPr>
          <w:color w:val="000000"/>
          <w:highlight w:val="white"/>
        </w:rPr>
        <w:t xml:space="preserve"> </w:t>
      </w:r>
      <w:r>
        <w:rPr>
          <w:rFonts w:ascii="Times New Roman;sans-serif" w:hAnsi="Times New Roman;sans-serif"/>
          <w:b w:val="false"/>
          <w:color w:val="000000"/>
          <w:sz w:val="20"/>
          <w:highlight w:val="white"/>
        </w:rPr>
        <w:t xml:space="preserve">tax benefits are currently not expected to decrease by a significant amount in the next twelve months. The Company recognized an immaterial amount of interest only, no penalties, related to unrecognized tax benefits in the fiscal years ended </w:t>
      </w:r>
      <w:r>
        <w:rPr>
          <w:rFonts w:ascii="Times New Roman;sans-serif" w:hAnsi="Times New Roman;sans-serif"/>
          <w:b w:val="false"/>
          <w:color w:val="000000"/>
          <w:sz w:val="20"/>
        </w:rPr>
        <w:t>February 1, 2020 and February 2, 2019. Unrecognized tax benefits are included within other long-term liabilities in the Company's Consolidated Balance Sheets.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and various U.S. state and foreign jurisdictions. The Company is subject to U.S. federal income tax examinations for fiscal years 2018 and forward. With a few exceptions, the Company is subject to audit by various state and foreign taxing authorities for fiscal 2017 through the current fiscal year.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8.    Stock-Based Compensation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stock-based compensation consists of awards of restricted stock and restricted stock units. The Company recognized stock-based compensation expense of $5.7 million, $5.9 million, and $4.9 million in the fiscal years ended January 30, 2021, February 1, 2020, and February 2, 2019, respectively. </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Awards of Restricted-Stock Units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reserved 3,000,000 shares of common stock for issuance or transfer under the 2020 Equity and Incentive Plan, which allows for grants of restricted stock units, as well as other equity awards. There were no restricted stock units granted under the 2020 Equity and Incentive Plan during fiscal 2021. The Company maintains the 2010 Equity and Incentive Plan for awards granted prior to the effectiveness of the 2020 Equity and Incentive Plan.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30, 2021, the Company granted a total of 1,460,130 time-based and performance-based restricted stock units to certain employees and non-employee directors under the 2010 Equity and Incentive Plan with an aggregate fair value of $6.1 million. The Company determined the fair value of the units based on the closing price of the Company’s common stock on the grant date.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recognizes the expense relating to these awards, net of estimated forfeitures, on a straight-line basis over the vesting period.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recognizes the expense relating to these units, net of estimated forfeitures and based on the probable outcome of achievement of the financial targets, on a straight-line basis over the vesting period.</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restricted-stock units as of and for the year ended January 30, 2021 (units in thousands):</w:t>
      </w:r>
    </w:p>
    <w:p>
      <w:pPr>
        <w:pStyle w:val="TextBody"/>
        <w:spacing w:lineRule="auto" w:line="288" w:before="0" w:after="0"/>
        <w:rPr>
          <w:color w:val="000000"/>
        </w:rPr>
      </w:pPr>
      <w:r>
        <w:rPr>
          <w:color w:val="000000"/>
        </w:rPr>
        <w:t> </w:t>
      </w:r>
    </w:p>
    <w:tbl>
      <w:tblPr>
        <w:tblW w:w="9487" w:type="dxa"/>
        <w:jc w:val="left"/>
        <w:tblInd w:w="0" w:type="dxa"/>
        <w:tblCellMar>
          <w:top w:w="28" w:type="dxa"/>
          <w:left w:w="28" w:type="dxa"/>
          <w:bottom w:w="28" w:type="dxa"/>
          <w:right w:w="28" w:type="dxa"/>
        </w:tblCellMar>
      </w:tblPr>
      <w:tblGrid>
        <w:gridCol w:w="1549"/>
        <w:gridCol w:w="1361"/>
        <w:gridCol w:w="1365"/>
        <w:gridCol w:w="109"/>
        <w:gridCol w:w="109"/>
        <w:gridCol w:w="109"/>
        <w:gridCol w:w="308"/>
        <w:gridCol w:w="308"/>
        <w:gridCol w:w="296"/>
        <w:gridCol w:w="117"/>
        <w:gridCol w:w="117"/>
        <w:gridCol w:w="117"/>
        <w:gridCol w:w="227"/>
        <w:gridCol w:w="662"/>
        <w:gridCol w:w="117"/>
        <w:gridCol w:w="109"/>
        <w:gridCol w:w="109"/>
        <w:gridCol w:w="109"/>
        <w:gridCol w:w="295"/>
        <w:gridCol w:w="295"/>
        <w:gridCol w:w="296"/>
        <w:gridCol w:w="117"/>
        <w:gridCol w:w="117"/>
        <w:gridCol w:w="117"/>
        <w:gridCol w:w="226"/>
        <w:gridCol w:w="661"/>
        <w:gridCol w:w="165"/>
      </w:tblGrid>
      <w:tr>
        <w:trPr/>
        <w:tc>
          <w:tcPr>
            <w:tcW w:w="1549"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w:t>
              <w:b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w:t>
              <w:br/>
              <w:t>Restricted Stock Units</w:t>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Units</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w:t>
              <w:br/>
              <w:t>Date Fair</w:t>
              <w:br/>
              <w:t>Value</w:t>
              <w:br/>
              <w:t>(per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Units</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w:t>
              <w:br/>
              <w:t>Date Fair</w:t>
              <w:br/>
              <w:t>Value</w:t>
              <w:br/>
              <w:t>(per unit)</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units outstanding at February 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due to performance condition achievement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units outstanding at January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30, 2021, there was $5.8 million of total unrecognized compensation cost, net of estimated forfeitures, related to nonvested restricted stock units. That cost is expected to be recognized over a weighted average period of 1.6 years, subject to meeting performance conditions. The total fair value of restricted stock units for which restrictions lapsed (vested) during fiscal 2021 was $1.7 million. </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 meal and rest breaks, non-compliant wage statements and records and other similar allegations related to employment. The Plaintiff has also filed a Private Attorney General Act claim with the state of California regarding the same allegations. The Company denies all liability and intends to vigorously defend itself in the case. The case is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 </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10.    401(k) Profit Sharing Plan and Trust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January 30, 2021, February 1, 2020, and February 2, 2019, no discretionary profit sharing payments had been approved. The 401(k) contribution match was temporarily suspended beginning in March 2020 as a result of the COVID-19 pandemic and resumed in January 2021.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pStyle w:val="TextBody"/>
        <w:spacing w:lineRule="auto" w:line="288" w:before="0" w:after="0"/>
        <w:rPr>
          <w:color w:val="000000"/>
        </w:rPr>
      </w:pPr>
      <w:r>
        <w:rPr>
          <w:color w:val="000000"/>
        </w:rPr>
        <w:t> </w:t>
      </w:r>
    </w:p>
    <w:tbl>
      <w:tblPr>
        <w:tblW w:w="3801" w:type="dxa"/>
        <w:jc w:val="left"/>
        <w:tblInd w:w="0" w:type="dxa"/>
        <w:tblCellMar>
          <w:top w:w="28" w:type="dxa"/>
          <w:left w:w="28" w:type="dxa"/>
          <w:bottom w:w="28" w:type="dxa"/>
          <w:right w:w="28" w:type="dxa"/>
        </w:tblCellMar>
      </w:tblPr>
      <w:tblGrid>
        <w:gridCol w:w="1076"/>
        <w:gridCol w:w="945"/>
        <w:gridCol w:w="949"/>
        <w:gridCol w:w="211"/>
        <w:gridCol w:w="466"/>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January 30,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1, 2020</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2, 2019</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highlight w:val="white"/>
        </w:rPr>
      </w:pPr>
      <w:r>
        <w:rPr>
          <w:rFonts w:ascii="Times New Roman;sans-serif" w:hAnsi="Times New Roman;sans-serif"/>
          <w:b/>
          <w:color w:val="000000"/>
          <w:sz w:val="20"/>
          <w:highlight w:val="white"/>
        </w:rPr>
        <w:t>11.    Related-Party Transactions</w:t>
      </w:r>
    </w:p>
    <w:p>
      <w:pPr>
        <w:pStyle w:val="TextBody"/>
        <w:spacing w:lineRule="auto" w:line="288" w:before="100" w:after="283"/>
        <w:rPr/>
      </w:pPr>
      <w:r>
        <w:rPr>
          <w:rFonts w:ascii="Times New Roman;sans-serif" w:hAnsi="Times New Roman;sans-serif"/>
          <w:b w:val="false"/>
          <w:i/>
          <w:color w:val="000000"/>
          <w:sz w:val="20"/>
        </w:rPr>
        <w:t>Charitable Contributions</w:t>
      </w:r>
      <w:r>
        <w:rPr>
          <w:rFonts w:ascii="Times New Roman;sans-serif" w:hAnsi="Times New Roman;sans-serif"/>
          <w:b w:val="false"/>
          <w:color w:val="000000"/>
          <w:sz w:val="20"/>
        </w:rPr>
        <w:t>. During each of the fiscal years ended January 30, 2021, February 1, 2020, and February 2, 2019 the Company made charitable contributions of approximately $0.1 million to the Vera Bradley Foundation for Breast Cancer (the “Foundation”). The Foundation was founded by one of the Company’s directors, who is also on the board of directors of the Foundation. The liability associated with commitments to the Foundation was approximately $0.2 million and $0.3 million as of January 30, 2021 and February 1, 2020, respectively. The liability consisted of pass-through donations from customers and is included in other accrued liabilities in the Consolidated Balance Sheets.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associated expense for contributions to the Foundation, which is included in selling, general, and administrative expenses, was as follows (in thousands):</w:t>
      </w:r>
    </w:p>
    <w:p>
      <w:pPr>
        <w:pStyle w:val="TextBody"/>
        <w:spacing w:lineRule="auto" w:line="288" w:before="0" w:after="0"/>
        <w:rPr>
          <w:color w:val="000000"/>
        </w:rPr>
      </w:pPr>
      <w:r>
        <w:rPr>
          <w:color w:val="000000"/>
        </w:rPr>
        <w:t> </w:t>
      </w:r>
    </w:p>
    <w:tbl>
      <w:tblPr>
        <w:tblW w:w="3696" w:type="dxa"/>
        <w:jc w:val="left"/>
        <w:tblInd w:w="0" w:type="dxa"/>
        <w:tblCellMar>
          <w:top w:w="28" w:type="dxa"/>
          <w:left w:w="28" w:type="dxa"/>
          <w:bottom w:w="28" w:type="dxa"/>
          <w:right w:w="28" w:type="dxa"/>
        </w:tblCellMar>
      </w:tblPr>
      <w:tblGrid>
        <w:gridCol w:w="1076"/>
        <w:gridCol w:w="945"/>
        <w:gridCol w:w="949"/>
        <w:gridCol w:w="211"/>
        <w:gridCol w:w="361"/>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January 30,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1, 2020</w:t>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ended February 2, 2019</w:t>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Share Repurchases</w:t>
      </w:r>
      <w:r>
        <w:rPr>
          <w:rFonts w:ascii="Times New Roman;sans-serif" w:hAnsi="Times New Roman;sans-serif"/>
          <w:b w:val="false"/>
          <w:color w:val="000000"/>
          <w:sz w:val="20"/>
        </w:rPr>
        <w:t>. During the fiscal year ended February 2, 2019, the Company repurchased a total of 400,000 shares of common stock from related-parties as described below. Each transaction was approved by the Company's Audit Committee and effected as part of the 2015 Share Repurchase Program. R</w:t>
      </w:r>
      <w:r>
        <w:rPr>
          <w:rFonts w:ascii="Times New Roman;sans-serif" w:hAnsi="Times New Roman;sans-serif"/>
          <w:b w:val="false"/>
          <w:color w:val="000000"/>
          <w:sz w:val="20"/>
          <w:highlight w:val="white"/>
        </w:rPr>
        <w:t>efer to Note 13 h</w:t>
      </w:r>
      <w:r>
        <w:rPr>
          <w:rFonts w:ascii="Times New Roman;sans-serif" w:hAnsi="Times New Roman;sans-serif"/>
          <w:b w:val="false"/>
          <w:color w:val="000000"/>
          <w:sz w:val="20"/>
        </w:rPr>
        <w:t xml:space="preserve">erein for details regarding the Company's current and prior share repurchase programs.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June 26, 2018, the Company agreed to repurchase 200,000 shares of common stock from the Barbara B Baekgaard 2009 Grantor Retained Annuity Trust (the “Baekgaard Trust”) at a price of $14.43 per share, representing an approximate four percent (4%) discount from the closing price of $15.03 on June 25, 2018. The Baekgaard Trust was established by the Company’s co-founder, Barbara Bradley Baekgaard, and is managed by two of Ms. Baekgaard’s children, Joan Byrne Hall (who is also the spouse of the Company’s chairman) and James Bradley Byrne.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September 27, 2018, the Company agreed to repurchase 200,000 shares of common stock from the Patricia R. Miller 2007 Family Trust (the “Miller Trust”) at a price of $15.04 per share, representing an approximate three and one half percent (3.5%) discount from the closing price of $15.58 on September 26, 2018. P. Michael Miller is the trustee of the Miller Trust and is a director of the Company. P. Michael Miller and Patricia Miller, the Company's co-founder, are husband and wife.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based on the weighted-average number of shares of common stock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188"/>
        <w:gridCol w:w="1922"/>
        <w:gridCol w:w="1944"/>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188"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19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6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Vera Bradley,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per share attributable to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January 30, 2021, February 1, 2020, and February 2, 2019,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13.    Common Stock</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On December 8, 2015, the Company's board of directors approved a share repurchase program (the “2015 Share Repurchase Program”) authorizing up to $50.0 million of repurchases of shares of the Company's common stock. On November 30, 2017, the board of directors authorized the Company to extend the 2015 Share Repurchase Plan to December 31, 2018. The 2015 Share Repurchase program was completed on November 27, 2018. On November 29, 2018, the Company's board of directors approved a new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30, 2021, the Company purchased and held 381,835 shares at an average price of $7.60 per share, excluding commissions, for an aggregate amount of $2.9 million, under the 2018 Share Repurchase Program.</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February 1, 2020, the Company purchased and held 1,075,749 shares at an average price of $10.52 per share, excluding commissions, for an aggregate amount of $11.3 million, under the 2018 Share Repurchase Program.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February 2, 2019, the Company purchased and held 1,293,138 shares at an average price of $12.58 per share, excluding commissions, for an aggregate amount of $16.3 million. Of these purchases, 320,296 shares at an average price of $8.86 per share, for an aggregate amount of $2.8 million, were purchased under the 2018 Share Repurchase Plan.</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As of January 30, 2021, there was $32.9 million remaining available to repurchase shares of the Company’s common stock under the 2018 Share Repurchase Program.</w:t>
      </w:r>
    </w:p>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As of January 30, 2021, the Company held as treasury shares 8,393,207 shares of its common stock at an average price of $12.76 per share, excluding commissions, for an aggregate carrying amount of $107.1 million. The Company’s treasury shares may be issued under the 2010 Equity and Incentive Plan (with respect to outstanding awards under that plan), under the 2020 Equity and Incentive Plan, or for other corporate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14.    Investments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Company held $1.3 million and $9.0 million in short-term investments as of January 30, 2021 and February 1, 2020, respectively. The following table summarizes the Company’s short-term investments (in thousands):</w:t>
      </w:r>
    </w:p>
    <w:tbl>
      <w:tblPr>
        <w:tblW w:w="6025" w:type="dxa"/>
        <w:jc w:val="left"/>
        <w:tblInd w:w="0" w:type="dxa"/>
        <w:tblCellMar>
          <w:top w:w="28" w:type="dxa"/>
          <w:left w:w="28" w:type="dxa"/>
          <w:bottom w:w="28" w:type="dxa"/>
          <w:right w:w="28" w:type="dxa"/>
        </w:tblCellMar>
      </w:tblPr>
      <w:tblGrid>
        <w:gridCol w:w="1044"/>
        <w:gridCol w:w="917"/>
        <w:gridCol w:w="919"/>
        <w:gridCol w:w="314"/>
        <w:gridCol w:w="918"/>
        <w:gridCol w:w="162"/>
        <w:gridCol w:w="109"/>
        <w:gridCol w:w="109"/>
        <w:gridCol w:w="109"/>
        <w:gridCol w:w="306"/>
        <w:gridCol w:w="895"/>
        <w:gridCol w:w="223"/>
      </w:tblGrid>
      <w:tr>
        <w:trPr/>
        <w:tc>
          <w:tcPr>
            <w:tcW w:w="104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debt securities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corporate debt securities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asset-backed securities</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Company held $14.9 million in long-term investments as of February 1, 2020. There were no long-term investments as of January 30, 2021. The following table summarizes the Company’s long-term investments (in thousands):</w:t>
      </w:r>
    </w:p>
    <w:tbl>
      <w:tblPr>
        <w:tblW w:w="6026" w:type="dxa"/>
        <w:jc w:val="left"/>
        <w:tblInd w:w="0" w:type="dxa"/>
        <w:tblCellMar>
          <w:top w:w="28" w:type="dxa"/>
          <w:left w:w="28" w:type="dxa"/>
          <w:bottom w:w="28" w:type="dxa"/>
          <w:right w:w="28" w:type="dxa"/>
        </w:tblCellMar>
      </w:tblPr>
      <w:tblGrid>
        <w:gridCol w:w="1044"/>
        <w:gridCol w:w="917"/>
        <w:gridCol w:w="919"/>
        <w:gridCol w:w="405"/>
        <w:gridCol w:w="780"/>
        <w:gridCol w:w="209"/>
        <w:gridCol w:w="109"/>
        <w:gridCol w:w="109"/>
        <w:gridCol w:w="109"/>
        <w:gridCol w:w="277"/>
        <w:gridCol w:w="946"/>
        <w:gridCol w:w="202"/>
      </w:tblGrid>
      <w:tr>
        <w:trPr/>
        <w:tc>
          <w:tcPr>
            <w:tcW w:w="104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debt securities</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asset-back securities</w:t>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corporate debt securities</w:t>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securities</w:t>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asset-backed securities</w:t>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There were no material gross unrealized gains or losses on available-for-sale debt securities as of January 30, 2021 and February 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15.    Acquisition of Pura Vida</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16, 2019, the Company completed its acquisition of a seventy-five percent (75%) ownership interest in Creative Genius, Inc. or “Pura Vida” (the “Transaction”) in exchange for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digitally native lifestyle brand that we believe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Interest Purchase Agreement, the Company also agreed to a contingent payment of up to $22.5 million based on calendar year 2019 adjusted EBITDA of Pura Vida, as defined in the Interest Purchase Agreement. This contingent payment was paid in the first quarter of fiscal 2021 and totaled $18.7 million. The Company’s existing available cash, cash equivalents, and investments funded the purchase price due at the closing of the Transaction and subsequent to the closing. Pre-tax Transaction costs totaled $2.7 million for the fiscal year ended February 1, 2020. These costs are recorded within selling, general, and administrative expenses in the Consolidated Statements of Operations and within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corporate unallocated expenses. There were no Transaction costs for the fiscal years ended January 30, 2021 and February 2, 2019.</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On July 16, 2019, as contemplated by the Interest Purchase Agreement, the Company and certain of its subsidiaries and the owners of the remaining twenty-five percent (25%) ownership interest in Pura Vida which was not acquired by the Company entered into a Put/Call Agreement. Refer to Note 2 herein for additional information regarding the Put/Call Agreement.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following schedule summarizes the consideration paid for Pura Vida, the fair value of the assets acquired and liabilities assumed, the fair value of the noncontrolling interest, and the fair value of the contingent consideration related to the earn-out provision.</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CellMar>
          <w:top w:w="28" w:type="dxa"/>
          <w:left w:w="28" w:type="dxa"/>
          <w:bottom w:w="28" w:type="dxa"/>
          <w:right w:w="28" w:type="dxa"/>
        </w:tblCellMar>
      </w:tblPr>
      <w:tblGrid>
        <w:gridCol w:w="2586"/>
        <w:gridCol w:w="2029"/>
        <w:gridCol w:w="2014"/>
        <w:gridCol w:w="693"/>
        <w:gridCol w:w="2374"/>
        <w:gridCol w:w="509"/>
      </w:tblGrid>
      <w:tr>
        <w:trPr/>
        <w:tc>
          <w:tcPr>
            <w:tcW w:w="2586"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Acquisition Date</w:t>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Accounts receivable, net</w:t>
            </w:r>
            <w:r>
              <w:rPr>
                <w:rFonts w:ascii="Times New Roman;sans-serif" w:hAnsi="Times New Roman;sans-serif"/>
                <w:b w:val="false"/>
                <w:color w:val="000000"/>
                <w:sz w:val="13"/>
              </w:rPr>
              <w:t>(5)</w:t>
            </w:r>
          </w:p>
        </w:tc>
        <w:tc>
          <w:tcPr>
            <w:tcW w:w="3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Inventories</w:t>
            </w:r>
            <w:r>
              <w:rPr>
                <w:rFonts w:ascii="Times New Roman;sans-serif" w:hAnsi="Times New Roman;sans-serif"/>
                <w:b w:val="false"/>
                <w:color w:val="000000"/>
                <w:sz w:val="13"/>
              </w:rPr>
              <w:t>(1)</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27,654 </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Goodwill</w:t>
            </w:r>
            <w:r>
              <w:rPr>
                <w:rFonts w:ascii="Times New Roman;sans-serif" w:hAnsi="Times New Roman;sans-serif"/>
                <w:b w:val="false"/>
                <w:color w:val="000000"/>
                <w:sz w:val="13"/>
              </w:rPr>
              <w:t>(2)</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44,254 </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Pura Vida brand</w:t>
            </w:r>
            <w:r>
              <w:rPr>
                <w:rFonts w:ascii="Times New Roman;sans-serif" w:hAnsi="Times New Roman;sans-serif"/>
                <w:b w:val="false"/>
                <w:color w:val="000000"/>
                <w:sz w:val="13"/>
              </w:rPr>
              <w:t>(3)</w:t>
            </w:r>
          </w:p>
        </w:tc>
        <w:tc>
          <w:tcPr>
            <w:tcW w:w="3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36,668 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intangible assets</w:t>
            </w:r>
            <w:r>
              <w:rPr>
                <w:rFonts w:ascii="Times New Roman;sans-serif" w:hAnsi="Times New Roman;sans-serif"/>
                <w:b w:val="false"/>
                <w:color w:val="000000"/>
                <w:sz w:val="13"/>
              </w:rPr>
              <w:t>(4)</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146,285 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employment costs</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accrued liabilities</w:t>
            </w:r>
            <w:r>
              <w:rPr>
                <w:rFonts w:ascii="Times New Roman;sans-serif" w:hAnsi="Times New Roman;sans-serif"/>
                <w:b w:val="false"/>
                <w:color w:val="000000"/>
                <w:sz w:val="13"/>
              </w:rPr>
              <w:t>(5)</w:t>
            </w:r>
          </w:p>
        </w:tc>
        <w:tc>
          <w:tcPr>
            <w:tcW w:w="3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6,637 </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w:t>
            </w:r>
          </w:p>
        </w:tc>
        <w:tc>
          <w:tcPr>
            <w:tcW w:w="3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Contingent consideration related to earn-out provision</w:t>
            </w:r>
            <w:r>
              <w:rPr>
                <w:rFonts w:ascii="Times New Roman;sans-serif" w:hAnsi="Times New Roman;sans-serif"/>
                <w:b w:val="false"/>
                <w:color w:val="000000"/>
                <w:sz w:val="13"/>
              </w:rPr>
              <w:t>(6)</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(20,098)</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3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(32,210)</w:t>
            </w:r>
          </w:p>
        </w:tc>
        <w:tc>
          <w:tcPr>
            <w:tcW w:w="5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w:t>
            </w:r>
          </w:p>
        </w:tc>
        <w:tc>
          <w:tcPr>
            <w:tcW w:w="3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w:t>
            </w:r>
          </w:p>
        </w:tc>
        <w:tc>
          <w:tcPr>
            <w:tcW w:w="5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closing consideration amount, net of cash acquired</w:t>
            </w:r>
            <w:r>
              <w:rPr>
                <w:rFonts w:ascii="Times New Roman;sans-serif" w:hAnsi="Times New Roman;sans-serif"/>
                <w:b w:val="false"/>
                <w:color w:val="000000"/>
                <w:sz w:val="13"/>
              </w:rPr>
              <w:t>(7)</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75,039 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an $8.3 million step-up adjustment which was recognized in cost of sales during the four months following the acquisition. Inventories were valued using the cost approach. The significant assumptions used for the valuation include inventory balances, projected gross and operating margins, and cost and time to dispose (sell) inventory on hand.</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Refer to Notes 2 and 17 herein for additional information regarding goodwill.</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The Pura Vida brand intangible asset was valued using the relief-from-royalty method. The significant assumptions used for the valuation include the royalty rate, estimated projected revenues, the long-term growth rate, and the discount rate. Refer to Note 17 herein for additional information regarding intangible assets.</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Other intangible assets include customer relationships and non-competition agreements. Customer relationships were valued using the multi-period excess earnings method. Significant assumptions used for the valuation include projected cash flows, the discount rate, and the customer attrition rate. The non-competition agreements were valued using the with-or-without method. Significant assumptions used for the valuation include projected cash flows, probability of competition, impact of competition on business, and the discount rate. Refer to Note 17 herein for additional information regarding intangible assets.</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Includes $4.1 million related to an indemnified liability.</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 Of the total $75.0 million closing consideration, $1.0 million was refunded to the Company through a working capital adjustment during the first quarter of fiscal 2021. Cash consideration paid during fiscal 2020 totaled $76.0 million.</w:t>
            </w:r>
          </w:p>
        </w:tc>
      </w:tr>
    </w:tbl>
    <w:p>
      <w:pPr>
        <w:pStyle w:val="TextBody"/>
        <w:spacing w:lineRule="auto" w:line="288" w:before="100" w:after="283"/>
        <w:rPr/>
      </w:pPr>
      <w:r>
        <w:rPr>
          <w:rFonts w:ascii="Times New Roman;sans-serif" w:hAnsi="Times New Roman;sans-serif"/>
          <w:b w:val="false"/>
          <w:color w:val="000000"/>
          <w:sz w:val="20"/>
        </w:rPr>
        <w:t>The</w:t>
      </w:r>
      <w:r>
        <w:rPr>
          <w:color w:val="000000"/>
          <w:highlight w:val="white"/>
        </w:rPr>
        <w:t xml:space="preserve"> </w:t>
      </w:r>
      <w:r>
        <w:rPr>
          <w:rFonts w:ascii="Times New Roman;sans-serif" w:hAnsi="Times New Roman;sans-serif"/>
          <w:b w:val="false"/>
          <w:color w:val="000000"/>
          <w:sz w:val="20"/>
          <w:highlight w:val="white"/>
        </w:rPr>
        <w:t>operations of Pura Vida are recorded in the Company’s Consolidated Statements of Operations for the fiscal year ended February 1, 2020, beginning on July 17, 2019, which represents the first full day following the acquisition. As such, the Company’s financial statements are not comparable with the prior-year period pre</w:t>
      </w:r>
      <w:r>
        <w:rPr>
          <w:rFonts w:ascii="Times New Roman;sans-serif" w:hAnsi="Times New Roman;sans-serif"/>
          <w:b w:val="false"/>
          <w:color w:val="000000"/>
          <w:sz w:val="20"/>
        </w:rPr>
        <w:t>sented. Refer to Note 18 herein for</w:t>
      </w:r>
      <w:r>
        <w:rPr>
          <w:color w:val="000000"/>
          <w:highlight w:val="white"/>
        </w:rPr>
        <w:t xml:space="preserve"> </w:t>
      </w:r>
      <w:r>
        <w:rPr>
          <w:rFonts w:ascii="Times New Roman;sans-serif" w:hAnsi="Times New Roman;sans-serif"/>
          <w:b w:val="false"/>
          <w:color w:val="000000"/>
          <w:sz w:val="20"/>
          <w:highlight w:val="white"/>
        </w:rPr>
        <w:t xml:space="preserve">segment-level financial information associated with Pura Vida. The following unaudited pro forma financial information is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pPr>
      <w:r>
        <w:rPr>
          <w:rFonts w:ascii="Times New Roman;sans-serif" w:hAnsi="Times New Roman;sans-serif"/>
          <w:b w:val="false"/>
          <w:color w:val="000000"/>
          <w:sz w:val="20"/>
          <w:highlight w:val="white"/>
        </w:rPr>
        <w:t xml:space="preserve">intended to provide a sense for what the Company's operating results may have been if the Pura Vida acquisition had occurred at the beginning of fiscal 2019. </w:t>
      </w:r>
      <w:r>
        <w:rPr>
          <w:rFonts w:ascii="Times New Roman;sans-serif" w:hAnsi="Times New Roman;sans-serif"/>
          <w:b w:val="false"/>
          <w:color w:val="000000"/>
          <w:sz w:val="20"/>
        </w:rPr>
        <w:t>The pro forma financial information is not indicative of the results that would have been reflected had the transaction actually occurred as of that date, nor is it necessarily indicative of the Company’s future results. The financial information includes expense related to supplemental officer wages and fully indemnified state sales tax matters for time periods before the acquisition date. The Company does not expect these items to have a continuing impact on its consolidated financial statements. The following adjustments have been made:</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Short-term purchase accounting items, such as the inventory step-up adjustment and earn-out liability adjustment, have been excluded due to their non-recurring nature;</w:t>
      </w:r>
    </w:p>
    <w:p>
      <w:pPr>
        <w:pStyle w:val="TextBody"/>
        <w:spacing w:lineRule="auto" w:line="288" w:before="100" w:after="283"/>
        <w:ind w:left="0" w:right="0" w:hanging="360"/>
        <w:rPr/>
      </w:pPr>
      <w:r>
        <w:rPr>
          <w:color w:val="000000"/>
          <w:highlight w:val="white"/>
        </w:rPr>
        <w:t>•</w:t>
      </w:r>
      <w:r>
        <w:rPr>
          <w:rFonts w:ascii="Times New Roman;sans-serif" w:hAnsi="Times New Roman;sans-serif"/>
          <w:b w:val="false"/>
          <w:color w:val="000000"/>
          <w:sz w:val="20"/>
          <w:highlight w:val="white"/>
        </w:rPr>
        <w:t>Definite-lived intangible amortization that exceed</w:t>
      </w:r>
      <w:r>
        <w:rPr>
          <w:rFonts w:ascii="Times New Roman;sans-serif" w:hAnsi="Times New Roman;sans-serif"/>
          <w:b w:val="false"/>
          <w:color w:val="000000"/>
          <w:sz w:val="20"/>
        </w:rPr>
        <w:t>s one year has been reflected as if it occurred at the beginning of fiscal 2019;</w:t>
      </w:r>
    </w:p>
    <w:p>
      <w:pPr>
        <w:pStyle w:val="TextBody"/>
        <w:spacing w:lineRule="auto" w:line="288" w:before="100" w:after="283"/>
        <w:rPr/>
      </w:pPr>
      <w:r>
        <w:rPr>
          <w:color w:val="000000"/>
        </w:rPr>
        <w:t>•</w:t>
      </w:r>
      <w:r>
        <w:rPr>
          <w:rFonts w:ascii="Times New Roman;sans-serif" w:hAnsi="Times New Roman;sans-serif"/>
          <w:b w:val="false"/>
          <w:color w:val="000000"/>
          <w:sz w:val="20"/>
        </w:rPr>
        <w:t>Transaction costs have been excluded; and</w:t>
      </w:r>
    </w:p>
    <w:p>
      <w:pPr>
        <w:pStyle w:val="TextBody"/>
        <w:spacing w:lineRule="auto" w:line="288" w:before="100" w:after="283"/>
        <w:rPr/>
      </w:pPr>
      <w:r>
        <w:rPr>
          <w:color w:val="000000"/>
        </w:rPr>
        <w:t>•</w:t>
      </w:r>
      <w:r>
        <w:rPr>
          <w:rFonts w:ascii="Times New Roman;sans-serif" w:hAnsi="Times New Roman;sans-serif"/>
          <w:b w:val="false"/>
          <w:color w:val="000000"/>
          <w:sz w:val="20"/>
        </w:rPr>
        <w:t>Tax expense has been estimated at a statutory rate of 25.0%.</w:t>
      </w:r>
    </w:p>
    <w:tbl>
      <w:tblPr>
        <w:tblW w:w="8931" w:type="dxa"/>
        <w:jc w:val="left"/>
        <w:tblInd w:w="0" w:type="dxa"/>
        <w:tblCellMar>
          <w:top w:w="28" w:type="dxa"/>
          <w:left w:w="28" w:type="dxa"/>
          <w:bottom w:w="28" w:type="dxa"/>
          <w:right w:w="28" w:type="dxa"/>
        </w:tblCellMar>
      </w:tblPr>
      <w:tblGrid>
        <w:gridCol w:w="2150"/>
        <w:gridCol w:w="1888"/>
        <w:gridCol w:w="1902"/>
        <w:gridCol w:w="109"/>
        <w:gridCol w:w="109"/>
        <w:gridCol w:w="109"/>
        <w:gridCol w:w="211"/>
        <w:gridCol w:w="826"/>
        <w:gridCol w:w="109"/>
        <w:gridCol w:w="109"/>
        <w:gridCol w:w="109"/>
        <w:gridCol w:w="109"/>
        <w:gridCol w:w="211"/>
        <w:gridCol w:w="826"/>
        <w:gridCol w:w="154"/>
      </w:tblGrid>
      <w:tr>
        <w:trPr/>
        <w:tc>
          <w:tcPr>
            <w:tcW w:w="2150"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Fifty-Two Weeks Ended</w:t>
            </w:r>
          </w:p>
        </w:tc>
      </w:tr>
      <w:tr>
        <w:trPr/>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basic net income per share attributable to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diluted net income per share attributable to Vera Bradley,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16.    Redeemable Noncontrolling Interest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 represents the remaining twenty-five percent (25%) interest in Pura Vida not acquired by the Company. Refer to Note 2 herein for additional information.</w:t>
      </w:r>
    </w:p>
    <w:p>
      <w:pPr>
        <w:pStyle w:val="TextBody"/>
        <w:spacing w:lineRule="auto" w:line="288" w:before="100" w:after="100"/>
        <w:rPr/>
      </w:pPr>
      <w:r>
        <w:rPr>
          <w:rFonts w:ascii="Times New Roman;sans-serif" w:hAnsi="Times New Roman;sans-serif"/>
          <w:b w:val="false"/>
          <w:color w:val="000000"/>
          <w:sz w:val="20"/>
        </w:rPr>
        <w:t>Changes in redeemable noncontrolling interest for the fifty-two weeks ended January 30, 2021 and February 1, 2020, were as follows (in thousands):</w:t>
      </w:r>
      <w:r>
        <w:rPr>
          <w:color w:val="000000"/>
        </w:rPr>
        <w:t>    </w:t>
      </w:r>
    </w:p>
    <w:tbl>
      <w:tblPr>
        <w:tblW w:w="6572" w:type="dxa"/>
        <w:jc w:val="left"/>
        <w:tblInd w:w="0" w:type="dxa"/>
        <w:tblCellMar>
          <w:top w:w="28" w:type="dxa"/>
          <w:left w:w="28" w:type="dxa"/>
          <w:bottom w:w="28" w:type="dxa"/>
          <w:right w:w="28" w:type="dxa"/>
        </w:tblCellMar>
      </w:tblPr>
      <w:tblGrid>
        <w:gridCol w:w="1861"/>
        <w:gridCol w:w="1637"/>
        <w:gridCol w:w="1646"/>
        <w:gridCol w:w="109"/>
        <w:gridCol w:w="109"/>
        <w:gridCol w:w="109"/>
        <w:gridCol w:w="211"/>
        <w:gridCol w:w="736"/>
        <w:gridCol w:w="154"/>
      </w:tblGrid>
      <w:tr>
        <w:trPr/>
        <w:tc>
          <w:tcPr>
            <w:tcW w:w="1861"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2,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noncontrolling interest at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 period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30,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29,809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17.    Intangible Assets and Goodwill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carrying value of the Company’s intangible assets other than goodwill related to the acquisition of a majority interest in Pura Vida.</w:t>
      </w:r>
    </w:p>
    <w:tbl>
      <w:tblPr>
        <w:tblW w:w="8983" w:type="dxa"/>
        <w:jc w:val="left"/>
        <w:tblInd w:w="0" w:type="dxa"/>
        <w:tblCellMar>
          <w:top w:w="28" w:type="dxa"/>
          <w:left w:w="28" w:type="dxa"/>
          <w:bottom w:w="28" w:type="dxa"/>
          <w:right w:w="28" w:type="dxa"/>
        </w:tblCellMar>
      </w:tblPr>
      <w:tblGrid>
        <w:gridCol w:w="1320"/>
        <w:gridCol w:w="1158"/>
        <w:gridCol w:w="1167"/>
        <w:gridCol w:w="211"/>
        <w:gridCol w:w="721"/>
        <w:gridCol w:w="109"/>
        <w:gridCol w:w="109"/>
        <w:gridCol w:w="109"/>
        <w:gridCol w:w="109"/>
        <w:gridCol w:w="414"/>
        <w:gridCol w:w="1562"/>
        <w:gridCol w:w="213"/>
        <w:gridCol w:w="109"/>
        <w:gridCol w:w="109"/>
        <w:gridCol w:w="109"/>
        <w:gridCol w:w="282"/>
        <w:gridCol w:w="966"/>
        <w:gridCol w:w="206"/>
      </w:tblGrid>
      <w:tr>
        <w:trPr/>
        <w:tc>
          <w:tcPr>
            <w:tcW w:w="1320"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2021</w:t>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Accumulated Amortization</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(14,125)</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definite-lived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 Brand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excluding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83"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Amortization expense is recorded within the Pura Vida segment.</w:t>
            </w:r>
          </w:p>
        </w:tc>
      </w:tr>
    </w:tbl>
    <w:tbl>
      <w:tblPr>
        <w:tblW w:w="8984" w:type="dxa"/>
        <w:jc w:val="left"/>
        <w:tblInd w:w="0" w:type="dxa"/>
        <w:tblCellMar>
          <w:top w:w="28" w:type="dxa"/>
          <w:left w:w="28" w:type="dxa"/>
          <w:bottom w:w="28" w:type="dxa"/>
          <w:right w:w="28" w:type="dxa"/>
        </w:tblCellMar>
      </w:tblPr>
      <w:tblGrid>
        <w:gridCol w:w="1320"/>
        <w:gridCol w:w="1158"/>
        <w:gridCol w:w="1167"/>
        <w:gridCol w:w="211"/>
        <w:gridCol w:w="721"/>
        <w:gridCol w:w="109"/>
        <w:gridCol w:w="109"/>
        <w:gridCol w:w="109"/>
        <w:gridCol w:w="109"/>
        <w:gridCol w:w="485"/>
        <w:gridCol w:w="1453"/>
        <w:gridCol w:w="252"/>
        <w:gridCol w:w="109"/>
        <w:gridCol w:w="109"/>
        <w:gridCol w:w="109"/>
        <w:gridCol w:w="282"/>
        <w:gridCol w:w="966"/>
        <w:gridCol w:w="206"/>
      </w:tblGrid>
      <w:tr>
        <w:trPr/>
        <w:tc>
          <w:tcPr>
            <w:tcW w:w="1320"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 2020</w:t>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Accumulated Amortization</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definite-lived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 Brand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excluding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84"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Amortization expense is recorded within the Pura Vida segment.</w:t>
            </w:r>
          </w:p>
        </w:tc>
      </w:tr>
    </w:tbl>
    <w:p>
      <w:pPr>
        <w:pStyle w:val="TextBody"/>
        <w:spacing w:before="100" w:after="100"/>
        <w:rPr/>
      </w:pPr>
      <w:r>
        <w:rPr/>
      </w:r>
    </w:p>
    <w:p>
      <w:pPr>
        <w:pStyle w:val="TextBody"/>
        <w:spacing w:lineRule="auto" w:line="288" w:before="100" w:after="100"/>
        <w:rPr/>
      </w:pPr>
      <w:r>
        <w:rPr>
          <w:rFonts w:ascii="Times New Roman;sans-serif" w:hAnsi="Times New Roman;sans-serif"/>
          <w:b w:val="false"/>
          <w:color w:val="000000"/>
          <w:sz w:val="20"/>
          <w:highlight w:val="white"/>
        </w:rPr>
        <w:t>The amortization expense for intangible assets is as fo</w:t>
      </w:r>
      <w:r>
        <w:rPr>
          <w:rFonts w:ascii="Times New Roman;sans-serif" w:hAnsi="Times New Roman;sans-serif"/>
          <w:b w:val="false"/>
          <w:color w:val="000000"/>
          <w:sz w:val="20"/>
        </w:rPr>
        <w:t>llows (in thousands):</w:t>
      </w:r>
    </w:p>
    <w:tbl>
      <w:tblPr>
        <w:tblW w:w="3145" w:type="dxa"/>
        <w:jc w:val="left"/>
        <w:tblInd w:w="0" w:type="dxa"/>
        <w:tblCellMar>
          <w:top w:w="28" w:type="dxa"/>
          <w:left w:w="28" w:type="dxa"/>
          <w:bottom w:w="28" w:type="dxa"/>
          <w:right w:w="28" w:type="dxa"/>
        </w:tblCellMar>
      </w:tblPr>
      <w:tblGrid>
        <w:gridCol w:w="384"/>
        <w:gridCol w:w="338"/>
        <w:gridCol w:w="342"/>
        <w:gridCol w:w="109"/>
        <w:gridCol w:w="109"/>
        <w:gridCol w:w="109"/>
        <w:gridCol w:w="339"/>
        <w:gridCol w:w="1164"/>
        <w:gridCol w:w="251"/>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amount of the goodwill as of January 30, 2021, was $44.3 million recorded within the Pura Vida segment upon acquisition. Goodwill is expected to be deductible for tax purposes, limited to the Company's 75% majority ownership interest. Refer to Note 2 herein for addition information regarding goodwill. There were no changes in goodwill for the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fiscal year ended January 30, 2021. Changes in goodwill for the fiscal year ended February 1, 2020, were as follows (in thousands):</w:t>
      </w:r>
    </w:p>
    <w:tbl>
      <w:tblPr>
        <w:tblW w:w="4158" w:type="dxa"/>
        <w:jc w:val="left"/>
        <w:tblInd w:w="0" w:type="dxa"/>
        <w:tblCellMar>
          <w:top w:w="28" w:type="dxa"/>
          <w:left w:w="28" w:type="dxa"/>
          <w:bottom w:w="28" w:type="dxa"/>
          <w:right w:w="28" w:type="dxa"/>
        </w:tblCellMar>
      </w:tblPr>
      <w:tblGrid>
        <w:gridCol w:w="988"/>
        <w:gridCol w:w="868"/>
        <w:gridCol w:w="874"/>
        <w:gridCol w:w="109"/>
        <w:gridCol w:w="109"/>
        <w:gridCol w:w="109"/>
        <w:gridCol w:w="211"/>
        <w:gridCol w:w="736"/>
        <w:gridCol w:w="154"/>
      </w:tblGrid>
      <w:tr>
        <w:trPr/>
        <w:tc>
          <w:tcPr>
            <w:tcW w:w="98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2,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acquisition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February 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44,254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Future impacts of COVID-19, including but not limited to the duration and magnitude of the pandemic, may have an impact on the triggering event assessment or future fair value estimate of goodwill, brand intangible asset, and definite-lived intangible assets, which could lead to material impairment charges. Refer to Note 2 herein for additional information regarding the fair value measurement.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18.    Segment Reporting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VB Direct segment includes Vera Bradley full-line and factory outlet stores, the Vera Bradley website, verabradley.com, the Vera Bradley online outlet site, and the Vera Bradley annual outlet sale. Revenues generated through this segment are driven through the sale of Vera Bradley-branded products from Vera Bradley to end consumers.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VB Indirect segment represents revenues generated through the distribution of Company-branded products to specialty retailers representing approximately 2,000 locations, substantially all of which are located in the United States, as well as select department stores, national accounts, third-party e-commerce sites, third-party inventory liquidators, and licensing agreements related to the Vera Bradley brand. No customer accounted for 10% or more of the Company’s net revenues during fiscal years 2021, 2020, and 2019.</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VB Direct, VB Indirect, and Pura Vida.</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revenues and operating income information for the Company’s reportable segments consisted of the following (in thousands):</w:t>
      </w:r>
    </w:p>
    <w:p>
      <w:pPr>
        <w:pStyle w:val="TextBody"/>
        <w:spacing w:lineRule="auto" w:line="288" w:before="0" w:after="0"/>
        <w:rPr>
          <w:color w:val="000000"/>
        </w:rPr>
      </w:pPr>
      <w:r>
        <w:rPr>
          <w:color w:val="000000"/>
        </w:rPr>
        <w:t> </w:t>
      </w:r>
    </w:p>
    <w:tbl>
      <w:tblPr>
        <w:tblW w:w="7299" w:type="dxa"/>
        <w:jc w:val="left"/>
        <w:tblInd w:w="0" w:type="dxa"/>
        <w:tblCellMar>
          <w:top w:w="28" w:type="dxa"/>
          <w:left w:w="28" w:type="dxa"/>
          <w:bottom w:w="28" w:type="dxa"/>
          <w:right w:w="28" w:type="dxa"/>
        </w:tblCellMar>
      </w:tblPr>
      <w:tblGrid>
        <w:gridCol w:w="1025"/>
        <w:gridCol w:w="903"/>
        <w:gridCol w:w="90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2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30,</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2,</w:t>
              <w:br/>
              <w:t>2019</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Direct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Indirect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Direct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 Indirect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Sales outside of the United States were immaterial for all periods presented.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 for Vera Bradley brand products are attributable to sales of bags, accessories, travel, apparel/footwear, and home items. Other revenues from Vera Bradley external customers primarily include revenues associated with our stationery, freight, licensing, merchandising, and gift card breakage.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 for Pura Vida brand products are attributable to sales of accessories and apparel. Other revenues from Pura Vida external customers include revenues associated with freight.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Refer to Note 3 herein for disaggregation of net revenues by reportable segment.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January 30, 2021 and February 1, 2020, substantially all of the Company’s long-lived assets were located in the United States.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ind w:left="0" w:right="0" w:hanging="360"/>
        <w:rPr>
          <w:rFonts w:ascii="Times New Roman;sans-serif" w:hAnsi="Times New Roman;sans-serif"/>
          <w:b/>
          <w:color w:val="000000"/>
          <w:sz w:val="20"/>
          <w:highlight w:val="white"/>
        </w:rPr>
      </w:pPr>
      <w:r>
        <w:rPr>
          <w:rFonts w:ascii="Times New Roman;sans-serif" w:hAnsi="Times New Roman;sans-serif"/>
          <w:b/>
          <w:color w:val="000000"/>
          <w:sz w:val="20"/>
          <w:highlight w:val="white"/>
        </w:rPr>
        <w:t>19.    Quarterly Financial Information (Unaudited)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tables below set forth selected quarterly financial data for each of the last two fiscal years (in thousands, except per share data). Each of the quarters presented was thirteen weeks in duration.</w:t>
      </w:r>
    </w:p>
    <w:tbl>
      <w:tblPr>
        <w:tblW w:w="10205" w:type="dxa"/>
        <w:jc w:val="left"/>
        <w:tblInd w:w="0" w:type="dxa"/>
        <w:tblCellMar>
          <w:top w:w="28" w:type="dxa"/>
          <w:left w:w="28" w:type="dxa"/>
          <w:bottom w:w="28" w:type="dxa"/>
          <w:right w:w="28" w:type="dxa"/>
        </w:tblCellMar>
      </w:tblPr>
      <w:tblGrid>
        <w:gridCol w:w="1726"/>
        <w:gridCol w:w="1298"/>
        <w:gridCol w:w="1302"/>
        <w:gridCol w:w="109"/>
        <w:gridCol w:w="109"/>
        <w:gridCol w:w="109"/>
        <w:gridCol w:w="211"/>
        <w:gridCol w:w="76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26"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30, 2021</w:t>
            </w:r>
          </w:p>
        </w:tc>
      </w:tr>
      <w:tr>
        <w:trPr/>
        <w:tc>
          <w:tcPr>
            <w:tcW w:w="43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Second</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Third</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Fourth</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(4)</w:t>
            </w:r>
          </w:p>
        </w:tc>
      </w:tr>
      <w:tr>
        <w:trPr/>
        <w:tc>
          <w:tcPr>
            <w:tcW w:w="43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available to Vera Bradley, Inc.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available to Vera Bradley, Inc. common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income available to Vera Bradley, Inc. common shareholders</w:t>
            </w:r>
          </w:p>
        </w:tc>
      </w:tr>
      <w:tr>
        <w:trPr/>
        <w:tc>
          <w:tcPr>
            <w:tcW w:w="4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Vera Bradley,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portion of redeemable noncontrolling interest redemption value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available to Vera Bradley, Inc.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(1)Includes $3.8 million of store impairment charges, $2.7 million of intangible asset amortization and an adjustment of the Pura Vida purchase-related earn-out liability, $1.5 million of technology re-platforming charges, $1.3 million for charges related to the cancellation of certain purchase orders as a result of COVID-19, and $0.2 million of department store exit costs as a result of COVID-19. These adjustments totaled $5.1 million collectively attributable to Vera Bradley, Inc. after the associated tax benefit.</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(2)Includes $2.3 million of intangible asset amortization and $1.3 million of technology-related re-platforming charges ($3.7 million collectively attributable to Vera Bradley, Inc. after the associated tax benefit).</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(3)Includes $2.3 million of intangible asset amortization ($1.4 million attributable to Vera Bradley, Inc, after the associated tax benefit).</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(4)Includes $3.6 million of store impairment charges and $2.0 million of intangible asset amortization ($2.6 million collectively attributable to Vera Bradley, Inc. after the associated tax benefit).</w:t>
      </w:r>
    </w:p>
    <w:tbl>
      <w:tblPr>
        <w:tblW w:w="10205" w:type="dxa"/>
        <w:jc w:val="left"/>
        <w:tblInd w:w="0" w:type="dxa"/>
        <w:tblCellMar>
          <w:top w:w="28" w:type="dxa"/>
          <w:left w:w="28" w:type="dxa"/>
          <w:bottom w:w="28" w:type="dxa"/>
          <w:right w:w="28" w:type="dxa"/>
        </w:tblCellMar>
      </w:tblPr>
      <w:tblGrid>
        <w:gridCol w:w="1671"/>
        <w:gridCol w:w="1348"/>
        <w:gridCol w:w="1352"/>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71"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February 1, 2020</w:t>
            </w:r>
          </w:p>
        </w:tc>
      </w:tr>
      <w:tr>
        <w:trPr/>
        <w:tc>
          <w:tcPr>
            <w:tcW w:w="43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Second</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Third</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Fourth</w:t>
            </w:r>
          </w:p>
          <w:p>
            <w:pPr>
              <w:pStyle w:val="TableContents"/>
              <w:spacing w:lineRule="auto" w:line="240" w:before="0" w:after="0"/>
              <w:jc w:val="center"/>
              <w:rPr/>
            </w:pPr>
            <w:r>
              <w:rPr>
                <w:rFonts w:ascii="Times New Roman;sans-serif" w:hAnsi="Times New Roman;sans-serif"/>
                <w:b/>
                <w:color w:val="000000"/>
                <w:sz w:val="16"/>
              </w:rPr>
              <w:t xml:space="preserve">Quarter </w:t>
            </w:r>
            <w:r>
              <w:rPr>
                <w:rFonts w:ascii="Times New Roman;sans-serif" w:hAnsi="Times New Roman;sans-serif"/>
                <w:b/>
                <w:color w:val="000000"/>
                <w:sz w:val="10"/>
              </w:rPr>
              <w:t>(4)</w:t>
            </w:r>
          </w:p>
        </w:tc>
      </w:tr>
      <w:tr>
        <w:trPr/>
        <w:tc>
          <w:tcPr>
            <w:tcW w:w="43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Vera Bradley,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available to Vera Bradley, Inc.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available to Vera Bradley, Inc. common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(1)Includes $0.8 million ($0.6 million after the associated tax benefit) for Pura Vida transaction costs. Refer to Note 15 herein for additional information.</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 xml:space="preserve">(2)Pura Vida operating results included beginning July 17, 2019, the first full business day following the acquisition of a majority interest. Includes $1.9 million of Pura Vida transaction costs, Pura Vida purchase accounting adjustments of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 Bradley,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 million (consisting of inventory step-up amortization and intangible asset amortization), and $0.7 million of technology re-platforming charges ($2.9 million collectively attributable to Vera Bradley, Inc. after the associated tax benefit). Refer to Note 15 herein for additional information regarding the Pura Vida acquisition.</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(3)Includes Pura Vida purchase accounting adjustments of $10.5 million (consisting of inventory step-up amortization, intangible asset amortization, and accretion expense associated with the earn-out liability), and $1.1 million of technology re-platforming charges ($6.8 million collectively attributable to Vera Bradley, Inc. after the associated tax benefit). Refer to Note 15 herein for additional information regarding the Pura Vida acquisition.</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(4)Includes $1.6 million related to incremental stock-based compensation associated with Pura Vida performance and Pura Vida transaction bonuses, $1.2 million of technology re-platforming charges, and Pura Vida purchase accounting net adjustments of $0.1 million (consisting of intangible asset amortization and inventory step-up amortization, partially offset by an adjustment to reduce the earn-out liability). The adjustments totaled $1.9 million collectively attributable to Vera Bradley, Inc. after the associated tax benefit. Refer to Note 15 herein for additional information regarding the Pura Vida acquisition.</w:t>
      </w:r>
    </w:p>
    <w:p>
      <w:pPr>
        <w:pStyle w:val="TextBody"/>
        <w:spacing w:before="0" w:after="0"/>
        <w:ind w:left="0" w:right="0" w:firstLine="90"/>
        <w:rPr/>
      </w:pPr>
      <w:r>
        <w:rPr/>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Information in any one quarterly period should not be considered indicative of annual results due to the effect of seasonality of the business. Fiscal 2021 quarterly data was impacted by the COVID-19 pandemic.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9.</w:t>
      </w:r>
      <w:r>
        <w:rPr>
          <w:color w:val="000000"/>
        </w:rPr>
        <w:t>        </w:t>
      </w:r>
      <w:r>
        <w:rPr>
          <w:rFonts w:ascii="Times New Roman;sans-serif" w:hAnsi="Times New Roman;sans-serif"/>
          <w:b/>
          <w:color w:val="000000"/>
          <w:sz w:val="20"/>
        </w:rPr>
        <w:t>Changes in and Disagreements With Accountants on Accounting and Financial Disclosure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Based on the evaluation of the Company’s disclosure controls and procedures, as that term is defined in Rule 13a-15(e) under the Securities Exchange Act of 1934, as amended (the “Exchange Act”), each of Robert Wallstrom, the Chief Executive Officer of the Company, and John Enwright, the Chief Financial Officer of the Company, has concluded that the Company’s disclosure controls and procedures are effective as of January 30, 2021.</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Internal Control-Integrated Framework. Based on the results of that evaluation, management has concluded that such internal control over financial reporting was effective as of January 30, 2021.</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January 30, 2021, has been audited by Deloitte and Touche LLP, an independent registered public accounting firm, as stated in their report which appears in Item 8. of this Annual Report on Form 10-K.</w:t>
      </w:r>
    </w:p>
    <w:p>
      <w:pPr>
        <w:pStyle w:val="TextBody"/>
        <w:spacing w:lineRule="auto" w:line="288" w:before="280" w:after="283"/>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the most recent fiscal quarter that has materially affected, or that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10.    </w:t>
      </w:r>
      <w:r>
        <w:rPr>
          <w:color w:val="000000"/>
        </w:rPr>
        <w:t>    </w:t>
      </w:r>
      <w:r>
        <w:rPr>
          <w:rFonts w:ascii="Times New Roman;sans-serif" w:hAnsi="Times New Roman;sans-serif"/>
          <w:b/>
          <w:color w:val="000000"/>
          <w:sz w:val="20"/>
        </w:rPr>
        <w:t>Directors, Executive Officers and Corporate Governance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the Proxy Statement for the 2021 Annual Meeting of Shareholders under the headings “Board of Directors Information,” “Family Relationships,” “Delinquent Section 16(a) Reports,” “Corporate Governance Guidelines, Committee Charters and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the Proxy Statement for the 2021 Annual Meeting of Shareholders under the headings “Executive Compensation Discussion and Analysis,” “Compensation Committee Interlocks and Insider Participation”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12.    </w:t>
      </w:r>
      <w:r>
        <w:rPr>
          <w:color w:val="000000"/>
        </w:rPr>
        <w:t>    </w:t>
      </w:r>
      <w:r>
        <w:rPr>
          <w:rFonts w:ascii="Times New Roman;sans-serif" w:hAnsi="Times New Roman;sans-serif"/>
          <w:b/>
          <w:color w:val="000000"/>
          <w:sz w:val="20"/>
        </w:rPr>
        <w:t>Security Ownership of Certain Beneficial Owners and Management and Related Stockholder Matters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set forth in the Proxy Statement for the 2021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equity securities authorized for issuance under our equity compensation plans as of January 30, 2021:</w:t>
      </w:r>
    </w:p>
    <w:tbl>
      <w:tblPr>
        <w:tblW w:w="10205" w:type="dxa"/>
        <w:jc w:val="center"/>
        <w:tblInd w:w="0" w:type="dxa"/>
        <w:tblCellMar>
          <w:top w:w="28" w:type="dxa"/>
          <w:left w:w="28" w:type="dxa"/>
          <w:bottom w:w="28" w:type="dxa"/>
          <w:right w:w="28" w:type="dxa"/>
        </w:tblCellMar>
      </w:tblPr>
      <w:tblGrid>
        <w:gridCol w:w="1571"/>
        <w:gridCol w:w="1378"/>
        <w:gridCol w:w="1385"/>
        <w:gridCol w:w="109"/>
        <w:gridCol w:w="109"/>
        <w:gridCol w:w="109"/>
        <w:gridCol w:w="495"/>
        <w:gridCol w:w="496"/>
        <w:gridCol w:w="491"/>
        <w:gridCol w:w="109"/>
        <w:gridCol w:w="109"/>
        <w:gridCol w:w="109"/>
        <w:gridCol w:w="490"/>
        <w:gridCol w:w="490"/>
        <w:gridCol w:w="491"/>
        <w:gridCol w:w="109"/>
        <w:gridCol w:w="109"/>
        <w:gridCol w:w="109"/>
        <w:gridCol w:w="567"/>
        <w:gridCol w:w="567"/>
        <w:gridCol w:w="803"/>
      </w:tblGrid>
      <w:tr>
        <w:trPr/>
        <w:tc>
          <w:tcPr>
            <w:tcW w:w="1571"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 to Be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Issued upon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 Warrants</w:t>
            </w:r>
          </w:p>
          <w:p>
            <w:pPr>
              <w:pStyle w:val="TableContents"/>
              <w:spacing w:lineRule="auto" w:line="240" w:before="0" w:after="0"/>
              <w:jc w:val="center"/>
              <w:rPr/>
            </w:pPr>
            <w:r>
              <w:rPr>
                <w:rFonts w:ascii="Times New Roman;sans-serif" w:hAnsi="Times New Roman;sans-serif"/>
                <w:b/>
                <w:color w:val="000000"/>
                <w:sz w:val="16"/>
              </w:rPr>
              <w:t xml:space="preserve">and Rights (a)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 of</w:t>
              <w:br/>
              <w:t>Outstanding</w:t>
              <w:br/>
              <w:t>Options, Warrants</w:t>
              <w:br/>
              <w:t>and Rights (b)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 Available for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Future Issuance Under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Equity</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 Plans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(Excluding Securities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Reflected in Column</w:t>
            </w:r>
          </w:p>
          <w:p>
            <w:pPr>
              <w:pStyle w:val="TableContents"/>
              <w:spacing w:lineRule="auto" w:line="240" w:before="0" w:after="0"/>
              <w:jc w:val="center"/>
              <w:rPr/>
            </w:pPr>
            <w:r>
              <w:rPr>
                <w:rFonts w:ascii="Times New Roman;sans-serif" w:hAnsi="Times New Roman;sans-serif"/>
                <w:b/>
                <w:color w:val="000000"/>
                <w:sz w:val="16"/>
              </w:rPr>
              <w:t xml:space="preserve">(a)) (c) </w:t>
            </w:r>
            <w:r>
              <w:rPr>
                <w:rFonts w:ascii="Times New Roman;sans-serif" w:hAnsi="Times New Roman;sans-serif"/>
                <w:b/>
                <w:color w:val="000000"/>
                <w:sz w:val="10"/>
              </w:rPr>
              <w:t>(2)</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1,944,625 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1,944,625</w:t>
            </w:r>
            <w:r>
              <w:rPr>
                <w:color w:val="000000"/>
              </w:rPr>
              <w:t>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3,000,000</w:t>
            </w:r>
            <w:r>
              <w:rPr>
                <w:color w:val="000000"/>
              </w:rPr>
              <w:t> </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(1)Assumes that target performance requirements will be achieved for performance shares with incomplete performance periods. These securities represent awards to be issued under the 2010 Equity and Incentive Plan.</w:t>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(2)Represents securities available for issuance under the 2020 Equity and Incentive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13.    </w:t>
      </w:r>
      <w:r>
        <w:rPr>
          <w:color w:val="000000"/>
        </w:rPr>
        <w:t>    </w:t>
      </w:r>
      <w:r>
        <w:rPr>
          <w:rFonts w:ascii="Times New Roman;sans-serif" w:hAnsi="Times New Roman;sans-serif"/>
          <w:b/>
          <w:color w:val="000000"/>
          <w:sz w:val="20"/>
        </w:rPr>
        <w:t>Certain Relationships and Related Transactions, and Director Independence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the Proxy Statement for the 2021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14.    </w:t>
      </w:r>
      <w:r>
        <w:rPr>
          <w:color w:val="000000"/>
        </w:rPr>
        <w:t>    </w:t>
      </w:r>
      <w:r>
        <w:rPr>
          <w:rFonts w:ascii="Times New Roman;sans-serif" w:hAnsi="Times New Roman;sans-serif"/>
          <w:b/>
          <w:color w:val="000000"/>
          <w:sz w:val="20"/>
        </w:rPr>
        <w:t>Principal Accounting Fees and Services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our 2021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Vera Bradley, Inc. are filed as part of this report under Item 8. Financial Statements and Supplementary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580"/>
        <w:gridCol w:w="3117"/>
        <w:gridCol w:w="3135"/>
        <w:gridCol w:w="109"/>
        <w:gridCol w:w="109"/>
        <w:gridCol w:w="155"/>
      </w:tblGrid>
      <w:tr>
        <w:trPr/>
        <w:tc>
          <w:tcPr>
            <w:tcW w:w="3580" w:type="dxa"/>
            <w:tcBorders/>
            <w:shd w:fill="auto" w:val="clear"/>
            <w:vAlign w:val="center"/>
          </w:tcPr>
          <w:p>
            <w:pPr>
              <w:pStyle w:val="TableContents"/>
              <w:spacing w:before="0" w:after="283"/>
              <w:rPr>
                <w:sz w:val="4"/>
                <w:szCs w:val="4"/>
              </w:rPr>
            </w:pPr>
            <w:r>
              <w:rPr>
                <w:sz w:val="4"/>
                <w:szCs w:val="4"/>
              </w:rPr>
            </w:r>
          </w:p>
        </w:tc>
        <w:tc>
          <w:tcPr>
            <w:tcW w:w="3117" w:type="dxa"/>
            <w:tcBorders/>
            <w:shd w:fill="auto" w:val="clear"/>
            <w:vAlign w:val="center"/>
          </w:tcPr>
          <w:p>
            <w:pPr>
              <w:pStyle w:val="TableContents"/>
              <w:spacing w:before="0" w:after="283"/>
              <w:rPr>
                <w:sz w:val="4"/>
                <w:szCs w:val="4"/>
              </w:rPr>
            </w:pPr>
            <w:r>
              <w:rPr>
                <w:sz w:val="4"/>
                <w:szCs w:val="4"/>
              </w:rPr>
            </w:r>
          </w:p>
        </w:tc>
        <w:tc>
          <w:tcPr>
            <w:tcW w:w="3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58">
              <w:r>
                <w:rPr>
                  <w:rStyle w:val="InternetLink"/>
                  <w:rFonts w:ascii="Times New Roman;sans-serif" w:hAnsi="Times New Roman;sans-serif"/>
                  <w:b w:val="false"/>
                  <w:color w:val="0000FF"/>
                  <w:sz w:val="20"/>
                  <w:u w:val="single"/>
                </w:rPr>
                <w:t>Reports of Independent Registered Public Accounting Firm</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58">
              <w:r>
                <w:rPr>
                  <w:rStyle w:val="InternetLink"/>
                  <w:rFonts w:ascii="Times New Roman;sans-serif" w:hAnsi="Times New Roman;sans-serif"/>
                  <w:b w:val="false"/>
                  <w:strike w:val="false"/>
                  <w:dstrike w:val="false"/>
                  <w:color w:val="000000"/>
                  <w:sz w:val="20"/>
                  <w:u w:val="none"/>
                  <w:effect w:val="none"/>
                </w:rPr>
                <w:t>52</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61">
              <w:r>
                <w:rPr>
                  <w:rStyle w:val="InternetLink"/>
                  <w:rFonts w:ascii="Times New Roman;sans-serif" w:hAnsi="Times New Roman;sans-serif"/>
                  <w:b w:val="false"/>
                  <w:color w:val="0000FF"/>
                  <w:sz w:val="20"/>
                  <w:u w:val="single"/>
                </w:rPr>
                <w:t>Consolidated Balance Sheets as of January 30, 2021, and February 1, 2020</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61">
              <w:r>
                <w:rPr>
                  <w:rStyle w:val="InternetLink"/>
                  <w:rFonts w:ascii="Times New Roman;sans-serif" w:hAnsi="Times New Roman;sans-serif"/>
                  <w:b w:val="false"/>
                  <w:strike w:val="false"/>
                  <w:dstrike w:val="false"/>
                  <w:color w:val="000000"/>
                  <w:sz w:val="20"/>
                  <w:u w:val="none"/>
                  <w:effect w:val="none"/>
                </w:rPr>
                <w:t>55</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67">
              <w:r>
                <w:rPr>
                  <w:rStyle w:val="InternetLink"/>
                  <w:rFonts w:ascii="Times New Roman;sans-serif" w:hAnsi="Times New Roman;sans-serif"/>
                  <w:b w:val="false"/>
                  <w:color w:val="0000FF"/>
                  <w:sz w:val="20"/>
                  <w:u w:val="single"/>
                </w:rPr>
                <w:t>Consolidated Statements of Operations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67">
              <w:r>
                <w:rPr>
                  <w:rStyle w:val="InternetLink"/>
                  <w:rFonts w:ascii="Times New Roman;sans-serif" w:hAnsi="Times New Roman;sans-serif"/>
                  <w:b w:val="false"/>
                  <w:strike w:val="false"/>
                  <w:dstrike w:val="false"/>
                  <w:color w:val="000000"/>
                  <w:sz w:val="20"/>
                  <w:u w:val="none"/>
                  <w:effect w:val="none"/>
                </w:rPr>
                <w:t>56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0">
              <w:r>
                <w:rPr>
                  <w:rStyle w:val="InternetLink"/>
                  <w:rFonts w:ascii="Times New Roman;sans-serif" w:hAnsi="Times New Roman;sans-serif"/>
                  <w:b w:val="false"/>
                  <w:color w:val="0000FF"/>
                  <w:sz w:val="20"/>
                  <w:u w:val="single"/>
                </w:rPr>
                <w:t>Consolidated Statements of Comprehensive Income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0">
              <w:r>
                <w:rPr>
                  <w:rStyle w:val="InternetLink"/>
                  <w:rFonts w:ascii="Times New Roman;sans-serif" w:hAnsi="Times New Roman;sans-serif"/>
                  <w:b w:val="false"/>
                  <w:strike w:val="false"/>
                  <w:dstrike w:val="false"/>
                  <w:color w:val="000000"/>
                  <w:sz w:val="20"/>
                  <w:u w:val="none"/>
                  <w:effect w:val="none"/>
                </w:rPr>
                <w:t>57</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3">
              <w:r>
                <w:rPr>
                  <w:rStyle w:val="InternetLink"/>
                  <w:rFonts w:ascii="Times New Roman;sans-serif" w:hAnsi="Times New Roman;sans-serif"/>
                  <w:b w:val="false"/>
                  <w:color w:val="0000FF"/>
                  <w:sz w:val="20"/>
                  <w:u w:val="single"/>
                </w:rPr>
                <w:t>Consolidated Statements of Shareholders’ Equity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3">
              <w:r>
                <w:rPr>
                  <w:rStyle w:val="InternetLink"/>
                  <w:rFonts w:ascii="Times New Roman;sans-serif" w:hAnsi="Times New Roman;sans-serif"/>
                  <w:b w:val="false"/>
                  <w:strike w:val="false"/>
                  <w:dstrike w:val="false"/>
                  <w:color w:val="000000"/>
                  <w:sz w:val="20"/>
                  <w:u w:val="none"/>
                  <w:effect w:val="none"/>
                </w:rPr>
                <w:t>58</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6">
              <w:r>
                <w:rPr>
                  <w:rStyle w:val="InternetLink"/>
                  <w:rFonts w:ascii="Times New Roman;sans-serif" w:hAnsi="Times New Roman;sans-serif"/>
                  <w:b w:val="false"/>
                  <w:color w:val="0000FF"/>
                  <w:sz w:val="20"/>
                  <w:u w:val="single"/>
                </w:rPr>
                <w:t>Consolidated Statements of Cash Flows for the fiscal years ended January 30, 2021, February 1, 2020, and February 2, 2019</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6">
              <w:r>
                <w:rPr>
                  <w:rStyle w:val="InternetLink"/>
                  <w:rFonts w:ascii="Times New Roman;sans-serif" w:hAnsi="Times New Roman;sans-serif"/>
                  <w:b w:val="false"/>
                  <w:strike w:val="false"/>
                  <w:dstrike w:val="false"/>
                  <w:color w:val="000000"/>
                  <w:sz w:val="20"/>
                  <w:u w:val="none"/>
                  <w:effect w:val="none"/>
                </w:rPr>
                <w:t>59</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d69ad16c0254070a3e5efce5bcaec5b_79">
              <w:r>
                <w:rPr>
                  <w:rStyle w:val="InternetLink"/>
                  <w:rFonts w:ascii="Times New Roman;sans-serif" w:hAnsi="Times New Roman;sans-serif"/>
                  <w:b w:val="false"/>
                  <w:color w:val="0000FF"/>
                  <w:sz w:val="20"/>
                  <w:u w:val="single"/>
                </w:rPr>
                <w:t>Notes to Consolidated 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d69ad16c0254070a3e5efce5bcaec5b_79">
              <w:r>
                <w:rPr>
                  <w:rStyle w:val="InternetLink"/>
                  <w:rFonts w:ascii="Times New Roman;sans-serif" w:hAnsi="Times New Roman;sans-serif"/>
                  <w:b w:val="false"/>
                  <w:strike w:val="false"/>
                  <w:dstrike w:val="false"/>
                  <w:color w:val="000000"/>
                  <w:sz w:val="20"/>
                  <w:u w:val="none"/>
                  <w:effect w:val="none"/>
                </w:rPr>
                <w:t>61</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Financial Statement Schedules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List of Exhibits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documents set forth below are filed herewith or incorporated by reference to the location indicated.</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42"/>
        <w:gridCol w:w="301"/>
        <w:gridCol w:w="303"/>
        <w:gridCol w:w="109"/>
        <w:gridCol w:w="109"/>
        <w:gridCol w:w="109"/>
        <w:gridCol w:w="2840"/>
        <w:gridCol w:w="2509"/>
        <w:gridCol w:w="3583"/>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0"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3583"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Second Amended and Restated Articles of Incorporation (Incorporated by reference to Exhibit 3.1 to the Registration Statement on Form S-1, Registration No. 333-167934)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(Incorporated by reference to Exhibit 3.2 to the Current Report on Form 8-K filed March 6, 2019)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Specimen Common Stock Certificate (Incorporated by reference to Exhibit 4.1 to the Registration Statement on Form S-1, Registration No. 333-167934)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Description of Registrant’s Securities (Incorporated by reference to Exhibit 4.2 to the Annual Report on Form 10-K for the fiscal year ended February 1, 2020)</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Vera Bradley, Inc. 2010 Equity and Incentive Plan (Incorporated by reference to Exhibit 10.1 to the Registration Statement on Form S-1, Registration No. 333-167934)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Form of Indemnification Agreement (Incorporated by reference to Exhibit 10.5 to the Registration Statement on Form S-1, Registration No. 333-167934)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Form of Outside Director Restricted Stock Unit Terms and Conditions (Incorporated by reference to Exhibit 10.2 to the Quarterly Report on Form 10-Q for the quarter ended May 3, 2014)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Vera Bradley, Inc. 2014 Executive Severance Plan (Amended May 30, 2018) (Incorporated by reference to Exhibit 10.4 to the Annual Report on Form 10-K for the year ended February 2, 2019)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Credit Agreement dated as of September 7, 2018 among Vera Bradley Designs, Inc., JPMorgan Chase Bank, N.A., and the lenders party thereto (Incorporated by reference to Exhibit 10.1 to the Quarterly Report on Form 10-Q for the quarter ended August 4, 2018)</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Pledge and Security Agreement dated as of September 7, 2018 among Vera Bradley Designs, Inc., Vera Bradley, Inc., Vera Bradley International, LLC, Vera Bradley Sales, LLC, and JP Morgan Chase Bank, N.A. (Incorporated by reference to Exhibit 10.2 to the Quarterly Report on Form 10-Q for the quarter ended August 4, 2018)</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10.7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Fiscal 2021 Annual Incentive Compensation Plan (Executives) (Incorporated by reference to Exhibit 10.1 to the Quarterly Report on Form 10-Q for the quarter ended May 2, 2020)</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10.8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Employment Agreement for Robert Wallstrom dated November 11, 2013 (Incorporated by reference to Exhibit 10.1 to the Current Report on Form 8-K filed November 5, 2013)</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10.9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Second Amendment of Employment Agreement for Robert Wallstrom dated June 17, 2016 (Incorporated by reference to Exhibit 10.1 to the Current Report on Form 8-K filed June 22, 2016)</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10.10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Form of Performance-Based Award Agreement under the 2010 Equity and Incentive Plan (Incorporated by reference to Exhibit 10.3 to the Quarterly Report on Form 10-Q for the quarter ended April 29, 2017)</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10.11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Form of Restricted Stock Unit/Performance Unit Terms and Conditions (Revised Fiscal 2019) (Incorporated by reference to Exhibit 10.2 to the Quarterly Report on Form 10-Q for the quarter ended May 5, 2018)</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10.12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Interest Purchase Agreement dated July 16, 2019, among Vera Bradley Holdings, LLC; Creative Genius Holdings, Inc.; Creative Genius, Inc.; Griffin Thall; and Paul Goodman (Incorporated by reference to Exhibit 10.1 to the Quarterly Report on Form 10-Q for the quarter ended August 3, 2019, as amended)</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10.13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Put/Call Agreement dated July 16, 2019, among Vera Bradley Holdings, LLC; Creative Genius Holdings, Inc.; Creative Genius Investments, Inc.; Griffin Thall; Paul Goodman; Vera Bradley Designs, Inc.; and Vera Bradley, Inc. (Incorporated by reference to Exhibit 10.2 to the Quarterly Report on Form 10-Q for the quarter ended August 3, 2019, as amended)</w:t>
              </w:r>
            </w:hyperlink>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42"/>
        <w:gridCol w:w="301"/>
        <w:gridCol w:w="303"/>
        <w:gridCol w:w="109"/>
        <w:gridCol w:w="109"/>
        <w:gridCol w:w="109"/>
        <w:gridCol w:w="2850"/>
        <w:gridCol w:w="2840"/>
        <w:gridCol w:w="2868"/>
        <w:gridCol w:w="109"/>
        <w:gridCol w:w="109"/>
        <w:gridCol w:w="156"/>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0" w:type="dxa"/>
            <w:tcBorders/>
            <w:shd w:fill="auto" w:val="clear"/>
            <w:vAlign w:val="center"/>
          </w:tcPr>
          <w:p>
            <w:pPr>
              <w:pStyle w:val="TableContents"/>
              <w:spacing w:before="0" w:after="283"/>
              <w:rPr>
                <w:sz w:val="4"/>
                <w:szCs w:val="4"/>
              </w:rPr>
            </w:pPr>
            <w:r>
              <w:rPr>
                <w:sz w:val="4"/>
                <w:szCs w:val="4"/>
              </w:rPr>
            </w:r>
          </w:p>
        </w:tc>
        <w:tc>
          <w:tcPr>
            <w:tcW w:w="2840"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10.14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FF"/>
                  <w:sz w:val="20"/>
                  <w:u w:val="single"/>
                </w:rPr>
                <w:t>First Amendment to Credit Agreement dated June 19, 2019, among Vera Bradley Designs, Inc., JP Morgan Chase Bank, N.A., and the lenders party thereto (Incorporated by reference to Exhibit 10.3 to the Quarterly Report on Form 10-Q for the quarter ended August 3, 2019, as amended)</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10.15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Second Amendment to Credit Agreement dated July 16, 2019, among Vera Bradley Designs, Inc., JP Morgan Chase Bank, N.A., and the lenders party thereto (Incorporated by reference to Exhibit 10.4 to the Quarterly Report on Form 10-Q for the quarter ended August 3, 2019, as amended)</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10.16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FF"/>
                  <w:sz w:val="20"/>
                  <w:u w:val="single"/>
                </w:rPr>
                <w:t>Vera Bradley, Inc. 2020 Equity and Incentive Plan (Incorporated by reference to Appendix A to the registrant’s Definitive Proxy Statement filed April 30, 2020)</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211.htm">
              <w:r>
                <w:rPr>
                  <w:rStyle w:val="InternetLink"/>
                  <w:rFonts w:ascii="Times New Roman;sans-serif" w:hAnsi="Times New Roman;sans-serif"/>
                  <w:b w:val="false"/>
                  <w:color w:val="0000FF"/>
                  <w:sz w:val="20"/>
                  <w:u w:val="single"/>
                </w:rPr>
                <w:t>21.1*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211.htm">
              <w:r>
                <w:rPr>
                  <w:rStyle w:val="InternetLink"/>
                  <w:rFonts w:ascii="Times New Roman;sans-serif" w:hAnsi="Times New Roman;sans-serif"/>
                  <w:b w:val="false"/>
                  <w:color w:val="0000FF"/>
                  <w:sz w:val="20"/>
                  <w:u w:val="single"/>
                </w:rPr>
                <w:t>Subsidiaries of Vera Bradley, Inc.</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231.htm">
              <w:r>
                <w:rPr>
                  <w:rStyle w:val="InternetLink"/>
                  <w:rFonts w:ascii="Times New Roman;sans-serif" w:hAnsi="Times New Roman;sans-serif"/>
                  <w:b w:val="false"/>
                  <w:color w:val="0000FF"/>
                  <w:sz w:val="20"/>
                  <w:u w:val="single"/>
                </w:rPr>
                <w:t>23.1*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231.htm">
              <w:r>
                <w:rPr>
                  <w:rStyle w:val="InternetLink"/>
                  <w:rFonts w:ascii="Times New Roman;sans-serif" w:hAnsi="Times New Roman;sans-serif"/>
                  <w:b w:val="false"/>
                  <w:color w:val="0000FF"/>
                  <w:sz w:val="20"/>
                  <w:u w:val="single"/>
                </w:rPr>
                <w:t>Consent of Deloitte &amp; Touche LLP</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311.htm">
              <w:r>
                <w:rPr>
                  <w:rStyle w:val="InternetLink"/>
                  <w:rFonts w:ascii="Times New Roman;sans-serif" w:hAnsi="Times New Roman;sans-serif"/>
                  <w:b w:val="false"/>
                  <w:color w:val="0000FF"/>
                  <w:sz w:val="20"/>
                  <w:u w:val="single"/>
                </w:rPr>
                <w:t>Rule 13a-14(a)/15d-14(a) Certification of Chief Executive Officer</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312.htm">
              <w:r>
                <w:rPr>
                  <w:rStyle w:val="InternetLink"/>
                  <w:rFonts w:ascii="Times New Roman;sans-serif" w:hAnsi="Times New Roman;sans-serif"/>
                  <w:b w:val="false"/>
                  <w:color w:val="0000FF"/>
                  <w:sz w:val="20"/>
                  <w:u w:val="single"/>
                </w:rPr>
                <w:t>Rule 13a-14(a)/15d-14(a) Certification of Chief Financial Officer</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321.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ra-20210130xex321.htm">
              <w:r>
                <w:rPr>
                  <w:rStyle w:val="InternetLink"/>
                  <w:rFonts w:ascii="Times New Roman;sans-serif" w:hAnsi="Times New Roman;sans-serif"/>
                  <w:b w:val="false"/>
                  <w:color w:val="0000FF"/>
                  <w:sz w:val="20"/>
                  <w:u w:val="single"/>
                </w:rPr>
                <w:t>Section 1350 Certifications</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8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8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8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8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8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8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5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on March 30, 2021.</w:t>
      </w:r>
    </w:p>
    <w:p>
      <w:pPr>
        <w:pStyle w:val="TextBody"/>
        <w:spacing w:lineRule="auto" w:line="288" w:before="0" w:after="0"/>
        <w:rPr>
          <w:color w:val="000000"/>
        </w:rPr>
      </w:pPr>
      <w:r>
        <w:rPr>
          <w:color w:val="000000"/>
        </w:rPr>
        <w:t> </w:t>
      </w:r>
    </w:p>
    <w:tbl>
      <w:tblPr>
        <w:tblW w:w="2352" w:type="dxa"/>
        <w:jc w:val="left"/>
        <w:tblInd w:w="0" w:type="dxa"/>
        <w:tblCellMar>
          <w:top w:w="28" w:type="dxa"/>
          <w:left w:w="28" w:type="dxa"/>
          <w:bottom w:w="28" w:type="dxa"/>
          <w:right w:w="28" w:type="dxa"/>
        </w:tblCellMar>
      </w:tblPr>
      <w:tblGrid>
        <w:gridCol w:w="718"/>
        <w:gridCol w:w="630"/>
        <w:gridCol w:w="632"/>
        <w:gridCol w:w="109"/>
        <w:gridCol w:w="109"/>
        <w:gridCol w:w="154"/>
      </w:tblGrid>
      <w:tr>
        <w:trPr/>
        <w:tc>
          <w:tcPr>
            <w:tcW w:w="718"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Enwright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John Enwright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Registrant and in the capacities indicated on March 30, 2021.</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4d69ad16c0254070a3e5efce5bcaec5b_10">
        <w:r>
          <w:rPr>
            <w:rStyle w:val="InternetLink"/>
            <w:rFonts w:ascii="Times New Roman;sans-serif" w:hAnsi="Times New Roman;sans-serif"/>
            <w:b/>
            <w:color w:val="0000FF"/>
            <w:sz w:val="20"/>
            <w:u w:val="single"/>
          </w:rPr>
          <w:t>Table of Contents</w:t>
        </w:r>
      </w:hyperlink>
    </w:p>
    <w:tbl>
      <w:tblPr>
        <w:tblW w:w="8352" w:type="dxa"/>
        <w:jc w:val="left"/>
        <w:tblInd w:w="0" w:type="dxa"/>
        <w:tblCellMar>
          <w:top w:w="28" w:type="dxa"/>
          <w:left w:w="28" w:type="dxa"/>
          <w:bottom w:w="28" w:type="dxa"/>
          <w:right w:w="28" w:type="dxa"/>
        </w:tblCellMar>
      </w:tblPr>
      <w:tblGrid>
        <w:gridCol w:w="937"/>
        <w:gridCol w:w="823"/>
        <w:gridCol w:w="835"/>
        <w:gridCol w:w="109"/>
        <w:gridCol w:w="109"/>
        <w:gridCol w:w="109"/>
        <w:gridCol w:w="1576"/>
        <w:gridCol w:w="1576"/>
        <w:gridCol w:w="2278"/>
      </w:tblGrid>
      <w:tr>
        <w:trPr/>
        <w:tc>
          <w:tcPr>
            <w:tcW w:w="937"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Wallstrom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 (principal executive officer)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Wallstrom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Enwright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accounting officer)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Barbara Bradley Baekgaard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Bradley Baekgaard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Kristina Cashman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Kristina Cashman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Hall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Hall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Lou Kelley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Lou Kelley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 Kyees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 Kyees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Michael Miller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Michael Miller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Frances P. Philip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Frances P. Philip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M. Schmults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M. Schmults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Carrie Tharp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Tharp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tbl>
      <w:tblPr>
        <w:tblW w:w="7605" w:type="dxa"/>
        <w:jc w:val="center"/>
        <w:tblInd w:w="0" w:type="dxa"/>
        <w:tblCellMar>
          <w:top w:w="28" w:type="dxa"/>
          <w:left w:w="28" w:type="dxa"/>
          <w:bottom w:w="28" w:type="dxa"/>
          <w:right w:w="28" w:type="dxa"/>
        </w:tblCellMar>
      </w:tblPr>
      <w:tblGrid>
        <w:gridCol w:w="1776"/>
        <w:gridCol w:w="1558"/>
        <w:gridCol w:w="1016"/>
        <w:gridCol w:w="180"/>
        <w:gridCol w:w="180"/>
        <w:gridCol w:w="180"/>
        <w:gridCol w:w="794"/>
        <w:gridCol w:w="794"/>
        <w:gridCol w:w="1127"/>
      </w:tblGrid>
      <w:tr>
        <w:trPr/>
        <w:tc>
          <w:tcPr>
            <w:tcW w:w="1776"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r>
      <w:tr>
        <w:trPr/>
        <w:tc>
          <w:tcPr>
            <w:tcW w:w="76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Vera Bradley, Inc.</w:t>
            </w:r>
          </w:p>
        </w:tc>
      </w:tr>
      <w:tr>
        <w:trPr/>
        <w:tc>
          <w:tcPr>
            <w:tcW w:w="76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Subsidiaries</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 of Incorporation</w:t>
            </w:r>
          </w:p>
        </w:tc>
      </w:tr>
      <w:tr>
        <w:trPr/>
        <w:tc>
          <w:tcPr>
            <w:tcW w:w="4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Designs, Inc</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International, LLC</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Sales, LLC</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Handbag Design (Dongguan) Co., Ltd.</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People's Republic of China</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Hong Kong Co., Limited</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 Bradley Holdings, LLC</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Creative Genius, LLC</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Pura Vida Europe Limited</w:t>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333-249701 and 333-170062 on Form S-8 of our reports dated March 30, 2021, relating to the financial statements of Vera Bradley, Inc. and the effectiveness of Vera Bradley, Inc.’s internal control over financial reporting appearing in this Annual Report on Form 10-K for the year ended January 30, 2021.</w:t>
      </w:r>
    </w:p>
    <w:p>
      <w:pPr>
        <w:pStyle w:val="TextBody"/>
        <w:spacing w:before="100" w:after="100"/>
        <w:rPr/>
      </w:pPr>
      <w:r>
        <w:rPr/>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100" w:after="10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Indianapolis, Indiana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March 30, 2021</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Robert Wallstrom, certify that: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Vera Bradley, Inc.;</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271" w:type="dxa"/>
        <w:jc w:val="center"/>
        <w:tblInd w:w="0" w:type="dxa"/>
        <w:tblCellMar>
          <w:top w:w="28" w:type="dxa"/>
          <w:left w:w="28" w:type="dxa"/>
          <w:bottom w:w="28" w:type="dxa"/>
          <w:right w:w="28" w:type="dxa"/>
        </w:tblCellMar>
      </w:tblPr>
      <w:tblGrid>
        <w:gridCol w:w="683"/>
        <w:gridCol w:w="601"/>
        <w:gridCol w:w="605"/>
        <w:gridCol w:w="109"/>
        <w:gridCol w:w="109"/>
        <w:gridCol w:w="109"/>
        <w:gridCol w:w="601"/>
        <w:gridCol w:w="601"/>
        <w:gridCol w:w="853"/>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Wallstrom</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Wallstrom</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before="9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John Enwright, certify that: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Vera Bradley, Inc.;</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285" w:type="dxa"/>
        <w:jc w:val="center"/>
        <w:tblInd w:w="0" w:type="dxa"/>
        <w:tblCellMar>
          <w:top w:w="28" w:type="dxa"/>
          <w:left w:w="28" w:type="dxa"/>
          <w:bottom w:w="28" w:type="dxa"/>
          <w:right w:w="28" w:type="dxa"/>
        </w:tblCellMar>
      </w:tblPr>
      <w:tblGrid>
        <w:gridCol w:w="683"/>
        <w:gridCol w:w="601"/>
        <w:gridCol w:w="605"/>
        <w:gridCol w:w="109"/>
        <w:gridCol w:w="109"/>
        <w:gridCol w:w="109"/>
        <w:gridCol w:w="606"/>
        <w:gridCol w:w="606"/>
        <w:gridCol w:w="857"/>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Enwright</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spacing w:before="9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 18 U.S.C. Section 1350 As Adopted Pursuant to Section 906 of the Sarbanes - Oxley Act of 2002</w:t>
      </w:r>
    </w:p>
    <w:p>
      <w:pPr>
        <w:pStyle w:val="TextBody"/>
        <w:spacing w:lineRule="auto" w:line="288" w:before="100" w:after="283"/>
        <w:rPr>
          <w:color w:val="000000"/>
        </w:rPr>
      </w:pPr>
      <w:r>
        <w:rPr>
          <w:color w:val="000000"/>
        </w:rPr>
        <w:t>    </w:t>
      </w:r>
      <w:r>
        <w:rPr>
          <w:rFonts w:ascii="Times New Roman;sans-serif" w:hAnsi="Times New Roman;sans-serif"/>
          <w:b w:val="false"/>
          <w:color w:val="000000"/>
          <w:sz w:val="20"/>
        </w:rPr>
        <w:t>I, Robert Wallstrom, the Chief Executive Officer of Vera Bradley, Inc., certify that (i) the annual report on Form 10-K for the fiscal year ended January 30, 2021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tbl>
      <w:tblPr>
        <w:tblW w:w="2724" w:type="dxa"/>
        <w:jc w:val="center"/>
        <w:tblInd w:w="0" w:type="dxa"/>
        <w:tblCellMar>
          <w:top w:w="28" w:type="dxa"/>
          <w:left w:w="28" w:type="dxa"/>
          <w:bottom w:w="28" w:type="dxa"/>
          <w:right w:w="28" w:type="dxa"/>
        </w:tblCellMar>
      </w:tblPr>
      <w:tblGrid>
        <w:gridCol w:w="124"/>
        <w:gridCol w:w="109"/>
        <w:gridCol w:w="109"/>
        <w:gridCol w:w="109"/>
        <w:gridCol w:w="109"/>
        <w:gridCol w:w="109"/>
        <w:gridCol w:w="601"/>
        <w:gridCol w:w="601"/>
        <w:gridCol w:w="8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Wallstrom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Wallstrom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bl>
    <w:p>
      <w:pPr>
        <w:pStyle w:val="TextBody"/>
        <w:spacing w:lineRule="auto" w:line="288" w:before="100" w:after="283"/>
        <w:rPr>
          <w:color w:val="000000"/>
        </w:rPr>
      </w:pPr>
      <w:r>
        <w:rPr>
          <w:color w:val="000000"/>
        </w:rPr>
        <w:t>    </w:t>
      </w:r>
      <w:r>
        <w:rPr>
          <w:rFonts w:ascii="Times New Roman;sans-serif" w:hAnsi="Times New Roman;sans-serif"/>
          <w:b w:val="false"/>
          <w:color w:val="000000"/>
          <w:sz w:val="20"/>
        </w:rPr>
        <w:t>I, John Enwright, the Chief Financial Officer of Vera Bradley, Inc., certify that (i) the annual report on Form 10-K for the fiscal year ended January 30, 2021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tbl>
      <w:tblPr>
        <w:tblW w:w="2738" w:type="dxa"/>
        <w:jc w:val="center"/>
        <w:tblInd w:w="0" w:type="dxa"/>
        <w:tblCellMar>
          <w:top w:w="28" w:type="dxa"/>
          <w:left w:w="28" w:type="dxa"/>
          <w:bottom w:w="28" w:type="dxa"/>
          <w:right w:w="28" w:type="dxa"/>
        </w:tblCellMar>
      </w:tblPr>
      <w:tblGrid>
        <w:gridCol w:w="124"/>
        <w:gridCol w:w="109"/>
        <w:gridCol w:w="109"/>
        <w:gridCol w:w="109"/>
        <w:gridCol w:w="109"/>
        <w:gridCol w:w="109"/>
        <w:gridCol w:w="606"/>
        <w:gridCol w:w="606"/>
        <w:gridCol w:w="8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Enwright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30, 2021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95320/000119312510231184/dex31.htm" TargetMode="External"/><Relationship Id="rId5" Type="http://schemas.openxmlformats.org/officeDocument/2006/relationships/hyperlink" Target="http://www.sec.gov/Archives/edgar/data/1495320/000119312510231184/dex31.htm" TargetMode="External"/><Relationship Id="rId6" Type="http://schemas.openxmlformats.org/officeDocument/2006/relationships/hyperlink" Target="http://www.sec.gov/Archives/edgar/data/1495320/000149532019000003/vra-20190228xex32.htm" TargetMode="External"/><Relationship Id="rId7" Type="http://schemas.openxmlformats.org/officeDocument/2006/relationships/hyperlink" Target="http://www.sec.gov/Archives/edgar/data/1495320/000149532019000003/vra-20190228xex32.htm" TargetMode="External"/><Relationship Id="rId8" Type="http://schemas.openxmlformats.org/officeDocument/2006/relationships/hyperlink" Target="http://www.sec.gov/Archives/edgar/data/1495320/000119312510231184/dex41.htm" TargetMode="External"/><Relationship Id="rId9" Type="http://schemas.openxmlformats.org/officeDocument/2006/relationships/hyperlink" Target="http://www.sec.gov/Archives/edgar/data/1495320/000119312510231184/dex41.htm" TargetMode="External"/><Relationship Id="rId10" Type="http://schemas.openxmlformats.org/officeDocument/2006/relationships/hyperlink" Target="https://www.sec.gov/Archives/edgar/data/1495320/000149532020000010/vra-20200201xex42.htm" TargetMode="External"/><Relationship Id="rId11" Type="http://schemas.openxmlformats.org/officeDocument/2006/relationships/hyperlink" Target="https://www.sec.gov/Archives/edgar/data/1495320/000149532020000010/vra-20200201xex42.htm" TargetMode="External"/><Relationship Id="rId12" Type="http://schemas.openxmlformats.org/officeDocument/2006/relationships/hyperlink" Target="http://www.sec.gov/Archives/edgar/data/1495320/000119312510231184/dex101.htm" TargetMode="External"/><Relationship Id="rId13" Type="http://schemas.openxmlformats.org/officeDocument/2006/relationships/hyperlink" Target="http://www.sec.gov/Archives/edgar/data/1495320/000119312510231184/dex101.htm" TargetMode="External"/><Relationship Id="rId14" Type="http://schemas.openxmlformats.org/officeDocument/2006/relationships/hyperlink" Target="http://www.sec.gov/Archives/edgar/data/1495320/000119312510224879/dex105.htm" TargetMode="External"/><Relationship Id="rId15" Type="http://schemas.openxmlformats.org/officeDocument/2006/relationships/hyperlink" Target="http://www.sec.gov/Archives/edgar/data/1495320/000119312510224879/dex105.htm" TargetMode="External"/><Relationship Id="rId16" Type="http://schemas.openxmlformats.org/officeDocument/2006/relationships/hyperlink" Target="http://www.sec.gov/Archives/edgar/data/1495320/000149532014000030/vra-20140503xex102.htm" TargetMode="External"/><Relationship Id="rId17" Type="http://schemas.openxmlformats.org/officeDocument/2006/relationships/hyperlink" Target="https://www.sec.gov/Archives/edgar/data/1495320/000149532020000032/vra-20200502xex102.htm" TargetMode="External"/><Relationship Id="rId18" Type="http://schemas.openxmlformats.org/officeDocument/2006/relationships/hyperlink" Target="http://www.sec.gov/Archives/edgar/data/1495320/000149532019000010/vra-20190202xex104.htm" TargetMode="External"/><Relationship Id="rId19" Type="http://schemas.openxmlformats.org/officeDocument/2006/relationships/hyperlink" Target="http://www.sec.gov/Archives/edgar/data/1495320/000149532019000010/vra-20190202xex104.htm" TargetMode="External"/><Relationship Id="rId20" Type="http://schemas.openxmlformats.org/officeDocument/2006/relationships/hyperlink" Target="http://www.sec.gov/Archives/edgar/data/1495320/000149532018000031/vra-20180804xex101.htm" TargetMode="External"/><Relationship Id="rId21" Type="http://schemas.openxmlformats.org/officeDocument/2006/relationships/hyperlink" Target="http://www.sec.gov/Archives/edgar/data/1495320/000149532018000031/vra-20180804xex101.htm" TargetMode="External"/><Relationship Id="rId22" Type="http://schemas.openxmlformats.org/officeDocument/2006/relationships/hyperlink" Target="http://www.sec.gov/Archives/edgar/data/1495320/000149532018000031/vra-20180804xex102.htm" TargetMode="External"/><Relationship Id="rId23" Type="http://schemas.openxmlformats.org/officeDocument/2006/relationships/hyperlink" Target="http://www.sec.gov/Archives/edgar/data/1495320/000149532018000031/vra-20180804xex102.htm" TargetMode="External"/><Relationship Id="rId24" Type="http://schemas.openxmlformats.org/officeDocument/2006/relationships/hyperlink" Target="http://www.sec.gov/Archives/edgar/data/1495320/000149532019000020/vra-20190504xex101.htm" TargetMode="External"/><Relationship Id="rId25" Type="http://schemas.openxmlformats.org/officeDocument/2006/relationships/hyperlink" Target="https://www.sec.gov/Archives/edgar/data/1495320/000149532020000032/vra-20200502xex101.htm" TargetMode="External"/><Relationship Id="rId26" Type="http://schemas.openxmlformats.org/officeDocument/2006/relationships/hyperlink" Target="http://www.sec.gov/Archives/edgar/data/1495320/000144530513002695/vra_8kx11-05x2013ex101.htm" TargetMode="External"/><Relationship Id="rId27" Type="http://schemas.openxmlformats.org/officeDocument/2006/relationships/hyperlink" Target="http://www.sec.gov/Archives/edgar/data/1495320/000144530513002695/vra_8kx11-05x2013ex101.htm" TargetMode="External"/><Relationship Id="rId28" Type="http://schemas.openxmlformats.org/officeDocument/2006/relationships/hyperlink" Target="http://www.sec.gov/Archives/edgar/data/1495320/000149532016000079/vra-2016617xex101.htm" TargetMode="External"/><Relationship Id="rId29" Type="http://schemas.openxmlformats.org/officeDocument/2006/relationships/hyperlink" Target="http://www.sec.gov/Archives/edgar/data/1495320/000149532016000079/vra-2016617xex101.htm" TargetMode="External"/><Relationship Id="rId30" Type="http://schemas.openxmlformats.org/officeDocument/2006/relationships/hyperlink" Target="http://www.sec.gov/Archives/edgar/data/1495320/000149532017000023/vra-2017429xex103.htm" TargetMode="External"/><Relationship Id="rId31" Type="http://schemas.openxmlformats.org/officeDocument/2006/relationships/hyperlink" Target="http://www.sec.gov/Archives/edgar/data/1495320/000149532017000023/vra-2017429xex103.htm" TargetMode="External"/><Relationship Id="rId32" Type="http://schemas.openxmlformats.org/officeDocument/2006/relationships/hyperlink" Target="http://www.sec.gov/Archives/edgar/data/1495320/000149532018000019/vra-20180505xex102.htm" TargetMode="External"/><Relationship Id="rId33" Type="http://schemas.openxmlformats.org/officeDocument/2006/relationships/hyperlink" Target="http://www.sec.gov/Archives/edgar/data/1495320/000149532018000019/vra-20180505xex102.htm" TargetMode="External"/><Relationship Id="rId34" Type="http://schemas.openxmlformats.org/officeDocument/2006/relationships/hyperlink" Target="http://www.sec.gov/Archives/edgar/data/1495320/000149532019000037/vra-20190803xex101.htm" TargetMode="External"/><Relationship Id="rId35" Type="http://schemas.openxmlformats.org/officeDocument/2006/relationships/hyperlink" Target="http://www.sec.gov/Archives/edgar/data/1495320/000149532019000037/vra-20190803xex101.htm" TargetMode="External"/><Relationship Id="rId36" Type="http://schemas.openxmlformats.org/officeDocument/2006/relationships/hyperlink" Target="http://www.sec.gov/Archives/edgar/data/1495320/000149532019000037/vra-20190803xex102.htm" TargetMode="External"/><Relationship Id="rId37" Type="http://schemas.openxmlformats.org/officeDocument/2006/relationships/hyperlink" Target="http://www.sec.gov/Archives/edgar/data/1495320/000149532019000037/vra-20190803xex102.htm" TargetMode="External"/><Relationship Id="rId38" Type="http://schemas.openxmlformats.org/officeDocument/2006/relationships/hyperlink" Target="http://www.sec.gov/Archives/edgar/data/1495320/000149532019000039/vra-20180803xex103a.htm" TargetMode="External"/><Relationship Id="rId39" Type="http://schemas.openxmlformats.org/officeDocument/2006/relationships/hyperlink" Target="http://www.sec.gov/Archives/edgar/data/1495320/000149532019000039/vra-20180803xex103a.htm" TargetMode="External"/><Relationship Id="rId40" Type="http://schemas.openxmlformats.org/officeDocument/2006/relationships/hyperlink" Target="http://www.sec.gov/Archives/edgar/data/1495320/000149532019000037/vra-20190803xex103.htm" TargetMode="External"/><Relationship Id="rId41" Type="http://schemas.openxmlformats.org/officeDocument/2006/relationships/hyperlink" Target="http://www.sec.gov/Archives/edgar/data/1495320/000149532019000037/vra-20190803xex103.htm" TargetMode="External"/><Relationship Id="rId42" Type="http://schemas.openxmlformats.org/officeDocument/2006/relationships/hyperlink" Target="https://www.sec.gov/Archives/edgar/data/1495320/000119312520128410/d862379ddef14a.htm" TargetMode="External"/><Relationship Id="rId43" Type="http://schemas.openxmlformats.org/officeDocument/2006/relationships/hyperlink" Target="https://www.sec.gov/Archives/edgar/data/1495320/000119312520128410/d862379ddef14a.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52662</Words>
  <CharactersWithSpaces>348227</CharactersWithSpaces>
  <Paragraphs>4207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