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31, 2015</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VERA BRADLEY,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852"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300" w:space="720"/>
            <w:col w:w="4180" w:space="720"/>
            <w:col w:w="2460" w:space="720"/>
            <w:col w:w="320"/>
          </w:cols>
          <w:pgMar w:left="240" w:top="229" w:right="239" w:bottom="852"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300" w:space="720"/>
            <w:col w:w="160" w:space="100"/>
            <w:col w:w="3920" w:space="720"/>
            <w:col w:w="2460" w:space="720"/>
            <w:col w:w="320"/>
          </w:cols>
          <w:pgMar w:left="240" w:top="229" w:right="239" w:bottom="852"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2">
            <w:col w:w="8880" w:space="180"/>
            <w:col w:w="2360"/>
          </w:cols>
          <w:pgMar w:left="240" w:top="229" w:right="239" w:bottom="852" w:gutter="0" w:footer="0" w:header="0"/>
          <w:type w:val="continuous"/>
        </w:sectPr>
      </w:pPr>
    </w:p>
    <w:p>
      <w:pPr>
        <w:spacing w:after="0"/>
        <w:rPr>
          <w:sz w:val="20"/>
          <w:szCs w:val="20"/>
          <w:color w:val="auto"/>
        </w:rPr>
      </w:pPr>
      <w:r>
        <w:rPr>
          <w:rFonts w:ascii="Arial" w:cs="Arial" w:eastAsia="Arial" w:hAnsi="Arial"/>
          <w:sz w:val="16"/>
          <w:szCs w:val="16"/>
          <w:color w:val="auto"/>
        </w:rPr>
        <w:t>The registrant had 37,979,305 shares of its common stock outstanding as of December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85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60" w:type="dxa"/>
            <w:vAlign w:val="bottom"/>
            <w:gridSpan w:val="17"/>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0" w:type="dxa"/>
            <w:vAlign w:val="bottom"/>
            <w:gridSpan w:val="6"/>
          </w:tcPr>
          <w:p>
            <w:pPr>
              <w:jc w:val="center"/>
              <w:ind w:right="2880"/>
              <w:spacing w:after="0"/>
              <w:rPr>
                <w:sz w:val="20"/>
                <w:szCs w:val="20"/>
                <w:color w:val="auto"/>
              </w:rPr>
            </w:pPr>
            <w:r>
              <w:rPr>
                <w:rFonts w:ascii="Arial" w:cs="Arial" w:eastAsia="Arial" w:hAnsi="Arial"/>
                <w:sz w:val="18"/>
                <w:szCs w:val="18"/>
                <w:b w:val="1"/>
                <w:bCs w:val="1"/>
                <w:color w:val="auto"/>
                <w:w w:val="98"/>
              </w:rPr>
              <w:t>TABLE OF CONTENTS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6860" w:type="dxa"/>
            <w:vAlign w:val="bottom"/>
            <w:gridSpan w:val="8"/>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620" w:type="dxa"/>
            <w:vAlign w:val="bottom"/>
            <w:gridSpan w:val="7"/>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October 31, 2015, and January 31, 2015</w:t>
              </w:r>
            </w:hyperlink>
          </w:p>
        </w:tc>
        <w:tc>
          <w:tcPr>
            <w:tcW w:w="136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0" w:type="dxa"/>
            <w:vAlign w:val="bottom"/>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for the Thirteen and Thirty-Nine Weeks Ended October 31, 2015, and November 1, 2014</w:t>
              </w:r>
            </w:hyperlink>
          </w:p>
        </w:tc>
        <w:tc>
          <w:tcPr>
            <w:tcW w:w="136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Comprehensive Income for the Thirteen and Thirty-Nine Weeks Ended October 31, 2015, and</w:t>
              </w:r>
            </w:hyperlink>
          </w:p>
        </w:tc>
        <w:tc>
          <w:tcPr>
            <w:tcW w:w="20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November 1, 2014</w:t>
              </w:r>
            </w:hyperlink>
          </w:p>
        </w:tc>
        <w:tc>
          <w:tcPr>
            <w:tcW w:w="7660" w:type="dxa"/>
            <w:vAlign w:val="bottom"/>
            <w:gridSpan w:val="11"/>
          </w:tcPr>
          <w:p>
            <w:pPr>
              <w:spacing w:after="0"/>
              <w:rPr>
                <w:sz w:val="17"/>
                <w:szCs w:val="17"/>
                <w:color w:val="auto"/>
              </w:rPr>
            </w:pPr>
          </w:p>
        </w:tc>
        <w:tc>
          <w:tcPr>
            <w:tcW w:w="12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Cash Flows for the Thirty-Nine Weeks Ended October 31, 2015, and November 1, 2014</w:t>
              </w:r>
            </w:hyperlink>
          </w:p>
        </w:tc>
        <w:tc>
          <w:tcPr>
            <w:tcW w:w="640" w:type="dxa"/>
            <w:vAlign w:val="bottom"/>
            <w:gridSpan w:val="2"/>
          </w:tcPr>
          <w:p>
            <w:pPr>
              <w:spacing w:after="0"/>
              <w:rPr>
                <w:sz w:val="24"/>
                <w:szCs w:val="24"/>
                <w:color w:val="auto"/>
              </w:rPr>
            </w:pPr>
          </w:p>
        </w:tc>
        <w:tc>
          <w:tcPr>
            <w:tcW w:w="12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Consolidated Financial Statements</w:t>
              </w:r>
            </w:hyperlink>
          </w:p>
        </w:tc>
        <w:tc>
          <w:tcPr>
            <w:tcW w:w="13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2540" w:type="dxa"/>
            <w:vAlign w:val="bottom"/>
            <w:gridSpan w:val="3"/>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20" w:type="dxa"/>
            <w:vAlign w:val="bottom"/>
            <w:gridSpan w:val="2"/>
          </w:tcPr>
          <w:p>
            <w:pPr>
              <w:spacing w:after="0"/>
              <w:rPr>
                <w:sz w:val="24"/>
                <w:szCs w:val="24"/>
                <w:color w:val="auto"/>
              </w:rPr>
            </w:pPr>
          </w:p>
        </w:tc>
        <w:tc>
          <w:tcPr>
            <w:tcW w:w="2540" w:type="dxa"/>
            <w:vAlign w:val="bottom"/>
            <w:gridSpan w:val="3"/>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4660" w:type="dxa"/>
            <w:vAlign w:val="bottom"/>
            <w:tcBorders>
              <w:left w:val="single" w:sz="8" w:color="0000EE"/>
            </w:tcBorders>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660" w:type="dxa"/>
            <w:vAlign w:val="bottom"/>
            <w:gridSpan w:val="5"/>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PART II. OTHER INFORMATION</w:t>
              </w:r>
            </w:hyperlink>
          </w:p>
        </w:tc>
        <w:tc>
          <w:tcPr>
            <w:tcW w:w="7160" w:type="dxa"/>
            <w:vAlign w:val="bottom"/>
            <w:gridSpan w:val="9"/>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8100" w:type="dxa"/>
            <w:vAlign w:val="bottom"/>
            <w:gridSpan w:val="12"/>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36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3740" w:type="dxa"/>
            <w:vAlign w:val="bottom"/>
            <w:gridSpan w:val="8"/>
          </w:tcPr>
          <w:p>
            <w:pPr>
              <w:spacing w:after="0"/>
              <w:rPr>
                <w:sz w:val="24"/>
                <w:szCs w:val="24"/>
                <w:color w:val="auto"/>
              </w:rPr>
            </w:pPr>
          </w:p>
        </w:tc>
        <w:tc>
          <w:tcPr>
            <w:tcW w:w="4660" w:type="dxa"/>
            <w:vAlign w:val="bottom"/>
            <w:gridSpan w:val="5"/>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4800" w:type="dxa"/>
            <w:vAlign w:val="bottom"/>
            <w:gridSpan w:val="9"/>
          </w:tcPr>
          <w:p>
            <w:pPr>
              <w:jc w:val="right"/>
              <w:ind w:right="600"/>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5"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 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continued declines in our comparable sales.</w:t>
      </w:r>
    </w:p>
    <w:p>
      <w:pPr>
        <w:spacing w:after="0" w:line="21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January 31, 2015.</w:t>
      </w:r>
    </w:p>
    <w:p>
      <w:pPr>
        <w:spacing w:after="0" w:line="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Vera Bradley, Inc.</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87"/>
              </w:rPr>
              <w:t>Consolidated Balance Sheets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112,292</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37,965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31,374</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98,403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Income taxes receivable</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3,208</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9,100</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14,058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13,320</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267,697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117,192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109,003</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363,946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377,284</w:t>
            </w:r>
          </w:p>
        </w:tc>
      </w:tr>
      <w:tr>
        <w:trPr>
          <w:trHeight w:val="67"/>
        </w:trPr>
        <w:tc>
          <w:tcPr>
            <w:tcW w:w="1360" w:type="dxa"/>
            <w:vAlign w:val="bottom"/>
            <w:tcBorders>
              <w:bottom w:val="single" w:sz="8" w:color="CCEEFF"/>
            </w:tcBorders>
            <w:gridSpan w:val="2"/>
          </w:tcPr>
          <w:p>
            <w:pPr>
              <w:spacing w:after="0"/>
              <w:rPr>
                <w:sz w:val="5"/>
                <w:szCs w:val="5"/>
                <w:color w:val="auto"/>
              </w:rPr>
            </w:pPr>
          </w:p>
        </w:tc>
        <w:tc>
          <w:tcPr>
            <w:tcW w:w="70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32,906</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Accrued employment costs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14,595</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15,548</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63,049</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5,297</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24,467</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91,417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92,813</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gridSpan w:val="3"/>
          </w:tcPr>
          <w:p>
            <w:pPr>
              <w:ind w:left="280"/>
              <w:spacing w:after="0"/>
              <w:rPr>
                <w:sz w:val="20"/>
                <w:szCs w:val="20"/>
                <w:color w:val="auto"/>
              </w:rPr>
            </w:pPr>
            <w:r>
              <w:rPr>
                <w:rFonts w:ascii="Arial" w:cs="Arial" w:eastAsia="Arial" w:hAnsi="Arial"/>
                <w:sz w:val="18"/>
                <w:szCs w:val="18"/>
                <w:color w:val="auto"/>
                <w:w w:val="93"/>
              </w:rPr>
              <w:t>Common stock, without par value; 200,000 shares authorized, 40,791 and 40,695 shares issued and 37,972</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and 40,074 shares outstanding, respectively</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80,992</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228,298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216,451</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Treasury stock</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(12,957)</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272,529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284,471</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363,946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377,284</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15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1,</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240" w:type="dxa"/>
            <w:vAlign w:val="bottom"/>
          </w:tcPr>
          <w:p>
            <w:pPr>
              <w:jc w:val="right"/>
              <w:ind w:right="272"/>
              <w:spacing w:after="0" w:line="153" w:lineRule="exact"/>
              <w:rPr>
                <w:sz w:val="20"/>
                <w:szCs w:val="20"/>
                <w:color w:val="auto"/>
              </w:rPr>
            </w:pPr>
            <w:r>
              <w:rPr>
                <w:rFonts w:ascii="Arial" w:cs="Arial" w:eastAsia="Arial" w:hAnsi="Arial"/>
                <w:sz w:val="14"/>
                <w:szCs w:val="14"/>
                <w:b w:val="1"/>
                <w:bCs w:val="1"/>
                <w:color w:val="auto"/>
              </w:rPr>
              <w:t>November 1,</w:t>
            </w:r>
          </w:p>
        </w:tc>
      </w:tr>
      <w:tr>
        <w:trPr>
          <w:trHeight w:val="192"/>
        </w:trPr>
        <w:tc>
          <w:tcPr>
            <w:tcW w:w="5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356,361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53,376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59,436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156,956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167,394</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188,967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57,013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171,976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153,982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3,152</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38,137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16,729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37,818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14,326</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23,492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10,268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21,106</w:t>
            </w:r>
          </w:p>
        </w:tc>
      </w:tr>
      <w:tr>
        <w:trPr>
          <w:trHeight w:val="67"/>
        </w:trPr>
        <w:tc>
          <w:tcPr>
            <w:tcW w:w="5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38,057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38,099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40,716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40,720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0.58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0.52</w:t>
            </w:r>
          </w:p>
        </w:tc>
      </w:tr>
      <w:tr>
        <w:trPr>
          <w:trHeight w:val="67"/>
        </w:trPr>
        <w:tc>
          <w:tcPr>
            <w:tcW w:w="5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 - diluted</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0.58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0.52</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1,</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24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November 1,</w:t>
            </w:r>
          </w:p>
        </w:tc>
      </w:tr>
      <w:tr>
        <w:trPr>
          <w:trHeight w:val="192"/>
        </w:trPr>
        <w:tc>
          <w:tcPr>
            <w:tcW w:w="5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21,106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11,843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21,105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240" w:type="dxa"/>
            <w:vAlign w:val="bottom"/>
          </w:tcPr>
          <w:p>
            <w:pPr>
              <w:jc w:val="right"/>
              <w:ind w:right="271"/>
              <w:spacing w:after="0" w:line="153" w:lineRule="exact"/>
              <w:rPr>
                <w:sz w:val="20"/>
                <w:szCs w:val="20"/>
                <w:color w:val="auto"/>
              </w:rPr>
            </w:pPr>
            <w:r>
              <w:rPr>
                <w:rFonts w:ascii="Arial" w:cs="Arial" w:eastAsia="Arial" w:hAnsi="Arial"/>
                <w:sz w:val="14"/>
                <w:szCs w:val="14"/>
                <w:b w:val="1"/>
                <w:bCs w:val="1"/>
                <w:color w:val="auto"/>
              </w:rPr>
              <w:t>November 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21,106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30,667</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10,596</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56,253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(22,358)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 net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31,119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112,292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59,215</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61,796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90,334</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Non-cash operating, investing, and financing activities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Expenditures incurred but not yet paid as of October 31, 2015 and November 1, 2014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Expenditures incurred but not yet paid as of January 31, 2015 and February 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Expenditures incurred but not yet paid as of October 31, 2015 and November 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Expenditures incurred but not yet paid as of January 31, 2015 and February 1, 2014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Description of the Company and Basis of Presentation</w:t>
      </w:r>
    </w:p>
    <w:p>
      <w:pPr>
        <w:spacing w:after="0" w:line="94"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The terms “Company” and “Vera Bradley” refer to Vera Bradley, Inc. and its subsidiaries, except where the context requires otherwise or where otherwise indicated.</w:t>
      </w:r>
    </w:p>
    <w:p>
      <w:pPr>
        <w:spacing w:after="0" w:line="3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Vera Bradley is a leading designer of women’s handbags and accessories, luggage and travel items, eyewear, and stationery and gifts. Founded in 1982 by friends Barbara Bradley Baekgaard and Patricia R. Miller, the brand’s iconic designs and versatile styles offer women of all ages a colorful way to accessorize every look.</w:t>
      </w:r>
    </w:p>
    <w:p>
      <w:pPr>
        <w:spacing w:after="0" w:line="46"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October 31, 2015, the Company operated 110 full-line stores and 40 factory outlet stores. The Indirect business consists of sales of Vera Bradley products to approximately 2,700 specialty retail locations, substantially all of which are located in the United States, as well as department stores, national accounts, third-party e-commerce sites, the Company's wholesale business in Japan, and third-party inventory liquidation.</w:t>
      </w:r>
    </w:p>
    <w:p>
      <w:pPr>
        <w:spacing w:after="0" w:line="54"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January 31, 2015, filed with the SEC.</w:t>
      </w:r>
    </w:p>
    <w:p>
      <w:pPr>
        <w:spacing w:after="0" w:line="37"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October 31, 2015, are not necessarily indicative of the results to be expected for the full fiscal year.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October 31, 2015, and November 1, 2014, refer to the thirteen-week periods ended on those 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October 31, 2015 and January 31, 2015, deferred rent liability was $11.0 million and $8.9 million, respectively, and is included within other long-term liabilities on the Consolidated Balance Sheets.</w:t>
      </w:r>
    </w:p>
    <w:p>
      <w:pPr>
        <w:spacing w:after="0" w:line="188" w:lineRule="exact"/>
        <w:rPr>
          <w:sz w:val="20"/>
          <w:szCs w:val="20"/>
          <w:color w:val="auto"/>
        </w:rPr>
      </w:pPr>
    </w:p>
    <w:p>
      <w:pPr>
        <w:ind w:left="660" w:right="300"/>
        <w:spacing w:after="0" w:line="255" w:lineRule="auto"/>
        <w:rPr>
          <w:sz w:val="20"/>
          <w:szCs w:val="20"/>
          <w:color w:val="auto"/>
        </w:rPr>
      </w:pPr>
      <w:r>
        <w:rPr>
          <w:rFonts w:ascii="Arial" w:cs="Arial" w:eastAsia="Arial" w:hAnsi="Arial"/>
          <w:sz w:val="18"/>
          <w:szCs w:val="18"/>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October 31, 2015 and January 31, 2015, the deferred lease credit liability was $16.4 million and $13.8 million, respectively. Of these amounts, $2.2 million and $1.8 million is included within other accrued liabilities as of October 31, 2015 and January 31, 2015, respectively; and $14.2 million and $12.0 million is included within other long-term liabilities as of October 31, 2015 and January 31, 2015,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and Disclosures of Disposals of Components of an Entity</w:t>
      </w:r>
      <w:r>
        <w:rPr>
          <w:rFonts w:ascii="Arial" w:cs="Arial" w:eastAsia="Arial" w:hAnsi="Arial"/>
          <w:sz w:val="17"/>
          <w:szCs w:val="17"/>
          <w:color w:val="auto"/>
        </w:rPr>
        <w:t>. This guidance states that the disposal of a component of an entity is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in discontinued 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other additional and expanded disclosures. The guidance is effective for all disposals (or 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 for issuance. The adoption of this standard did not have a material impact on the Company's Consolidated Financial Statements upon adoption.</w:t>
      </w:r>
    </w:p>
    <w:p>
      <w:pPr>
        <w:spacing w:after="0" w:line="43" w:lineRule="exact"/>
        <w:rPr>
          <w:sz w:val="20"/>
          <w:szCs w:val="20"/>
          <w:color w:val="auto"/>
        </w:rPr>
      </w:pPr>
    </w:p>
    <w:p>
      <w:pPr>
        <w:ind w:left="660" w:right="80"/>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fiscal 2019. Earlier application is permitted as of the original effective date, annual reporting periods beginning after December 2016, including interim periods within that reporting period. The Company is currently evaluating the impact of this standard, including the transition method, on its consolidated results of operations, financial position and cash flows.</w:t>
      </w:r>
    </w:p>
    <w:p>
      <w:pPr>
        <w:spacing w:after="0" w:line="47" w:lineRule="exact"/>
        <w:rPr>
          <w:sz w:val="20"/>
          <w:szCs w:val="20"/>
          <w:color w:val="auto"/>
        </w:rPr>
      </w:pPr>
    </w:p>
    <w:p>
      <w:pPr>
        <w:ind w:left="660" w:right="140"/>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xml:space="preserve"> which requires management to evaluate whether there is substantial doubt about an entity’s ability to continue as a going concern and provide related footnote disclosures. The guidance is effective for annual or interim reporting periods beginning on or after December 15, 2016. Early adoption is permitted for financial statements that have not been previously issued. The standard allows for either a full retrospective or modified retrospective transition method. The Company does not expect this standard to have an impact on the Company’s Consolidated Financial Statements upon adoption.</w:t>
      </w:r>
    </w:p>
    <w:p>
      <w:pPr>
        <w:spacing w:after="0" w:line="2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which modifies the presentation of debt issuance costs in financial statements. Under this new guidance, the Company will be required to present these costs in its condensed consolidated balance sheets as a direct deduction from the related debt liability. The requirements of the new standard will become effective for fiscal years, and interim periods within those fiscal years (including retrospective application), beginning after December 15, 2015; early adoption is permitted. The Company is currently evaluating this guidance and does not expect the application of this standard to have a material impact on the Company’s Consolidated Financial Statements upon adoption.</w:t>
      </w:r>
    </w:p>
    <w:p>
      <w:pPr>
        <w:spacing w:after="0" w:line="58"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w:t>
      </w:r>
      <w:r>
        <w:rPr>
          <w:rFonts w:ascii="Arial" w:cs="Arial" w:eastAsia="Arial" w:hAnsi="Arial"/>
          <w:sz w:val="18"/>
          <w:szCs w:val="18"/>
          <w:color w:val="auto"/>
        </w:rPr>
        <w:t>, which requires entities to measure inventory at the lower of cost and net realizable value. This guidance is effective for interim and annual periods beginning on or after December 15, 2016. The Company is currently evaluating this guidance and does not expect the application of this standard to have a material impact on the Company’s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Earnings Per Share</w:t>
      </w:r>
    </w:p>
    <w:p>
      <w:pPr>
        <w:spacing w:after="0" w:line="94"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October 31,</w:t>
            </w: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November 1,</w:t>
            </w:r>
          </w:p>
        </w:tc>
        <w:tc>
          <w:tcPr>
            <w:tcW w:w="180" w:type="dxa"/>
            <w:vAlign w:val="bottom"/>
          </w:tcPr>
          <w:p>
            <w:pPr>
              <w:spacing w:after="0"/>
              <w:rPr>
                <w:sz w:val="13"/>
                <w:szCs w:val="13"/>
                <w:color w:val="auto"/>
              </w:rPr>
            </w:pPr>
          </w:p>
        </w:tc>
        <w:tc>
          <w:tcPr>
            <w:tcW w:w="11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October 31,</w:t>
            </w:r>
          </w:p>
        </w:tc>
        <w:tc>
          <w:tcPr>
            <w:tcW w:w="160" w:type="dxa"/>
            <w:vAlign w:val="bottom"/>
          </w:tcPr>
          <w:p>
            <w:pPr>
              <w:spacing w:after="0"/>
              <w:rPr>
                <w:sz w:val="13"/>
                <w:szCs w:val="13"/>
                <w:color w:val="auto"/>
              </w:rPr>
            </w:pPr>
          </w:p>
        </w:tc>
        <w:tc>
          <w:tcPr>
            <w:tcW w:w="106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w w:val="95"/>
              </w:rPr>
              <w:t>November 1,</w:t>
            </w:r>
          </w:p>
        </w:tc>
      </w:tr>
      <w:tr>
        <w:trPr>
          <w:trHeight w:val="192"/>
        </w:trPr>
        <w:tc>
          <w:tcPr>
            <w:tcW w:w="5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10,268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8,721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23,492</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taxes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10,268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21,106</w:t>
            </w:r>
          </w:p>
        </w:tc>
      </w:tr>
      <w:tr>
        <w:trPr>
          <w:trHeight w:val="67"/>
        </w:trPr>
        <w:tc>
          <w:tcPr>
            <w:tcW w:w="5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Denominator:</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38,057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39,085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40,663</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38,099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40,716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39,104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40,720</w:t>
            </w:r>
          </w:p>
        </w:tc>
      </w:tr>
      <w:tr>
        <w:trPr>
          <w:trHeight w:val="67"/>
        </w:trPr>
        <w:tc>
          <w:tcPr>
            <w:tcW w:w="5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 - basic:</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0.58</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0.52</w:t>
            </w:r>
          </w:p>
        </w:tc>
      </w:tr>
      <w:tr>
        <w:trPr>
          <w:trHeight w:val="67"/>
        </w:trPr>
        <w:tc>
          <w:tcPr>
            <w:tcW w:w="5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 - diluted:</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0.58</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0.52</w:t>
            </w:r>
          </w:p>
        </w:tc>
      </w:tr>
      <w:tr>
        <w:trPr>
          <w:trHeight w:val="27"/>
        </w:trPr>
        <w:tc>
          <w:tcPr>
            <w:tcW w:w="5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As of October 31, 2015 and November 1, 2014, there were an immaterial number of additional shares issuable upon the vesting of restricted stock units that were excluded from the diluted share calculations because they were anti-dilutive.</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of Financial Instruments</w:t>
      </w:r>
    </w:p>
    <w:p>
      <w:pPr>
        <w:spacing w:after="0" w:line="9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and payables as of October 31, 2015, and January 31, 2015, approximated their fair values.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121"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were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4"/>
                <w:szCs w:val="14"/>
                <w:color w:val="auto"/>
              </w:rPr>
            </w:pPr>
          </w:p>
        </w:tc>
        <w:tc>
          <w:tcPr>
            <w:tcW w:w="1180" w:type="dxa"/>
            <w:vAlign w:val="bottom"/>
          </w:tcPr>
          <w:p>
            <w:pPr>
              <w:jc w:val="right"/>
              <w:ind w:right="276"/>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7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r>
      <w:tr>
        <w:trPr>
          <w:trHeight w:val="270"/>
        </w:trPr>
        <w:tc>
          <w:tcPr>
            <w:tcW w:w="7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Raw materials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5,542</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470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117,649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92,391</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118,177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98,403</w:t>
            </w: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220" w:hanging="564"/>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decrease in raw materials was primarily a result of the Company's finished goods suppliers purchasing and taking ownership of fabric.</w:t>
      </w:r>
    </w:p>
    <w:p>
      <w:pPr>
        <w:spacing w:after="0" w:line="244"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the Company's prior credit agreement. The Credit Agreement provides for certain credit facilities to VBD in an aggregate principal amount not to initially exceed $125.0 million, the proceeds of which will be used for general corporate purposes of VBD and its subsidiaries, including but not limited to Vera Bradley International, LLC and Vera Bradley Sales, LLC (collectively, the “Named Subsidiaries”).</w:t>
      </w:r>
    </w:p>
    <w:p>
      <w:pPr>
        <w:spacing w:after="0" w:line="54" w:lineRule="exact"/>
        <w:rPr>
          <w:sz w:val="20"/>
          <w:szCs w:val="20"/>
          <w:color w:val="auto"/>
        </w:rPr>
      </w:pPr>
    </w:p>
    <w:p>
      <w:pPr>
        <w:ind w:left="660" w:right="360"/>
        <w:spacing w:after="0" w:line="293" w:lineRule="auto"/>
        <w:rPr>
          <w:sz w:val="20"/>
          <w:szCs w:val="20"/>
          <w:color w:val="auto"/>
        </w:rPr>
      </w:pPr>
      <w:r>
        <w:rPr>
          <w:rFonts w:ascii="Arial" w:cs="Arial" w:eastAsia="Arial" w:hAnsi="Arial"/>
          <w:sz w:val="16"/>
          <w:szCs w:val="16"/>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w:t>
      </w:r>
    </w:p>
    <w:p>
      <w:pPr>
        <w:spacing w:after="0" w:line="3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6"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w:t>
      </w:r>
    </w:p>
    <w:p>
      <w:pPr>
        <w:spacing w:after="0" w:line="31"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As of October 31, 2015 and January 31, 2015, the Company had borrowing availability of $125.0 million under its second amended and restated credit agreement.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94" w:lineRule="exact"/>
        <w:rPr>
          <w:sz w:val="20"/>
          <w:szCs w:val="20"/>
          <w:color w:val="auto"/>
        </w:rPr>
      </w:pPr>
    </w:p>
    <w:p>
      <w:pPr>
        <w:ind w:left="660" w:right="220"/>
        <w:spacing w:after="0" w:line="308" w:lineRule="auto"/>
        <w:rPr>
          <w:sz w:val="20"/>
          <w:szCs w:val="20"/>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1" w:lineRule="exact"/>
        <w:rPr>
          <w:sz w:val="20"/>
          <w:szCs w:val="20"/>
          <w:color w:val="auto"/>
        </w:rPr>
      </w:pPr>
    </w:p>
    <w:p>
      <w:pPr>
        <w:ind w:left="660" w:right="380"/>
        <w:spacing w:after="0" w:line="334" w:lineRule="auto"/>
        <w:rPr>
          <w:sz w:val="20"/>
          <w:szCs w:val="20"/>
          <w:color w:val="auto"/>
        </w:rPr>
      </w:pPr>
      <w:r>
        <w:rPr>
          <w:rFonts w:ascii="Arial" w:cs="Arial" w:eastAsia="Arial" w:hAnsi="Arial"/>
          <w:sz w:val="16"/>
          <w:szCs w:val="16"/>
          <w:color w:val="auto"/>
        </w:rPr>
        <w:t>The effective tax rate for the thirteen weeks ended October 31, 2015, was 38.6%, compared to 34.9% for the thirteen weeks ended November 1, 2014. The year-over year increase is primarily due to the impact of state FIN 48 reserve releases in the prior year but not the current year.</w:t>
      </w:r>
    </w:p>
    <w:p>
      <w:pPr>
        <w:spacing w:after="0" w:line="1" w:lineRule="exact"/>
        <w:rPr>
          <w:sz w:val="20"/>
          <w:szCs w:val="20"/>
          <w:color w:val="auto"/>
        </w:rPr>
      </w:pPr>
    </w:p>
    <w:p>
      <w:pPr>
        <w:ind w:left="660" w:right="380"/>
        <w:spacing w:after="0" w:line="264" w:lineRule="auto"/>
        <w:rPr>
          <w:sz w:val="20"/>
          <w:szCs w:val="20"/>
          <w:color w:val="auto"/>
        </w:rPr>
      </w:pPr>
      <w:r>
        <w:rPr>
          <w:rFonts w:ascii="Arial" w:cs="Arial" w:eastAsia="Arial" w:hAnsi="Arial"/>
          <w:sz w:val="18"/>
          <w:szCs w:val="18"/>
          <w:color w:val="auto"/>
        </w:rPr>
        <w:t>The effective tax rate for the thirty-nine weeks ended October 31, 2015, was 43.8%, compared to 37.9% for the thirty-nine weeks ended November 1, 2014. The year-over year increase is primarily due to the impact of discrete items, including an increase in income tax reserves for uncertain federal and state tax positions related to research and development tax credits from prior years.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Stock-Based Compensation</w:t>
      </w:r>
    </w:p>
    <w:p>
      <w:pPr>
        <w:spacing w:after="0" w:line="9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3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171"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During the thirteen weeks ended October 31, 2015, the Company granted 4,533 time-based restricted stock units with an aggregate fair value of $0.1 million to certain employees under the 2010 Equity and Incentive Plan compared to a total of 2,500 time-based restricted stock units with an aggregate fair value of $0.1 million granted in the same period of the prior year.</w:t>
      </w:r>
    </w:p>
    <w:p>
      <w:pPr>
        <w:spacing w:after="0" w:line="127" w:lineRule="exact"/>
        <w:rPr>
          <w:sz w:val="20"/>
          <w:szCs w:val="20"/>
          <w:color w:val="auto"/>
        </w:rPr>
      </w:pPr>
    </w:p>
    <w:p>
      <w:pPr>
        <w:ind w:left="660" w:right="160"/>
        <w:spacing w:after="0" w:line="302" w:lineRule="auto"/>
        <w:rPr>
          <w:sz w:val="20"/>
          <w:szCs w:val="20"/>
          <w:color w:val="auto"/>
        </w:rPr>
      </w:pPr>
      <w:r>
        <w:rPr>
          <w:rFonts w:ascii="Arial" w:cs="Arial" w:eastAsia="Arial" w:hAnsi="Arial"/>
          <w:sz w:val="16"/>
          <w:szCs w:val="16"/>
          <w:color w:val="auto"/>
        </w:rPr>
        <w:t>During the thirty-nine weeks ended October 31, 2015, the Company granted 603,164 time-based and performance-based restricted stock units with an aggregate fair value of $9.6 million to certain employees and non-employee directors under the 2010 Equity and Incentive Plan compared to a total of 280,991 time-based and performance-based restricted stock units with an aggregate fair value of $7.4 million granted in the same period of the prior year. The Company determined the fair value of the awards based on the closing price of the Company’s common stock on the grant date.</w:t>
      </w:r>
    </w:p>
    <w:p>
      <w:pPr>
        <w:spacing w:after="0" w:line="100" w:lineRule="exact"/>
        <w:rPr>
          <w:sz w:val="20"/>
          <w:szCs w:val="20"/>
          <w:color w:val="auto"/>
        </w:rPr>
      </w:pPr>
    </w:p>
    <w:p>
      <w:pPr>
        <w:ind w:left="660" w:right="440"/>
        <w:spacing w:after="0" w:line="259" w:lineRule="auto"/>
        <w:rPr>
          <w:sz w:val="20"/>
          <w:szCs w:val="20"/>
          <w:color w:val="auto"/>
        </w:rPr>
      </w:pPr>
      <w:r>
        <w:rPr>
          <w:rFonts w:ascii="Arial" w:cs="Arial" w:eastAsia="Arial" w:hAnsi="Arial"/>
          <w:sz w:val="18"/>
          <w:szCs w:val="18"/>
          <w:color w:val="auto"/>
        </w:rPr>
        <w:t>The majority of time-based restricted stock units vest and settle in shares of the Company’s common stock, on a one-for-one basis, in equal installments on each of the first three anniversaries of the grant date. Beginning in fiscal 2014, all restricted stock units issued to non-employee directors vest after a one-year period from the grant date. The Company is recognizing the expense relating to these units, net of estimated forfeitures, on a straight-line basis over the vesting period.</w:t>
      </w:r>
    </w:p>
    <w:p>
      <w:pPr>
        <w:spacing w:after="0" w:line="133"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the three-year performance period and the Company’s achievement of annual net income or earnings per share targets during the three-year performance period. The Company is recognizing the expense relating to these units, net of estimated forfeitures, based on the probable outcome of achievement of the financial targets, on a straight-line basis over three years.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restricted stock unit activity for the thirty-nine weeks ended October 31, 2015 (units in thousands):</w:t>
      </w: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31, 2015</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15.66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October 31, 2015</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As of October 31, 2015, there was $7.8 million of total unrecognized compensation cost, net of estimated forfeitures, related to nonvested restricted stock units. That cost is expected to be recognized over a weighted-average period of 1.9 years.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it is not reasonably possible that any of these claims will have a material adverse effect on the Company’s financial condition, results of operations, or cash flows.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Common Stock</w:t>
      </w:r>
    </w:p>
    <w:p>
      <w:pPr>
        <w:spacing w:after="0" w:line="94" w:lineRule="exact"/>
        <w:rPr>
          <w:sz w:val="20"/>
          <w:szCs w:val="20"/>
          <w:color w:val="auto"/>
        </w:rPr>
      </w:pPr>
    </w:p>
    <w:p>
      <w:pPr>
        <w:ind w:left="660" w:right="100"/>
        <w:spacing w:after="0" w:line="334" w:lineRule="auto"/>
        <w:rPr>
          <w:sz w:val="20"/>
          <w:szCs w:val="20"/>
          <w:color w:val="auto"/>
        </w:rPr>
      </w:pPr>
      <w:r>
        <w:rPr>
          <w:rFonts w:ascii="Arial" w:cs="Arial" w:eastAsia="Arial" w:hAnsi="Arial"/>
          <w:sz w:val="16"/>
          <w:szCs w:val="16"/>
          <w:color w:val="auto"/>
        </w:rPr>
        <w:t>On September 9, 2014, the Company’s board of directors approved a share repurchase program (the "2014 Share Repurchase Program") authorizing up to $40.0 million of repurchases of shares of the Company's common stock. The 2014 Share Repurchase Program expires in October 2016.</w:t>
      </w:r>
    </w:p>
    <w:p>
      <w:pPr>
        <w:spacing w:after="0" w:line="1" w:lineRule="exact"/>
        <w:rPr>
          <w:sz w:val="20"/>
          <w:szCs w:val="20"/>
          <w:color w:val="auto"/>
        </w:rPr>
      </w:pPr>
    </w:p>
    <w:p>
      <w:pPr>
        <w:ind w:left="660" w:right="40"/>
        <w:spacing w:after="0" w:line="308" w:lineRule="auto"/>
        <w:rPr>
          <w:sz w:val="20"/>
          <w:szCs w:val="20"/>
          <w:color w:val="auto"/>
        </w:rPr>
      </w:pPr>
      <w:r>
        <w:rPr>
          <w:rFonts w:ascii="Arial" w:cs="Arial" w:eastAsia="Arial" w:hAnsi="Arial"/>
          <w:sz w:val="17"/>
          <w:szCs w:val="17"/>
          <w:color w:val="auto"/>
        </w:rPr>
        <w:t>The Company purchased 2,198,013 shares at an average price of $12.30 per share, excluding commissions, for an aggregate amount of $27.0 million during the thirty-nine weeks ended October 31, 2015. These purchases completed the 2014 Share Repurchase Program.</w:t>
      </w:r>
    </w:p>
    <w:p>
      <w:pPr>
        <w:spacing w:after="0" w:line="93"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As of October 31, 2015, the Company held as treasury shares 2,818,998 shares of its common stock at an average price of $14.19 per share, excluding commissions, for an aggregate carrying amount of $40.0 million. The Company’s treasury shares may be issued under the 2010 Equity and Incentive Plan or for other corporate purposes.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Discontinued Operations</w:t>
      </w:r>
    </w:p>
    <w:p>
      <w:pPr>
        <w:spacing w:after="0" w:line="94"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On June 4, 2014, the Company entered into a five-year agreement with Mitsubishi Corporation Fashion Company and Look Inc. to import and distribute Vera Bradley products in Japan. As a result of moving to this wholesale business model, the Company exited its direct business in Japan during the third quarter of fiscal 2015 and the results of operations are reported as discontinued operations. Japan results were previously reported in the Direct segment, which excludes the results of the discontinued operations for the periods presented. Following are the Japan results of operations (in thousands):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55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44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31,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November 1,</w:t>
            </w:r>
          </w:p>
        </w:tc>
        <w:tc>
          <w:tcPr>
            <w:tcW w:w="200" w:type="dxa"/>
            <w:vAlign w:val="bottom"/>
          </w:tcPr>
          <w:p>
            <w:pPr>
              <w:spacing w:after="0"/>
              <w:rPr>
                <w:sz w:val="13"/>
                <w:szCs w:val="13"/>
                <w:color w:val="auto"/>
              </w:rPr>
            </w:pPr>
          </w:p>
        </w:tc>
        <w:tc>
          <w:tcPr>
            <w:tcW w:w="12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31,</w:t>
            </w:r>
          </w:p>
        </w:tc>
        <w:tc>
          <w:tcPr>
            <w:tcW w:w="180" w:type="dxa"/>
            <w:vAlign w:val="bottom"/>
          </w:tcPr>
          <w:p>
            <w:pPr>
              <w:spacing w:after="0"/>
              <w:rPr>
                <w:sz w:val="13"/>
                <w:szCs w:val="13"/>
                <w:color w:val="auto"/>
              </w:rPr>
            </w:pPr>
          </w:p>
        </w:tc>
        <w:tc>
          <w:tcPr>
            <w:tcW w:w="112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w w:val="97"/>
              </w:rPr>
              <w:t>November 1,</w:t>
            </w:r>
          </w:p>
        </w:tc>
      </w:tr>
      <w:tr>
        <w:trPr>
          <w:trHeight w:val="192"/>
        </w:trPr>
        <w:tc>
          <w:tcPr>
            <w:tcW w:w="44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2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2,963</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02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1,470</w:t>
            </w:r>
          </w:p>
        </w:tc>
      </w:tr>
      <w:tr>
        <w:trPr>
          <w:trHeight w:val="27"/>
        </w:trPr>
        <w:tc>
          <w:tcPr>
            <w:tcW w:w="44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1,493</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2,985</w:t>
            </w:r>
          </w:p>
        </w:tc>
      </w:tr>
      <w:tr>
        <w:trPr>
          <w:trHeight w:val="27"/>
        </w:trPr>
        <w:tc>
          <w:tcPr>
            <w:tcW w:w="44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Loss on disposal from discontinued operations</w:t>
            </w:r>
          </w:p>
        </w:tc>
        <w:tc>
          <w:tcPr>
            <w:tcW w:w="102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7"/>
        </w:trPr>
        <w:tc>
          <w:tcPr>
            <w:tcW w:w="44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before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02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7"/>
        </w:trPr>
        <w:tc>
          <w:tcPr>
            <w:tcW w:w="44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from discontinued operations</w:t>
            </w:r>
          </w:p>
        </w:tc>
        <w:tc>
          <w:tcPr>
            <w:tcW w:w="102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Restructuring and Other Charges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quarter of fiscal 2016, the Company closed its manufacturing facility located in New Haven, Indiana.</w:t>
      </w:r>
    </w:p>
    <w:p>
      <w:pPr>
        <w:spacing w:after="0" w:line="90"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Company incurred restructuring and other charges during the first quarter of fiscal 2016 of approximately $3.4 million ($2.1 million after the associated tax benefit), related to the facility closing. These charges include severance and benefit costs of approximately $1.7 million, lease termination costs of approximately $0.7 million, inventory-related charges of approximately $0.6 million, and other associated net costs, which include accelerated depreciation related to fixed assets, of approximately $0.4 million. These charges are reflected in cost of sales in the Company's Consolidated Financial Statements. Management expects that the facility closure will reduce operating costs by approximately $12.0 million annually beginning in the fourth quarter of fiscal 2016. All production from the facility will be absorbed by the Company’s third party manufacturing suppliers.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charges and related liabilities, associated with the facility closure, are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Inventory-Related</w:t>
            </w:r>
          </w:p>
        </w:tc>
        <w:tc>
          <w:tcPr>
            <w:tcW w:w="14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Termination</w:t>
            </w: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Severance and</w:t>
            </w:r>
          </w:p>
        </w:tc>
        <w:tc>
          <w:tcPr>
            <w:tcW w:w="320" w:type="dxa"/>
            <w:vAlign w:val="bottom"/>
          </w:tcPr>
          <w:p>
            <w:pPr>
              <w:spacing w:after="0"/>
              <w:rPr>
                <w:sz w:val="14"/>
                <w:szCs w:val="14"/>
                <w:color w:val="auto"/>
              </w:rPr>
            </w:pPr>
          </w:p>
        </w:tc>
        <w:tc>
          <w:tcPr>
            <w:tcW w:w="114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Charges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Benefits Costs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2015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charges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Liability as of January 31, 2015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2016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charges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Arial" w:cs="Arial" w:eastAsia="Arial" w:hAnsi="Arial"/>
                <w:sz w:val="18"/>
                <w:szCs w:val="18"/>
                <w:color w:val="auto"/>
              </w:rPr>
              <w:t>Liability as of October 31,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ind w:left="660" w:right="180"/>
        <w:spacing w:after="0" w:line="276" w:lineRule="auto"/>
        <w:rPr>
          <w:sz w:val="20"/>
          <w:szCs w:val="20"/>
          <w:color w:val="auto"/>
        </w:rPr>
      </w:pPr>
      <w:r>
        <w:rPr>
          <w:rFonts w:ascii="Arial" w:cs="Arial" w:eastAsia="Arial" w:hAnsi="Arial"/>
          <w:sz w:val="17"/>
          <w:szCs w:val="17"/>
          <w:color w:val="auto"/>
        </w:rPr>
        <w:t>Additional charges affecting comparability of the financial results for the thirty-nine weeks ended October 31, 2015 and November 1, 2014 totaled approximately $3.1 million ($2.1 million after the associated tax benefit) consisting of charges in the first quarter of fiscal 2016 of $1.3 million in employee severance (reflected in selling, general, and administrative expenses), $1.2 million due to a retail store early lease termination agreement (reflected in selling, general, and administrative expenses), and $0.6 million related to an increase in income tax reserves for uncertain federal and state tax positions related to research and development tax credits (reflected in income tax expense).</w:t>
      </w: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w:t>
      </w:r>
    </w:p>
    <w:p>
      <w:pPr>
        <w:spacing w:after="0" w:line="94"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On December 8, 2015, the Company’s board of directors approved a share repurchase program authorizing up to $50.0 million in common stock repurchases which expires in December 2017.</w:t>
      </w:r>
    </w:p>
    <w:p>
      <w:pPr>
        <w:spacing w:after="0" w:line="2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Segment Reporting</w:t>
      </w:r>
    </w:p>
    <w:p>
      <w:pPr>
        <w:spacing w:after="0" w:line="94"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sz w:val="20"/>
          <w:szCs w:val="20"/>
          <w:color w:val="auto"/>
        </w:rPr>
      </w:pPr>
    </w:p>
    <w:p>
      <w:pPr>
        <w:ind w:left="660" w:right="160"/>
        <w:spacing w:after="0" w:line="276" w:lineRule="auto"/>
        <w:rPr>
          <w:sz w:val="20"/>
          <w:szCs w:val="20"/>
          <w:color w:val="auto"/>
        </w:rPr>
      </w:pPr>
      <w:r>
        <w:rPr>
          <w:rFonts w:ascii="Arial" w:cs="Arial" w:eastAsia="Arial" w:hAnsi="Arial"/>
          <w:sz w:val="17"/>
          <w:szCs w:val="17"/>
          <w:color w:val="auto"/>
        </w:rPr>
        <w:t xml:space="preserve">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 The Company exited its direct Japan operations in the third quarter of fiscal 2015. Direct segment results for the current and prior periods presented are reported on a continuing operations basis unless otherwise stated. Discontinued operations are detailed in Note 10 </w:t>
      </w: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of this Quarterly Report on Form 10-Q</w:t>
      </w:r>
      <w:r>
        <w:rPr>
          <w:rFonts w:ascii="Arial" w:cs="Arial" w:eastAsia="Arial" w:hAnsi="Arial"/>
          <w:sz w:val="17"/>
          <w:szCs w:val="17"/>
          <w:i w:val="1"/>
          <w:iCs w:val="1"/>
          <w:color w:val="auto"/>
        </w:rPr>
        <w:t>.</w:t>
      </w:r>
    </w:p>
    <w:p>
      <w:pPr>
        <w:spacing w:after="0" w:line="37"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color w:val="auto"/>
        </w:rPr>
        <w:t>The Indirect segment represents revenues generated through the distribution of Company-branded products to specialty retailers representing approximately 2,700 locations, substantially all of which are located in the United States, as well as key accounts, which include department stores, national accounts, third-party e-commerce sites, the Company's wholesale business in Japan, and third-party inventory liquidation.</w:t>
      </w:r>
    </w:p>
    <w:p>
      <w:pPr>
        <w:spacing w:after="0" w:line="1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merchandising, and various other corporate-level-activity-related expenses. All intercompany-related activities are eliminated in consolidation and are excluded from the segment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line="312" w:lineRule="auto"/>
        <w:rPr>
          <w:sz w:val="20"/>
          <w:szCs w:val="20"/>
          <w:color w:val="auto"/>
        </w:rPr>
      </w:pPr>
      <w:r>
        <w:rPr>
          <w:rFonts w:ascii="Arial" w:cs="Arial" w:eastAsia="Arial" w:hAnsi="Arial"/>
          <w:sz w:val="16"/>
          <w:szCs w:val="16"/>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thirty-nine weeks ended October 31, 2015 and November 1, 2014, respectively, consisted of the following (in thousands):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3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1,</w:t>
            </w:r>
          </w:p>
        </w:tc>
        <w:tc>
          <w:tcPr>
            <w:tcW w:w="28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31,</w:t>
            </w:r>
          </w:p>
        </w:tc>
        <w:tc>
          <w:tcPr>
            <w:tcW w:w="260" w:type="dxa"/>
            <w:vAlign w:val="bottom"/>
          </w:tcPr>
          <w:p>
            <w:pPr>
              <w:spacing w:after="0"/>
              <w:rPr>
                <w:sz w:val="13"/>
                <w:szCs w:val="13"/>
                <w:color w:val="auto"/>
              </w:rPr>
            </w:pPr>
          </w:p>
        </w:tc>
        <w:tc>
          <w:tcPr>
            <w:tcW w:w="134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November 1,</w:t>
            </w:r>
          </w:p>
        </w:tc>
      </w:tr>
      <w:tr>
        <w:trPr>
          <w:trHeight w:val="192"/>
        </w:trPr>
        <w:tc>
          <w:tcPr>
            <w:tcW w:w="3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Direct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84,137</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77,946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238,345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227,907</w:t>
            </w: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128,454</w:t>
            </w:r>
          </w:p>
        </w:tc>
      </w:tr>
      <w:tr>
        <w:trPr>
          <w:trHeight w:val="237"/>
        </w:trPr>
        <w:tc>
          <w:tcPr>
            <w:tcW w:w="3260" w:type="dxa"/>
            <w:vAlign w:val="bottom"/>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126,674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125,204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348,502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356,361</w:t>
            </w:r>
          </w:p>
        </w:tc>
      </w:tr>
      <w:tr>
        <w:trPr>
          <w:trHeight w:val="67"/>
        </w:trPr>
        <w:tc>
          <w:tcPr>
            <w:tcW w:w="3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Direct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19,260</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13,863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43,844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44,742</w:t>
            </w: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50,590</w:t>
            </w:r>
          </w:p>
        </w:tc>
      </w:tr>
      <w:tr>
        <w:trPr>
          <w:trHeight w:val="237"/>
        </w:trPr>
        <w:tc>
          <w:tcPr>
            <w:tcW w:w="3260" w:type="dxa"/>
            <w:vAlign w:val="bottom"/>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38,316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87,592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95,332</w:t>
            </w:r>
          </w:p>
        </w:tc>
      </w:tr>
      <w:tr>
        <w:trPr>
          <w:trHeight w:val="67"/>
        </w:trPr>
        <w:tc>
          <w:tcPr>
            <w:tcW w:w="3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38,316</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33,067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87,592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95,332</w:t>
            </w: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(66,288)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(57,195)</w:t>
            </w:r>
          </w:p>
        </w:tc>
      </w:tr>
      <w:tr>
        <w:trPr>
          <w:trHeight w:val="27"/>
        </w:trPr>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16,789</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38,137</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16</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the Company as of and for the thirteen and thirty-nine weeks ended October 31, 2015 and November 1, 2014. The following discussion should be read in conjunction with our Annual Report on Form 10-K for the fiscal year ended January 31, 2015, and our unaudited consolidated financial statements and the related notes included in Item 1 of this Quarterly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Below is a summary of our strategic progress and financial summary for the third quarter of fiscal 2016 (all comparisons are to the third quarter of fiscal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right="22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continued innovating and diversifying our product offerings by launching our Streeterville poly twill collection at the end of August. This brings our total number of fabrications to seven, up from only two fabrications (cotton and microfiber) two years ago.</w:t>
      </w:r>
    </w:p>
    <w:p>
      <w:pPr>
        <w:spacing w:after="0" w:line="11"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continued to increase the mix of higher-margin, made-for-outlet product in our factory outlet stores.</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continued to build a more flexible, efficient, and cost-effective supply chain through vendor and country diversification.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continued to strategically pare down our promotional activity, reducing the number of promotional days and depth of discounts offered.</w:t>
      </w:r>
    </w:p>
    <w:p>
      <w:pPr>
        <w:spacing w:after="0" w:line="101"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opened four new full-line stores and three new factory outlet stores during the third quarter.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Summary</w:t>
      </w:r>
    </w:p>
    <w:p>
      <w:pPr>
        <w:spacing w:after="0" w:line="9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increased 1.2% to $126.7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segment sales increased 7.9% to $84.1 million. Comparable sales (including e-commerce) decreased 9.5%.</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Indirect segment sales decreased 10.0% to $42.5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was $73.3 million (57.9%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was $16.8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from continuing operations was $10.3 million, or $0.27 per diluted share.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were $61.8 million at October 31, 2015.</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for the thirty-nine weeks totaled $22.8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Repurchases of common stock for the thirteen weeks totaled $6.5 million, which completed the 2014 Share Repurchase Program.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June 2014, we entered into a five-year agreement with Mitsubishi Corporation Fashion Company and Look Inc. to</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import and distribute Vera Bradley products in Japan. As a result of moving to this wholesale business model, we exited our direct business in Japan during the third quarter of fiscal 2015 and are accounting for it as a discontinued operation. Consolidated income statement and Direct segment results for the current and prior periods presented are reported on a continuing operations basis unless otherwise stated.</w:t>
      </w:r>
    </w:p>
    <w:p>
      <w:pPr>
        <w:spacing w:after="0" w:line="213" w:lineRule="exact"/>
        <w:rPr>
          <w:sz w:val="20"/>
          <w:szCs w:val="20"/>
          <w:color w:val="auto"/>
        </w:rPr>
      </w:pPr>
    </w:p>
    <w:p>
      <w:pPr>
        <w:ind w:right="1060"/>
        <w:spacing w:after="0" w:line="367" w:lineRule="auto"/>
        <w:rPr>
          <w:sz w:val="20"/>
          <w:szCs w:val="20"/>
          <w:color w:val="auto"/>
        </w:rPr>
      </w:pPr>
      <w:r>
        <w:rPr>
          <w:rFonts w:ascii="Arial" w:cs="Arial" w:eastAsia="Arial" w:hAnsi="Arial"/>
          <w:sz w:val="17"/>
          <w:szCs w:val="17"/>
          <w:b w:val="1"/>
          <w:bCs w:val="1"/>
          <w:color w:val="auto"/>
        </w:rPr>
        <w:t xml:space="preserve">Restructuring and Other Charges Affecting Comparability of the Year-to-Date Periods ended October 31, 2015, and November 1, 2014 </w:t>
      </w:r>
      <w:r>
        <w:rPr>
          <w:rFonts w:ascii="Arial" w:cs="Arial" w:eastAsia="Arial" w:hAnsi="Arial"/>
          <w:sz w:val="17"/>
          <w:szCs w:val="17"/>
          <w:color w:val="auto"/>
        </w:rPr>
        <w:t>In the first quarter of fiscal 2016, the Company closed its manufacturing facility located in New Haven, Indiana.</w:t>
      </w:r>
    </w:p>
    <w:p>
      <w:pPr>
        <w:ind w:right="120"/>
        <w:spacing w:after="0" w:line="302" w:lineRule="auto"/>
        <w:rPr>
          <w:sz w:val="20"/>
          <w:szCs w:val="20"/>
          <w:color w:val="auto"/>
        </w:rPr>
      </w:pPr>
      <w:r>
        <w:rPr>
          <w:rFonts w:ascii="Arial" w:cs="Arial" w:eastAsia="Arial" w:hAnsi="Arial"/>
          <w:sz w:val="16"/>
          <w:szCs w:val="16"/>
          <w:color w:val="auto"/>
        </w:rPr>
        <w:t>The Company incurred restructuring and other charges during the first quarter of fiscal 2016 of approximately $3.4 million ($2.1 million after the associated tax benefit), related to the facility closing. These charges include severance and benefit costs of approximately $1.7 million, lease termination costs of approximately $0.7 million, inventory-related charges of approximately $0.6 million, and other associated net costs, which include accelerated depreciation related to fixed assets, of approximately $0.4 million. These charges are reflected in cost of sales in the Company's Consolidated Financial Statements.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Management expects that the facility closure will reduce operating costs by approximately $12.0 million annually beginning in the fourth quarter of fiscal 2016. All production from the facility will be absorbed by the Company’s third party manufacturing suppliers.</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Additional charges affecting comparability of the financial results for the thirty-nine weeks ended October 31, 2015 and November 1, 2014 totaled approximately $3.1 million ($2.1 million after the associated tax benefit) consisting of charges in the first quarter of fiscal 2016 of $1.3 million in employee severance (reflected in selling, general, and administrative expenses), $1.2 million due to a retail store early lease termination agreement (reflected in selling, general, and administrative expenses), and $0.6 million related to an increase in income tax reserves for uncertain federal and state tax positions related to research and development tax credits (reflected in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Notes to the Consolidated Financial Statements, herein,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reflect sales of our merchandise and revenue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third-party e-commerce sites, our wholesale business in Japan, and third-party inventory liquidation.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Comparable sales (including e-commerce)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and labor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income is equal to gross profit less SG&amp;A expenses plus other income. Operating income excludes interest income, interest expense,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is equal to operating income less net interest expense and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Loss from discontinued operations, net of taxes, is equal to the loss from the results of operations related to the direct Japan business, which was exited in the third quarter of fiscal 2015, adjusted for the associated tax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is equal to the sum of income from continuing operations and loss from discontinued operations, net of taxes.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1"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November 1,</w:t>
            </w:r>
          </w:p>
        </w:tc>
        <w:tc>
          <w:tcPr>
            <w:tcW w:w="26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340" w:type="dxa"/>
            <w:vAlign w:val="bottom"/>
          </w:tcPr>
          <w:p>
            <w:pPr>
              <w:jc w:val="right"/>
              <w:ind w:right="331"/>
              <w:spacing w:after="0" w:line="153" w:lineRule="exact"/>
              <w:rPr>
                <w:sz w:val="20"/>
                <w:szCs w:val="20"/>
                <w:color w:val="auto"/>
              </w:rPr>
            </w:pPr>
            <w:r>
              <w:rPr>
                <w:rFonts w:ascii="Arial" w:cs="Arial" w:eastAsia="Arial" w:hAnsi="Arial"/>
                <w:sz w:val="14"/>
                <w:szCs w:val="14"/>
                <w:b w:val="1"/>
                <w:bCs w:val="1"/>
                <w:color w:val="auto"/>
              </w:rPr>
              <w:t>November 1,</w:t>
            </w:r>
          </w:p>
        </w:tc>
      </w:tr>
      <w:tr>
        <w:trPr>
          <w:trHeight w:val="192"/>
        </w:trPr>
        <w:tc>
          <w:tcPr>
            <w:tcW w:w="4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r>
      <w:tr>
        <w:trPr>
          <w:trHeight w:val="230"/>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
        </w:trPr>
        <w:tc>
          <w:tcPr>
            <w:tcW w:w="4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125,204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348,502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356,361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53,376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59,436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156,956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167,394</w:t>
            </w:r>
          </w:p>
        </w:tc>
      </w:tr>
      <w:tr>
        <w:trPr>
          <w:trHeight w:val="27"/>
        </w:trPr>
        <w:tc>
          <w:tcPr>
            <w:tcW w:w="4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65,768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191,546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188,967</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57,013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53,274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171,976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153,982</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3,152</w:t>
            </w:r>
          </w:p>
        </w:tc>
      </w:tr>
      <w:tr>
        <w:trPr>
          <w:trHeight w:val="237"/>
        </w:trPr>
        <w:tc>
          <w:tcPr>
            <w:tcW w:w="488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16,789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13,604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21,304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38,137</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319</w:t>
            </w:r>
          </w:p>
        </w:tc>
      </w:tr>
      <w:tr>
        <w:trPr>
          <w:trHeight w:val="237"/>
        </w:trPr>
        <w:tc>
          <w:tcPr>
            <w:tcW w:w="488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16,729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13,389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21,095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37,818</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9,248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14,326</w:t>
            </w:r>
          </w:p>
        </w:tc>
      </w:tr>
      <w:tr>
        <w:trPr>
          <w:trHeight w:val="237"/>
        </w:trPr>
        <w:tc>
          <w:tcPr>
            <w:tcW w:w="488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10,268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8,721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23,492</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(2,386)</w:t>
            </w:r>
          </w:p>
        </w:tc>
      </w:tr>
      <w:tr>
        <w:trPr>
          <w:trHeight w:val="237"/>
        </w:trPr>
        <w:tc>
          <w:tcPr>
            <w:tcW w:w="48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10,268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6,941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21,106</w:t>
            </w:r>
          </w:p>
        </w:tc>
      </w:tr>
      <w:tr>
        <w:trPr>
          <w:trHeight w:val="67"/>
        </w:trPr>
        <w:tc>
          <w:tcPr>
            <w:tcW w:w="48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4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47.0 %</w:t>
            </w:r>
          </w:p>
        </w:tc>
      </w:tr>
      <w:tr>
        <w:trPr>
          <w:trHeight w:val="237"/>
        </w:trPr>
        <w:tc>
          <w:tcPr>
            <w:tcW w:w="48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53.0 %</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43.2 %</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4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4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4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260" w:type="dxa"/>
            <w:vAlign w:val="bottom"/>
          </w:tcPr>
          <w:p>
            <w:pPr>
              <w:spacing w:after="0"/>
              <w:rPr>
                <w:sz w:val="21"/>
                <w:szCs w:val="21"/>
                <w:color w:val="auto"/>
              </w:rPr>
            </w:pP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4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5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our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right"/>
              <w:ind w:right="860"/>
              <w:spacing w:after="0"/>
              <w:rPr>
                <w:sz w:val="20"/>
                <w:szCs w:val="20"/>
                <w:color w:val="auto"/>
              </w:rPr>
            </w:pPr>
            <w:r>
              <w:rPr>
                <w:rFonts w:ascii="Arial" w:cs="Arial" w:eastAsia="Arial" w:hAnsi="Arial"/>
                <w:sz w:val="14"/>
                <w:szCs w:val="14"/>
                <w:b w:val="1"/>
                <w:bCs w:val="1"/>
                <w:color w:val="auto"/>
              </w:rPr>
              <w:t>Thirteen Weeks Ended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694"/>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November 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4"/>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October 31,</w:t>
            </w:r>
          </w:p>
        </w:tc>
        <w:tc>
          <w:tcPr>
            <w:tcW w:w="240" w:type="dxa"/>
            <w:vAlign w:val="bottom"/>
          </w:tcPr>
          <w:p>
            <w:pPr>
              <w:spacing w:after="0"/>
              <w:rPr>
                <w:sz w:val="13"/>
                <w:szCs w:val="13"/>
                <w:color w:val="auto"/>
              </w:rPr>
            </w:pPr>
          </w:p>
        </w:tc>
        <w:tc>
          <w:tcPr>
            <w:tcW w:w="130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92"/>
              </w:rPr>
              <w:t>November 1,</w:t>
            </w: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30"/>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84,137</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77,946</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238,345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227,907</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Indirect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42,537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47,258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110,157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128,454</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126,674</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125,204</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348,502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356,361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Indirect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814"/>
              <w:spacing w:after="0"/>
              <w:rPr>
                <w:sz w:val="20"/>
                <w:szCs w:val="20"/>
                <w:color w:val="auto"/>
              </w:rPr>
            </w:pPr>
            <w:r>
              <w:rPr>
                <w:rFonts w:ascii="Arial" w:cs="Arial" w:eastAsia="Arial" w:hAnsi="Arial"/>
                <w:sz w:val="14"/>
                <w:szCs w:val="14"/>
                <w:b w:val="1"/>
                <w:bCs w:val="1"/>
                <w:color w:val="auto"/>
              </w:rPr>
              <w:t>Thirteen Weeks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714"/>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November 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4"/>
          </w:tcPr>
          <w:p>
            <w:pPr>
              <w:ind w:left="12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300" w:type="dxa"/>
            <w:vAlign w:val="bottom"/>
          </w:tcPr>
          <w:p>
            <w:pPr>
              <w:jc w:val="center"/>
              <w:ind w:right="234"/>
              <w:spacing w:after="0" w:line="153" w:lineRule="exact"/>
              <w:rPr>
                <w:sz w:val="20"/>
                <w:szCs w:val="20"/>
                <w:color w:val="auto"/>
              </w:rPr>
            </w:pPr>
            <w:r>
              <w:rPr>
                <w:rFonts w:ascii="Arial" w:cs="Arial" w:eastAsia="Arial" w:hAnsi="Arial"/>
                <w:sz w:val="14"/>
                <w:szCs w:val="14"/>
                <w:b w:val="1"/>
                <w:bCs w:val="1"/>
                <w:color w:val="auto"/>
                <w:w w:val="92"/>
              </w:rPr>
              <w:t>November 1,</w:t>
            </w: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30"/>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Operating Income by Segment: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6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1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19,260</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13,863</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43,844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44,742</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Indirect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19,056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19,204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43,748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50,590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Corporate unallocated</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(21,527)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(19,463)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(66,288)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(57,195)</w:t>
            </w: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color w:val="auto"/>
              </w:rPr>
              <w:t>16,789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13,604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color w:val="auto"/>
              </w:rPr>
              <w:t>21,304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38,137</w:t>
            </w:r>
          </w:p>
        </w:tc>
        <w:tc>
          <w:tcPr>
            <w:tcW w:w="0" w:type="dxa"/>
            <w:vAlign w:val="bottom"/>
          </w:tcPr>
          <w:p>
            <w:pPr>
              <w:spacing w:after="0"/>
              <w:rPr>
                <w:sz w:val="1"/>
                <w:szCs w:val="1"/>
                <w:color w:val="auto"/>
              </w:rPr>
            </w:pPr>
          </w:p>
        </w:tc>
      </w:tr>
      <w:tr>
        <w:trPr>
          <w:trHeight w:val="67"/>
        </w:trPr>
        <w:tc>
          <w:tcPr>
            <w:tcW w:w="48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86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Operating Income as a Percentage of Net Revenues by</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Direct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39.4 %</w:t>
            </w:r>
          </w:p>
        </w:tc>
        <w:tc>
          <w:tcPr>
            <w:tcW w:w="0" w:type="dxa"/>
            <w:vAlign w:val="bottom"/>
          </w:tcPr>
          <w:p>
            <w:pPr>
              <w:spacing w:after="0"/>
              <w:rPr>
                <w:sz w:val="1"/>
                <w:szCs w:val="1"/>
                <w:color w:val="auto"/>
              </w:rPr>
            </w:pPr>
          </w:p>
        </w:tc>
      </w:tr>
      <w:tr>
        <w:trPr>
          <w:trHeight w:val="270"/>
        </w:trPr>
        <w:tc>
          <w:tcPr>
            <w:tcW w:w="486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period</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0"/>
        </w:trPr>
        <w:tc>
          <w:tcPr>
            <w:tcW w:w="4860" w:type="dxa"/>
            <w:vAlign w:val="bottom"/>
          </w:tcPr>
          <w:p>
            <w:pPr>
              <w:ind w:left="40"/>
              <w:spacing w:after="0" w:line="270" w:lineRule="exact"/>
              <w:rPr>
                <w:sz w:val="20"/>
                <w:szCs w:val="20"/>
                <w:color w:val="auto"/>
              </w:rPr>
            </w:pPr>
            <w:r>
              <w:rPr>
                <w:rFonts w:ascii="Arial" w:cs="Arial" w:eastAsia="Arial" w:hAnsi="Arial"/>
                <w:sz w:val="18"/>
                <w:szCs w:val="18"/>
                <w:color w:val="auto"/>
                <w:w w:val="90"/>
              </w:rPr>
              <w:t xml:space="preserve">Comparable sales (including e-commerce) (decrease) increase </w:t>
            </w:r>
            <w:r>
              <w:rPr>
                <w:rFonts w:ascii="Arial" w:cs="Arial" w:eastAsia="Arial" w:hAnsi="Arial"/>
                <w:sz w:val="25"/>
                <w:szCs w:val="25"/>
                <w:color w:val="auto"/>
                <w:w w:val="90"/>
                <w:vertAlign w:val="superscript"/>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342,362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269,051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342,362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269,051</w:t>
            </w:r>
          </w:p>
        </w:tc>
        <w:tc>
          <w:tcPr>
            <w:tcW w:w="0" w:type="dxa"/>
            <w:vAlign w:val="bottom"/>
          </w:tcPr>
          <w:p>
            <w:pPr>
              <w:spacing w:after="0"/>
              <w:rPr>
                <w:sz w:val="1"/>
                <w:szCs w:val="1"/>
                <w:color w:val="auto"/>
              </w:rPr>
            </w:pPr>
          </w:p>
        </w:tc>
      </w:tr>
      <w:tr>
        <w:trPr>
          <w:trHeight w:val="341"/>
        </w:trPr>
        <w:tc>
          <w:tcPr>
            <w:tcW w:w="4860" w:type="dxa"/>
            <w:vAlign w:val="bottom"/>
          </w:tcPr>
          <w:p>
            <w:pPr>
              <w:ind w:left="4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24"/>
                <w:szCs w:val="24"/>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490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jc w:val="both"/>
        <w:ind w:left="540" w:right="100" w:hanging="532"/>
        <w:spacing w:after="0" w:line="25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Comparable sales (including e-commerce)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8"/>
          <w:szCs w:val="18"/>
          <w:color w:val="auto"/>
        </w:rPr>
      </w:pPr>
    </w:p>
    <w:p>
      <w:pPr>
        <w:ind w:left="540" w:right="40" w:hanging="532"/>
        <w:spacing w:after="0" w:line="255"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3" w:lineRule="exact"/>
        <w:rPr>
          <w:sz w:val="20"/>
          <w:szCs w:val="20"/>
          <w:color w:val="auto"/>
        </w:rPr>
      </w:pPr>
    </w:p>
    <w:p>
      <w:pPr>
        <w:ind w:right="3980"/>
        <w:spacing w:after="0" w:line="346" w:lineRule="auto"/>
        <w:rPr>
          <w:sz w:val="20"/>
          <w:szCs w:val="20"/>
          <w:color w:val="auto"/>
        </w:rPr>
      </w:pPr>
      <w:r>
        <w:rPr>
          <w:rFonts w:ascii="Arial" w:cs="Arial" w:eastAsia="Arial" w:hAnsi="Arial"/>
          <w:sz w:val="18"/>
          <w:szCs w:val="18"/>
          <w:b w:val="1"/>
          <w:bCs w:val="1"/>
          <w:color w:val="auto"/>
        </w:rPr>
        <w:t xml:space="preserve">Thirteen Weeks Ended October 31, 2015, Compared to Thirteen Weeks Ended November 1, 2014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thirteen weeks ended October 31, 2015, net revenues increased $1.5 million, or 1.2%, to $126.7 million, from $125.2 million in the comparable prior-year period.</w:t>
      </w:r>
    </w:p>
    <w:p>
      <w:pPr>
        <w:spacing w:after="0" w:line="11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October 31, 2015, net revenues in the Direct segment increased $6.2 million, or 7.9%, to $84.1 million, from $77.9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resulted from a $13.4 million contribution of revenue from our non-comparable stores, which included 26 additional stores in the current year, partially offset by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comparable sales (including e-commerce) decrease of $7.2 million, or 9.5%. The decrease in comparable sales (including e-commerce) includes a 19.1% decrease in e-commerce sales and 2.0% decrease in comparable store sales. The decline in comparable sales (including e-commerce) was primarily due to year-over-year declines in e-commerce and store traffic, primarily resulting from reduced promotional activity.</w:t>
      </w:r>
    </w:p>
    <w:p>
      <w:pPr>
        <w:spacing w:after="0" w:line="1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October 31, 2015, net revenues in the Indirect segment decreased $4.8 million, or 10.0%, to $42.5 million, from $47.3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decrease was primarily due to lower average order size from the Company’s specialty retail accounts and a year-over-year reduction in the total number of specialty retail accounts.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the thirteen weeks ended October 31, 2015, gross profit increased $7.5 million, or 11.4%, to $73.3 million, from $65.8 million in the comparable prior-year period. As a percentage of net revenues, gross profit increased to 57.9% for the thirteen weeks ended October 31, 2015, from 52.5% in the comparable prior-year period. The increase in gross profit as a percentage of net revenues was primarily due to sourcing efficiencies (lower product costs combined with Fall 2014 cost reductions at the Company’s domestic manufacturing facility as well as leverage of overhead costs resulting from an increase in units manufactured), increased sales penetration of higher-margin made-for-outlet products, reduced promotional activity, and lower levels of liquidation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For the thirteen weeks ended October 31, 2015, SG&amp;A expenses increased $3.7 million, or 7.0%, to $57.0 million, from $53.3 million in the comparable prior-year period. As a percentage of net revenues, SG&amp;A expenses increased to 45.0% for the thirteen weeks ended October 31, 2015, from 42.5% in the comparable prior-year period. The $3.7 million increase, as well as the increase in SG&amp;A expenses as a percentage of net revenues, was primarily due to investments in new stores.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thirteen weeks ended October 31, 2015, other income decreased $0.6 million, or 54.6%, to $0.5 million, from $1.1 million in the comparable prior-year period, primarily due to a decrease in reimbursement of co-op mailer expense from Indirect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thirteen weeks ended October 31, 2015, operating income increased $3.2 million, or 23.4%, to $16.8 million in the current year, from $13.6 million in the comparable prior-year period. As a percentage of net revenues, operating income was 13.3% and 10.9% for the thirteen weeks ended October 31, 2015 and November 1, 2014, respectively. The increase in operating income was due to an increase in gross profit, partially offset by an increase in selling, general, and administrative expenses and a decrease in other income, as described above.</w:t>
      </w:r>
    </w:p>
    <w:p>
      <w:pPr>
        <w:spacing w:after="0" w:line="13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October 31, 2015, operating income in the Direct segment increased $5.4 million, or 38.9%, to $19.3 million from $13.9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As a percentage of Direct segment net revenues, operating income in the Direct segment was 22.9% and 17.8% for the thirteen weeks ended October 31, 2015 and November 1, 2014, respectively. The increase in operating income as a percentage of Direct segment net revenues was primarily due to an increase in gross profit as a percentage of net revenues, as described above, partially offset by investments in new stores.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October 31, 2015, operating income in the Indirect segment decreased $0.1 million, or 0.8%, to $19.1 million from</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$19.2 million in the comparable prior-year period. As a percentage of Indirect segment net revenues, operating income in the Indirect segment was 44.8% and 40.6% for the thirteen weeks ended October 31, 2015 and November 1, 2014, respectively. The increase in operating income as a percentage of Indirect segment net revenues was primarily due to an increase in gross profit as a percentage of net revenues, as described above.</w:t>
      </w:r>
    </w:p>
    <w:p>
      <w:pPr>
        <w:spacing w:after="0" w:line="11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thirteen weeks ended October 31, 2015, unallocated expenses increased $2.0 million, or 10.6%, to $21.5 million from $19.5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comparable prior-year period primarily due to an increase in corporate personnel costs, including an increase in incentive compensation due to Company performance, as well as an increase in depreciation expense primarily as a result of the campus consolidation project.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effective tax rate for the thirteen weeks ended October 31, 2015, was 38.6%, compared to 34.9% for the thirteen weeks ended November 1, 2014. The year-over-year increase is primarily due to the impact of state FIN 48 reserve releases in the prior year but not the current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thirteen weeks ended October 31, 2015, income from continuing operations increased $1.6 million, or 17.7%, to $10.3 million from $8.7 million in the comparable prior-year period due to the reasons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thirteen weeks ended November 1, 2014, loss from discontinued operations, net of taxes, was $1.8 million reflecting the Company's exit from Japan operations during the third quarter of fiscal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thirteen weeks ended October 31, 2015, net income increased $3.4 million, or 47.9%, to $10.3 million from $6.9 million in the comparable prior-year period.</w:t>
      </w:r>
    </w:p>
    <w:p>
      <w:pPr>
        <w:spacing w:after="0" w:line="193" w:lineRule="exact"/>
        <w:rPr>
          <w:sz w:val="20"/>
          <w:szCs w:val="20"/>
          <w:color w:val="auto"/>
        </w:rPr>
      </w:pPr>
    </w:p>
    <w:p>
      <w:pPr>
        <w:ind w:right="3480"/>
        <w:spacing w:after="0" w:line="346" w:lineRule="auto"/>
        <w:rPr>
          <w:sz w:val="20"/>
          <w:szCs w:val="20"/>
          <w:color w:val="auto"/>
        </w:rPr>
      </w:pPr>
      <w:r>
        <w:rPr>
          <w:rFonts w:ascii="Arial" w:cs="Arial" w:eastAsia="Arial" w:hAnsi="Arial"/>
          <w:sz w:val="18"/>
          <w:szCs w:val="18"/>
          <w:b w:val="1"/>
          <w:bCs w:val="1"/>
          <w:color w:val="auto"/>
        </w:rPr>
        <w:t xml:space="preserve">Thirty-Nine Weeks Ended October 31, 2015, Compared to Thirty-Nine Weeks Ended November 1, 2014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thirty-nine weeks ended October 31, 2015, net revenues decreased $7.9 million, or 2.2%, to $348.5 million, from $356.4 million in the comparable prior-year period.</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thirty-nine weeks ended October 31, 2015, net revenues in the Direct segment increased $10.4 million, or 4.6%, to $238.3 million, from</w:t>
      </w:r>
    </w:p>
    <w:p>
      <w:pPr>
        <w:spacing w:after="0" w:line="3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$227.9 million in the comparable prior-year period. This change resulted from a $40.1 million contribution of revenue from our non-comparable stores, which included 26 additional stores in the current year, which was partially offset by a comparable sales (including e-commerce) decrease of $28.9 million, or</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13.6%. The decrease in comparable sales (including e-commerce) includes a 14.8% decrease in e-commerce sales and a 12.6% decrease in comparable store sales, as well as a decrease in sales at our annual outlet sale compared to the prior year. The decline in comparable sales (including e-commerce) was primarily due to year-over-year declines in e-commerce and store traffic, partially as a result of reduced promotional activity.</w:t>
      </w:r>
    </w:p>
    <w:p>
      <w:pPr>
        <w:spacing w:after="0" w:line="10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thirty-nine weeks ended October 31, 2015, net revenues in the Indirect segment decreased $18.3 million, or 14.2%, to $110.2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$128.5 million in the comparable prior-year period, primarily due to lower average order size from the Company’s specialty retail accounts. In addition, there was a year-over-year reduction in the total number of specialty retail accounts.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For the thirty-nine weeks ended October 31, 2015, gross profit increased $2.5 million, or 1.4%, to $191.5 million, from $189.0 million in the comparable prior-year period. As a percentage of net revenues, gross profit increased to 55.0% for the thirty-nine weeks ended October 31, 2015, from 53.0% in the comparable prior-year period. The increase was primarily due to sourcing efficiencies (lower product costs combined with Fall 2014 cost reductions at the Company’s domestic manufacturing facility as well as leverage of overhead costs resulting from an increase in units manufactured), increased sales penetration of higher-margin made-for-outlet products, reduced promotional activity, and lower levels of liquidation sales. Gross profit in the fiscal 2016 period was impacted by restructuring charges of $3.4 million related to the closure of our manufacturing facility in the first quarter of fiscal 2016, as discussed in more detail in Note 11 to the Notes to the Consolidated Financial Statements herein.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thirty-nine weeks ended October 31, 2015, SG&amp;A expenses increased $18.0 million, or 11.7%, to $172.0 million, from $154.0 million in the comparable prior-year period. As a percentage of net revenues, SG&amp;A expenses increased to 49.3% for the thirty-nine weeks ended October 31, 2015, from 43.2% in the comparable prior-year period. The increase in SG&amp;A expenses for the thirty-nine weeks ended October 31, 2015, included $1.3 million in employee severance expense and $1.2 million in expense related to a retail store early termination agreement that did not occur in the comparable prior year period. The remaining increase was primarily due to investments in new stores and incremental marketing. SG&amp;A expenses as a percentage of net revenues increased primarily due to the aforementioned items, as well as fixed expenses being spread over lower revenues and deleveraging of store operating expenses as a result of lower comparable store sales.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thirty-nine weeks ended October 31, 2015, other income decreased $1.5 million, or 45.0%, to $1.7 million, from $3.2 million in the comparable prior-year period, primarily due to a decrease in reimbursement of co-op mailer expense from Indirect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the thirty-nine weeks ended October 31, 2015, operating income decreased $16.8 million, or 44.1%, to $21.3 million in the current year, from $38.1 million in the comparable prior-year period. As a percentage of net revenues, operating income was 6.1% and 10.7% for the thirty-nine weeks ended October 31, 2015 and November 1, 2014, respectively. Operating income for the thirty-nine weeks ended October 31, 2015, was negatively impacted by the $5.9 million in restructuring and other charges described above under “Gross Profit” and “Selling, General, and Administrative Expenses.” The remaining decrease in operating income was due to an increase in selling, general, and administrative expenses and a decrease in other income, partially offset by an increase in gross profit, as described above.</w:t>
      </w:r>
    </w:p>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thirty-nine weeks ended October 31, 2015, operating income in the Direct segment decreased $0.9 million, or 2.0%, to $43.8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$44.7 million in the comparable prior-year period. As a percentage of Direct segment net revenues, operating income in the Direct segment was 18.4% and 19.6% for the thirty-nine weeks ended October 31, 2015 and November 1, 2014, respectively. The decrease in operating income as a percentage of Direct segment net revenues was primarily due to $3.5 million, or 1.5% as a percentage of Direct segment net revenues, in restructuring and other charges related to the closure of our manufacturing facility in the first quarter of fiscal 2016 and a retail store early termination agreement; investments in new stores; and deleveraging of store operating expenses as a result of lower comparable store sales, partially offset by an increase in gross profit as a percentage of net revenues, as described above.</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thirty-nine weeks ended October 31, 2015, operating income in the Indirect segment decreased $6.9 million, or 13.5%, to $43.7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$50.6 million in the comparable prior-year period. As a percentage of Indirect segment net revenues, operating income in the Indirect segment was 39.7% and 39.4% for the thirty-nine weeks ended October 31, 2015 and November 1, 2014, respectively. The increase in operating income as a percentage of Indirect segment net revenues was primarily due to an increase in gross profit as a percentage of net revenues, as described above. This increase was partially offset by $1.1 million, or 1.0% as a percentage of Indirect segment net revenues, in restructuring charges related to the closure of our manufacturing facility in the first quarter of fiscal 2016.</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thirty-nine weeks ended October 31, 2015, unallocated expenses increased $9.1 million, or 15.9%, to $66.3 million from</w:t>
      </w:r>
    </w:p>
    <w:p>
      <w:pPr>
        <w:spacing w:after="0" w:line="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$57.2 million in the comparable prior-year period. The increase in unallocated expenses included $1.3 million in employee severance expense. The remaining increase was primarily due to incremental marketing investments, an increase in corporate personnel costs, including an increase in incentive compensation due to Company performance, as well as an increase in depreciation expense primarily as a result of the campus consolidation project.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effective tax rate for the thirty-nine weeks ended October 31, 2015, was 43.8%, compared to 37.9% for the thirty-nine weeks ended November 1, 2014. The year-over-year increase is primarily due to the impact of discrete items, including an increase in income tax reserves for uncertain federal and state tax positions related to research and development tax credits from prior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thirty-nine weeks ended October 31, 2015, income from continuing operations decreased $11.7 million, or 49.6%, to $11.8 million from $23.5 million in the comparable prior-year period. Included in this decrease were restructuring and other charges of $6.5 million ($4.2 million after the associated tax benefit), as described in Note 11 to the Notes to the Consolidated Financial Statements herein.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thirty-nine weeks ended November 1, 2014, loss from discontinued operations, net of taxes was $2.4 million reflecting the Japan operations which were exited during the third quarter of fiscal 2015.</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the thirty-nine weeks ended October 31, 2015, net income decreased $9.3 million, or 43.9%, to $11.8 million from $21.1 million in the comparable prior-year period. Included in this decrease were restructuring and other charges of $6.5 million ($4.2 million after the associated tax benefit), as described in Note 11 to the Consolidated Financial Statements herein.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Our primary source of liquidity is cash flow from operations. We also have access to additional liquidity, if needed, through borrowings under our $125.0 million second amended and restated credit agreement. There were no borrowings under this agreement at October 31, 2015. Historically, our primary cash needs have been for merchandise inventories; payroll; store rent; capital expenditures associated with operational equipment, buildings, information technology, and opening new stores; and debt repayments. The most significant components of our working capital are cash and cash equivalents, merchandise inventories, accounts receivable, accounts payable, and other current liabilities.</w:t>
      </w:r>
    </w:p>
    <w:p>
      <w:pPr>
        <w:spacing w:after="0" w:line="11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cash flows from operating activities and the availability of borrowings under our second amended and restated credit agreement or other financing arrangements will be sufficient to meet working capital requirements, anticipated capital expenditures, share repurchases, and debt payments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24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November 1,</w:t>
            </w:r>
          </w:p>
        </w:tc>
      </w:tr>
      <w:tr>
        <w:trPr>
          <w:trHeight w:val="192"/>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56,253</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provided by operating activities for the thirty-nine weeks ended October 31, 2015, was $39.0 thousand, compared to net cash provided by operating activities of $56.3 million for the thirty-nine weeks ended November 1, 2014. This decrease was primarily due to a decrease in net income of $9.3 million along with a change in inventory balances that resulted in a $19.8 million use of cash for the thirty-nine weeks ended October 31, 2015, as compared to a $30.7 million source of cash for the thirty-nine weeks ended November 1,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buildings, operational equipment, and information technology investments.</w:t>
      </w:r>
    </w:p>
    <w:p>
      <w:pPr>
        <w:spacing w:after="0" w:line="11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Net cash used in investing activities was $22.8 million and $22.4 million for the thirty-nine weeks ended October 31, 2015 and November 1,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2016 are expected to be approximately $28.0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Net cash used in financing activities was $27.7 million for the thirty-nine weeks ended October 31, 2015 which was primarily related to purchases of shares of the Company's common stock made under the 2014 Share Repurchase Program. This compares to net cash used in financing activities of $3.8 million for the thirty-nine weeks ended November 1,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Credit Agreement</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our prior credit agreement. The Credit Agreement provides for certain credit facilities to VBD in an aggregate principal amount not to initially exceed $125.0 million, the proceeds of which will be used for general corporate purposes of VBD and its subsidiaries, including but not limited to Vera Bradley International, LLC and Vera Bradley Sales, LLC (collectively, the “Named Subsidiaries”).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 As of October 31, 2015, the Company had borrowing availability of $125.0 million under the agreement.</w:t>
      </w:r>
    </w:p>
    <w:p>
      <w:pPr>
        <w:spacing w:after="0" w:line="1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1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 The Company was in compliance with these covenants as of October 31,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31, 2015.</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31, 2015. As of October 31, 2015, there was no significant change to any of the critical accounting policies and estimates described in the Annual Report.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April 2014, the Financial Accounting Standards Board (“FASB”) issued Accounting Standards Update (“ASU”) 2014-08, </w:t>
      </w:r>
      <w:r>
        <w:rPr>
          <w:rFonts w:ascii="Arial" w:cs="Arial" w:eastAsia="Arial" w:hAnsi="Arial"/>
          <w:sz w:val="16"/>
          <w:szCs w:val="16"/>
          <w:i w:val="1"/>
          <w:iCs w:val="1"/>
          <w:color w:val="auto"/>
        </w:rPr>
        <w:t>Reporting Discontinued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 and Disclosures of Disposals of Components of an Entity</w:t>
      </w:r>
      <w:r>
        <w:rPr>
          <w:rFonts w:ascii="Arial" w:cs="Arial" w:eastAsia="Arial" w:hAnsi="Arial"/>
          <w:sz w:val="16"/>
          <w:szCs w:val="16"/>
          <w:color w:val="auto"/>
        </w:rPr>
        <w:t>. This guidance states that the disposal of a component of an entity is to be reported in</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discontinued 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other additional and expanded disclosures. The guidance is effective for all disposals (or 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 for issuance. The adoption of this standard did not have a material impact on the Company's Consolidated Financial Statements upon adoption.</w:t>
      </w:r>
    </w:p>
    <w:p>
      <w:pPr>
        <w:spacing w:after="0" w:line="3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fiscal 2019. Earlier application is permitted as of the original effective date, annual reporting periods beginning after December 2016, including interim periods within that reporting period. The Company is currently evaluating the impact of this standard, including the transition method, on its consolidated results of operations, financial position and cash flows.</w:t>
      </w:r>
    </w:p>
    <w:p>
      <w:pPr>
        <w:spacing w:after="0" w:line="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xml:space="preserve"> which requires management to evaluate whether there is substantial doubt about an entity’s ability to continue as a going concern and provide related footnote disclosures. The guidance is effective for annual or interim reporting periods beginning on or after December 15, 2016. Early adoption is permitted for financial statements that have not been previously issued. The standard allows for either a full retrospective or modified retrospective transition method. The Company does not expect this standard to have an impact on the Company’s Consolidated Financial Statements upon adoption.</w:t>
      </w:r>
    </w:p>
    <w:p>
      <w:pPr>
        <w:spacing w:after="0" w:line="5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which modifies the presentation of debt issuance costs in financial statements. Under this new guidance, the Company will be required to present these costs in our condensed consolidated balance sheets as a direct deduction from the related debt liability. The requirements of the new standard will become effective for fiscal years, and interim periods within those fiscal years (including retrospective application), beginning after December 15, 2015; early adoption is permitted. The Company is currently evaluating this guidance and does not expect the application of this standard to have a material impact on the Company’s Consolidated Financial Statements upon adoption.</w:t>
      </w:r>
    </w:p>
    <w:p>
      <w:pPr>
        <w:spacing w:after="0" w:line="2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w:t>
      </w:r>
      <w:r>
        <w:rPr>
          <w:rFonts w:ascii="Arial" w:cs="Arial" w:eastAsia="Arial" w:hAnsi="Arial"/>
          <w:sz w:val="16"/>
          <w:szCs w:val="16"/>
          <w:color w:val="auto"/>
        </w:rPr>
        <w:t>, which requires entities to measure inventory at the lower of cost and net realizable value. This guidance is effective for interim and annual periods beginning on or after December 15, 2016. The Company is currently evaluating this guidance and does not expect the application of this standard to have a material impact on the Company’s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October 31, 2015, there was no material change in the market risks described in “Quantitative and Qualitative Disclosures About Market Risks” in the Company’s Annual Report on Form 10-K for the fiscal year ended January 31, 2015.</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October 31, 2015.</w:t>
      </w:r>
    </w:p>
    <w:p>
      <w:pPr>
        <w:spacing w:after="0" w:line="1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121"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January 31, 2015.</w:t>
      </w:r>
    </w:p>
    <w:p>
      <w:pPr>
        <w:spacing w:after="0" w:line="200" w:lineRule="exact"/>
        <w:rPr>
          <w:sz w:val="20"/>
          <w:szCs w:val="20"/>
          <w:color w:val="auto"/>
        </w:rPr>
      </w:pP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September 9, 2014, the Company’s board of directors approved a share repurchase program (the “2014 Share Repurchase Program”) authorizing up to $40.0 million of repurchases of shares of the Company's common stock. The 2014 Share Repurchase Program expires in October 2016. During the thirteen weeks ended October 31, 2015, the Company repurchased 623,633 shares of the Company's common stock at an average price of $10.47 per share, excluding commissions. These purchases completed the 2014 Share Repurchase Program.</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shares repurchased under the program during the thirteen weeks ended October 31, 2015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 per Share</w:t>
            </w:r>
          </w:p>
        </w:tc>
        <w:tc>
          <w:tcPr>
            <w:tcW w:w="100" w:type="dxa"/>
            <w:vAlign w:val="bottom"/>
            <w:vMerge w:val="restart"/>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the Plans or Program</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 2015 - August 29, 2015</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623,633</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623,633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August 30, 2015 - October 3, 2015</w:t>
            </w: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4, 2015 - October 31, 2015</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623,633</w:t>
            </w:r>
          </w:p>
        </w:tc>
        <w:tc>
          <w:tcPr>
            <w:tcW w:w="140" w:type="dxa"/>
            <w:vAlign w:val="bottom"/>
          </w:tcPr>
          <w:p>
            <w:pPr>
              <w:spacing w:after="0"/>
              <w:rPr>
                <w:sz w:val="20"/>
                <w:szCs w:val="20"/>
                <w:color w:val="auto"/>
              </w:rPr>
            </w:pPr>
          </w:p>
        </w:tc>
        <w:tc>
          <w:tcPr>
            <w:tcW w:w="76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623,633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Borders>
              <w:top w:val="single" w:sz="8" w:color="auto"/>
            </w:tcBorders>
          </w:tcPr>
          <w:p>
            <w:pPr>
              <w:jc w:val="right"/>
              <w:ind w:right="717"/>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7"/>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7"/>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180" w:hanging="1265"/>
        <w:spacing w:after="0" w:line="286"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materials from Vera Bradley, Inc.’s Quarterly Report on Form 10-Q for the quarter ended October 31, 2015 formatted in Extensible Business Reporting Language (XBRL): (i) Consolidated Statements of Income for the Thirteen and Thirty-Nine Weeks ended October 31, 2015 and November 1, 2014; (ii) Consolidated Statements of Comprehensive Income for the Thirteen and Thirty-Nine Weeks ended October 31, 2015 and November 1, 2014; (iii) Consolidated Balance Sheets as of October 31, 2015 and January 31, 2015;</w:t>
      </w:r>
    </w:p>
    <w:p>
      <w:pPr>
        <w:spacing w:after="0" w:line="1" w:lineRule="exact"/>
        <w:rPr>
          <w:rFonts w:ascii="Arial" w:cs="Arial" w:eastAsia="Arial" w:hAnsi="Arial"/>
          <w:sz w:val="16"/>
          <w:szCs w:val="16"/>
          <w:color w:val="auto"/>
        </w:rPr>
      </w:pPr>
    </w:p>
    <w:p>
      <w:pPr>
        <w:ind w:left="1300" w:right="280"/>
        <w:spacing w:after="0" w:line="261" w:lineRule="auto"/>
        <w:rPr>
          <w:rFonts w:ascii="Arial" w:cs="Arial" w:eastAsia="Arial" w:hAnsi="Arial"/>
          <w:sz w:val="16"/>
          <w:szCs w:val="16"/>
          <w:color w:val="auto"/>
        </w:rPr>
      </w:pPr>
      <w:r>
        <w:rPr>
          <w:rFonts w:ascii="Arial" w:cs="Arial" w:eastAsia="Arial" w:hAnsi="Arial"/>
          <w:sz w:val="18"/>
          <w:szCs w:val="18"/>
          <w:color w:val="auto"/>
        </w:rPr>
        <w:t>(iv) Consolidated Statements of Cash Flows for the Thirty-Nine Weeks ended October 31, 2015 and November 1, 2014, and (v) Notes to Consolidated Financial Statements. **</w:t>
      </w:r>
    </w:p>
    <w:p>
      <w:pPr>
        <w:spacing w:after="0" w:line="143" w:lineRule="exact"/>
        <w:rPr>
          <w:sz w:val="20"/>
          <w:szCs w:val="20"/>
          <w:color w:val="auto"/>
        </w:rPr>
      </w:pPr>
    </w:p>
    <w:p>
      <w:pPr>
        <w:ind w:left="740" w:hanging="705"/>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9, 2015</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 Chief Financial Officer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121"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Borders>
              <w:top w:val="single" w:sz="8" w:color="auto"/>
            </w:tcBorders>
          </w:tcPr>
          <w:p>
            <w:pPr>
              <w:jc w:val="right"/>
              <w:ind w:right="717"/>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7"/>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7"/>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180" w:hanging="1265"/>
        <w:spacing w:after="0" w:line="286"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materials from Vera Bradley, Inc.’s Quarterly Report on Form 10-Q for the quarter ended October 31, 2015 formatted in Extensible Business Reporting Language (XBRL): (i) Consolidated Statements of Income for the Thirteen and Thirty-Nine Weeks ended October 31, 2015 and November 1, 2014; (ii) Consolidated Statements of Comprehensive Income for the Thirteen and Thirty-Nine Weeks ended October 31, 2015 and November 1, 2014; (iii) Consolidated Balance Sheets as of October 31, 2015 and January 31, 2015;</w:t>
      </w:r>
    </w:p>
    <w:p>
      <w:pPr>
        <w:spacing w:after="0" w:line="1" w:lineRule="exact"/>
        <w:rPr>
          <w:rFonts w:ascii="Arial" w:cs="Arial" w:eastAsia="Arial" w:hAnsi="Arial"/>
          <w:sz w:val="16"/>
          <w:szCs w:val="16"/>
          <w:color w:val="auto"/>
        </w:rPr>
      </w:pPr>
    </w:p>
    <w:p>
      <w:pPr>
        <w:ind w:left="1300" w:right="280"/>
        <w:spacing w:after="0" w:line="261" w:lineRule="auto"/>
        <w:rPr>
          <w:rFonts w:ascii="Arial" w:cs="Arial" w:eastAsia="Arial" w:hAnsi="Arial"/>
          <w:sz w:val="16"/>
          <w:szCs w:val="16"/>
          <w:color w:val="auto"/>
        </w:rPr>
      </w:pPr>
      <w:r>
        <w:rPr>
          <w:rFonts w:ascii="Arial" w:cs="Arial" w:eastAsia="Arial" w:hAnsi="Arial"/>
          <w:sz w:val="18"/>
          <w:szCs w:val="18"/>
          <w:color w:val="auto"/>
        </w:rPr>
        <w:t>(iv) Consolidated Statements of Cash Flows for the Thirty-Nine Weeks ended October 31, 2015 and November 1, 2014, and (v) Notes to Consolidated Financial Statements. **</w:t>
      </w:r>
    </w:p>
    <w:p>
      <w:pPr>
        <w:spacing w:after="0" w:line="143" w:lineRule="exact"/>
        <w:rPr>
          <w:sz w:val="20"/>
          <w:szCs w:val="20"/>
          <w:color w:val="auto"/>
        </w:rPr>
      </w:pPr>
    </w:p>
    <w:p>
      <w:pPr>
        <w:ind w:left="740" w:hanging="705"/>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9, 2015</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9, 2015</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October 31, 2015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December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 Kevin J. Sierks, the Executive Vice President – Chief Financial Officer of Vera Bradley, Inc., certify that (i) the quarterly report on Form 10-Q for the fiscal quarter ended October 31, 2015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December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lvl w:ilvl="1">
      <w:lvlJc w:val="left"/>
      <w:lvlText w:val="(%2)"/>
      <w:numFmt w:val="decimal"/>
      <w:start w:val="1"/>
    </w:lvl>
  </w:abstractNum>
  <w:abstractNum w:abstractNumId="5">
    <w:nsid w:val="66EF438D"/>
    <w:multiLevelType w:val="hybridMultilevel"/>
    <w:lvl w:ilvl="0">
      <w:lvlJc w:val="left"/>
      <w:lvlText w:val="%1."/>
      <w:numFmt w:val="decimal"/>
      <w:start w:val="5"/>
    </w:lvl>
    <w:lvl w:ilvl="1">
      <w:lvlJc w:val="left"/>
      <w:lvlText w:val="%2"/>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0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0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2019-12-29T12:38:05Z</dcterms:created>
  <dcterms:modified xsi:type="dcterms:W3CDTF">2019-12-29T12:38:05Z</dcterms:modified>
</cp:coreProperties>
</file>