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54" w:lineRule="exact"/>
        <w:rPr>
          <w:sz w:val="24"/>
          <w:szCs w:val="24"/>
          <w:color w:val="auto"/>
        </w:rPr>
      </w:pPr>
    </w:p>
    <w:p>
      <w:pPr>
        <w:ind w:left="720" w:right="20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29, 2017</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1" w:lineRule="exact"/>
        <w:rPr>
          <w:sz w:val="24"/>
          <w:szCs w:val="24"/>
          <w:color w:val="auto"/>
        </w:rPr>
      </w:pPr>
    </w:p>
    <w:p>
      <w:pPr>
        <w:ind w:left="720" w:right="18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46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17145</wp:posOffset>
            </wp:positionV>
            <wp:extent cx="1766570" cy="892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92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24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6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27-2935063</w:t>
            </w:r>
          </w:p>
        </w:tc>
      </w:tr>
      <w:tr>
        <w:trPr>
          <w:trHeight w:val="178"/>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6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6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12420 Stonebridge Road,</w:t>
            </w:r>
          </w:p>
        </w:tc>
        <w:tc>
          <w:tcPr>
            <w:tcW w:w="5160" w:type="dxa"/>
            <w:vAlign w:val="bottom"/>
          </w:tcPr>
          <w:p>
            <w:pPr>
              <w:spacing w:after="0"/>
              <w:rPr>
                <w:sz w:val="24"/>
                <w:szCs w:val="24"/>
                <w:color w:val="auto"/>
              </w:rPr>
            </w:pPr>
          </w:p>
        </w:tc>
      </w:tr>
      <w:tr>
        <w:trPr>
          <w:trHeight w:val="238"/>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Roanoke, Indiana</w:t>
            </w:r>
          </w:p>
        </w:tc>
        <w:tc>
          <w:tcPr>
            <w:tcW w:w="516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r>
      <w:tr>
        <w:trPr>
          <w:trHeight w:val="22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left="39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(877) 708-8372</w:t>
            </w:r>
          </w:p>
        </w:tc>
      </w:tr>
      <w:tr>
        <w:trPr>
          <w:trHeight w:val="190"/>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1"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68" w:lineRule="exact"/>
        <w:rPr>
          <w:sz w:val="24"/>
          <w:szCs w:val="24"/>
          <w:color w:val="auto"/>
        </w:rPr>
      </w:pPr>
    </w:p>
    <w:p>
      <w:pPr>
        <w:ind w:left="40"/>
        <w:spacing w:after="0" w:line="207" w:lineRule="exact"/>
        <w:tabs>
          <w:tab w:leader="none" w:pos="3000" w:val="left"/>
          <w:tab w:leader="none" w:pos="7900" w:val="left"/>
          <w:tab w:leader="none" w:pos="110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Times New Roman" w:cs="Times New Roman" w:eastAsia="Times New Roman" w:hAnsi="Times New Roman"/>
          <w:sz w:val="18"/>
          <w:szCs w:val="18"/>
          <w:color w:val="auto"/>
        </w:rPr>
        <w:t>x</w:t>
      </w:r>
    </w:p>
    <w:p>
      <w:pPr>
        <w:spacing w:after="0" w:line="387" w:lineRule="exact"/>
        <w:rPr>
          <w:sz w:val="24"/>
          <w:szCs w:val="24"/>
          <w:color w:val="auto"/>
        </w:rPr>
      </w:pPr>
    </w:p>
    <w:p>
      <w:pPr>
        <w:ind w:left="40"/>
        <w:spacing w:after="0" w:line="207" w:lineRule="exact"/>
        <w:tabs>
          <w:tab w:leader="none" w:pos="3000" w:val="left"/>
          <w:tab w:leader="none" w:pos="7900" w:val="left"/>
          <w:tab w:leader="none" w:pos="1108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8"/>
          <w:szCs w:val="18"/>
          <w:color w:val="auto"/>
        </w:rPr>
        <w:t>☐</w:t>
      </w:r>
    </w:p>
    <w:p>
      <w:pPr>
        <w:sectPr>
          <w:pgSz w:w="11900" w:h="16838" w:orient="portrait"/>
          <w:cols w:equalWidth="0" w:num="1">
            <w:col w:w="11420"/>
          </w:cols>
          <w:pgMar w:left="240" w:top="225" w:right="239" w:bottom="0" w:gutter="0" w:footer="0" w:header="0"/>
        </w:sectPr>
      </w:pPr>
    </w:p>
    <w:p>
      <w:pPr>
        <w:spacing w:after="0" w:line="387" w:lineRule="exact"/>
        <w:rPr>
          <w:sz w:val="24"/>
          <w:szCs w:val="24"/>
          <w:color w:val="auto"/>
        </w:rPr>
      </w:pPr>
    </w:p>
    <w:p>
      <w:pPr>
        <w:ind w:left="7920"/>
        <w:spacing w:after="0" w:line="207" w:lineRule="exact"/>
        <w:tabs>
          <w:tab w:leader="none" w:pos="110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ectPr>
          <w:pgSz w:w="11900" w:h="16838" w:orient="portrait"/>
          <w:cols w:equalWidth="0" w:num="1">
            <w:col w:w="11420"/>
          </w:cols>
          <w:pgMar w:left="240" w:top="225" w:right="239" w:bottom="0" w:gutter="0" w:footer="0" w:header="0"/>
          <w:type w:val="continuous"/>
        </w:sectPr>
      </w:pPr>
    </w:p>
    <w:bookmarkStart w:id="1" w:name="page2"/>
    <w:bookmarkEnd w:id="1"/>
    <w:p>
      <w:pPr>
        <w:ind w:lef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0"/>
          <w:szCs w:val="20"/>
          <w:color w:val="auto"/>
        </w:rPr>
      </w:pPr>
    </w:p>
    <w:p>
      <w:pPr>
        <w:ind w:right="18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 The registrant had 35,965,184 shares of its common stock outstanding as of August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3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19"/>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9"/>
          </w:tcPr>
          <w:p>
            <w:pPr>
              <w:ind w:left="1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8"/>
          </w:tcPr>
          <w:p>
            <w:pPr>
              <w:spacing w:after="0"/>
              <w:rPr>
                <w:rFonts w:ascii="Times New Roman" w:cs="Times New Roman" w:eastAsia="Times New Roman" w:hAnsi="Times New Roman"/>
                <w:sz w:val="18"/>
                <w:szCs w:val="18"/>
                <w:b w:val="1"/>
                <w:bCs w:val="1"/>
                <w:color w:val="0000FF"/>
                <w:w w:val="98"/>
              </w:rPr>
            </w:pPr>
            <w:hyperlink w:anchor="page5">
              <w:r>
                <w:rPr>
                  <w:rFonts w:ascii="Times New Roman" w:cs="Times New Roman" w:eastAsia="Times New Roman" w:hAnsi="Times New Roman"/>
                  <w:sz w:val="18"/>
                  <w:szCs w:val="18"/>
                  <w:b w:val="1"/>
                  <w:bCs w:val="1"/>
                  <w:color w:val="0000FF"/>
                  <w:w w:val="98"/>
                </w:rPr>
                <w:t>PART I. FINANCIAL INFORMATION</w:t>
              </w:r>
            </w:hyperlink>
          </w:p>
        </w:tc>
        <w:tc>
          <w:tcPr>
            <w:tcW w:w="81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Financial Statements (unaudited)</w:t>
              </w:r>
            </w:hyperlink>
          </w:p>
        </w:tc>
        <w:tc>
          <w:tcPr>
            <w:tcW w:w="78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 as of July 29, 2017, and January 28, 2017</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Income for the Thirteen and Twenty-Six Weeks Ended July 29, 2017, and July 30, 2016</w:t>
              </w:r>
            </w:hyperlink>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Comprehensive Income for the Thirteen and Twenty-Six Weeks Ended July 29, 2017,</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and July 30, 2016</w:t>
              </w:r>
            </w:hyperlink>
          </w:p>
        </w:tc>
        <w:tc>
          <w:tcPr>
            <w:tcW w:w="7740" w:type="dxa"/>
            <w:vAlign w:val="bottom"/>
            <w:tcBorders>
              <w:top w:val="single" w:sz="8" w:color="0000EE"/>
            </w:tcBorders>
            <w:gridSpan w:val="11"/>
          </w:tcPr>
          <w:p>
            <w:pPr>
              <w:spacing w:after="0"/>
              <w:rPr>
                <w:sz w:val="17"/>
                <w:szCs w:val="17"/>
                <w:color w:val="auto"/>
              </w:rPr>
            </w:pPr>
          </w:p>
        </w:tc>
        <w:tc>
          <w:tcPr>
            <w:tcW w:w="12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Twenty-Six Weeks Ended July 29, 2017, and July 30, 2016</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the Condensed Consolidated Financial Statements</w:t>
              </w:r>
            </w:hyperlink>
          </w:p>
        </w:tc>
        <w:tc>
          <w:tcPr>
            <w:tcW w:w="4260" w:type="dxa"/>
            <w:vAlign w:val="bottom"/>
            <w:tcBorders>
              <w:top w:val="single" w:sz="8" w:color="0000EE"/>
            </w:tcBorders>
            <w:gridSpan w:val="5"/>
          </w:tcPr>
          <w:p>
            <w:pPr>
              <w:spacing w:after="0"/>
              <w:rPr>
                <w:sz w:val="24"/>
                <w:szCs w:val="24"/>
                <w:color w:val="auto"/>
              </w:rPr>
            </w:pPr>
          </w:p>
        </w:tc>
        <w:tc>
          <w:tcPr>
            <w:tcW w:w="17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18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28</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7"/>
          </w:tcPr>
          <w:p>
            <w:pPr>
              <w:spacing w:after="0"/>
              <w:rPr>
                <w:rFonts w:ascii="Times New Roman" w:cs="Times New Roman" w:eastAsia="Times New Roman" w:hAnsi="Times New Roman"/>
                <w:sz w:val="18"/>
                <w:szCs w:val="18"/>
                <w:b w:val="1"/>
                <w:bCs w:val="1"/>
                <w:color w:val="0000FF"/>
                <w:w w:val="97"/>
              </w:rPr>
            </w:pPr>
            <w:hyperlink w:anchor="page30">
              <w:r>
                <w:rPr>
                  <w:rFonts w:ascii="Times New Roman" w:cs="Times New Roman" w:eastAsia="Times New Roman" w:hAnsi="Times New Roman"/>
                  <w:sz w:val="18"/>
                  <w:szCs w:val="18"/>
                  <w:b w:val="1"/>
                  <w:bCs w:val="1"/>
                  <w:color w:val="0000FF"/>
                  <w:w w:val="97"/>
                </w:rPr>
                <w:t>PART II. OTHER INFORMATION</w:t>
              </w:r>
            </w:hyperlink>
          </w:p>
        </w:tc>
        <w:tc>
          <w:tcPr>
            <w:tcW w:w="84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Risk Factors</w:t>
              </w:r>
            </w:hyperlink>
          </w:p>
        </w:tc>
        <w:tc>
          <w:tcPr>
            <w:tcW w:w="936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29</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29</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Exhibits</w:t>
              </w:r>
            </w:hyperlink>
          </w:p>
        </w:tc>
        <w:tc>
          <w:tcPr>
            <w:tcW w:w="3740" w:type="dxa"/>
            <w:vAlign w:val="bottom"/>
            <w:tcBorders>
              <w:top w:val="single" w:sz="8" w:color="0000EE"/>
            </w:tcBorders>
            <w:gridSpan w:val="8"/>
          </w:tcPr>
          <w:p>
            <w:pPr>
              <w:spacing w:after="0"/>
              <w:rPr>
                <w:sz w:val="24"/>
                <w:szCs w:val="24"/>
                <w:color w:val="auto"/>
              </w:rPr>
            </w:pPr>
          </w:p>
        </w:tc>
        <w:tc>
          <w:tcPr>
            <w:tcW w:w="592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30</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60" w:type="dxa"/>
            <w:vAlign w:val="bottom"/>
            <w:gridSpan w:val="12"/>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27" w:lineRule="exact"/>
        <w:rPr>
          <w:sz w:val="20"/>
          <w:szCs w:val="20"/>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continued declines in our comparable sales;</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13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ramifications from the payment card incident disclosed in October 2016; and</w:t>
      </w:r>
    </w:p>
    <w:p>
      <w:pPr>
        <w:spacing w:after="0" w:line="6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January 28, 2017.</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117"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5"/>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1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66,362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86,375</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30,152</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23,313</w:t>
            </w:r>
          </w:p>
        </w:tc>
      </w:tr>
      <w:tr>
        <w:trPr>
          <w:trHeight w:val="243"/>
        </w:trPr>
        <w:tc>
          <w:tcPr>
            <w:tcW w:w="1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102,283</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3,217</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10,237</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255,577</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96,945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101,577</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13,539</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2,816</w:t>
            </w:r>
          </w:p>
        </w:tc>
      </w:tr>
      <w:tr>
        <w:trPr>
          <w:trHeight w:val="237"/>
        </w:trPr>
        <w:tc>
          <w:tcPr>
            <w:tcW w:w="83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353,420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373,509</w:t>
            </w:r>
          </w:p>
        </w:tc>
      </w:tr>
      <w:tr>
        <w:trPr>
          <w:trHeight w:val="67"/>
        </w:trPr>
        <w:tc>
          <w:tcPr>
            <w:tcW w:w="1360" w:type="dxa"/>
            <w:vAlign w:val="bottom"/>
            <w:tcBorders>
              <w:bottom w:val="single" w:sz="8" w:color="CCEEFF"/>
            </w:tcBorders>
            <w:gridSpan w:val="2"/>
          </w:tcPr>
          <w:p>
            <w:pPr>
              <w:spacing w:after="0"/>
              <w:rPr>
                <w:sz w:val="5"/>
                <w:szCs w:val="5"/>
                <w:color w:val="auto"/>
              </w:rPr>
            </w:pPr>
          </w:p>
        </w:tc>
        <w:tc>
          <w:tcPr>
            <w:tcW w:w="70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32,619</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Accrued employment costs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12,474</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16,906</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62,507</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27,216</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73,288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89,723</w:t>
            </w:r>
          </w:p>
        </w:tc>
      </w:tr>
      <w:tr>
        <w:trPr>
          <w:trHeight w:val="22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1360" w:type="dxa"/>
            <w:vAlign w:val="bottom"/>
            <w:gridSpan w:val="2"/>
          </w:tcPr>
          <w:p>
            <w:pPr>
              <w:spacing w:after="0"/>
              <w:rPr>
                <w:sz w:val="3"/>
                <w:szCs w:val="3"/>
                <w:color w:val="auto"/>
              </w:rPr>
            </w:pPr>
          </w:p>
        </w:tc>
        <w:tc>
          <w:tcPr>
            <w:tcW w:w="7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Preferred stock; 5,000 shares authorized, no shares issued or outstanding</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83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without par value; 200,000 shares authorized, 41,096 and 40,927 shares issued and 36,014</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36,218 shares outstanding,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88,739</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263,767</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(68,670)</w:t>
            </w:r>
          </w:p>
        </w:tc>
      </w:tr>
      <w:tr>
        <w:trPr>
          <w:trHeight w:val="237"/>
        </w:trPr>
        <w:tc>
          <w:tcPr>
            <w:tcW w:w="83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280,132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283,786</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353,420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373,509</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0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0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00" w:type="dxa"/>
            <w:vAlign w:val="bottom"/>
          </w:tcPr>
          <w:p>
            <w:pPr>
              <w:spacing w:after="0"/>
              <w:rPr>
                <w:sz w:val="12"/>
                <w:szCs w:val="12"/>
                <w:color w:val="auto"/>
              </w:rPr>
            </w:pPr>
          </w:p>
        </w:tc>
        <w:tc>
          <w:tcPr>
            <w:tcW w:w="1180" w:type="dxa"/>
            <w:vAlign w:val="bottom"/>
          </w:tcPr>
          <w:p>
            <w:pPr>
              <w:jc w:val="right"/>
              <w:ind w:right="432"/>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r>
      <w:tr>
        <w:trPr>
          <w:trHeight w:val="195"/>
        </w:trPr>
        <w:tc>
          <w:tcPr>
            <w:tcW w:w="5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112,418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224,426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50,857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92,560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96,382</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63,293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128,044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59,747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116,681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797</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12,160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12,049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4,522</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7,527</w:t>
            </w:r>
          </w:p>
        </w:tc>
      </w:tr>
      <w:tr>
        <w:trPr>
          <w:trHeight w:val="67"/>
        </w:trPr>
        <w:tc>
          <w:tcPr>
            <w:tcW w:w="51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weighted-average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36,122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37,030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36,178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37,288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36,158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36,178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37,419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0.20</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5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00" w:type="dxa"/>
            <w:vAlign w:val="bottom"/>
          </w:tcPr>
          <w:p>
            <w:pPr>
              <w:spacing w:after="0"/>
              <w:rPr>
                <w:sz w:val="12"/>
                <w:szCs w:val="12"/>
                <w:color w:val="auto"/>
              </w:rPr>
            </w:pPr>
          </w:p>
        </w:tc>
        <w:tc>
          <w:tcPr>
            <w:tcW w:w="1180" w:type="dxa"/>
            <w:vAlign w:val="bottom"/>
          </w:tcPr>
          <w:p>
            <w:pPr>
              <w:jc w:val="right"/>
              <w:ind w:right="436"/>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r>
      <w:tr>
        <w:trPr>
          <w:trHeight w:val="195"/>
        </w:trPr>
        <w:tc>
          <w:tcPr>
            <w:tcW w:w="5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2,193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5,109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7,527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on available-for-sale investments</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net of tax</w:t>
            </w:r>
          </w:p>
        </w:tc>
        <w:tc>
          <w:tcPr>
            <w:tcW w:w="980" w:type="dxa"/>
            <w:vAlign w:val="bottom"/>
            <w:tcBorders>
              <w:top w:val="single" w:sz="8" w:color="auto"/>
            </w:tcBorders>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2,203</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5,101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7,524</w:t>
            </w:r>
          </w:p>
        </w:tc>
      </w:tr>
      <w:tr>
        <w:trPr>
          <w:trHeight w:val="27"/>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00" w:type="dxa"/>
            <w:vAlign w:val="bottom"/>
          </w:tcPr>
          <w:p>
            <w:pPr>
              <w:spacing w:after="0"/>
              <w:rPr>
                <w:sz w:val="12"/>
                <w:szCs w:val="12"/>
                <w:color w:val="auto"/>
              </w:rPr>
            </w:pPr>
          </w:p>
        </w:tc>
        <w:tc>
          <w:tcPr>
            <w:tcW w:w="1180" w:type="dxa"/>
            <w:vAlign w:val="bottom"/>
          </w:tcPr>
          <w:p>
            <w:pPr>
              <w:jc w:val="right"/>
              <w:ind w:right="431"/>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0" w:type="dxa"/>
            <w:vAlign w:val="bottom"/>
          </w:tcPr>
          <w:p>
            <w:pPr>
              <w:spacing w:after="0"/>
              <w:rPr>
                <w:sz w:val="1"/>
                <w:szCs w:val="1"/>
                <w:color w:val="auto"/>
              </w:rPr>
            </w:pPr>
          </w:p>
        </w:tc>
      </w:tr>
      <w:tr>
        <w:trPr>
          <w:trHeight w:val="195"/>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9,555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gain 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non-cash charges (gain), net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17,043</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15,774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maturities and sales of investments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33,350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97,681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66,362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55,456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15,396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Expenditures incurred but not yet paid as of July 29, 2017 and July 30, 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Expenditures incurred but not yet paid as of January 28, 2017 and January 30, 2016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Expenditures incurred but not yet paid as of July 29, 2017 and July 30, 2016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Expenditures incurred but not yet paid as of January 28, 2017 and January 30, 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20"/>
          </w:cols>
          <w:pgMar w:left="240" w:top="117" w:right="239" w:bottom="738"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738"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the Company and Basis of Presentation</w:t>
      </w:r>
    </w:p>
    <w:p>
      <w:pPr>
        <w:spacing w:after="0" w:line="94"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The terms “Company” and “Vera Bradley” refer to Vera Bradley, Inc. and its subsidiaries, except where the context requires otherwise or where otherwise indicated.</w:t>
      </w:r>
    </w:p>
    <w:p>
      <w:pPr>
        <w:spacing w:after="0" w:line="27"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1"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July 29, 2017, the Company operated 112 full-line stores and 49 factory outlet stores. The Indirect business consists of sales of Vera Bradley products to approximately 2,400 specialty retail locations, substantially all of which are located in the United States, as well as department stores, national accounts, third-party e-commerce sites, the Company's wholesale customer in Japan, third-party inventory liquidators, and licensing.</w:t>
      </w:r>
    </w:p>
    <w:p>
      <w:pPr>
        <w:spacing w:after="0" w:line="54" w:lineRule="exact"/>
        <w:rPr>
          <w:sz w:val="20"/>
          <w:szCs w:val="20"/>
          <w:color w:val="auto"/>
        </w:rPr>
      </w:pPr>
    </w:p>
    <w:p>
      <w:pPr>
        <w:ind w:left="660" w:right="20"/>
        <w:spacing w:after="0" w:line="277"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28, 2017, filed with the SEC.</w:t>
      </w:r>
    </w:p>
    <w:p>
      <w:pPr>
        <w:spacing w:after="0" w:line="33"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July 29, 2017, are not necessarily indicative of the results to be expected for the full fiscal year.</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July 29, 2017, and July 30, 2016, refer to the thirteen-week periods ended on those dates.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Operating Leases and Tenant-Improvement Allowances</w:t>
      </w:r>
    </w:p>
    <w:p>
      <w:pPr>
        <w:spacing w:after="0" w:line="9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July 29, 2017 and January 28, 2017, deferred rent liability was $12.8 million and $12.7 million, respectively, and is included within long-term liabilities on the Condensed Consolidated Balance Sheets.</w:t>
      </w:r>
    </w:p>
    <w:p>
      <w:pPr>
        <w:spacing w:after="0" w:line="184" w:lineRule="exact"/>
        <w:rPr>
          <w:sz w:val="20"/>
          <w:szCs w:val="20"/>
          <w:color w:val="auto"/>
        </w:rPr>
      </w:pPr>
    </w:p>
    <w:p>
      <w:pPr>
        <w:ind w:left="660" w:right="300"/>
        <w:spacing w:after="0" w:line="258" w:lineRule="auto"/>
        <w:rPr>
          <w:sz w:val="20"/>
          <w:szCs w:val="20"/>
          <w:color w:val="auto"/>
        </w:rPr>
      </w:pPr>
      <w:r>
        <w:rPr>
          <w:rFonts w:ascii="Times New Roman" w:cs="Times New Roman" w:eastAsia="Times New Roman" w:hAnsi="Times New Roman"/>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July 29, 2017 and January 28, 2017, the deferred lease credit liability was $14.9 million and $15.8 million, respectively. Of these amounts, $2.4 million is included within other accrued liabilities as of July 29, 2017 and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January 28, 2017; $12.5 million and $13.4 million is included within long-term liabilities as of July 29, 2017 and January 28, 2017, respectively.</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90" w:lineRule="exact"/>
        <w:rPr>
          <w:sz w:val="20"/>
          <w:szCs w:val="20"/>
          <w:color w:val="auto"/>
        </w:rPr>
      </w:pPr>
    </w:p>
    <w:p>
      <w:pPr>
        <w:ind w:left="660" w:right="40"/>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This guidance requires companies to recognize revenue in a manner that depicts the transfer of promised goods or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February 4, 2018 (the beginning of the Company's fiscal 2019). Earlier application is permitted as of the original effective date, annual reporting periods beginning after December 2016, including interim periods within that reporting period.</w:t>
      </w:r>
    </w:p>
    <w:p>
      <w:pPr>
        <w:spacing w:after="0" w:line="56" w:lineRule="exact"/>
        <w:rPr>
          <w:sz w:val="20"/>
          <w:szCs w:val="20"/>
          <w:color w:val="auto"/>
        </w:rPr>
      </w:pPr>
    </w:p>
    <w:p>
      <w:pPr>
        <w:ind w:left="660" w:right="60"/>
        <w:spacing w:after="0" w:line="256" w:lineRule="auto"/>
        <w:rPr>
          <w:sz w:val="20"/>
          <w:szCs w:val="20"/>
          <w:color w:val="auto"/>
        </w:rPr>
      </w:pPr>
      <w:r>
        <w:rPr>
          <w:rFonts w:ascii="Times New Roman" w:cs="Times New Roman" w:eastAsia="Times New Roman" w:hAnsi="Times New Roman"/>
          <w:sz w:val="18"/>
          <w:szCs w:val="18"/>
          <w:color w:val="auto"/>
        </w:rPr>
        <w:t>In its preliminary assessment, the provisions of the standard the Company believes to be most significant is the determination of when a customer receives control of the product upon a sale, as this could result in earlier recognition of revenue as compared to the Company's current practice of adjusting for shipments not yet received. The Company is still evaluating the final impact on its consolidated results of operations, financial position and cash flows, as well as additional provisions that may impact the Company's recognition of revenue. The Company will adopt the standard in the first quarter of fiscal 2019 and currently anticipates adoption using the modified retrospective method with a cumulative adjustment to retained earnings recorded during the first quarter of fiscal 2019.</w:t>
      </w:r>
    </w:p>
    <w:p>
      <w:pPr>
        <w:spacing w:after="0" w:line="51" w:lineRule="exact"/>
        <w:rPr>
          <w:sz w:val="20"/>
          <w:szCs w:val="20"/>
          <w:color w:val="auto"/>
        </w:rPr>
      </w:pPr>
    </w:p>
    <w:p>
      <w:pPr>
        <w:ind w:left="66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The Company has operating leases at all of its retail stores; therefore, the adoption of this standard will result in a material increase of assets and liabilities on the Company's Consolidated Balance Sheets. The Company is continuing to evaluate the impact on its consolidated results of operations and cash flows.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7"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9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As a result of the net loss in the current-year twenty-six week period, dilutive potential common shares were anti-dilutive. The components of basic and diluted earnings per share were as follows (in thousands, except per share data):</w:t>
      </w:r>
    </w:p>
    <w:p>
      <w:pPr>
        <w:spacing w:after="0" w:line="380"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2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4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240" w:type="dxa"/>
            <w:vAlign w:val="bottom"/>
          </w:tcPr>
          <w:p>
            <w:pPr>
              <w:spacing w:after="0"/>
              <w:rPr>
                <w:sz w:val="12"/>
                <w:szCs w:val="12"/>
                <w:color w:val="auto"/>
              </w:rPr>
            </w:pPr>
          </w:p>
        </w:tc>
        <w:tc>
          <w:tcPr>
            <w:tcW w:w="980" w:type="dxa"/>
            <w:vAlign w:val="bottom"/>
          </w:tcPr>
          <w:p>
            <w:pPr>
              <w:jc w:val="right"/>
              <w:ind w:right="294"/>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r>
      <w:tr>
        <w:trPr>
          <w:trHeight w:val="195"/>
        </w:trPr>
        <w:tc>
          <w:tcPr>
            <w:tcW w:w="5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7,527</w:t>
            </w: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20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37,288</w:t>
            </w: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w:t>
            </w: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36,158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37,113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36,178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37,419</w:t>
            </w:r>
          </w:p>
        </w:tc>
      </w:tr>
      <w:tr>
        <w:trPr>
          <w:trHeight w:val="67"/>
        </w:trPr>
        <w:tc>
          <w:tcPr>
            <w:tcW w:w="5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Earnings (loss)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0.20</w:t>
            </w: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0.20</w:t>
            </w:r>
          </w:p>
        </w:tc>
      </w:tr>
      <w:tr>
        <w:trPr>
          <w:trHeight w:val="27"/>
        </w:trPr>
        <w:tc>
          <w:tcPr>
            <w:tcW w:w="5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As of July 29, 2017 and July 30, 2016, there were an immaterial number of additional shares issuable upon the vesting of restricted stock units that were excluded from the diluted share calculations because they were anti-dilutive.</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94"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1"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9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receivables, other current assets, and payables as of July 29, 2017, and January 28, 2017, approximated their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80"/>
          </w:cols>
          <w:pgMar w:left="240" w:top="117" w:right="3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July 29, 2017 and January 28, 2017 (in thousands):</w:t>
      </w:r>
    </w:p>
    <w:p>
      <w:pPr>
        <w:spacing w:after="0" w:line="31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21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0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0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34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9"/>
        </w:trPr>
        <w:tc>
          <w:tcPr>
            <w:tcW w:w="340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8"/>
              </w:rPr>
              <w:t>$2,957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11,362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Short-term investments: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 of deposit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30,152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investments: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80" w:right="1040" w:firstLine="3"/>
        <w:spacing w:after="0" w:line="266" w:lineRule="auto"/>
        <w:tabs>
          <w:tab w:leader="none" w:pos="9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include a money market fund, commercial paper, non-U.S. corporate debt securities and municipal securities that have a maturity of three months or less at the date of purchase. Due to their short maturity, the Company believes the carrying value approximates fair value.</w:t>
      </w:r>
    </w:p>
    <w:p>
      <w:pPr>
        <w:spacing w:after="0" w:line="68" w:lineRule="exact"/>
        <w:rPr>
          <w:sz w:val="20"/>
          <w:szCs w:val="20"/>
          <w:color w:val="auto"/>
        </w:rPr>
      </w:pPr>
    </w:p>
    <w:p>
      <w:pPr>
        <w:ind w:left="660" w:right="580"/>
        <w:spacing w:after="0" w:line="282" w:lineRule="auto"/>
        <w:rPr>
          <w:sz w:val="20"/>
          <w:szCs w:val="20"/>
          <w:color w:val="auto"/>
        </w:rPr>
      </w:pPr>
      <w:r>
        <w:rPr>
          <w:rFonts w:ascii="Times New Roman" w:cs="Times New Roman" w:eastAsia="Times New Roman" w:hAnsi="Times New Roman"/>
          <w:sz w:val="18"/>
          <w:szCs w:val="18"/>
          <w:color w:val="auto"/>
        </w:rPr>
        <w:t>The Company has certain assets that are measured on a non-recurring basis under circumstances and events described in Note 12 herein. The categorization of the framework to price these assets are within Level 3 due to the subjective nature of unobservable inputs.</w:t>
      </w: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Inventories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inventories were as follows (in thousands):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220" w:type="dxa"/>
            <w:vAlign w:val="bottom"/>
          </w:tcPr>
          <w:p>
            <w:pPr>
              <w:spacing w:after="0"/>
              <w:rPr>
                <w:sz w:val="13"/>
                <w:szCs w:val="13"/>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7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69"/>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104,108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102,283</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104,108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102,283</w:t>
            </w: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Debt</w:t>
      </w:r>
    </w:p>
    <w:p>
      <w:pPr>
        <w:spacing w:after="0" w:line="94"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the Company's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54" w:lineRule="exact"/>
        <w:rPr>
          <w:sz w:val="20"/>
          <w:szCs w:val="20"/>
          <w:color w:val="auto"/>
        </w:rPr>
      </w:pPr>
    </w:p>
    <w:p>
      <w:pPr>
        <w:ind w:left="660" w:right="340"/>
        <w:spacing w:after="0" w:line="258"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117"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depending upon the Company's leverage ratio. Any loans made, or letters of credit issued, pursuant to the Credit Agreement mature on July 15, 2020.</w:t>
      </w:r>
    </w:p>
    <w:p>
      <w:pPr>
        <w:spacing w:after="0" w:line="102"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1"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50" w:lineRule="exact"/>
        <w:rPr>
          <w:sz w:val="20"/>
          <w:szCs w:val="20"/>
          <w:color w:val="auto"/>
        </w:rPr>
      </w:pPr>
    </w:p>
    <w:p>
      <w:pPr>
        <w:ind w:left="660" w:right="800"/>
        <w:spacing w:after="0" w:line="282" w:lineRule="auto"/>
        <w:rPr>
          <w:sz w:val="20"/>
          <w:szCs w:val="20"/>
          <w:color w:val="auto"/>
        </w:rPr>
      </w:pPr>
      <w:r>
        <w:rPr>
          <w:rFonts w:ascii="Times New Roman" w:cs="Times New Roman" w:eastAsia="Times New Roman" w:hAnsi="Times New Roman"/>
          <w:sz w:val="18"/>
          <w:szCs w:val="18"/>
          <w:color w:val="auto"/>
        </w:rPr>
        <w:t>As of July 29, 2017 and January 28, 2017, the Company had no borrowings outstanding and availability of $125.0 million under its Credit Agreement.</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94" w:lineRule="exact"/>
        <w:rPr>
          <w:sz w:val="20"/>
          <w:szCs w:val="20"/>
          <w:color w:val="auto"/>
        </w:rPr>
      </w:pPr>
    </w:p>
    <w:p>
      <w:pPr>
        <w:jc w:val="both"/>
        <w:ind w:left="660" w:right="240"/>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 A provision for U.S. income tax has not been recorded on the temporary difference related to the Company’s foreign subsidiary. The Company has determined that this temporary difference is indefinitely reinvested outside of the U.S.</w:t>
      </w:r>
    </w:p>
    <w:p>
      <w:pPr>
        <w:spacing w:after="0" w:line="45"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July 29, 2017, was 42.4%, compared to 38.0% for the thirteen weeks ended July 30, 2016. The year-over year effective tax rate increase is primarily due to the relative impact of permanent and discrete items, including a tax shortfall from stock-based compensation.</w:t>
      </w:r>
    </w:p>
    <w:p>
      <w:pPr>
        <w:spacing w:after="0" w:line="41"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twenty-six weeks ended July 29, 2017, was (93.3)%, compared to 37.5% for the twenty-six weeks ended July 30, 2016. The year-over year effective tax rate increase is primarily due to the relative impact of permanent and discrete items, including a tax shortfall from stock-based compensation.</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94"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2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Awards of Restricted Stock Units</w:t>
      </w:r>
    </w:p>
    <w:p>
      <w:pPr>
        <w:spacing w:after="0" w:line="173" w:lineRule="exact"/>
        <w:rPr>
          <w:sz w:val="20"/>
          <w:szCs w:val="20"/>
          <w:color w:val="auto"/>
        </w:rPr>
      </w:pPr>
    </w:p>
    <w:p>
      <w:pPr>
        <w:jc w:val="both"/>
        <w:ind w:left="660" w:right="28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July 29, 2017, the Company did not grant time-based or performance-based restricted stock units under the 2010 Equity and Incentive Plan compared to a total of 106,984 time-based and performance-based restricted stock units with an aggregate fair value of $1.6 million granted in the same period of the prior year.</w:t>
      </w:r>
    </w:p>
    <w:p>
      <w:pPr>
        <w:spacing w:after="0" w:line="122"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During the twenty-six weeks ended July 29, 2017, the Company granted 506,572 time-based and performance-based restricted stock units with an aggregate fair value of $4.7 million to certain employees and non-employee directors under the 2010 Equity and Incentive Plan compared to a total of 402,132 time-based and performance-based restricted stock units with an aggregate fair value of $7.4 million granted in the same period of the prior year. The Company determined the fair value of the awards based on the closing price of the Company’s common stock on the grant date.</w:t>
      </w:r>
    </w:p>
    <w:p>
      <w:pPr>
        <w:sectPr>
          <w:pgSz w:w="11900" w:h="16838" w:orient="portrait"/>
          <w:cols w:equalWidth="0" w:num="1">
            <w:col w:w="11420"/>
          </w:cols>
          <w:pgMar w:left="240" w:top="117"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6"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twenty-six weeks ended July 29, 2017 (units in thousands):</w:t>
      </w: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28, 2017</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487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July 29, 2017</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410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As of July 29, 2017, there was $6.1 million of total unrecognized compensation cost, net of estimated forfeitures, related to nonvested restricted stock units. That cost is expected to be recognized over a weighted-average period of 1.8 years, subject to meeting performance conditions.</w:t>
      </w:r>
    </w:p>
    <w:p>
      <w:pPr>
        <w:spacing w:after="0" w:line="158" w:lineRule="exact"/>
        <w:rPr>
          <w:sz w:val="20"/>
          <w:szCs w:val="20"/>
          <w:color w:val="auto"/>
        </w:rPr>
      </w:pPr>
    </w:p>
    <w:p>
      <w:pPr>
        <w:ind w:left="660" w:right="8520" w:hanging="652"/>
        <w:spacing w:after="0" w:line="346" w:lineRule="auto"/>
        <w:tabs>
          <w:tab w:leader="none" w:pos="327"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Payment Card Incident </w:t>
      </w:r>
      <w:r>
        <w:rPr>
          <w:rFonts w:ascii="Times New Roman" w:cs="Times New Roman" w:eastAsia="Times New Roman" w:hAnsi="Times New Roman"/>
          <w:sz w:val="18"/>
          <w:szCs w:val="18"/>
          <w:i w:val="1"/>
          <w:iCs w:val="1"/>
          <w:color w:val="auto"/>
        </w:rPr>
        <w:t>Description of Event</w:t>
      </w:r>
    </w:p>
    <w:p>
      <w:pPr>
        <w:ind w:left="660"/>
        <w:spacing w:after="0" w:line="255" w:lineRule="auto"/>
        <w:rPr>
          <w:sz w:val="20"/>
          <w:szCs w:val="20"/>
          <w:color w:val="auto"/>
        </w:rPr>
      </w:pPr>
      <w:r>
        <w:rPr>
          <w:rFonts w:ascii="Times New Roman" w:cs="Times New Roman" w:eastAsia="Times New Roman" w:hAnsi="Times New Roman"/>
          <w:sz w:val="18"/>
          <w:szCs w:val="18"/>
          <w:color w:val="auto"/>
        </w:rPr>
        <w:t>On September 15, 2016, the Company received information from law enforcement regarding a potential data security issue related to its retail store network. Findings from the investigation show unauthorized access to the Company's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54" w:lineRule="exact"/>
        <w:rPr>
          <w:sz w:val="20"/>
          <w:szCs w:val="20"/>
          <w:color w:val="auto"/>
        </w:rPr>
      </w:pPr>
    </w:p>
    <w:p>
      <w:pPr>
        <w:jc w:val="both"/>
        <w:ind w:left="660" w:right="260"/>
        <w:spacing w:after="0" w:line="266" w:lineRule="auto"/>
        <w:rPr>
          <w:sz w:val="20"/>
          <w:szCs w:val="20"/>
          <w:color w:val="auto"/>
        </w:rPr>
      </w:pPr>
      <w:r>
        <w:rPr>
          <w:rFonts w:ascii="Times New Roman" w:cs="Times New Roman" w:eastAsia="Times New Roman" w:hAnsi="Times New Roman"/>
          <w:sz w:val="18"/>
          <w:szCs w:val="18"/>
          <w:color w:val="auto"/>
        </w:rPr>
        <w:t>The Company has resolved this incident and continues to work with the computer security firm to further strengthen the security of its systems to help prevent this from happening in the future. The Company continues to support law enforcement’s investigation and also promptly notified the payment card networks so that the banks that issue payment cards could initiate heightened monitoring on the affected cards.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Expenses Incurred</w:t>
      </w:r>
    </w:p>
    <w:p>
      <w:pPr>
        <w:spacing w:after="0" w:line="92"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During the thirteen and twenty-six weeks ended July 29, 2017, the Company recorded an immaterial amount of expense relating to remediation activities as a result of the Payment Card Incident.</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Future Costs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7"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right="100"/>
        <w:spacing w:after="0" w:line="255" w:lineRule="auto"/>
        <w:rPr>
          <w:sz w:val="20"/>
          <w:szCs w:val="20"/>
          <w:color w:val="auto"/>
        </w:rPr>
      </w:pPr>
      <w:r>
        <w:rPr>
          <w:rFonts w:ascii="Times New Roman" w:cs="Times New Roman" w:eastAsia="Times New Roman" w:hAnsi="Times New Roman"/>
          <w:sz w:val="18"/>
          <w:szCs w:val="18"/>
          <w:color w:val="auto"/>
        </w:rPr>
        <w:t>Payment card companies and associations may require the Company to reimburse them for unauthorized card charges and costs to replace cards and may also impose fines or penalties in connection with the Payment Card Incident, and enforcement authorities may also impose fines or other remedies against the Company. At this time, the Company cannot reasonably estimate the potential loss or range of loss related to fines or penalties that may be assessed, if any. The Payment Card Incident, including customer response and any possible third party claims or assessments from payment card companies, could materially adversely affect the Company's financial condition and operating results. The Company expects its insurance coverage will offset most of the expenses for the investigation and other non-remediation legal and professional services associated with the incident, possible third party claims, as well as fines, penalties, or other expenses, if any, imposed by payment card companies, as discussed above.</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$15.0 million of cyber security insurance coverage above a $0.1 million deductible.</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94"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The Company is also subject to various claims and contingencies arising in the normal course of business, including those relating to product liability, legal claims, employee benefits, environmental,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1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94"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On December 8, 2015, the Company's board of directors approved a share repurchase program (the “2015 Share Repurchase Program”) authorizing up to $50.0 million of repurchases of shares of the Company's common stock. The 2015 Share Repurchase Program expires in December 2017.</w:t>
      </w:r>
    </w:p>
    <w:p>
      <w:pPr>
        <w:spacing w:after="0" w:line="27"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The Company purchased 241,770 shares at an average price of $8.79 per share, excluding commissions, for an aggregate amount of $2.1 million during the thirteen weeks ended July 29, 2017, under the 2015 Share Repurchase Program.</w:t>
      </w:r>
    </w:p>
    <w:p>
      <w:pPr>
        <w:spacing w:after="0" w:line="108" w:lineRule="exact"/>
        <w:rPr>
          <w:sz w:val="20"/>
          <w:szCs w:val="20"/>
          <w:color w:val="auto"/>
        </w:rPr>
      </w:pPr>
    </w:p>
    <w:p>
      <w:pPr>
        <w:ind w:left="660" w:right="340"/>
        <w:spacing w:after="0" w:line="266" w:lineRule="auto"/>
        <w:rPr>
          <w:sz w:val="20"/>
          <w:szCs w:val="20"/>
          <w:color w:val="auto"/>
        </w:rPr>
      </w:pPr>
      <w:r>
        <w:rPr>
          <w:rFonts w:ascii="Times New Roman" w:cs="Times New Roman" w:eastAsia="Times New Roman" w:hAnsi="Times New Roman"/>
          <w:sz w:val="18"/>
          <w:szCs w:val="18"/>
          <w:color w:val="auto"/>
        </w:rPr>
        <w:t>The Company purchased 373,389 shares at an average price of $8.90 per share, excluding commissions, for an aggregate amount of $3.3 million during the twenty-six weeks ended July 29, 2017, under the 2015 Share Repurchase Program. As of July 29, 2017, there was $18.0 million remaining available to repurchase shares of the Company's common stock under the 2015 Share Repurchase Program.</w:t>
      </w:r>
    </w:p>
    <w:p>
      <w:pPr>
        <w:spacing w:after="0" w:line="122"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As of July 29, 2017, the Company held as treasury shares 5,081,843 shares of its common stock at an average price of $14.17 per share, excluding commissions, for an aggregate carrying amount of $72.0 million. The Company’s treasury shares may be issued under the 2010 Equity and Incentive Plan or for other corporate purposes.</w:t>
      </w:r>
    </w:p>
    <w:p>
      <w:pPr>
        <w:spacing w:after="0" w:line="25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Other Charges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Thirteen and Twenty-Six Weeks Ended July 29, 2017</w:t>
      </w:r>
    </w:p>
    <w:p>
      <w:pPr>
        <w:spacing w:after="0" w:line="92"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2018, the Company recognized $1.3 million ($0.8 million after the associated tax benefit) for severance charges primarily for the Company's former Chief Financial Officer. The severance charges are reflected in selling, general, and administrative expenses within corporate unallocated expenses.</w:t>
      </w:r>
    </w:p>
    <w:p>
      <w:pPr>
        <w:spacing w:after="0" w:line="4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the second quarter of fiscal 2018, the Company recognized $3.8 million ($2.4 million after the associated tax benefit) of other charges (reflected in selling, general, and administrative expenses) consisting of the following:</w:t>
      </w:r>
    </w:p>
    <w:p>
      <w:pPr>
        <w:spacing w:after="0" w:line="27"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($1.5 million net of the associated tax benefit) for strategic consulting charges;</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($0.7 million net of the associated tax benefit) for a severance charge for the Company's former Chief Merchandising Officer; and</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($0.2 million net of the associated tax benefit) for a net lease termination charge.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strategic consulting and severance charges are recognized within corporate unallocated expenses. The net lease termination charge is recognized within the Direct segment.</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Vision 20/20</w:t>
      </w:r>
    </w:p>
    <w:p>
      <w:pPr>
        <w:spacing w:after="0" w:line="92"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refining its strategic plan, which will involve a more aggressive approach to turn around its business over the next three years. This plan (or “Vision 20/20”) will primarily be focused on product and pricing, as well as selling, general, and administrative expense reductions. To begin this process, the Company engaged an outside consulting firm to review its business model and existing strategic plan. In the second quarter of fiscal 2018, the Company recognized charges of $2.3 million, as described above, for the outside consulting work.</w:t>
      </w:r>
    </w:p>
    <w:p>
      <w:pPr>
        <w:spacing w:after="0" w:line="45" w:lineRule="exact"/>
        <w:rPr>
          <w:sz w:val="20"/>
          <w:szCs w:val="20"/>
          <w:color w:val="auto"/>
        </w:rPr>
      </w:pPr>
    </w:p>
    <w:p>
      <w:pPr>
        <w:ind w:left="660" w:right="380"/>
        <w:spacing w:after="0" w:line="258" w:lineRule="auto"/>
        <w:rPr>
          <w:sz w:val="20"/>
          <w:szCs w:val="20"/>
          <w:color w:val="auto"/>
        </w:rPr>
      </w:pPr>
      <w:r>
        <w:rPr>
          <w:rFonts w:ascii="Times New Roman" w:cs="Times New Roman" w:eastAsia="Times New Roman" w:hAnsi="Times New Roman"/>
          <w:sz w:val="18"/>
          <w:szCs w:val="18"/>
          <w:color w:val="auto"/>
        </w:rPr>
        <w:t>Based upon preliminary assessments, the Company estimates to recognize pre-tax restructuring costs during the remainder of fiscal 2018 of approximately $12.5 million to $15.5 million consisting of non-cash charges of approximately $7.5 million to $9.5 million (including store impairment charges and inventory reserves) and cash charges of approximately $5.0 million to $6.0 million (including severance and additional strategic consulting) in connection with Vision 20/20. These estimates could materially change as a result of the finalization of the Vision 20/20 initiatives during the remainder of fiscal 2018.</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Thirteen and Twenty-Six Weeks Ended July 30, 2016</w:t>
      </w:r>
    </w:p>
    <w:p>
      <w:pPr>
        <w:spacing w:after="0" w:line="92"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In the second quarter of fiscal 2017, the Company recognized $0.9 million for an executive severance charge ($0.6 million after the associated tax benefit) reflected in selling, general, and administrative expenses within corporate unallocated expenses.</w:t>
      </w:r>
    </w:p>
    <w:p>
      <w:pPr>
        <w:spacing w:after="0" w:line="23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Investments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92"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Investments classified as cash equivalents relate to highly liquid investments with a maturity of three months or less at the date of purchase. As of July 29, 2017, these investments in the Company's portfolio consisted of a money market fund, commercial paper, non-U.S. corporate debt securities and municipal securities.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73"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As of July 29, 2017, short-term investments consisted of U.S. and non-U.S. corporate debt securities, commercial paper and municipal securities with a maturity within one year of the balance sheet date. These securities are classified as available-for-sale; therefore, unrealized gains and losses are recorded within other comprehensive income. Interest income earned is recorded within interest (income) expense, net, in the Company's Condensed Consolidated Statements of Income. As of January 28, 2017, short-term investments consisted of a certificate of deposit with an original maturity of one year and a one-time option to accelerate maturity to 31 days without penalty. The certificate of deposit matured during the first quarter fiscal 2018. Interest income from the certificate of deposit is included in interest (income) expense, net, in the Company's Condensed Consolidated Statements of Income.</w:t>
      </w:r>
    </w:p>
    <w:p>
      <w:pPr>
        <w:spacing w:after="0" w:line="135"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The Company held $18.4 million and $30.2 million in short-term investments as of July 29, 2017 and January 28, 2017, respectively. The following table summarizes the Company's short-term investments (in thousands):</w:t>
      </w:r>
    </w:p>
    <w:p>
      <w:pPr>
        <w:spacing w:after="0" w:line="33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74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January 28, 2017</w:t>
            </w:r>
          </w:p>
        </w:tc>
        <w:tc>
          <w:tcPr>
            <w:tcW w:w="0" w:type="dxa"/>
            <w:vAlign w:val="bottom"/>
          </w:tcPr>
          <w:p>
            <w:pPr>
              <w:spacing w:after="0"/>
              <w:rPr>
                <w:sz w:val="1"/>
                <w:szCs w:val="1"/>
                <w:color w:val="auto"/>
              </w:rPr>
            </w:pPr>
          </w:p>
        </w:tc>
      </w:tr>
      <w:tr>
        <w:trPr>
          <w:trHeight w:val="249"/>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30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2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2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2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30,152</w:t>
            </w: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7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30,152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72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7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17"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Investments</w:t>
      </w:r>
    </w:p>
    <w:p>
      <w:pPr>
        <w:spacing w:after="0" w:line="173"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As of July 29, 2017, long-term investments consisted of U.S. and non-U.S. corporate debt securities and U.S. treasury and municipal securities with a maturity greater than one year from the balance sheet date. These securities are classified as available-for-sale; therefore, unrealized gains and losses are recorded within other comprehensive income. Interest income earned is recorded within interest (income) expense, net, in the Company's Condensed Consolidated Statements of Income.</w:t>
      </w:r>
    </w:p>
    <w:p>
      <w:pPr>
        <w:spacing w:after="0" w:line="126"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The Company held $17.5 million in long-term investments as of July 29, 2017. The Company did not have long-term investments as of January 28, 2017. The following table summarizes the Company's long-term investments (in thousands):</w:t>
      </w:r>
    </w:p>
    <w:p>
      <w:pPr>
        <w:spacing w:after="0" w:line="33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6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29, 2017</w:t>
            </w:r>
          </w:p>
        </w:tc>
        <w:tc>
          <w:tcPr>
            <w:tcW w:w="220" w:type="dxa"/>
            <w:vAlign w:val="bottom"/>
          </w:tcPr>
          <w:p>
            <w:pPr>
              <w:spacing w:after="0"/>
              <w:rPr>
                <w:sz w:val="16"/>
                <w:szCs w:val="16"/>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 2017</w:t>
            </w:r>
          </w:p>
        </w:tc>
      </w:tr>
      <w:tr>
        <w:trPr>
          <w:trHeight w:val="249"/>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gross unrealized gains or losses on available-for-sale securities as of the periods ended July 29, 2017 and January 28, 2017.</w:t>
      </w:r>
    </w:p>
    <w:p>
      <w:pPr>
        <w:spacing w:after="0" w:line="3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94"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in Note 2 to the Company’s Consolidated Financial Statements in the Company’s Annual Report on Form 10-K for the fiscal year ended January 28, 2017. An impairment charge of $1.6 million was recognized, using level 3 inputs, for the thirteen and twenty-six weeks ended July 30, 2016, for assets related to underperforming stores and is included in selling, general, and administrative expenses in the Condensed Consolidated Statements of Income and in impairment charges in the Condensed Consolidated Statements of Cash Flows. The impairment charges are included in the Direct segment. There were no impairment charges recognized in the comparable current-year periods.</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94"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41"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w:t>
      </w:r>
    </w:p>
    <w:p>
      <w:pPr>
        <w:spacing w:after="0" w:line="41"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The Indirect segment represents revenues generated through the distribution of Company-branded products to specialty retailers representing approximately 2,400 locations, substantially all of which are located in the United States; key accounts, which include department stores, national accounts, third-party e-commerce sites, the Company's wholesale customer in Japan, and third-party inventory liquidators; and licensing.</w:t>
      </w:r>
    </w:p>
    <w:p>
      <w:pPr>
        <w:spacing w:after="0" w:line="41"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merchandising, corporate-level marketing and advertising, and various other corporate-level-activity-related expenses. All intercompany-related activities are eliminated in consolidation and are excluded from the segment reporting.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17"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Net revenues and operating income (loss) information for the Company’s reportable segments during the thirteen and twenty-six weeks ended July 29, 2017 and July 30, 2016, respectively, consisted of the following (in thousands):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3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right"/>
              <w:ind w:right="494"/>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4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20" w:type="dxa"/>
            <w:vAlign w:val="bottom"/>
          </w:tcPr>
          <w:p>
            <w:pPr>
              <w:spacing w:after="0"/>
              <w:rPr>
                <w:sz w:val="12"/>
                <w:szCs w:val="12"/>
                <w:color w:val="auto"/>
              </w:rPr>
            </w:pPr>
          </w:p>
        </w:tc>
        <w:tc>
          <w:tcPr>
            <w:tcW w:w="1280" w:type="dxa"/>
            <w:vAlign w:val="bottom"/>
          </w:tcPr>
          <w:p>
            <w:pPr>
              <w:jc w:val="right"/>
              <w:ind w:right="493"/>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r>
      <w:tr>
        <w:trPr>
          <w:trHeight w:val="195"/>
        </w:trPr>
        <w:tc>
          <w:tcPr>
            <w:tcW w:w="3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89,342</w:t>
            </w:r>
          </w:p>
        </w:tc>
        <w:tc>
          <w:tcPr>
            <w:tcW w:w="4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87,241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160,187</w:t>
            </w:r>
          </w:p>
        </w:tc>
      </w:tr>
      <w:tr>
        <w:trPr>
          <w:trHeight w:val="27"/>
        </w:trPr>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Indirect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64,239</w:t>
            </w:r>
          </w:p>
        </w:tc>
      </w:tr>
      <w:tr>
        <w:trPr>
          <w:trHeight w:val="237"/>
        </w:trPr>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112,418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119,245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208,553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224,426</w:t>
            </w:r>
          </w:p>
        </w:tc>
      </w:tr>
      <w:tr>
        <w:trPr>
          <w:trHeight w:val="67"/>
        </w:trPr>
        <w:tc>
          <w:tcPr>
            <w:tcW w:w="3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17,312</w:t>
            </w:r>
          </w:p>
        </w:tc>
        <w:tc>
          <w:tcPr>
            <w:tcW w:w="4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30,286</w:t>
            </w:r>
          </w:p>
        </w:tc>
      </w:tr>
      <w:tr>
        <w:trPr>
          <w:trHeight w:val="27"/>
        </w:trPr>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Indirect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24,606</w:t>
            </w:r>
          </w:p>
        </w:tc>
      </w:tr>
      <w:tr>
        <w:trPr>
          <w:trHeight w:val="237"/>
        </w:trPr>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25,144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30,157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54,892</w:t>
            </w:r>
          </w:p>
        </w:tc>
      </w:tr>
      <w:tr>
        <w:trPr>
          <w:trHeight w:val="67"/>
        </w:trPr>
        <w:tc>
          <w:tcPr>
            <w:tcW w:w="3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25,144</w:t>
            </w:r>
          </w:p>
        </w:tc>
        <w:tc>
          <w:tcPr>
            <w:tcW w:w="4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30,157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54,892</w:t>
            </w:r>
          </w:p>
        </w:tc>
      </w:tr>
      <w:tr>
        <w:trPr>
          <w:trHeight w:val="27"/>
        </w:trPr>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(42,732)</w:t>
            </w:r>
          </w:p>
        </w:tc>
      </w:tr>
      <w:tr>
        <w:trPr>
          <w:trHeight w:val="27"/>
        </w:trPr>
        <w:tc>
          <w:tcPr>
            <w:tcW w:w="3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3,709</w:t>
            </w:r>
          </w:p>
        </w:tc>
        <w:tc>
          <w:tcPr>
            <w:tcW w:w="46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12,160</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80"/>
          </w:cols>
          <w:pgMar w:left="240" w:top="117"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and twenty-six weeks ended July 29, 2017 and July 30, 2016. The following discussion should be read in conjunction with our Annual Report on Form 10-K for the fiscal year ended January 28, 2017, and our unaudited condensed consolidated financial statements and the related notes included in Item 1 of this Quarterly Report. The results of operations for the thirteen and twenty-six weeks ended July 29, 2017, are not necessarily indicative of the results to be expected for the full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strategic progress and financial results for the second quarter of fiscal 2018:</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Strategic Progress</w:t>
      </w:r>
    </w:p>
    <w:p>
      <w:pPr>
        <w:spacing w:after="0" w:line="94" w:lineRule="exact"/>
        <w:rPr>
          <w:sz w:val="20"/>
          <w:szCs w:val="20"/>
          <w:color w:val="auto"/>
        </w:rPr>
      </w:pPr>
    </w:p>
    <w:p>
      <w:pPr>
        <w:ind w:left="980" w:right="14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further enhanced our digital flagship by the addition of the Gift Now feature, which allows customers to purchase gifts from verabradley.com that can be modified before shipment by the recipient, improved the shipping and tracking features, added product vignette pages, continued to improve the site speed, and added additional visual enhancements to our check-out page to simplify the process and reduce cart abandonment.</w:t>
      </w:r>
    </w:p>
    <w:p>
      <w:pPr>
        <w:spacing w:after="0" w:line="44"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work on our store renovation strategy by adding our new branding, including storefront facade, logo, and interior changes to our higher-volume and traffic full-line stores. Ten full-line store renovations were completed in the second quarter, and approximately nine additional renovations will be completed throughout the remainder of fiscal 2018.</w:t>
      </w:r>
    </w:p>
    <w:p>
      <w:pPr>
        <w:spacing w:after="0" w:line="4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our licensed swimwear collection in May 2017 and our licensed bedding, stationery and hosiery collections in July 2017.</w:t>
      </w:r>
    </w:p>
    <w:p>
      <w:pPr>
        <w:spacing w:after="0" w:line="90"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worked with an outside consulting firm to review our business model and existing strategic plan (refer to “Vision 20/20” below for additional details).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(all comparisons are to the second quarter of fiscal 2017)</w:t>
      </w:r>
    </w:p>
    <w:p>
      <w:pPr>
        <w:spacing w:after="0" w:line="94"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5.7% to $112.4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segment sales increased 2.4% to $89.3 million. Comparable sales decreased 4.3%.</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segment sales decreased 27.9% to $23.1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$63.3 million, or 56.3% of net revenue.</w:t>
      </w:r>
    </w:p>
    <w:p>
      <w:pPr>
        <w:spacing w:after="0" w:line="90"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$3.7 million and net income was $2.2 million, or $0.06 per diluted share. These results included strategic consulting of $2.3 million; a severance charge of $1.2 million; and a net lease termination charge of $0.3 million for a total of $3.8 million ($2.4 million after the associated tax benefit), or $0.07 per diluted share.</w:t>
      </w:r>
    </w:p>
    <w:p>
      <w:pPr>
        <w:spacing w:after="0" w:line="4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and investments were $102.3 million at July 29, 2017.</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thirteen weeks totaled $2.7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common stock for the thirteen weeks totaled $2.1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third-party e-commerce sites, our wholesale customer in Japan, third-party inventory liquidators, and licensing.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both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3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to evaluate how our store base and e-commerce operations are performing. Various factors affect our comparable sales, including:</w:t>
      </w:r>
    </w:p>
    <w:p>
      <w:pPr>
        <w:spacing w:after="0" w:line="27" w:lineRule="exact"/>
        <w:rPr>
          <w:sz w:val="20"/>
          <w:szCs w:val="20"/>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Operating income (loss) is equal to gross profit less SG&amp;A expenses plus other income. Operating income (loss) excludes interest income, interest expense, and income taxes.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117" w:right="2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is equal to operating income (loss) plus net interest income less net interest expense and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4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40" w:type="dxa"/>
            <w:vAlign w:val="bottom"/>
          </w:tcPr>
          <w:p>
            <w:pPr>
              <w:spacing w:after="0"/>
              <w:rPr>
                <w:sz w:val="12"/>
                <w:szCs w:val="12"/>
                <w:color w:val="auto"/>
              </w:rPr>
            </w:pPr>
          </w:p>
        </w:tc>
        <w:tc>
          <w:tcPr>
            <w:tcW w:w="13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00" w:type="dxa"/>
            <w:vAlign w:val="bottom"/>
          </w:tcPr>
          <w:p>
            <w:pPr>
              <w:spacing w:after="0"/>
              <w:rPr>
                <w:sz w:val="12"/>
                <w:szCs w:val="12"/>
                <w:color w:val="auto"/>
              </w:rPr>
            </w:pPr>
          </w:p>
        </w:tc>
        <w:tc>
          <w:tcPr>
            <w:tcW w:w="1220" w:type="dxa"/>
            <w:vAlign w:val="bottom"/>
          </w:tcPr>
          <w:p>
            <w:pPr>
              <w:jc w:val="right"/>
              <w:ind w:right="452"/>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r>
      <w:tr>
        <w:trPr>
          <w:trHeight w:val="194"/>
        </w:trPr>
        <w:tc>
          <w:tcPr>
            <w:tcW w:w="4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0"/>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
        </w:trPr>
        <w:tc>
          <w:tcPr>
            <w:tcW w:w="4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112,418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119,245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208,553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224,426</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49,125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50,857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92,560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96,382</w:t>
            </w:r>
          </w:p>
        </w:tc>
      </w:tr>
      <w:tr>
        <w:trPr>
          <w:trHeight w:val="27"/>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63,293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68,388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115,993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128,044</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59,747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117,518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116,681</w:t>
            </w:r>
          </w:p>
        </w:tc>
      </w:tr>
      <w:tr>
        <w:trPr>
          <w:trHeight w:val="27"/>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797</w:t>
            </w:r>
          </w:p>
        </w:tc>
      </w:tr>
      <w:tr>
        <w:trPr>
          <w:trHeight w:val="237"/>
        </w:trPr>
        <w:tc>
          <w:tcPr>
            <w:tcW w:w="4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12,160</w:t>
            </w:r>
          </w:p>
        </w:tc>
      </w:tr>
      <w:tr>
        <w:trPr>
          <w:trHeight w:val="27"/>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111</w:t>
            </w:r>
          </w:p>
        </w:tc>
      </w:tr>
      <w:tr>
        <w:trPr>
          <w:trHeight w:val="237"/>
        </w:trPr>
        <w:tc>
          <w:tcPr>
            <w:tcW w:w="4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12,049</w:t>
            </w:r>
          </w:p>
        </w:tc>
      </w:tr>
      <w:tr>
        <w:trPr>
          <w:trHeight w:val="27"/>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4,522</w:t>
            </w:r>
          </w:p>
        </w:tc>
      </w:tr>
      <w:tr>
        <w:trPr>
          <w:trHeight w:val="237"/>
        </w:trPr>
        <w:tc>
          <w:tcPr>
            <w:tcW w:w="4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7,527</w:t>
            </w:r>
          </w:p>
        </w:tc>
      </w:tr>
      <w:tr>
        <w:trPr>
          <w:trHeight w:val="67"/>
        </w:trPr>
        <w:tc>
          <w:tcPr>
            <w:tcW w:w="48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48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37"/>
        </w:trPr>
        <w:tc>
          <w:tcPr>
            <w:tcW w:w="4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7"/>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20" w:type="dxa"/>
            <w:vAlign w:val="bottom"/>
          </w:tcPr>
          <w:p>
            <w:pPr>
              <w:spacing w:after="0"/>
              <w:rPr>
                <w:sz w:val="12"/>
                <w:szCs w:val="12"/>
                <w:color w:val="auto"/>
              </w:rPr>
            </w:pPr>
          </w:p>
        </w:tc>
        <w:tc>
          <w:tcPr>
            <w:tcW w:w="1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00" w:type="dxa"/>
            <w:vAlign w:val="bottom"/>
          </w:tcPr>
          <w:p>
            <w:pPr>
              <w:spacing w:after="0"/>
              <w:rPr>
                <w:sz w:val="12"/>
                <w:szCs w:val="12"/>
                <w:color w:val="auto"/>
              </w:rPr>
            </w:pPr>
          </w:p>
        </w:tc>
        <w:tc>
          <w:tcPr>
            <w:tcW w:w="1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20" w:type="dxa"/>
            <w:vAlign w:val="bottom"/>
          </w:tcPr>
          <w:p>
            <w:pPr>
              <w:spacing w:after="0"/>
              <w:rPr>
                <w:sz w:val="12"/>
                <w:szCs w:val="12"/>
                <w:color w:val="auto"/>
              </w:rPr>
            </w:pPr>
          </w:p>
        </w:tc>
        <w:tc>
          <w:tcPr>
            <w:tcW w:w="1220" w:type="dxa"/>
            <w:vAlign w:val="bottom"/>
          </w:tcPr>
          <w:p>
            <w:pPr>
              <w:jc w:val="right"/>
              <w:ind w:right="457"/>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r>
      <w:tr>
        <w:trPr>
          <w:trHeight w:val="194"/>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0"/>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
        </w:trPr>
        <w:tc>
          <w:tcPr>
            <w:tcW w:w="4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89,342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87,241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158,179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160,187</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30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23,076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32,004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50,374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64,239</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112,418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119,245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208,553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224,426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2"/>
        </w:trPr>
        <w:tc>
          <w:tcPr>
            <w:tcW w:w="4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4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20" w:type="dxa"/>
            <w:vAlign w:val="bottom"/>
          </w:tcPr>
          <w:p>
            <w:pPr>
              <w:spacing w:after="0"/>
              <w:rPr>
                <w:sz w:val="12"/>
                <w:szCs w:val="12"/>
                <w:color w:val="auto"/>
              </w:rPr>
            </w:pPr>
          </w:p>
        </w:tc>
        <w:tc>
          <w:tcPr>
            <w:tcW w:w="13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c>
          <w:tcPr>
            <w:tcW w:w="320" w:type="dxa"/>
            <w:vAlign w:val="bottom"/>
          </w:tcPr>
          <w:p>
            <w:pPr>
              <w:spacing w:after="0"/>
              <w:rPr>
                <w:sz w:val="12"/>
                <w:szCs w:val="12"/>
                <w:color w:val="auto"/>
              </w:rPr>
            </w:pPr>
          </w:p>
        </w:tc>
        <w:tc>
          <w:tcPr>
            <w:tcW w:w="13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20" w:type="dxa"/>
            <w:vAlign w:val="bottom"/>
          </w:tcPr>
          <w:p>
            <w:pPr>
              <w:spacing w:after="0"/>
              <w:rPr>
                <w:sz w:val="12"/>
                <w:szCs w:val="12"/>
                <w:color w:val="auto"/>
              </w:rPr>
            </w:pPr>
          </w:p>
        </w:tc>
        <w:tc>
          <w:tcPr>
            <w:tcW w:w="1240" w:type="dxa"/>
            <w:vAlign w:val="bottom"/>
          </w:tcPr>
          <w:p>
            <w:pPr>
              <w:jc w:val="right"/>
              <w:ind w:right="473"/>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r>
      <w:tr>
        <w:trPr>
          <w:trHeight w:val="194"/>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17,312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18,149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24,124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30,286</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34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12,008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17,278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24,606</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(21,435)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(21,854)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(42,497)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(42,732)</w:t>
            </w:r>
          </w:p>
        </w:tc>
      </w:tr>
      <w:tr>
        <w:trPr>
          <w:trHeight w:val="237"/>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12,160</w:t>
            </w:r>
          </w:p>
        </w:tc>
      </w:tr>
      <w:tr>
        <w:trPr>
          <w:trHeight w:val="67"/>
        </w:trPr>
        <w:tc>
          <w:tcPr>
            <w:tcW w:w="48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174"/>
        </w:trPr>
        <w:tc>
          <w:tcPr>
            <w:tcW w:w="482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8"/>
                <w:szCs w:val="18"/>
                <w:b w:val="1"/>
                <w:bCs w:val="1"/>
                <w:color w:val="auto"/>
              </w:rPr>
              <w:t>Operating Income as a Percentage of Net Revenues by</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5"/>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r>
      <w:tr>
        <w:trPr>
          <w:trHeight w:val="270"/>
        </w:trPr>
        <w:tc>
          <w:tcPr>
            <w:tcW w:w="4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Store Data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156</w:t>
            </w:r>
          </w:p>
        </w:tc>
      </w:tr>
      <w:tr>
        <w:trPr>
          <w:trHeight w:val="270"/>
        </w:trPr>
        <w:tc>
          <w:tcPr>
            <w:tcW w:w="4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square footage at end of period (all stores)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376,594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357,621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376,594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357,621</w:t>
            </w:r>
          </w:p>
        </w:tc>
      </w:tr>
      <w:tr>
        <w:trPr>
          <w:trHeight w:val="341"/>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5"/>
                <w:szCs w:val="25"/>
                <w:color w:val="auto"/>
                <w:vertAlign w:val="superscript"/>
              </w:rPr>
              <w:t>(3)</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297</w:t>
            </w:r>
          </w:p>
        </w:tc>
      </w:tr>
    </w:tbl>
    <w:p>
      <w:pPr>
        <w:spacing w:after="0" w:line="126" w:lineRule="exact"/>
        <w:rPr>
          <w:sz w:val="20"/>
          <w:szCs w:val="20"/>
          <w:color w:val="auto"/>
        </w:rPr>
      </w:pPr>
    </w:p>
    <w:p>
      <w:pPr>
        <w:ind w:left="540" w:hanging="532"/>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full-line and factory outlet stores.</w:t>
      </w:r>
    </w:p>
    <w:p>
      <w:pPr>
        <w:spacing w:after="0" w:line="27" w:lineRule="exact"/>
        <w:rPr>
          <w:rFonts w:ascii="Times New Roman" w:cs="Times New Roman" w:eastAsia="Times New Roman" w:hAnsi="Times New Roman"/>
          <w:sz w:val="18"/>
          <w:szCs w:val="18"/>
          <w:color w:val="auto"/>
        </w:rPr>
      </w:pPr>
    </w:p>
    <w:p>
      <w:pPr>
        <w:ind w:left="540" w:right="180" w:hanging="532"/>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spacing w:after="0" w:line="1" w:lineRule="exact"/>
        <w:rPr>
          <w:rFonts w:ascii="Times New Roman" w:cs="Times New Roman" w:eastAsia="Times New Roman" w:hAnsi="Times New Roman"/>
          <w:sz w:val="18"/>
          <w:szCs w:val="18"/>
          <w:color w:val="auto"/>
        </w:rPr>
      </w:pPr>
    </w:p>
    <w:p>
      <w:pPr>
        <w:ind w:left="540" w:right="40" w:hanging="532"/>
        <w:spacing w:after="0" w:line="255"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Card Incident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Event</w:t>
      </w:r>
    </w:p>
    <w:p>
      <w:pPr>
        <w:spacing w:after="0" w:line="92"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On September 15, 2016, we received information from law enforcement regarding a potential data security issue related to our retail store network. Findings from the investigation show unauthorized access to our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systems.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5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resolved this incident and continue to work with the computer security firm to further strengthen the security of our system to help prevent this from happening in the future. We continue to support law enforcement’s investigation and also promptly notified the payment card networks so that the banks that issue payment cards could initiate heightened monitoring on the affected cards.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 Incurred</w:t>
      </w:r>
    </w:p>
    <w:p>
      <w:pPr>
        <w:spacing w:after="0" w:line="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thirteen and twenty-six weeks ended July 29, 2017, we recorded an immaterial amount of expense relating to remediation activities as a result of the Payment Card Incident.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Costs</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Payment card companies and associations may require us to reimburse them for unauthorized card charges and costs to replace cards and may also impose fines or penalties in connection with the Payment Card Incident, and enforcement authorities may also impose fines or other remedies against us. At this time, we cannot reasonably estimate the potential loss or range of loss related to fines or penalties that may be assessed, if any. The Payment Card Incident, including customer response and any possible third party claims or assessments from payment card companies, could materially adversely affect our financial condition and operating results. We expect our insurance coverage will offset most of the expenses for the investigation and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other non-remediation legal and professional services associated with the incident, possible third party claims, as well as fines, penalties, or other expenses, if any, imposed by payment card companies, as discussed above.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$15.0 million of cyber security insurance coverage above a $0.1 million deductible.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20/20</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in the process of refining our strategic plan, which will involve a more aggressive approach to turn around our business over the next three years. This plan (or “Vision 20/20”) will primarily be focused on product and pricing, as well as selling, general, and administrative expense reductions. To begin this process, we engaged an outside consulting firm to review our business model and existing strategic plan. In the second quarter of fiscal 2018, we recognized expenses of $2.3 million for the outside consulting work.</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upon preliminary assessments, we estimate to recognize pre-tax restructuring costs during the remainder of fiscal 2018 of approximately $12.5 million to $15.5 million consisting of non-cash charges of approximately $7.5 million to $9.5 million (including store impairment charges and inventory reserves) and cash charges of approximately $5.0 million to $6.0 million (including severance charges and additional strategic consulting charges) in connection with Vision 20/20. These estimates could materially change as a result of the finalization of the Vision 20/20 initiatives during the remainder of fiscal 2018. We do not expect a material revenue impact from Vision 20/20 in the current fiscal year.</w:t>
      </w:r>
    </w:p>
    <w:p>
      <w:pPr>
        <w:spacing w:after="0" w:line="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expect fiscal 2019 revenues will be negatively impacted by $40.0 million to $60.0 million by these initiatives, which include reducing the amount of clearance merchandise offered on verabradley.com and in our full-line stores. We also expect to reduce annual selling, general, and administrative expenses by up to $30.0 million (off of our fiscal 2017 base level and excluding severance, store impairment and Vision 20/20 charges from all periods) by right-sizing our corporate infrastructure to better align with the size of the business and closing underperforming full-line stores. We believe we may close up to 50 stores by the end of fiscal 2021.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these changes will be implemented in fiscal 2019.</w:t>
      </w:r>
    </w:p>
    <w:p>
      <w:pPr>
        <w:spacing w:after="0" w:line="248" w:lineRule="exact"/>
        <w:rPr>
          <w:sz w:val="20"/>
          <w:szCs w:val="20"/>
          <w:color w:val="auto"/>
        </w:rPr>
      </w:pPr>
    </w:p>
    <w:p>
      <w:pPr>
        <w:ind w:right="232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Other Charges Affecting Comparability of the Thirteen and Twenty-Six Weeks Ended July 29, 2017, and July 30, 2016 </w:t>
      </w:r>
      <w:r>
        <w:rPr>
          <w:rFonts w:ascii="Times New Roman" w:cs="Times New Roman" w:eastAsia="Times New Roman" w:hAnsi="Times New Roman"/>
          <w:sz w:val="18"/>
          <w:szCs w:val="18"/>
          <w:i w:val="1"/>
          <w:iCs w:val="1"/>
          <w:color w:val="auto"/>
        </w:rPr>
        <w:t>Thirteen and Twenty-Six Weeks Ended July 29, 2017</w:t>
      </w:r>
    </w:p>
    <w:p>
      <w:pPr>
        <w:spacing w:after="0" w:line="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2018, we recognized $1.3 million ($0.8 million after the associated tax benefit) for severance charges primarily for our former Chief Financial Officer. The severance charges are reflected in selling, general, and administrative expenses within corporate unallocated expenses.</w:t>
      </w:r>
    </w:p>
    <w:p>
      <w:pPr>
        <w:spacing w:after="0" w:line="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second quarter of fiscal 2018, we recognized $3.8 million ($2.4 million after the associated tax benefit) of other charges (reflected in selling, general, and administrative expenses) consisting of the following:</w:t>
      </w:r>
    </w:p>
    <w:p>
      <w:pPr>
        <w:spacing w:after="0" w:line="2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($1.5 million net of the associated tax benefit) for strategic consulting charges (refer to “Vision 20/20” above for additional information);</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($0.7 million net of the associated tax benefit) for a severance charge for our former Chief Merchandising Officer;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($0.2 million net of the associated tax benefit) for a net lease termination charge.</w:t>
      </w:r>
    </w:p>
    <w:p>
      <w:pPr>
        <w:spacing w:after="0" w:line="9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strategic consulting and severance charges are recognized within corporate unallocated expenses. The net lease termination charge is recognized within the Direct segment.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Thirteen and Twenty-Six Weeks Ended July 30, 2016</w:t>
      </w:r>
    </w:p>
    <w:p>
      <w:pPr>
        <w:spacing w:after="0" w:line="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second quarter of fiscal 2017, we recognized $0.9 million for an executive severance charge ($0.6 million after the associated tax benefit) reflected in selling, general, and administrative expenses within corporate unallocated expenses.</w:t>
      </w:r>
    </w:p>
    <w:p>
      <w:pPr>
        <w:spacing w:after="0" w:line="185" w:lineRule="exact"/>
        <w:rPr>
          <w:sz w:val="20"/>
          <w:szCs w:val="20"/>
          <w:color w:val="auto"/>
        </w:rPr>
      </w:pPr>
    </w:p>
    <w:p>
      <w:pPr>
        <w:ind w:right="464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Thirteen Weeks Ended July 29, 2017, Compared to Thirteen Weeks Ended July 30, 2016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thirteen weeks ended July 29, 2017, net revenues decreased $6.8 million, or 5.7%, to $112.4 million, from $119.2 million in the comparable prior-year period.</w:t>
      </w:r>
    </w:p>
    <w:p>
      <w:pPr>
        <w:spacing w:after="0" w:line="106"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the thirteen weeks ended July 29, 2017, net revenues in the Direct segment increased $2.1 million, or 2.4%, to $89.3 million, from $87.2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comparable prior-year period. This change resulted from a $5.8 million contribution of revenue from our non-comparable stores, including three additional factory outlet stores opened in the current fiscal year,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which was partially offset by a comparable sales decrease of $3.7 million, or 4.3%. The decrease in comparable sales includes a 4.9% decrease in e-commerce sales and a 4.0% decrease in comparable store sales. The decline in comparable sales was primarily due to year-over-year declines in store and e-commerce traffic.</w:t>
      </w:r>
    </w:p>
    <w:p>
      <w:pPr>
        <w:spacing w:after="0" w:line="12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the thirteen weeks ended July 29, 2017, net revenues in the Indirect segment decreased $8.9 million, or 27.9%, to $23.1 million, from $32.0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This change was primarily due to a decline in orders from the Company's specialty retail accounts and certain key accounts along with a reduction in the number of specialty retail accounts.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thirteen weeks ended July 29, 2017, gross profit decreased $5.1 million, or 7.5%, to $63.3 million, from $68.4 million in the comparable prior-year period. As a percentage of net revenues, gross profit decreased to 56.3% for the thirteen weeks ended July 29, 2017, from 57.4% in the comparable prior-year period. The decrease as a percentage of net revenues was primarily due to increased promotional activity at our factory outlet stores, a reserve taken against slow-moving inventory and channel mix changes, partially offset by a reduction in product cost.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the thirteen weeks ended July 29, 2017, SG&amp;A expenses decreased $0.6 million, or 0.9%, to $59.7 million, from $60.3 million in the comparable prior-year period. As a percentage of net revenues, SG&amp;A expenses increased to 53.1% for the thirteen weeks ended July 29, 2017 from 50.6% in the comparable prior-year period. The decrease in SG&amp;A expenses for the thirteen weeks ended July 29, 2017 was primarily due to a decrease in certain employee-related expenses of $1.7 million, store impairment charges of $1.6 million which occurred in the prior-year period but did not recur in the current-year period and a reduction in advertising spending of $0.9 million due to expense management and timing of spend in the current-year period. These reductions in SG&amp;A expenses were partially offset by strategic consulting expenses in the current-year period of $2.3 million and new store expenses of $1.3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July 29, 2017 and July 30, 2016, other income was consistent at $0.2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thirteen weeks ended July 29, 2017, operating income decreased $4.6 million, or 55.3%, to $3.7 million in the current-year period, from $8.3 million in the comparable prior-year period. As a percentage of net revenues, operating income was 3.3% and 7.0% for the thirteen weeks ended July 29, 2017 and July 30, 2016, respectively. Operating income decreased due to the factors described above.</w:t>
      </w:r>
    </w:p>
    <w:p>
      <w:pPr>
        <w:spacing w:after="0" w:line="12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the thirteen weeks ended July 29, 2017, operating income in the Direct segment decreased $0.8 million, or 4.6%, to $17.3 million from $18.1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As a percentage of Direct segment net revenues, operating income in the Direct segment was 19.4% and 20.8% for the thirteen weeks ended July 29, 2017 and July 30, 2016, respectively. The decrease in operating income as a percentage of Direct segment net revenues was primarily due to a decrease in gross profit as a percentage of net revenues, as described above.</w:t>
      </w:r>
    </w:p>
    <w:p>
      <w:pPr>
        <w:spacing w:after="0" w:line="12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the thirteen weeks ended July 29, 2017, operating income in the Indirect segment decreased $4.2 million, or 34.8%, to $7.8 million from $12.0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As a percentage of Indirect segment net revenues, operating income in the Indirect segment was 33.9% and</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37.5% for the thirteen weeks ended July 29, 2017 and July 30, 2016, respectively. The decrease in operating income as a percentage of Indirect segment net revenues was primarily due to deleverage of selling, general, and administrative expenses as a result of lower sales.</w:t>
      </w:r>
    </w:p>
    <w:p>
      <w:pPr>
        <w:spacing w:after="0" w:line="1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July 29, 2017, unallocated expenses decreased $0.5 million, or 1.9%, to $21.4 million from $21.9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The decrease in unallocated expenses was primarily due to a decrease in advertising spending of $1.2 million as a result of expense management and timing of spend in the current-year period and a decrease in certain employee-related expenses of $1.3 million These decreases were partially offset by $2.3 million in strategic consulting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July 29, 2017, was 42.4%, compared to 38.0% for the thirteen weeks ended July 30, 2016. The year-over year increase in the effective tax rate is primarily due to the relative impact of permanent and discrete items, including a tax shortfall from stock-based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For the thirteen weeks ended July 29, 2017, net income decreased $2.9 million, or 57.1%, to $2.2 million from $5.1 million in the comparable prior-year period. The current-year period included strategic consulting expenses of $2.3 million, an executive severance charge of $1.2 million and a net lease termination fee of $0.3 million ($2.4 million after the associated tax benefit). The prior-year period included $1.6 million in store impairment charges and $0.9 million in executive severance expense ($1.6 million after the associated tax benefit).</w:t>
      </w:r>
    </w:p>
    <w:p>
      <w:pPr>
        <w:spacing w:after="0" w:line="203" w:lineRule="exact"/>
        <w:rPr>
          <w:sz w:val="20"/>
          <w:szCs w:val="20"/>
          <w:color w:val="auto"/>
        </w:rPr>
      </w:pPr>
    </w:p>
    <w:p>
      <w:pPr>
        <w:ind w:right="426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Twenty-Six Weeks Ended July 29, 2017, Compared to Twenty-Six Weeks Ended July 30, 2016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twenty-six weeks ended July 29, 2017, net revenues decreased $15.8 million, or 7.1%, to $208.6 million, from $224.4 million in the comparable prior-year period.</w:t>
      </w:r>
    </w:p>
    <w:p>
      <w:pPr>
        <w:spacing w:after="0" w:line="10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the twenty-six weeks ended July 29, 2017, net revenues in the Direct segment decreased $2.0 million, or 1.3%, to $158.2 million, from $160.2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This change resulted from a $10.8 million contribution of revenue from our non-comparable stores, including three additional factory outlet stores opened in the current fiscal year, which was more than offset by a comparable sales decrease of $11.8 million, or 7.8%. The decrease in comparable sales includes a 12.9% decrease in e-commerce sales and a 5.6% decrease in comparable store sales. The decline in comparable sales was primarily due to year-over-year declines in store and e-commerce traffic. In addition, first quarter e-commerce sales were partially impacted by the conversion to our new platform, which was completed in February 2017.</w:t>
      </w:r>
    </w:p>
    <w:p>
      <w:pPr>
        <w:spacing w:after="0" w:line="1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the twenty-six weeks ended July 29, 2017, net revenues in the Indirect segment decreased $13.8 million, or 21.6%, to $50.4 million, from $64.2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This change was primarily due to a decline in orders from the Company's specialty retail accounts and certain key accounts along with a reduction in the number of specialty retail accounts.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twenty-six weeks ended July 29, 2017, gross profit decreased $12.0 million, or 9.4%, to $116.0 million, from $128.0 million in the comparable prior-year period. As a percentage of net revenues, gross profit decreased to 55.6% for the twenty-six weeks ended July 29, 2017, from 57.1% in the comparable prior-year period. The decrease as a percentage of net revenues was primarily due to increased promotional activity at our factory outlet stores, a reserve taken against slow-moving inventory in the second quarter and channel mix changes, partially offset by a reduction in product cost.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twenty-six weeks ended July 29, 2017, SG&amp;A expenses increased $0.8 million, or 0.7%, to $117.5 million, from $116.7 million in the comparable prior-year period. As a percentage of net revenues, SG&amp;A expenses increased to 56.3% for the twenty-six weeks ended July 29, 2017, from 52.0% in the comparable prior-year period. The increase in SG&amp;A expenses for the twenty-six weeks ended July 29, 2017 was primarily due to new store expenses of $2.7 million, strategic consulting expenses of $2.3 million and incremental severance expense of $1.6 million. These charges were partially offset by a decrease in employee-related expenses of $2.2 million, a decrease in advertising expense of $2.0 million as a result of expense management and timing of spend in the current-year period and store impairment charges of $1.6 million which occurred in the prior-year period but did not recur in the current-year period.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twenty-six weeks ended July 29, 2017, other income decreased $0.4 million, or 46.0%, to $0.4 million, from $0.8 million in the comparable prior-year period, primarily due to a decrease in participation in the co-op mailer program.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twenty-six weeks ended July 29, 2017, operating income (loss) decreased $13.3 million, or 109.0%, to $(1.1) million in the current-year period, from $12.2 million in the comparable prior-year period. As a percentage of net revenues, operating income (loss) was (0.5)% and 5.4% for the twenty-six weeks ended July 29, 2017 and July 30, 2016, respectively. Operating income (loss) decreased due to the factors described above.</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the twenty-six weeks ended July 29, 2017, operating income in the Direct segment decreased $6.2 million, or 20.3%, to $24.1 million from $30.3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As a percentage of Direct segment net revenues, operating income in the Direct segment was 15.3% and 18.9% for the twenty-six weeks ended July 29, 2017 and July 30, 2016, respectively. The decrease in operating income as a percentage of Direct segment net revenues was primarily due to a decrease in gross profit as a percentage of net revenues, as described above, new store expenses and deleverage of selling, general, and administrative expenses as a result of lower sales. These decreases were partially offset by store impairment charges which occurred in the prior-year period but did not recur in the current-year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the twenty-six weeks ended July 29, 2017, operating income in the Indirect segment decreased $7.3 million, or 29.8%, to $17.3 million from</w:t>
      </w:r>
    </w:p>
    <w:p>
      <w:pPr>
        <w:spacing w:after="0" w:line="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$24.6 million in the comparable prior-year period. As a percentage of Indirect segment net revenues, operating income in the Indirect segment was 34.3% and 38.3% for the twenty-six weeks ended July 29, 2017 and July 30, 2016, respectively. The decrease in operating income as a percentage of Indirect segment net revenues was primarily due to deleverage of selling, general, and administrative expenses as a result of lower sales and a decrease in gross profit as a percentage of net revenues, as described above.</w:t>
      </w:r>
    </w:p>
    <w:p>
      <w:pPr>
        <w:spacing w:after="0" w:line="1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twenty-six weeks ended July 29, 2017, unallocated expenses decreased $0.2 million, or 0.5%, to $42.5 million from $42.7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The decrease in unallocated expenses was primarily due to a decrease of $2.2 million in certain employee-related expenses and a decrease in advertising spending of $2.1 million due to expense management and timing of spend in the current-year period. These decreases were partially offset by $2.3 million in strategic consulting expenses and an incremental $1.6 million in severance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twenty-six weeks ended July 29, 2017, was (93.3)%, compared to 37.5% for the twenty-six weeks ended July 30, 2016. The year-over year increase in the effective tax rate is primarily due to the relative impact of permanent and discrete items, including a tax shortfall from stock-based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9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For the twenty-six weeks ended July 29, 2017, net income (loss) decreased $9.4 million, or 124.7%, to $(1.9) million from $7.5 million in the comparable prior-year period. The current-year period included severance charges of $2.5 million, strategic consulting expenses of $2.3 million and a net lease termination fee of $0.3 million ($3.3 million after the associated tax benefit). The prior-year period included $1.6 million in store impairment charges and $0.9 million in executive severance ($1.6 million after the associated tax benefit).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investments, and cash flow from operations. We also have access to additional liquidity, if needed, through borrowings under our $125.0 million second amended and restated credit agreement. There were no borrowings under this agreement during the twenty-six weeks ended July 29, 2017, and there was no debt outstanding as of July 29, 2017. Historically, our primary cash needs have been for merchandise inventories; payroll; store rent; capital expenditures associated with operational equipment, buildings, information technology, and opening new stores; share repurchases; and debt repayments. The most significant components of our working capital are cash and cash equivalents, short-term investments, merchandise inventories, accounts receivable, accounts payable, and other current liabilities.</w:t>
      </w:r>
    </w:p>
    <w:p>
      <w:pPr>
        <w:spacing w:after="0" w:line="13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investments, cash flows from operating activities, and the availability of borrowings under our second amended and restated credit agreement or other financing arrangements will be sufficient to meet working capital requirements, anticipated capital expenditures, share repurchases, and debt payments for the foreseeable future.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17"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9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Investments classified as cash equivalents relate to highly liquid investments with a maturity of three months or less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As of July 29, 2017, these investments in our portfolio consisted of a money market fund, commercial paper, non-U.S. corporate debt securities and municipal securities.</w:t>
      </w:r>
    </w:p>
    <w:p>
      <w:pPr>
        <w:spacing w:after="0" w:line="3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As of July 29, 2017, short-term investments consisted of U.S. and non-U.S. corporate debt securities, commercial paper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municipal securities with a maturity within one year of the balance sheet date. As of January 28, 2017, short-term investments consisted of a certificate of deposit with an original maturity of one year and a one-time option to accelerate maturity to 31 days without penalty. The certificate of deposit matured during the first quarter of fiscal 2018.</w:t>
      </w:r>
    </w:p>
    <w:p>
      <w:pPr>
        <w:spacing w:after="0" w:line="126"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Long-Term Investments. </w:t>
      </w:r>
      <w:r>
        <w:rPr>
          <w:rFonts w:ascii="Times New Roman" w:cs="Times New Roman" w:eastAsia="Times New Roman" w:hAnsi="Times New Roman"/>
          <w:sz w:val="18"/>
          <w:szCs w:val="18"/>
          <w:color w:val="auto"/>
        </w:rPr>
        <w:t>As of July 29, 2017, long-term investments consisted of U.S. and non-U.S. corporate debt securities and U.S. treasury and municipal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with a maturity greater than one year from the balance sheet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herein for additional detail regarding investments.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8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00" w:type="dxa"/>
            <w:vAlign w:val="bottom"/>
          </w:tcPr>
          <w:p>
            <w:pPr>
              <w:spacing w:after="0"/>
              <w:rPr>
                <w:sz w:val="12"/>
                <w:szCs w:val="12"/>
                <w:color w:val="auto"/>
              </w:rPr>
            </w:pPr>
          </w:p>
        </w:tc>
        <w:tc>
          <w:tcPr>
            <w:tcW w:w="1180" w:type="dxa"/>
            <w:vAlign w:val="bottom"/>
          </w:tcPr>
          <w:p>
            <w:pPr>
              <w:jc w:val="right"/>
              <w:ind w:right="437"/>
              <w:spacing w:after="0" w:line="149" w:lineRule="exact"/>
              <w:rPr>
                <w:sz w:val="20"/>
                <w:szCs w:val="20"/>
                <w:color w:val="auto"/>
              </w:rPr>
            </w:pPr>
            <w:r>
              <w:rPr>
                <w:rFonts w:ascii="Times New Roman" w:cs="Times New Roman" w:eastAsia="Times New Roman" w:hAnsi="Times New Roman"/>
                <w:sz w:val="14"/>
                <w:szCs w:val="14"/>
                <w:b w:val="1"/>
                <w:bCs w:val="1"/>
                <w:color w:val="auto"/>
              </w:rPr>
              <w:t>July 30,</w:t>
            </w:r>
          </w:p>
        </w:tc>
      </w:tr>
      <w:tr>
        <w:trPr>
          <w:trHeight w:val="195"/>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15,774</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(41,643)</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(16,353)</w:t>
            </w:r>
          </w:p>
        </w:tc>
      </w:tr>
      <w:tr>
        <w:trPr>
          <w:trHeight w:val="27"/>
        </w:trPr>
        <w:tc>
          <w:tcPr>
            <w:tcW w:w="8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92"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Net cash (used in) provided by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twenty-six weeks ended July 29, 2017, was $4.1 million compared to net cash provided by operating activities of $15.8 million for the twenty-six weeks ended July 30, 2016. The increase in cash used in operating activities was primarily a result of a decrease in net income of $9.4 million and a change in inventory and accounts payable which resulted in a use of cash of $16.5 million as compared to a net source of cash of $9.4 million in the comparable prior-year period. The change in inventory and accounts payable was primarily the result of an increase in certain inventory categories during the current-year period, as well as the timing of inventory payments. This was partially offset by a change in income taxes which resulted in a use of cash of $2.0 million as compared to a use of cash of $11.3 million in the comparable prior-year period. The income tax change was primarily a result of the timing of an $11.5 million federal income tax payment in the prior-year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$12.0 million and $41.6 million for the twenty-six weeks ended July 29, 2017 and July 30, 2016, respectively. There was a decrease of $5.6 million in spending for property, plant, and equipment in the current-year period primarily due to the construction of four retail stores and 13 store remodels in the current-year period as compared to the construction of nine retail stores in the comparable prior-year period and a reduction in information technology investment spending. In addition, there was a use of cash of $5.9 million as a result of net investment activity in the current-year period compared to a use of cash of $30.0 million in the comparable prior-year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2018 are expected to be approximately $10.0 million to $15.0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$3.9 million and $16.4 million for the twenty-six weeks ended July 29, 2017 and July 30, 2016, respectively. The decrease in cash used in financing activities was primarily due to $3.3 million of cash purchases of our common stock under the 2015 Share Repurchase Plan in the current-year period compared to $15.7 million of cash purchases of our common stock under the 2015 Share Repurchase Plans in the prior-year period.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Amended and Restated Credit Agreement</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July 29, 2017, the Company had no borrowings outstanding and availability of $125.0 million under the agreement.</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 The Company was in compliance with these covenants as of July 29, 2017.</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28, 2017. In addition to these policies, refer to Note 11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of this Quarterly Report on Form 10-Q for a discussion of the Company's investment accounting policy.</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28, 2017. There were no significant changes to any of the critical accounting policies and estimates described in the Annual Report as of July 29,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Refer to Note 1 </w:t>
      </w:r>
      <w:r>
        <w:rPr>
          <w:rFonts w:ascii="Times New Roman" w:cs="Times New Roman" w:eastAsia="Times New Roman" w:hAnsi="Times New Roman"/>
          <w:sz w:val="18"/>
          <w:szCs w:val="18"/>
          <w:i w:val="1"/>
          <w:iCs w:val="1"/>
          <w:color w:val="auto"/>
        </w:rPr>
        <w:t>Description of the Company and Basis of Presentation</w:t>
      </w:r>
      <w:r>
        <w:rPr>
          <w:rFonts w:ascii="Times New Roman" w:cs="Times New Roman" w:eastAsia="Times New Roman" w:hAnsi="Times New Roman"/>
          <w:sz w:val="18"/>
          <w:szCs w:val="18"/>
          <w:color w:val="auto"/>
        </w:rPr>
        <w:t xml:space="preserve">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July 29, 2017, there was no material change in the market risks described in “Quantitative and Qualitative Disclosures About Market Risks” in the Company’s Annual Report on Form 10-K for the fiscal year ended January 28, 2017.</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July 29, 2017.</w:t>
      </w:r>
    </w:p>
    <w:p>
      <w:pPr>
        <w:spacing w:after="0" w:line="13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240" w:top="117" w:right="5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to our risk factors as previously set forth in the Company’s Annual Report on Form 10-K for the fiscal year ended January 28, 2017.</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8, 2015, the Company’s board of directors approved a share repurchase program (the “2015 Share Repurchase Program”) authorizing up to</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$50.0 million of repurchases of shares of the Company's common stock. The 2015 Share Repurchase Program expires in December 2017. During the thirteen weeks ended July 29, 2017, the Company repurchased 241,770 shares of the Company's common stock at an average price of $8.79 per share, excluding commissions.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on the shares repurchased under the program during the thirteen weeks ended July 29, 2017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00" w:type="dxa"/>
            <w:vAlign w:val="bottom"/>
            <w:vMerge w:val="restart"/>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Plans or Program</w:t>
            </w: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30, 2017 - May 27, 2017</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90,913</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90,913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19,365,484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28, 2017 - July 1, 2017</w:t>
            </w:r>
          </w:p>
        </w:tc>
        <w:tc>
          <w:tcPr>
            <w:tcW w:w="1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96,995</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96,995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18,518,295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2, 2017 - July 29, 2017</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53,862</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53,862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18,006,836</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241,770</w:t>
            </w:r>
          </w:p>
        </w:tc>
        <w:tc>
          <w:tcPr>
            <w:tcW w:w="140" w:type="dxa"/>
            <w:vAlign w:val="bottom"/>
          </w:tcPr>
          <w:p>
            <w:pPr>
              <w:spacing w:after="0"/>
              <w:rPr>
                <w:sz w:val="20"/>
                <w:szCs w:val="20"/>
                <w:color w:val="auto"/>
              </w:rPr>
            </w:pPr>
          </w:p>
        </w:tc>
        <w:tc>
          <w:tcPr>
            <w:tcW w:w="80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241,770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Exhibits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1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60" w:type="dxa"/>
            <w:vAlign w:val="bottom"/>
            <w:tcBorders>
              <w:top w:val="single" w:sz="8" w:color="auto"/>
            </w:tcBorders>
            <w:gridSpan w:val="2"/>
          </w:tcPr>
          <w:p>
            <w:pPr>
              <w:jc w:val="right"/>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top w:val="single" w:sz="8" w:color="auto"/>
            </w:tcBorders>
            <w:gridSpan w:val="4"/>
          </w:tcPr>
          <w:p>
            <w:pPr>
              <w:ind w:left="4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300" w:right="40" w:hanging="1265"/>
        <w:spacing w:after="0" w:line="25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Vera Bradley, Inc.’s Quarterly Report on Form 10-Q for the quarter ended July 29, 2017 formatted in Extensible Business Reporting Language (XBRL): (i) Condensed Consolidated Statements of Income for the Thirteen and Twenty-Six Weeks ended July 29, 2017 and July 30, 2016; (ii) Condensed Consolidated Statements of Comprehensive Income for the Thirteen and Twenty-Six Weeks ended July 29, 2017 and July 30, 2016; (iii) Condensed Consolidated Balance Sheets as of July 29, 2017 and January 28, 2017; (iv) Condensed Consolidated Statements of Cash Flows for the Twenty-Six Weeks ended July 29, 2017 and July 30, 2016, and (v) Notes to Condensed Consolidated Financial Statements. **</w:t>
      </w:r>
    </w:p>
    <w:p>
      <w:pPr>
        <w:spacing w:after="0" w:line="147" w:lineRule="exact"/>
        <w:rPr>
          <w:sz w:val="20"/>
          <w:szCs w:val="20"/>
          <w:color w:val="auto"/>
        </w:rPr>
      </w:pPr>
    </w:p>
    <w:p>
      <w:pPr>
        <w:ind w:left="740" w:hanging="705"/>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185" w:lineRule="exact"/>
        <w:rPr>
          <w:sz w:val="20"/>
          <w:szCs w:val="20"/>
          <w:color w:val="auto"/>
        </w:rPr>
      </w:pPr>
    </w:p>
    <w:p>
      <w:pPr>
        <w:ind w:left="740" w:right="140" w:hanging="705"/>
        <w:spacing w:after="0" w:line="266"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7"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September 6, 2017</w:t>
      </w:r>
      <w:r>
        <w:rPr>
          <w:sz w:val="20"/>
          <w:szCs w:val="20"/>
          <w:color w:val="auto"/>
        </w:rPr>
        <w:tab/>
      </w: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2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240" w:top="117"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1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60" w:type="dxa"/>
            <w:vAlign w:val="bottom"/>
            <w:tcBorders>
              <w:top w:val="single" w:sz="8" w:color="auto"/>
            </w:tcBorders>
            <w:gridSpan w:val="2"/>
          </w:tcPr>
          <w:p>
            <w:pPr>
              <w:jc w:val="right"/>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top w:val="single" w:sz="8" w:color="auto"/>
            </w:tcBorders>
            <w:gridSpan w:val="4"/>
          </w:tcPr>
          <w:p>
            <w:pPr>
              <w:ind w:left="40"/>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300" w:right="40" w:hanging="1265"/>
        <w:spacing w:after="0" w:line="25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Vera Bradley, Inc.’s Quarterly Report on Form 10-Q for the quarter ended July 29, 2017 formatted in Extensible Business Reporting Language (XBRL): (i) Condensed Consolidated Statements of Income for the Thirteen and Twenty-Six Weeks ended July 29, 2017 and July 30, 2016; (ii) Condensed Consolidated Statements of Comprehensive Income for the Thirteen and Twenty-Six Weeks ended July 29, 2017 and July 30, 2016; (iii) Condensed Consolidated Balance Sheets as of July 29, 2017 and January 28, 2017; (iv) Condensed Consolidated Statements of Cash Flows for the Twenty-Six Weeks ended July 29, 2017 and July 30, 2016, and (v) Notes to Condensed Consolidated Financial Statements. **</w:t>
      </w:r>
    </w:p>
    <w:p>
      <w:pPr>
        <w:spacing w:after="0" w:line="147" w:lineRule="exact"/>
        <w:rPr>
          <w:sz w:val="20"/>
          <w:szCs w:val="20"/>
          <w:color w:val="auto"/>
        </w:rPr>
      </w:pPr>
    </w:p>
    <w:p>
      <w:pPr>
        <w:ind w:left="740" w:hanging="705"/>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185" w:lineRule="exact"/>
        <w:rPr>
          <w:sz w:val="20"/>
          <w:szCs w:val="20"/>
          <w:color w:val="auto"/>
        </w:rPr>
      </w:pPr>
    </w:p>
    <w:p>
      <w:pPr>
        <w:ind w:left="740" w:right="140" w:hanging="705"/>
        <w:spacing w:after="0" w:line="266"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September 6, 2017</w:t>
      </w:r>
      <w:r>
        <w:rPr>
          <w:sz w:val="20"/>
          <w:szCs w:val="20"/>
          <w:color w:val="auto"/>
        </w:rPr>
        <w:tab/>
      </w:r>
      <w:r>
        <w:rPr>
          <w:rFonts w:ascii="Times New Roman" w:cs="Times New Roman" w:eastAsia="Times New Roman" w:hAnsi="Times New Roman"/>
          <w:sz w:val="17"/>
          <w:szCs w:val="17"/>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Enwright, certify that:</w:t>
      </w:r>
    </w:p>
    <w:p>
      <w:pPr>
        <w:spacing w:after="0" w:line="9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September 6, 2017</w:t>
      </w:r>
      <w:r>
        <w:rPr>
          <w:sz w:val="20"/>
          <w:szCs w:val="20"/>
          <w:color w:val="auto"/>
        </w:rPr>
        <w:tab/>
      </w: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Executive Vice President - Chief Financial Officer</w:t>
      </w:r>
    </w:p>
    <w:p>
      <w:pPr>
        <w:sectPr>
          <w:pgSz w:w="11900" w:h="16838" w:orient="portrait"/>
          <w:cols w:equalWidth="0" w:num="1">
            <w:col w:w="11420"/>
          </w:cols>
          <w:pgMar w:left="240" w:top="576"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 Robert Wallstrom, the Chief Executive Officer of Vera Bradley, Inc., certify that (i) the quarterly report on Form 10-Q for the fiscal quarter ended July 29, 2017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September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p>
      <w:pPr>
        <w:spacing w:after="0" w:line="25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I, John Enwright, the Executive Vice President – Chief Financial Officer of Vera Bradley, Inc., certify that (i) the quarterly report on Form 10-Q for the fiscal quarter ended July 29, 2017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Executive Vice President - Chief Financial Officer</w:t>
      </w:r>
    </w:p>
    <w:p>
      <w:pPr>
        <w:spacing w:after="0" w:line="3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September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8"/>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0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2019-12-29T04:36:39Z</dcterms:created>
  <dcterms:modified xsi:type="dcterms:W3CDTF">2019-12-29T04:36:39Z</dcterms:modified>
</cp:coreProperties>
</file>