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422910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388620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32"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3"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2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November 2, 2024</w:t>
      </w:r>
    </w:p>
    <w:p>
      <w:pPr>
        <w:spacing w:after="0" w:line="17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3"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1934</w:t>
      </w:r>
    </w:p>
    <w:p>
      <w:pPr>
        <w:spacing w:after="0" w:line="241" w:lineRule="exact"/>
        <w:rPr>
          <w:sz w:val="24"/>
          <w:szCs w:val="24"/>
          <w:color w:val="auto"/>
        </w:rPr>
      </w:pPr>
    </w:p>
    <w:p>
      <w:pPr>
        <w:ind w:left="3360"/>
        <w:spacing w:after="0"/>
        <w:tabs>
          <w:tab w:leader="none" w:pos="676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3710305</wp:posOffset>
            </wp:positionH>
            <wp:positionV relativeFrom="paragraph">
              <wp:posOffset>-5080</wp:posOffset>
            </wp:positionV>
            <wp:extent cx="1294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001-34918</w:t>
      </w:r>
    </w:p>
    <w:p>
      <w:pPr>
        <w:spacing w:after="0" w:line="20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2936875</wp:posOffset>
            </wp:positionH>
            <wp:positionV relativeFrom="paragraph">
              <wp:posOffset>17145</wp:posOffset>
            </wp:positionV>
            <wp:extent cx="1268730" cy="128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730" cy="12858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VERA BRADLEY, INC.</w:t>
      </w:r>
    </w:p>
    <w:p>
      <w:pPr>
        <w:spacing w:after="0" w:line="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84"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35" w:lineRule="exact"/>
        <w:rPr>
          <w:sz w:val="24"/>
          <w:szCs w:val="24"/>
          <w:color w:val="auto"/>
        </w:rPr>
      </w:pPr>
    </w:p>
    <w:tbl>
      <w:tblPr>
        <w:tblLayout w:type="fixed"/>
        <w:tblInd w:w="1540" w:type="dxa"/>
        <w:tblCellMar>
          <w:top w:w="0" w:type="dxa"/>
          <w:left w:w="0" w:type="dxa"/>
          <w:bottom w:w="0" w:type="dxa"/>
          <w:right w:w="0" w:type="dxa"/>
        </w:tblCellMar>
      </w:tblPr>
      <w:tr>
        <w:trPr>
          <w:trHeight w:val="227"/>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Indiana</w:t>
            </w:r>
          </w:p>
        </w:tc>
        <w:tc>
          <w:tcPr>
            <w:tcW w:w="5100" w:type="dxa"/>
            <w:vAlign w:val="bottom"/>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27-2935063</w:t>
            </w:r>
          </w:p>
        </w:tc>
        <w:tc>
          <w:tcPr>
            <w:tcW w:w="0" w:type="dxa"/>
            <w:vAlign w:val="bottom"/>
          </w:tcPr>
          <w:p>
            <w:pPr>
              <w:spacing w:after="0"/>
              <w:rPr>
                <w:sz w:val="1"/>
                <w:szCs w:val="1"/>
                <w:color w:val="auto"/>
              </w:rPr>
            </w:pPr>
          </w:p>
        </w:tc>
      </w:tr>
      <w:tr>
        <w:trPr>
          <w:trHeight w:val="148"/>
        </w:trPr>
        <w:tc>
          <w:tcPr>
            <w:tcW w:w="2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100" w:type="dxa"/>
            <w:vAlign w:val="bottom"/>
          </w:tcPr>
          <w:p>
            <w:pPr>
              <w:jc w:val="center"/>
              <w:ind w:left="390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5100" w:type="dxa"/>
            <w:vAlign w:val="bottom"/>
          </w:tcPr>
          <w:p>
            <w:pPr>
              <w:jc w:val="center"/>
              <w:ind w:left="3880"/>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60"/>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12420 Stonebridge Road,</w:t>
            </w:r>
          </w:p>
        </w:tc>
        <w:tc>
          <w:tcPr>
            <w:tcW w:w="5100" w:type="dxa"/>
            <w:vAlign w:val="bottom"/>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46783</w:t>
            </w:r>
          </w:p>
        </w:tc>
        <w:tc>
          <w:tcPr>
            <w:tcW w:w="0" w:type="dxa"/>
            <w:vAlign w:val="bottom"/>
          </w:tcPr>
          <w:p>
            <w:pPr>
              <w:spacing w:after="0"/>
              <w:rPr>
                <w:sz w:val="1"/>
                <w:szCs w:val="1"/>
                <w:color w:val="auto"/>
              </w:rPr>
            </w:pPr>
          </w:p>
        </w:tc>
      </w:tr>
      <w:tr>
        <w:trPr>
          <w:trHeight w:val="227"/>
        </w:trPr>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Roanoke, Indiana</w:t>
            </w:r>
          </w:p>
        </w:tc>
        <w:tc>
          <w:tcPr>
            <w:tcW w:w="5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100" w:type="dxa"/>
            <w:vAlign w:val="bottom"/>
          </w:tcPr>
          <w:p>
            <w:pPr>
              <w:jc w:val="center"/>
              <w:ind w:left="3880"/>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471"/>
        </w:trPr>
        <w:tc>
          <w:tcPr>
            <w:tcW w:w="2420" w:type="dxa"/>
            <w:vAlign w:val="bottom"/>
          </w:tcPr>
          <w:p>
            <w:pPr>
              <w:spacing w:after="0"/>
              <w:rPr>
                <w:sz w:val="24"/>
                <w:szCs w:val="24"/>
                <w:color w:val="auto"/>
              </w:rPr>
            </w:pPr>
          </w:p>
        </w:tc>
        <w:tc>
          <w:tcPr>
            <w:tcW w:w="5100" w:type="dxa"/>
            <w:vAlign w:val="bottom"/>
          </w:tcPr>
          <w:p>
            <w:pPr>
              <w:jc w:val="right"/>
              <w:ind w:right="2800"/>
              <w:spacing w:after="0"/>
              <w:rPr>
                <w:sz w:val="20"/>
                <w:szCs w:val="20"/>
                <w:color w:val="auto"/>
              </w:rPr>
            </w:pPr>
            <w:r>
              <w:rPr>
                <w:rFonts w:ascii="Times New Roman" w:cs="Times New Roman" w:eastAsia="Times New Roman" w:hAnsi="Times New Roman"/>
                <w:sz w:val="18"/>
                <w:szCs w:val="18"/>
                <w:b w:val="1"/>
                <w:bCs w:val="1"/>
                <w:color w:val="auto"/>
              </w:rPr>
              <w:t>(877) 708-8372</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5100" w:type="dxa"/>
            <w:vAlign w:val="bottom"/>
          </w:tcPr>
          <w:p>
            <w:pPr>
              <w:jc w:val="center"/>
              <w:ind w:right="17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0" w:type="dxa"/>
            <w:vAlign w:val="bottom"/>
          </w:tcPr>
          <w:p>
            <w:pPr>
              <w:spacing w:after="0"/>
              <w:rPr>
                <w:sz w:val="1"/>
                <w:szCs w:val="1"/>
                <w:color w:val="auto"/>
              </w:rPr>
            </w:pPr>
          </w:p>
        </w:tc>
      </w:tr>
    </w:tbl>
    <w:p>
      <w:pPr>
        <w:spacing w:after="0" w:line="1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8"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without par value</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VRA</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25"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1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7"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900" w:orient="portrait"/>
          <w:cols w:equalWidth="0" w:num="1">
            <w:col w:w="11260"/>
          </w:cols>
          <w:pgMar w:left="320" w:top="225" w:right="319" w:bottom="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303"/>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88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560"/>
              <w:spacing w:after="0"/>
              <w:rPr>
                <w:sz w:val="20"/>
                <w:szCs w:val="20"/>
                <w:color w:val="auto"/>
              </w:rPr>
            </w:pPr>
            <w:r>
              <w:rPr>
                <w:rFonts w:ascii="Wingdings" w:cs="Wingdings" w:eastAsia="Wingdings" w:hAnsi="Wingdings"/>
                <w:sz w:val="18"/>
                <w:szCs w:val="18"/>
                <w:b w:val="1"/>
                <w:bCs w:val="1"/>
                <w:color w:val="auto"/>
                <w:w w:val="94"/>
              </w:rPr>
              <w:t>x</w:t>
            </w:r>
          </w:p>
        </w:tc>
      </w:tr>
      <w:tr>
        <w:trPr>
          <w:trHeight w:val="50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880" w:type="dxa"/>
            <w:vAlign w:val="bottom"/>
          </w:tcPr>
          <w:p>
            <w:pPr>
              <w:ind w:left="7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499"/>
        </w:trPr>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7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99"/>
              </w:rPr>
              <w:t>☐</w:t>
            </w:r>
          </w:p>
        </w:tc>
      </w:tr>
    </w:tbl>
    <w:p>
      <w:pPr>
        <w:spacing w:after="0" w:line="237" w:lineRule="exact"/>
        <w:rPr>
          <w:sz w:val="20"/>
          <w:szCs w:val="20"/>
          <w:color w:val="auto"/>
        </w:rPr>
      </w:pPr>
    </w:p>
    <w:p>
      <w:pPr>
        <w:jc w:val="both"/>
        <w:ind w:left="20" w:right="2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0"/>
          <w:szCs w:val="20"/>
          <w:color w:val="auto"/>
        </w:rPr>
      </w:pPr>
    </w:p>
    <w:p>
      <w:pPr>
        <w:ind w:right="1580"/>
        <w:spacing w:after="0" w:line="3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The registrant had 27,726,461 shares of its common stock outstanding as of December 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120"/>
          </w:cols>
          <w:pgMar w:left="320" w:top="310"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10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100" w:type="dxa"/>
            <w:vAlign w:val="bottom"/>
            <w:gridSpan w:val="10"/>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100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3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November 2, 2024, and February 3, 2024</w:t>
            </w:r>
          </w:p>
        </w:tc>
        <w:tc>
          <w:tcPr>
            <w:tcW w:w="3740" w:type="dxa"/>
            <w:vAlign w:val="bottom"/>
            <w:gridSpan w:val="6"/>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4</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Thirteen and Thirty-Nine Weeks Ended November 2, 2024, and</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0" w:type="dxa"/>
            <w:vAlign w:val="bottom"/>
            <w:tcBorders>
              <w:top w:val="single" w:sz="8" w:color="0000FF"/>
            </w:tcBorders>
            <w:gridSpan w:val="22"/>
          </w:tcPr>
          <w:p>
            <w:pPr>
              <w:spacing w:after="0" w:line="169" w:lineRule="exact"/>
              <w:rPr>
                <w:sz w:val="20"/>
                <w:szCs w:val="20"/>
                <w:color w:val="auto"/>
              </w:rPr>
            </w:pPr>
            <w:r>
              <w:rPr>
                <w:rFonts w:ascii="Times New Roman" w:cs="Times New Roman" w:eastAsia="Times New Roman" w:hAnsi="Times New Roman"/>
                <w:sz w:val="18"/>
                <w:szCs w:val="18"/>
                <w:color w:val="0000FF"/>
              </w:rPr>
              <w:t>October 28, 2023</w:t>
            </w:r>
          </w:p>
        </w:tc>
        <w:tc>
          <w:tcPr>
            <w:tcW w:w="1280" w:type="dxa"/>
            <w:vAlign w:val="bottom"/>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Income for the Thirteen and Thirty-Nine Weeks Ended</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480" w:type="dxa"/>
            <w:vAlign w:val="bottom"/>
            <w:tcBorders>
              <w:top w:val="single" w:sz="8" w:color="0000FF"/>
            </w:tcBorders>
            <w:gridSpan w:val="19"/>
          </w:tcPr>
          <w:p>
            <w:pPr>
              <w:spacing w:after="0" w:line="169" w:lineRule="exact"/>
              <w:rPr>
                <w:sz w:val="20"/>
                <w:szCs w:val="20"/>
                <w:color w:val="auto"/>
              </w:rPr>
            </w:pPr>
            <w:r>
              <w:rPr>
                <w:rFonts w:ascii="Times New Roman" w:cs="Times New Roman" w:eastAsia="Times New Roman" w:hAnsi="Times New Roman"/>
                <w:sz w:val="18"/>
                <w:szCs w:val="18"/>
                <w:color w:val="0000FF"/>
              </w:rPr>
              <w:t>November 2, 2024, and October 28, 2023</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2"/>
          </w:tcPr>
          <w:p>
            <w:pPr>
              <w:spacing w:after="0"/>
              <w:rPr>
                <w:sz w:val="14"/>
                <w:szCs w:val="14"/>
                <w:color w:val="auto"/>
              </w:rPr>
            </w:pPr>
          </w:p>
        </w:tc>
        <w:tc>
          <w:tcPr>
            <w:tcW w:w="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for the Thirteen and Thirty-Nine Weeks Ended November 2,</w:t>
            </w:r>
          </w:p>
        </w:tc>
        <w:tc>
          <w:tcPr>
            <w:tcW w:w="80" w:type="dxa"/>
            <w:vAlign w:val="bottom"/>
            <w:vMerge w:val="restart"/>
          </w:tcPr>
          <w:p>
            <w:pPr>
              <w:spacing w:after="0"/>
              <w:rPr>
                <w:sz w:val="22"/>
                <w:szCs w:val="2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0" w:type="dxa"/>
            <w:vAlign w:val="bottom"/>
            <w:tcBorders>
              <w:top w:val="single" w:sz="8" w:color="0000FF"/>
              <w:bottom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w w:val="98"/>
              </w:rPr>
              <w:t>2024, and October 28, 2023</w:t>
            </w:r>
          </w:p>
        </w:tc>
        <w:tc>
          <w:tcPr>
            <w:tcW w:w="6740" w:type="dxa"/>
            <w:vAlign w:val="bottom"/>
            <w:tcBorders>
              <w:top w:val="single" w:sz="8" w:color="0000FF"/>
            </w:tcBorders>
            <w:gridSpan w:val="10"/>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2"/>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Thirty-Nine Weeks Ended November 2, 2024, and October 28,</w:t>
            </w:r>
          </w:p>
        </w:tc>
        <w:tc>
          <w:tcPr>
            <w:tcW w:w="80" w:type="dxa"/>
            <w:vAlign w:val="bottom"/>
            <w:vMerge w:val="restart"/>
          </w:tcPr>
          <w:p>
            <w:pPr>
              <w:spacing w:after="0"/>
              <w:rPr>
                <w:sz w:val="22"/>
                <w:szCs w:val="2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4"/>
              </w:rPr>
              <w:t>2023</w:t>
            </w:r>
          </w:p>
        </w:tc>
        <w:tc>
          <w:tcPr>
            <w:tcW w:w="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12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98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0" w:type="dxa"/>
            <w:vAlign w:val="bottom"/>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22"/>
                <w:szCs w:val="22"/>
                <w:color w:val="auto"/>
              </w:rPr>
            </w:pPr>
          </w:p>
        </w:tc>
        <w:tc>
          <w:tcPr>
            <w:tcW w:w="3640" w:type="dxa"/>
            <w:vAlign w:val="bottom"/>
            <w:gridSpan w:val="5"/>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8320" w:type="dxa"/>
            <w:vAlign w:val="bottom"/>
            <w:gridSpan w:val="15"/>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00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Item 1.</w:t>
            </w:r>
          </w:p>
        </w:tc>
        <w:tc>
          <w:tcPr>
            <w:tcW w:w="18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240" w:type="dxa"/>
            <w:vAlign w:val="bottom"/>
            <w:gridSpan w:val="14"/>
          </w:tcPr>
          <w:p>
            <w:pPr>
              <w:spacing w:after="0"/>
              <w:rPr>
                <w:sz w:val="22"/>
                <w:szCs w:val="22"/>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3"/>
          </w:tcPr>
          <w:p>
            <w:pPr>
              <w:spacing w:after="0"/>
              <w:rPr>
                <w:sz w:val="22"/>
                <w:szCs w:val="22"/>
                <w:color w:val="auto"/>
              </w:rPr>
            </w:pPr>
          </w:p>
        </w:tc>
        <w:tc>
          <w:tcPr>
            <w:tcW w:w="8760" w:type="dxa"/>
            <w:vAlign w:val="bottom"/>
            <w:gridSpan w:val="16"/>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740" w:type="dxa"/>
            <w:vAlign w:val="bottom"/>
            <w:gridSpan w:val="8"/>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00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FF"/>
            </w:tcBorders>
            <w:gridSpan w:val="3"/>
          </w:tcPr>
          <w:p>
            <w:pPr>
              <w:spacing w:after="0"/>
              <w:rPr>
                <w:sz w:val="22"/>
                <w:szCs w:val="22"/>
                <w:color w:val="auto"/>
              </w:rPr>
            </w:pPr>
          </w:p>
        </w:tc>
        <w:tc>
          <w:tcPr>
            <w:tcW w:w="8780" w:type="dxa"/>
            <w:vAlign w:val="bottom"/>
            <w:gridSpan w:val="17"/>
          </w:tcPr>
          <w:p>
            <w:pPr>
              <w:spacing w:after="0"/>
              <w:rPr>
                <w:sz w:val="22"/>
                <w:szCs w:val="22"/>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that are subject to risks and uncertainties. All statements other than statements of historical or current fact included in this report are forward-looking statements. Forward-looking statements include references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7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implement our long-term strategic plans, including Project Restoration;</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declines in our comparable sales;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maintain and enhance our brands;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failure of our multi-channel distribution model;</w:t>
      </w:r>
    </w:p>
    <w:p>
      <w:pPr>
        <w:spacing w:after="0" w:line="90"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adverse changes in general economic conditions and their impact on consumer confidence and consumer spending, including political unrest, social unrest, acts of war and terrorism, and other related matters;</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predict and respond in a timely manner to changes in consumer demand;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inability to successfully open new stores and/or operate current stores as planned;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loss of key management or design associates or inability to attract and retain the talent required for our business;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data security or privacy breaches or disruptions in our computer systems or websites;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disruptions in our supply chain;</w:t>
      </w:r>
    </w:p>
    <w:p>
      <w:pPr>
        <w:spacing w:after="0" w:line="90"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new or increased tariffs on our products and increases in inbound and outbound freight expense that could lead to increased product costs and lower profit margins; and</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pandemics and actions by governmental or other actors regarding containment.</w:t>
      </w:r>
    </w:p>
    <w:p>
      <w:pPr>
        <w:spacing w:after="0" w:line="17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a discussion of the above described risks and uncertainties and other risks and uncertainties that could cause actual results to differ materially from those contained in our forward-looking statements, please refer to “Risk Factors” in Item 1A of our Annual Report on Form 10-K for the fiscal year ended February 3, 2024, as well as in Item 1A herein.</w:t>
      </w:r>
    </w:p>
    <w:p>
      <w:pPr>
        <w:spacing w:after="0" w:line="12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November 2,</w:t>
            </w:r>
          </w:p>
        </w:tc>
        <w:tc>
          <w:tcPr>
            <w:tcW w:w="220" w:type="dxa"/>
            <w:vAlign w:val="bottom"/>
          </w:tcPr>
          <w:p>
            <w:pPr>
              <w:spacing w:after="0"/>
              <w:rPr>
                <w:sz w:val="13"/>
                <w:szCs w:val="13"/>
                <w:color w:val="auto"/>
              </w:rPr>
            </w:pPr>
          </w:p>
        </w:tc>
        <w:tc>
          <w:tcPr>
            <w:tcW w:w="122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95"/>
        </w:trPr>
        <w:tc>
          <w:tcPr>
            <w:tcW w:w="8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77,303</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118,278</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receivable</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12,803</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184,785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225,957</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right-of-use assets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66,488</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54,256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7,573</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20,355</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6,157</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358,975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380,786</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14,155</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employment costs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Short-term operating lease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18,452</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0" w:type="dxa"/>
            <w:vAlign w:val="bottom"/>
          </w:tcPr>
          <w:p>
            <w:pPr>
              <w:spacing w:after="0"/>
              <w:rPr>
                <w:sz w:val="1"/>
                <w:szCs w:val="1"/>
                <w:color w:val="auto"/>
              </w:rPr>
            </w:pPr>
          </w:p>
        </w:tc>
      </w:tr>
      <w:tr>
        <w:trPr>
          <w:trHeight w:val="207"/>
        </w:trPr>
        <w:tc>
          <w:tcPr>
            <w:tcW w:w="82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59,766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58,261</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operating lease liabilities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62,552</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133,777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120,857</w:t>
            </w:r>
          </w:p>
        </w:tc>
        <w:tc>
          <w:tcPr>
            <w:tcW w:w="0" w:type="dxa"/>
            <w:vAlign w:val="bottom"/>
          </w:tcPr>
          <w:p>
            <w:pPr>
              <w:spacing w:after="0"/>
              <w:rPr>
                <w:sz w:val="1"/>
                <w:szCs w:val="1"/>
                <w:color w:val="auto"/>
              </w:rPr>
            </w:pPr>
          </w:p>
        </w:tc>
      </w:tr>
      <w:tr>
        <w:trPr>
          <w:trHeight w:val="19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5,000 shares authorized, no shares issued or outstanding</w:t>
            </w: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824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Common stock, without par value; 200,000 shares authorized, 43,523 and 43,253 shares issued and 27,802 and 30,814</w:t>
            </w:r>
          </w:p>
        </w:tc>
        <w:tc>
          <w:tcPr>
            <w:tcW w:w="2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shares outstanding, respectively</w:t>
            </w:r>
          </w:p>
        </w:tc>
        <w:tc>
          <w:tcPr>
            <w:tcW w:w="2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112,590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282,467</w:t>
            </w:r>
          </w:p>
        </w:tc>
        <w:tc>
          <w:tcPr>
            <w:tcW w:w="0" w:type="dxa"/>
            <w:vAlign w:val="bottom"/>
          </w:tcPr>
          <w:p>
            <w:pPr>
              <w:spacing w:after="0"/>
              <w:rPr>
                <w:sz w:val="1"/>
                <w:szCs w:val="1"/>
                <w:color w:val="auto"/>
              </w:rPr>
            </w:pPr>
          </w:p>
        </w:tc>
      </w:tr>
      <w:tr>
        <w:trPr>
          <w:trHeight w:val="213"/>
        </w:trPr>
        <w:tc>
          <w:tcPr>
            <w:tcW w:w="8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(156,235)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(135,056)</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225,198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259,929</w:t>
            </w:r>
          </w:p>
        </w:tc>
        <w:tc>
          <w:tcPr>
            <w:tcW w:w="0" w:type="dxa"/>
            <w:vAlign w:val="bottom"/>
          </w:tcPr>
          <w:p>
            <w:pPr>
              <w:spacing w:after="0"/>
              <w:rPr>
                <w:sz w:val="1"/>
                <w:szCs w:val="1"/>
                <w:color w:val="auto"/>
              </w:rPr>
            </w:pPr>
          </w:p>
        </w:tc>
      </w:tr>
      <w:tr>
        <w:trPr>
          <w:trHeight w:val="235"/>
        </w:trPr>
        <w:tc>
          <w:tcPr>
            <w:tcW w:w="82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358,975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380,786</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20" w:type="dxa"/>
            <w:vAlign w:val="bottom"/>
          </w:tcPr>
          <w:p>
            <w:pPr>
              <w:spacing w:after="0"/>
              <w:rPr>
                <w:sz w:val="16"/>
                <w:szCs w:val="16"/>
                <w:color w:val="auto"/>
              </w:rPr>
            </w:pPr>
          </w:p>
        </w:tc>
        <w:tc>
          <w:tcPr>
            <w:tcW w:w="2760" w:type="dxa"/>
            <w:vAlign w:val="bottom"/>
            <w:gridSpan w:val="4"/>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31"/>
        </w:trPr>
        <w:tc>
          <w:tcPr>
            <w:tcW w:w="5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252"/>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272"/>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r>
      <w:tr>
        <w:trPr>
          <w:trHeight w:val="195"/>
        </w:trPr>
        <w:tc>
          <w:tcPr>
            <w:tcW w:w="5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337,521</w:t>
            </w:r>
          </w:p>
        </w:tc>
      </w:tr>
      <w:tr>
        <w:trPr>
          <w:trHeight w:val="23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36,969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51,980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150,749</w:t>
            </w:r>
          </w:p>
        </w:tc>
      </w:tr>
      <w:tr>
        <w:trPr>
          <w:trHeight w:val="223"/>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186,772</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174,274</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23"/>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 income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13,271</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3"/>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13,512</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3,819</w:t>
            </w:r>
          </w:p>
        </w:tc>
      </w:tr>
      <w:tr>
        <w:trPr>
          <w:trHeight w:val="196"/>
        </w:trPr>
        <w:tc>
          <w:tcPr>
            <w:tcW w:w="522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Net (loss) income</w:t>
            </w: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(12,800)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5,118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(15,215)</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9,693</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5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30,836</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31,246</w:t>
            </w:r>
          </w:p>
        </w:tc>
      </w:tr>
      <w:tr>
        <w:trPr>
          <w:trHeight w:val="270"/>
        </w:trPr>
        <w:tc>
          <w:tcPr>
            <w:tcW w:w="5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(loss) income per share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34"/>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(loss) income per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20" w:type="dxa"/>
            <w:vAlign w:val="bottom"/>
          </w:tcPr>
          <w:p>
            <w:pPr>
              <w:spacing w:after="0"/>
              <w:rPr>
                <w:sz w:val="16"/>
                <w:szCs w:val="16"/>
                <w:color w:val="auto"/>
              </w:rPr>
            </w:pPr>
          </w:p>
        </w:tc>
        <w:tc>
          <w:tcPr>
            <w:tcW w:w="2740" w:type="dxa"/>
            <w:vAlign w:val="bottom"/>
            <w:gridSpan w:val="4"/>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5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31"/>
        </w:trPr>
        <w:tc>
          <w:tcPr>
            <w:tcW w:w="52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ind w:right="277"/>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right"/>
              <w:ind w:right="257"/>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r>
      <w:tr>
        <w:trPr>
          <w:trHeight w:val="195"/>
        </w:trPr>
        <w:tc>
          <w:tcPr>
            <w:tcW w:w="5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(12,800)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w:t>
            </w:r>
          </w:p>
        </w:tc>
      </w:tr>
      <w:tr>
        <w:trPr>
          <w:trHeight w:val="230"/>
        </w:trPr>
        <w:tc>
          <w:tcPr>
            <w:tcW w:w="5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48"/>
        </w:trPr>
        <w:tc>
          <w:tcPr>
            <w:tcW w:w="5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(loss) income, net of tax</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(12,714)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1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8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20" w:type="dxa"/>
            <w:vAlign w:val="bottom"/>
          </w:tcPr>
          <w:p>
            <w:pPr>
              <w:spacing w:after="0"/>
              <w:rPr>
                <w:sz w:val="17"/>
                <w:szCs w:val="17"/>
                <w:color w:val="auto"/>
              </w:rPr>
            </w:pP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February 3, 2024</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30,813,616</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12,439,244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112,590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282,467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(135,056)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259,929</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(8,121)</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194,033</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(959,186)</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959,186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(6,348)</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May 4, 2024</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30,048,463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13,398,430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113,038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274,346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(141,404)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245,916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tcBorders>
              <w:top w:val="single" w:sz="8" w:color="CCEEFF"/>
            </w:tcBorders>
            <w:vMerge w:val="continue"/>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5,706</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4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5,706</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19,115</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(1,362,248)</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1,362,248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(9,545)</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August 3, 2024</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28,705,330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14,760,678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113,503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280,052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(150,949)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242,534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Borders>
              <w:top w:val="single" w:sz="8" w:color="CCEEFF"/>
            </w:tcBorders>
            <w:gridSpan w:val="2"/>
          </w:tcPr>
          <w:p>
            <w:pPr>
              <w:spacing w:after="0" w:line="20" w:lineRule="exact"/>
              <w:rPr>
                <w:sz w:val="1"/>
                <w:szCs w:val="1"/>
                <w:color w:val="auto"/>
              </w:rPr>
            </w:pPr>
          </w:p>
        </w:tc>
        <w:tc>
          <w:tcPr>
            <w:tcW w:w="106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40" w:type="dxa"/>
            <w:vAlign w:val="bottom"/>
            <w:tcBorders>
              <w:top w:val="single" w:sz="8" w:color="CCEEFF"/>
            </w:tcBorders>
            <w:vMerge w:val="continue"/>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(12,800)</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ind w:left="4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(12,800)</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56,848</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(960,487)</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960,487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0" w:type="dxa"/>
            <w:vAlign w:val="bottom"/>
          </w:tcPr>
          <w:p>
            <w:pPr>
              <w:spacing w:after="0"/>
              <w:rPr>
                <w:sz w:val="1"/>
                <w:szCs w:val="1"/>
                <w:color w:val="auto"/>
              </w:rPr>
            </w:pPr>
          </w:p>
        </w:tc>
      </w:tr>
      <w:tr>
        <w:trPr>
          <w:trHeight w:val="248"/>
        </w:trPr>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November 2, 2024</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27,801,691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15,721,165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114,167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267,252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(156,235)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225,198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17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21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240" w:type="dxa"/>
            <w:vAlign w:val="bottom"/>
          </w:tcPr>
          <w:p>
            <w:pPr>
              <w:spacing w:after="0"/>
              <w:rPr>
                <w:sz w:val="12"/>
                <w:szCs w:val="12"/>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8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40" w:type="dxa"/>
            <w:vAlign w:val="bottom"/>
            <w:gridSpan w:val="2"/>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4240" w:type="dxa"/>
            <w:vAlign w:val="bottom"/>
          </w:tcPr>
          <w:p>
            <w:pPr>
              <w:spacing w:after="0"/>
              <w:rPr>
                <w:sz w:val="17"/>
                <w:szCs w:val="17"/>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8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4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7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28, 2023</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30,766,024</w:t>
            </w:r>
          </w:p>
        </w:tc>
        <w:tc>
          <w:tcPr>
            <w:tcW w:w="8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12,079,690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109,718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274,629</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(132,864)</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251,378</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330,500</w:t>
            </w:r>
          </w:p>
        </w:tc>
        <w:tc>
          <w:tcPr>
            <w:tcW w:w="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(128,100)</w:t>
            </w: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noncontrolling interest equity adjustment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April 29, 2023</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30,968,424</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12,207,790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110,753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269,950</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 xml:space="preserve"> (133,596)</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246,992</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9,254</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(120,220)</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120,220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July 29, 2023</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30,848,293</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12,328,010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111,663</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279,204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 xml:space="preserve"> (134,279)</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256,519</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0" w:type="dxa"/>
            <w:vAlign w:val="bottom"/>
          </w:tcPr>
          <w:p>
            <w:pPr>
              <w:spacing w:after="0"/>
              <w:rPr>
                <w:sz w:val="1"/>
                <w:szCs w:val="1"/>
                <w:color w:val="auto"/>
              </w:rPr>
            </w:pPr>
          </w:p>
        </w:tc>
      </w:tr>
      <w:tr>
        <w:trPr>
          <w:trHeight w:val="229"/>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shares vested, net of repurchase for taxes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purchased</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(71,807)</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October 28, 2023</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30,785,139</w:t>
            </w:r>
          </w:p>
        </w:tc>
        <w:tc>
          <w:tcPr>
            <w:tcW w:w="8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12,399,817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112,397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284,322</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 xml:space="preserve"> (134,764)</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261,881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8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31"/>
        </w:trPr>
        <w:tc>
          <w:tcPr>
            <w:tcW w:w="8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20" w:type="dxa"/>
            <w:vAlign w:val="bottom"/>
          </w:tcPr>
          <w:p>
            <w:pPr>
              <w:spacing w:after="0"/>
              <w:rPr>
                <w:sz w:val="11"/>
                <w:szCs w:val="11"/>
                <w:color w:val="auto"/>
              </w:rPr>
            </w:pPr>
          </w:p>
        </w:tc>
        <w:tc>
          <w:tcPr>
            <w:tcW w:w="1220" w:type="dxa"/>
            <w:vAlign w:val="bottom"/>
          </w:tcPr>
          <w:p>
            <w:pPr>
              <w:jc w:val="right"/>
              <w:ind w:right="288"/>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r>
      <w:tr>
        <w:trPr>
          <w:trHeight w:val="195"/>
        </w:trPr>
        <w:tc>
          <w:tcPr>
            <w:tcW w:w="8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5"/>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(15,215)</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9,693</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income to net cash (used in) provided by operating activities: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of property, plant, and equipment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5,988</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operating right-of-use assets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15,622</w:t>
            </w: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Impairment charges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intangible assets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2,187</w:t>
            </w: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Provision for doubtful accounts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2,365</w:t>
            </w: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3,155</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non-cash (gain) loss, net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0"/>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Accounts receivable</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(3,581)</w:t>
            </w:r>
          </w:p>
        </w:tc>
      </w:tr>
      <w:tr>
        <w:trPr>
          <w:trHeight w:val="195"/>
        </w:trPr>
        <w:tc>
          <w:tcPr>
            <w:tcW w:w="82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Inventories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13,135</w:t>
            </w:r>
          </w:p>
        </w:tc>
      </w:tr>
      <w:tr>
        <w:trPr>
          <w:trHeight w:val="210"/>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w:t>
            </w:r>
          </w:p>
        </w:tc>
      </w:tr>
      <w:tr>
        <w:trPr>
          <w:trHeight w:val="195"/>
        </w:trPr>
        <w:tc>
          <w:tcPr>
            <w:tcW w:w="82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(8,134)</w:t>
            </w:r>
          </w:p>
        </w:tc>
      </w:tr>
      <w:tr>
        <w:trPr>
          <w:trHeight w:val="210"/>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Income taxes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95"/>
        </w:trPr>
        <w:tc>
          <w:tcPr>
            <w:tcW w:w="824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Operating lease liabilities, net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(17,468)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(16,495)</w:t>
            </w:r>
          </w:p>
        </w:tc>
      </w:tr>
      <w:tr>
        <w:trPr>
          <w:trHeight w:val="210"/>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Accrued and other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(2,273)</w:t>
            </w:r>
          </w:p>
        </w:tc>
      </w:tr>
      <w:tr>
        <w:trPr>
          <w:trHeight w:val="19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operating activities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(35,757)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21,058</w:t>
            </w:r>
          </w:p>
        </w:tc>
      </w:tr>
      <w:tr>
        <w:trPr>
          <w:trHeight w:val="18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(2,546)</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paid for business acquisition</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r>
      <w:tr>
        <w:trPr>
          <w:trHeight w:val="19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0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(6,050)</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(12,546)</w:t>
            </w:r>
          </w:p>
        </w:tc>
      </w:tr>
      <w:tr>
        <w:trPr>
          <w:trHeight w:val="18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5"/>
        </w:trPr>
        <w:tc>
          <w:tcPr>
            <w:tcW w:w="82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Tax withholdings for equity compensation</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w:t>
            </w:r>
          </w:p>
        </w:tc>
      </w:tr>
      <w:tr>
        <w:trPr>
          <w:trHeight w:val="21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r>
      <w:tr>
        <w:trPr>
          <w:trHeight w:val="19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(21,871)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(2,872)</w:t>
            </w:r>
          </w:p>
        </w:tc>
      </w:tr>
      <w:tr>
        <w:trPr>
          <w:trHeight w:val="20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89"/>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and cash equivalents</w:t>
            </w: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(63,592)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5,671</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77,303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46,595</w:t>
            </w:r>
          </w:p>
        </w:tc>
      </w:tr>
      <w:tr>
        <w:trPr>
          <w:trHeight w:val="190"/>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period</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13,711</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52,266</w:t>
            </w:r>
          </w:p>
        </w:tc>
      </w:tr>
      <w:tr>
        <w:trPr>
          <w:trHeight w:val="27"/>
        </w:trPr>
        <w:tc>
          <w:tcPr>
            <w:tcW w:w="8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80" w:type="dxa"/>
            <w:vAlign w:val="bottom"/>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8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31"/>
        </w:trPr>
        <w:tc>
          <w:tcPr>
            <w:tcW w:w="8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120"/>
              <w:spacing w:after="0" w:line="131"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20" w:type="dxa"/>
            <w:vAlign w:val="bottom"/>
          </w:tcPr>
          <w:p>
            <w:pPr>
              <w:spacing w:after="0"/>
              <w:rPr>
                <w:sz w:val="11"/>
                <w:szCs w:val="11"/>
                <w:color w:val="auto"/>
              </w:rPr>
            </w:pPr>
          </w:p>
        </w:tc>
        <w:tc>
          <w:tcPr>
            <w:tcW w:w="1220" w:type="dxa"/>
            <w:vAlign w:val="bottom"/>
          </w:tcPr>
          <w:p>
            <w:pPr>
              <w:jc w:val="right"/>
              <w:ind w:right="288"/>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r>
      <w:tr>
        <w:trPr>
          <w:trHeight w:val="195"/>
        </w:trPr>
        <w:tc>
          <w:tcPr>
            <w:tcW w:w="8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8"/>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6"/>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for income taxes, net</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1,311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748</w:t>
            </w:r>
          </w:p>
        </w:tc>
      </w:tr>
      <w:tr>
        <w:trPr>
          <w:trHeight w:val="21"/>
        </w:trPr>
        <w:tc>
          <w:tcPr>
            <w:tcW w:w="8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5"/>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activity</w:t>
            </w: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95"/>
        </w:trPr>
        <w:tc>
          <w:tcPr>
            <w:tcW w:w="8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Non-cash operating, investing, and financing activities</w:t>
            </w: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28"/>
        </w:trPr>
        <w:tc>
          <w:tcPr>
            <w:tcW w:w="8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property, plant, and equipment incurred but not yet paid</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2,589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1,090</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Refer to Note 3 herein for supplemental cash flow information regarding the Company’s leases.</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Company and Basis of Presentation</w:t>
      </w:r>
    </w:p>
    <w:p>
      <w:pPr>
        <w:spacing w:after="0" w:line="107" w:lineRule="exact"/>
        <w:rPr>
          <w:rFonts w:ascii="Times New Roman" w:cs="Times New Roman" w:eastAsia="Times New Roman" w:hAnsi="Times New Roman"/>
          <w:sz w:val="18"/>
          <w:szCs w:val="18"/>
          <w:b w:val="1"/>
          <w:bCs w:val="1"/>
          <w:color w:val="auto"/>
        </w:rPr>
      </w:pPr>
    </w:p>
    <w:p>
      <w:pPr>
        <w:ind w:left="660" w:right="6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“Company” refers to Vera Bradley, Inc. and its wholly owned subsidiaries, except where the context requires otherwise or where otherwise indicated.</w:t>
      </w:r>
    </w:p>
    <w:p>
      <w:pPr>
        <w:spacing w:after="0" w:line="26" w:lineRule="exact"/>
        <w:rPr>
          <w:rFonts w:ascii="Times New Roman" w:cs="Times New Roman" w:eastAsia="Times New Roman" w:hAnsi="Times New Roman"/>
          <w:sz w:val="18"/>
          <w:szCs w:val="18"/>
          <w:b w:val="1"/>
          <w:bCs w:val="1"/>
          <w:color w:val="auto"/>
        </w:rPr>
      </w:pPr>
    </w:p>
    <w:p>
      <w:pPr>
        <w:ind w:left="6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Vera Bradley, Inc. operates two unique lifestyle brands – Vera Bradley and Pura Vida. We believe Vera Bradley and Pura Vida are complementary businesses, both with devoted, emotionally-connected, and multi-generational female customer bases; alignment as causal, comfortable, affordable, and fun brands; positioning as “gifting” and socially-connected brands; strong, entrepreneurial cultures; a keen focus on community, charity, and social consciousness; multi-channel distribution strategies; and talented leadership teams aligned and committed to the long-term success of their brands.</w:t>
      </w:r>
    </w:p>
    <w:p>
      <w:pPr>
        <w:spacing w:after="0" w:line="61" w:lineRule="exact"/>
        <w:rPr>
          <w:rFonts w:ascii="Times New Roman" w:cs="Times New Roman" w:eastAsia="Times New Roman" w:hAnsi="Times New Roman"/>
          <w:sz w:val="18"/>
          <w:szCs w:val="18"/>
          <w:b w:val="1"/>
          <w:bCs w:val="1"/>
          <w:color w:val="auto"/>
        </w:rPr>
      </w:pPr>
    </w:p>
    <w:p>
      <w:pPr>
        <w:ind w:left="6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continue to inspire and connect women.</w:t>
      </w:r>
    </w:p>
    <w:p>
      <w:pPr>
        <w:spacing w:after="0" w:line="54" w:lineRule="exact"/>
        <w:rPr>
          <w:rFonts w:ascii="Times New Roman" w:cs="Times New Roman" w:eastAsia="Times New Roman" w:hAnsi="Times New Roman"/>
          <w:sz w:val="18"/>
          <w:szCs w:val="18"/>
          <w:b w:val="1"/>
          <w:bCs w:val="1"/>
          <w:color w:val="auto"/>
        </w:rPr>
      </w:pPr>
    </w:p>
    <w:p>
      <w:pPr>
        <w:ind w:left="66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July 2019, Vera Bradley, Inc. acquired a 75% interest in Creative Genius, Inc., which also operates under the name Pura Vida Bracelets (“Pura Vida”). On January 30, 2023, the Company purchased the remaining 25% interest in Pura Vida. Pura Vida, based in La Jolla, California, is a digitally native lifestyle brand that we believe deeply resonates with its loyal consumer following. The Pura Vida brand has a differentiated and expanding offering of bracelets, jewelry, and other lifestyle accessories.</w:t>
      </w:r>
    </w:p>
    <w:p>
      <w:pPr>
        <w:spacing w:after="0" w:line="4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three reportable segments: Vera Bradley Direct (“VB Direct”), Vera Bradley Indirect (“VB Indirect”), and Pura Vida.</w:t>
      </w:r>
    </w:p>
    <w:p>
      <w:pPr>
        <w:spacing w:after="0" w:line="103" w:lineRule="exact"/>
        <w:rPr>
          <w:rFonts w:ascii="Times New Roman" w:cs="Times New Roman" w:eastAsia="Times New Roman" w:hAnsi="Times New Roman"/>
          <w:sz w:val="18"/>
          <w:szCs w:val="18"/>
          <w:b w:val="1"/>
          <w:bCs w:val="1"/>
          <w:color w:val="auto"/>
        </w:rPr>
      </w:pPr>
    </w:p>
    <w:p>
      <w:pPr>
        <w:ind w:left="980" w:right="40" w:hanging="324"/>
        <w:spacing w:after="0" w:line="266" w:lineRule="auto"/>
        <w:tabs>
          <w:tab w:leader="none" w:pos="9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VB Direct segment consists of sales of Vera Bradley products through Vera Bradley full-line and outlet stores in the United States; e-commerce sites (verabradley.com, outlet.verabradley.com, and international.verabradley.com); and the Vera Bradley annual outlet sale in Fort Wayne, Indiana. As of November 2, 2024, the Company operated 40 full-line stores and 86 outlet stores.</w:t>
      </w:r>
    </w:p>
    <w:p>
      <w:pPr>
        <w:spacing w:after="0" w:line="54" w:lineRule="exact"/>
        <w:rPr>
          <w:rFonts w:ascii="Times New Roman" w:cs="Times New Roman" w:eastAsia="Times New Roman" w:hAnsi="Times New Roman"/>
          <w:sz w:val="18"/>
          <w:szCs w:val="18"/>
          <w:color w:val="auto"/>
        </w:rPr>
      </w:pPr>
    </w:p>
    <w:p>
      <w:pPr>
        <w:ind w:left="980" w:right="300" w:hanging="324"/>
        <w:spacing w:after="0" w:line="261" w:lineRule="auto"/>
        <w:tabs>
          <w:tab w:leader="none" w:pos="9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VB Indirect segment consists of revenues generated through the distribution of Vera Bradley-branded products to specialty retailers representing approximately 1,200 locations, substantially all of which are located in the United States; key accounts, which include department stores, national accounts, third-party e-commerce sites, and third-party inventory liquidators; and royalties recognized through licensing agreements related to the Vera Bradley brand.</w:t>
      </w:r>
    </w:p>
    <w:p>
      <w:pPr>
        <w:spacing w:after="0" w:line="44" w:lineRule="exact"/>
        <w:rPr>
          <w:rFonts w:ascii="Times New Roman" w:cs="Times New Roman" w:eastAsia="Times New Roman" w:hAnsi="Times New Roman"/>
          <w:sz w:val="18"/>
          <w:szCs w:val="18"/>
          <w:color w:val="auto"/>
        </w:rPr>
      </w:pPr>
    </w:p>
    <w:p>
      <w:pPr>
        <w:ind w:left="980" w:right="480" w:hanging="324"/>
        <w:spacing w:after="0" w:line="266" w:lineRule="auto"/>
        <w:tabs>
          <w:tab w:leader="none" w:pos="9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Pura Vida segment represents revenues generated through the Pura Vida websites (www.puravidabracelets.com and www.puravidabracelets.eu); through the distribution of Pura Vida-branded products to wholesale retailers, substantially all of which are located in the United States; and through its seven retail stores.</w:t>
      </w:r>
    </w:p>
    <w:p>
      <w:pPr>
        <w:spacing w:after="0" w:line="54"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the rules and regulations of the Securities and Exchange Commission (“SEC”). Accordingly, certain information and footnote disclosures normally included in financial statements prepared in accordance with accounting principles generally accepted in the United States (“GAAP”) have been condensed or omitted as permitted by such rules and regulations. These interim condensed consolidated financial statements should be read in conjunction with the audited consolidated financial statements and notes included in the Company’s Annual Report on Form 10-K for the fiscal year ended February 3, 2024, filed with the SEC.</w:t>
      </w:r>
    </w:p>
    <w:p>
      <w:pPr>
        <w:spacing w:after="0" w:line="66" w:lineRule="exact"/>
        <w:rPr>
          <w:sz w:val="20"/>
          <w:szCs w:val="20"/>
          <w:color w:val="auto"/>
        </w:rPr>
      </w:pPr>
    </w:p>
    <w:p>
      <w:pPr>
        <w:ind w:left="660" w:right="80"/>
        <w:spacing w:after="0" w:line="261" w:lineRule="auto"/>
        <w:rPr>
          <w:sz w:val="20"/>
          <w:szCs w:val="20"/>
          <w:color w:val="auto"/>
        </w:rPr>
      </w:pPr>
      <w:r>
        <w:rPr>
          <w:rFonts w:ascii="Times New Roman" w:cs="Times New Roman" w:eastAsia="Times New Roman" w:hAnsi="Times New Roman"/>
          <w:sz w:val="18"/>
          <w:szCs w:val="18"/>
          <w:color w:val="auto"/>
        </w:rPr>
        <w:t>The interim financial statements reflect all adjustments that are, in the opinion of management, necessary to present fairly the results for the interim periods presented. All such adjustments are of a normal, recurring nature. The results of operations for the thirteen and thirty-nine weeks ended November 2, 2024, are not necessarily indicative of the results to be expected for the full fiscal year due to, in part, seasonal fluctuations in the business and the uncertainty of macroeconomic factors on future periods, including inflation and other related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including Pura Vida.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eliminated intercompany balances and transactions in consolidation.</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Fiscal Periods</w:t>
      </w:r>
    </w:p>
    <w:p>
      <w:pPr>
        <w:spacing w:after="0" w:line="108"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Saturday closest to January 31. References to the fiscal quarters ended November 2, 2024 and October 28, 2023 refer to the thirteen week periods ended on those dates.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8" w:lineRule="exact"/>
        <w:rPr>
          <w:sz w:val="20"/>
          <w:szCs w:val="20"/>
          <w:color w:val="auto"/>
        </w:rPr>
      </w:pPr>
    </w:p>
    <w:p>
      <w:pPr>
        <w:ind w:left="660"/>
        <w:spacing w:after="0" w:line="255" w:lineRule="auto"/>
        <w:rPr>
          <w:sz w:val="20"/>
          <w:szCs w:val="20"/>
          <w:color w:val="auto"/>
        </w:rPr>
      </w:pPr>
      <w:r>
        <w:rPr>
          <w:rFonts w:ascii="Times New Roman" w:cs="Times New Roman" w:eastAsia="Times New Roman" w:hAnsi="Times New Roman"/>
          <w:sz w:val="18"/>
          <w:szCs w:val="18"/>
          <w:color w:val="auto"/>
        </w:rPr>
        <w:t>In November, 2024, the Financial Accounting Standards Board issued Accounting Standards Update (“ASU”) 2024-03, "Disaggregation of Income Statement Expenses". The ASU requires financial statement footnote disclosure of specified information about certain costs and expenses, including purchases of inventory, employee compensation, depreciation, and intangible asset amortization. The ASU is effective for fiscal years beginning after December 15, 2026 (the Company’s fiscal year 2028) and interim reporting periods beginning after December 15, 2027 (interim periods for the Company’s fiscal year 2029). Public business entities are required to apply the guidance prospectively, however, retrospective application is permitted. The Company is currently evaluating the impact of this ASU, but expects the impact to be limited to financial statement footnote disclosures.</w:t>
      </w:r>
    </w:p>
    <w:p>
      <w:pPr>
        <w:spacing w:after="0" w:line="67" w:lineRule="exact"/>
        <w:rPr>
          <w:sz w:val="20"/>
          <w:szCs w:val="20"/>
          <w:color w:val="auto"/>
        </w:rPr>
      </w:pPr>
    </w:p>
    <w:p>
      <w:pPr>
        <w:ind w:left="660" w:right="20"/>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"Improvements to Reportable Segment Disclosures". This ASU updates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(the Company's fiscal year 2025), and interim periods within fiscal years beginning after December 15, 2024 (the Company's fiscal year 2026). Adoption of the ASU should be applied retrospectively to all prior periods presented in the financial statements. Early adoption is also permitted. This ASU will likely result in additional required disclosures when adopted. The Company is currently evaluating this guidance to determine the impact on its disclosures; however, adoption will not impact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right="7280" w:hanging="652"/>
        <w:spacing w:after="0" w:line="526"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Disaggregation of Revenue</w:t>
      </w:r>
    </w:p>
    <w:p>
      <w:pPr>
        <w:spacing w:after="0" w:line="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following presents the Company's net revenues disaggregated by product category for the thirteen and thirty-nine weeks ended November 2,</w:t>
      </w:r>
    </w:p>
    <w:p>
      <w:pPr>
        <w:spacing w:after="0" w:line="13"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2024 and October 28, 2023 (in thousands):</w:t>
      </w:r>
    </w:p>
    <w:p>
      <w:pPr>
        <w:spacing w:after="0" w:line="2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7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vMerge w:val="continue"/>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23,326</w:t>
            </w:r>
          </w:p>
        </w:tc>
        <w:tc>
          <w:tcPr>
            <w:tcW w:w="3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10,294</w:t>
            </w:r>
          </w:p>
        </w:tc>
        <w:tc>
          <w:tcPr>
            <w:tcW w:w="320" w:type="dxa"/>
            <w:vAlign w:val="bottom"/>
          </w:tcPr>
          <w:p>
            <w:pPr>
              <w:spacing w:after="0"/>
              <w:rPr>
                <w:sz w:val="19"/>
                <w:szCs w:val="19"/>
                <w:color w:val="auto"/>
              </w:rPr>
            </w:pPr>
          </w:p>
        </w:tc>
        <w:tc>
          <w:tcPr>
            <w:tcW w:w="64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33,641</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12,968</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17,289</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9,721</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20,189</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(2)</w:t>
            </w: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52,475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(5)</w:t>
            </w:r>
          </w:p>
        </w:tc>
        <w:tc>
          <w:tcPr>
            <w:tcW w:w="6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80,578</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and merchandising.</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680" w:hanging="6"/>
        <w:spacing w:after="0" w:line="234" w:lineRule="auto"/>
        <w:tabs>
          <w:tab w:leader="none" w:pos="9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 million of net revenues related to product sales recognized at a point in time and $0.4 million of net revenues related to sales-based royalties recognized over time.</w:t>
      </w:r>
    </w:p>
    <w:p>
      <w:pPr>
        <w:spacing w:after="0" w:line="11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3"/>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October 28, 2023</w:t>
            </w: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70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ind w:right="197"/>
              <w:spacing w:after="0" w:line="137"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7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30,970</w:t>
            </w:r>
          </w:p>
        </w:tc>
        <w:tc>
          <w:tcPr>
            <w:tcW w:w="3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13,167</w:t>
            </w:r>
          </w:p>
        </w:tc>
        <w:tc>
          <w:tcPr>
            <w:tcW w:w="320" w:type="dxa"/>
            <w:vAlign w:val="bottom"/>
          </w:tcPr>
          <w:p>
            <w:pPr>
              <w:spacing w:after="0"/>
              <w:rPr>
                <w:sz w:val="19"/>
                <w:szCs w:val="19"/>
                <w:color w:val="auto"/>
              </w:rPr>
            </w:pPr>
          </w:p>
        </w:tc>
        <w:tc>
          <w:tcPr>
            <w:tcW w:w="640" w:type="dxa"/>
            <w:vAlign w:val="bottom"/>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44,248</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15,374</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20,412</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12,782</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33,105</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7,824</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9,239</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(2)</w:t>
            </w:r>
          </w:p>
        </w:tc>
        <w:tc>
          <w:tcPr>
            <w:tcW w:w="6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72,309</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24,986</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(5)</w:t>
            </w:r>
          </w:p>
        </w:tc>
        <w:tc>
          <w:tcPr>
            <w:tcW w:w="6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17,692</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114,987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and merchandising.</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680" w:hanging="6"/>
        <w:spacing w:after="0" w:line="245" w:lineRule="auto"/>
        <w:tabs>
          <w:tab w:leader="none" w:pos="9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$24.5 million of net revenues related to product sales recognized at a point in time and $0.5 million of net revenues related to sales-based royalties recognized over time.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6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2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7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gridSpan w:val="2"/>
            <w:vMerge w:val="continue"/>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2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79,290</w:t>
            </w:r>
          </w:p>
        </w:tc>
        <w:tc>
          <w:tcPr>
            <w:tcW w:w="3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29,912</w:t>
            </w:r>
          </w:p>
        </w:tc>
        <w:tc>
          <w:tcPr>
            <w:tcW w:w="320" w:type="dxa"/>
            <w:vAlign w:val="bottom"/>
          </w:tcPr>
          <w:p>
            <w:pPr>
              <w:spacing w:after="0"/>
              <w:rPr>
                <w:sz w:val="19"/>
                <w:szCs w:val="19"/>
                <w:color w:val="auto"/>
              </w:rPr>
            </w:pPr>
          </w:p>
        </w:tc>
        <w:tc>
          <w:tcPr>
            <w:tcW w:w="68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3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109,259</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44,633</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10,663</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55,296</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30,493</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38,197</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74,559</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15,795</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3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17,898</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7,793</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5"/>
              </w:rPr>
              <w:t>(2)</w:t>
            </w:r>
          </w:p>
        </w:tc>
        <w:tc>
          <w:tcPr>
            <w:tcW w:w="6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181,140</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51,294</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5"/>
              </w:rPr>
              <w:t>(5)</w:t>
            </w:r>
          </w:p>
        </w:tc>
        <w:tc>
          <w:tcPr>
            <w:tcW w:w="6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39,569</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272,003</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freight, and merchandising.</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840" w:hanging="6"/>
        <w:spacing w:after="0" w:line="234" w:lineRule="auto"/>
        <w:tabs>
          <w:tab w:leader="none" w:pos="9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$49.9 million of net revenues related to product sales recognized at a point in time and $1.4 million of net revenues related to sales-based royalties recognized over time.</w:t>
      </w:r>
    </w:p>
    <w:p>
      <w:pPr>
        <w:spacing w:after="0" w:line="206"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October 28, 2023</w:t>
            </w:r>
          </w:p>
        </w:tc>
        <w:tc>
          <w:tcPr>
            <w:tcW w:w="6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540" w:type="dxa"/>
            <w:vAlign w:val="bottom"/>
          </w:tcPr>
          <w:p>
            <w:pPr>
              <w:spacing w:after="0"/>
              <w:rPr>
                <w:sz w:val="11"/>
                <w:szCs w:val="11"/>
                <w:color w:val="auto"/>
              </w:rPr>
            </w:pP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 Segment</w:t>
            </w: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ind w:right="197"/>
              <w:spacing w:after="0" w:line="137" w:lineRule="exact"/>
              <w:rPr>
                <w:sz w:val="20"/>
                <w:szCs w:val="20"/>
                <w:color w:val="auto"/>
              </w:rPr>
            </w:pPr>
            <w:r>
              <w:rPr>
                <w:rFonts w:ascii="Times New Roman" w:cs="Times New Roman" w:eastAsia="Times New Roman" w:hAnsi="Times New Roman"/>
                <w:sz w:val="14"/>
                <w:szCs w:val="14"/>
                <w:b w:val="1"/>
                <w:bCs w:val="1"/>
                <w:color w:val="auto"/>
              </w:rPr>
              <w:t>VB Indirect</w:t>
            </w:r>
          </w:p>
        </w:tc>
        <w:tc>
          <w:tcPr>
            <w:tcW w:w="340" w:type="dxa"/>
            <w:vAlign w:val="bottom"/>
          </w:tcPr>
          <w:p>
            <w:pPr>
              <w:spacing w:after="0"/>
              <w:rPr>
                <w:sz w:val="11"/>
                <w:szCs w:val="11"/>
                <w:color w:val="auto"/>
              </w:rPr>
            </w:pP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Pura Vida Segment</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5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3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Product categories</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Bags</w:t>
            </w:r>
          </w:p>
        </w:tc>
        <w:tc>
          <w:tcPr>
            <w:tcW w:w="40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89,267</w:t>
            </w:r>
          </w:p>
        </w:tc>
        <w:tc>
          <w:tcPr>
            <w:tcW w:w="3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31,123</w:t>
            </w:r>
          </w:p>
        </w:tc>
        <w:tc>
          <w:tcPr>
            <w:tcW w:w="340" w:type="dxa"/>
            <w:vAlign w:val="bottom"/>
          </w:tcPr>
          <w:p>
            <w:pPr>
              <w:spacing w:after="0"/>
              <w:rPr>
                <w:sz w:val="19"/>
                <w:szCs w:val="19"/>
                <w:color w:val="auto"/>
              </w:rPr>
            </w:pPr>
          </w:p>
        </w:tc>
        <w:tc>
          <w:tcPr>
            <w:tcW w:w="680" w:type="dxa"/>
            <w:vAlign w:val="bottom"/>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3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120,738</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50,740</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11,696</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62,436</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7,511</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59,440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105,367</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Home</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22,890</w:t>
            </w: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25,846</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Apparel/Footwear</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13,573</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(1)</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(2)</w:t>
            </w:r>
          </w:p>
        </w:tc>
        <w:tc>
          <w:tcPr>
            <w:tcW w:w="6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9,561</w:t>
            </w:r>
          </w:p>
        </w:tc>
        <w:tc>
          <w:tcPr>
            <w:tcW w:w="0" w:type="dxa"/>
            <w:vAlign w:val="bottom"/>
          </w:tcPr>
          <w:p>
            <w:pPr>
              <w:spacing w:after="0"/>
              <w:rPr>
                <w:sz w:val="1"/>
                <w:szCs w:val="1"/>
                <w:color w:val="auto"/>
              </w:rPr>
            </w:pP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w:t>
            </w:r>
          </w:p>
        </w:tc>
        <w:tc>
          <w:tcPr>
            <w:tcW w:w="4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216,916</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57,722</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(5)</w:t>
            </w:r>
          </w:p>
        </w:tc>
        <w:tc>
          <w:tcPr>
            <w:tcW w:w="6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62,883</w:t>
            </w:r>
          </w:p>
        </w:tc>
        <w:tc>
          <w:tcPr>
            <w:tcW w:w="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337,521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stationery, freight, and gift card breakage.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net revenues from licensing agreements and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freight.</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related to product sales recognized at a point in time.</w:t>
      </w:r>
    </w:p>
    <w:p>
      <w:pPr>
        <w:spacing w:after="0" w:line="22" w:lineRule="exact"/>
        <w:rPr>
          <w:rFonts w:ascii="Times New Roman" w:cs="Times New Roman" w:eastAsia="Times New Roman" w:hAnsi="Times New Roman"/>
          <w:sz w:val="18"/>
          <w:szCs w:val="18"/>
          <w:color w:val="auto"/>
        </w:rPr>
      </w:pPr>
    </w:p>
    <w:p>
      <w:pPr>
        <w:ind w:left="680" w:right="840" w:hanging="6"/>
        <w:spacing w:after="0" w:line="234" w:lineRule="auto"/>
        <w:tabs>
          <w:tab w:leader="none" w:pos="9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$55.8 million of net revenues related to product sales recognized at a point in time and $1.9 million of net revenues related to sales-based royalties recognized over time.</w:t>
      </w: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08" w:lineRule="exact"/>
        <w:rPr>
          <w:sz w:val="20"/>
          <w:szCs w:val="20"/>
          <w:color w:val="auto"/>
        </w:rPr>
      </w:pPr>
    </w:p>
    <w:p>
      <w:pPr>
        <w:ind w:left="660"/>
        <w:spacing w:after="0" w:line="258" w:lineRule="auto"/>
        <w:rPr>
          <w:sz w:val="20"/>
          <w:szCs w:val="20"/>
          <w:color w:val="auto"/>
        </w:rPr>
      </w:pPr>
      <w:r>
        <w:rPr>
          <w:rFonts w:ascii="Times New Roman" w:cs="Times New Roman" w:eastAsia="Times New Roman" w:hAnsi="Times New Roman"/>
          <w:sz w:val="18"/>
          <w:szCs w:val="18"/>
          <w:color w:val="auto"/>
        </w:rPr>
        <w:t>Contract liabilities as of November 2, 2024 and February 3, 2024, were $2.0 million and $2.6 million, respectively. The balance as of November 2, 2024 and February 3, 2024 consisted of unredeemed gift cards, unearned revenue related to the monthly bracelet and jewelry clubs of the Pura Vida segment, Pura Vida loyalty club points, and Pura Vida customer deposits and payments collected before shipment. These contract liabilities are recognized within other accrued liabilities on the Company’s Condensed Consolidated Balance Sheets. Substantially all contract liabilities are recognized within one year. The Company did not have contract assets as of November 2, 2024 and February 3, 2024.</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right="140"/>
        <w:spacing w:after="0" w:line="261" w:lineRule="auto"/>
        <w:rPr>
          <w:sz w:val="20"/>
          <w:szCs w:val="20"/>
          <w:color w:val="auto"/>
        </w:rPr>
      </w:pPr>
      <w:r>
        <w:rPr>
          <w:rFonts w:ascii="Times New Roman" w:cs="Times New Roman" w:eastAsia="Times New Roman" w:hAnsi="Times New Roman"/>
          <w:sz w:val="18"/>
          <w:szCs w:val="18"/>
          <w:color w:val="auto"/>
        </w:rPr>
        <w:t>The balance for accounts receivable from contracts with customers, net of allowances, as of November 2, 2024 and February 3, 2024, was $23.8 million and $16.4 million, respectively, which is recognized within accounts receivable, net, on the Company’s Condensed Consolidated Balance Sheets. The provision for doubtful accounts was $1.1 million as of November 2, 2024 and February 3, 2024, respectively. The provision for doubtful accounts is based upon the likelihood of default expected during the life of the receivable.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Performance Obligations</w:t>
      </w:r>
    </w:p>
    <w:p>
      <w:pPr>
        <w:spacing w:after="0" w:line="9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performance obligations for the VB Direct, VB Indirect, and Pura Vida segments include the promise to transfer distinct goods (or a bundle of distinct goods). The VB Indirect segment also includes the right to access intellectual property (“IP”) related to the Vera Bradley brand.</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0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does not have remaining performance obligations in excess of one year or contracts that it does not have the right to invoice as of November 2, 2024.</w:t>
      </w:r>
    </w:p>
    <w:p>
      <w:pPr>
        <w:spacing w:after="0" w:line="185"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2"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Discount Rate</w:t>
      </w:r>
    </w:p>
    <w:p>
      <w:pPr>
        <w:spacing w:after="0" w:line="94" w:lineRule="exact"/>
        <w:rPr>
          <w:rFonts w:ascii="Times New Roman" w:cs="Times New Roman" w:eastAsia="Times New Roman" w:hAnsi="Times New Roman"/>
          <w:sz w:val="18"/>
          <w:szCs w:val="18"/>
          <w:b w:val="1"/>
          <w:bCs w:val="1"/>
          <w:color w:val="auto"/>
        </w:rPr>
      </w:pPr>
    </w:p>
    <w:p>
      <w:pPr>
        <w:jc w:val="both"/>
        <w:ind w:left="660" w:right="3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weighted-average discount rate as of November 2, 2024, and October 28, 2023 was 5.0% and 4.8%, respectively. The discount rate is not readily determinable in the lease; therefore, the Company estimated the incremental borrowing rate, at the commencement date of each lease, which is the rate of interest it would have to borrow on a collateralized basis over a similar term with similar payments.</w:t>
      </w:r>
    </w:p>
    <w:p>
      <w:pPr>
        <w:spacing w:after="0" w:line="19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 Not Yet Commenced</w:t>
      </w:r>
    </w:p>
    <w:p>
      <w:pPr>
        <w:spacing w:after="0" w:line="10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November 2, 2024, there were no executed leases in which the Company did not have control of the underlying asset.</w:t>
      </w:r>
    </w:p>
    <w:p>
      <w:pPr>
        <w:spacing w:after="0" w:line="9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Amounts Recognized in the Condensed Consolidated Financial Statements</w:t>
      </w:r>
    </w:p>
    <w:p>
      <w:pPr>
        <w:spacing w:after="0" w:line="9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lease expense is recorded within cost of sales for the Asia sourcing office and certain equipment leases and within selling, general,</w:t>
      </w:r>
    </w:p>
    <w:p>
      <w:pPr>
        <w:spacing w:after="0" w:line="27" w:lineRule="exact"/>
        <w:rPr>
          <w:sz w:val="20"/>
          <w:szCs w:val="20"/>
          <w:color w:val="auto"/>
        </w:rPr>
      </w:pPr>
    </w:p>
    <w:p>
      <w:pPr>
        <w:ind w:left="660" w:right="160"/>
        <w:spacing w:after="0" w:line="259" w:lineRule="auto"/>
        <w:rPr>
          <w:sz w:val="20"/>
          <w:szCs w:val="20"/>
          <w:color w:val="auto"/>
        </w:rPr>
      </w:pPr>
      <w:r>
        <w:rPr>
          <w:rFonts w:ascii="Times New Roman" w:cs="Times New Roman" w:eastAsia="Times New Roman" w:hAnsi="Times New Roman"/>
          <w:sz w:val="18"/>
          <w:szCs w:val="18"/>
          <w:color w:val="auto"/>
        </w:rPr>
        <w:t>and administrative expenses for all other leases, including retail store leases, in the Company's Condensed Consolidated Statement of Operations for the thirteen and thirty-nine weeks ended November 2, 2024 and October 28, 2023 (in thousands):</w:t>
      </w:r>
    </w:p>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8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20" w:type="dxa"/>
            <w:vAlign w:val="bottom"/>
          </w:tcPr>
          <w:p>
            <w:pPr>
              <w:spacing w:after="0"/>
              <w:rPr>
                <w:sz w:val="16"/>
                <w:szCs w:val="16"/>
                <w:color w:val="auto"/>
              </w:rPr>
            </w:pPr>
          </w:p>
        </w:tc>
        <w:tc>
          <w:tcPr>
            <w:tcW w:w="3480" w:type="dxa"/>
            <w:vAlign w:val="bottom"/>
            <w:gridSpan w:val="4"/>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2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90"/>
        </w:trPr>
        <w:tc>
          <w:tcPr>
            <w:tcW w:w="21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24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October 28, 2023</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24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October 28, 2023</w:t>
            </w:r>
          </w:p>
        </w:tc>
      </w:tr>
      <w:tr>
        <w:trPr>
          <w:trHeight w:val="229"/>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19,773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19,506</w:t>
            </w:r>
          </w:p>
        </w:tc>
      </w:tr>
      <w:tr>
        <w:trPr>
          <w:trHeight w:val="230"/>
        </w:trPr>
        <w:tc>
          <w:tcPr>
            <w:tcW w:w="2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4,078</w:t>
            </w:r>
          </w:p>
        </w:tc>
      </w:tr>
      <w:tr>
        <w:trPr>
          <w:trHeight w:val="230"/>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9"/>
        </w:trPr>
        <w:tc>
          <w:tcPr>
            <w:tcW w:w="21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Sublease income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30"/>
        </w:trPr>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lease cost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23,724</w:t>
            </w:r>
          </w:p>
        </w:tc>
      </w:tr>
    </w:tbl>
    <w:p>
      <w:pPr>
        <w:ind w:left="680"/>
        <w:spacing w:after="0"/>
        <w:rPr>
          <w:sz w:val="20"/>
          <w:szCs w:val="20"/>
          <w:color w:val="auto"/>
        </w:rPr>
      </w:pPr>
      <w:r>
        <w:rPr>
          <w:rFonts w:ascii="Times New Roman" w:cs="Times New Roman" w:eastAsia="Times New Roman" w:hAnsi="Times New Roman"/>
          <w:sz w:val="18"/>
          <w:szCs w:val="18"/>
          <w:color w:val="auto"/>
        </w:rPr>
        <w:t>(1) Related to the sublease of a former Company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-121920</wp:posOffset>
            </wp:positionV>
            <wp:extent cx="47663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766310" cy="8255"/>
                    </a:xfrm>
                    <a:prstGeom prst="rect">
                      <a:avLst/>
                    </a:prstGeom>
                    <a:noFill/>
                  </pic:spPr>
                </pic:pic>
              </a:graphicData>
            </a:graphic>
          </wp:anchor>
        </w:drawing>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weighted-average remaining lease term as of November 2, 2024 and October 28, 2023 was 4.8 years and 5.4 years,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operating cash flow information was as follows (in thousands):</w:t>
      </w:r>
    </w:p>
    <w:p>
      <w:pPr>
        <w:spacing w:after="0" w:line="4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20" w:type="dxa"/>
            <w:vAlign w:val="bottom"/>
            <w:gridSpan w:val="4"/>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6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6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260" w:type="dxa"/>
            <w:vAlign w:val="bottom"/>
          </w:tcPr>
          <w:p>
            <w:pPr>
              <w:spacing w:after="0"/>
              <w:rPr>
                <w:sz w:val="16"/>
                <w:szCs w:val="16"/>
                <w:color w:val="auto"/>
              </w:rPr>
            </w:pPr>
          </w:p>
        </w:tc>
        <w:tc>
          <w:tcPr>
            <w:tcW w:w="158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October 28, 2023</w:t>
            </w:r>
          </w:p>
        </w:tc>
      </w:tr>
      <w:tr>
        <w:trPr>
          <w:trHeight w:val="229"/>
        </w:trPr>
        <w:tc>
          <w:tcPr>
            <w:tcW w:w="612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22,111</w:t>
            </w:r>
          </w:p>
        </w:tc>
      </w:tr>
      <w:tr>
        <w:trPr>
          <w:trHeight w:val="176"/>
        </w:trPr>
        <w:tc>
          <w:tcPr>
            <w:tcW w:w="6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Right-of-use assets increase as a result of new and modified operating lease</w:t>
            </w: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43"/>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net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31,605</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w:t>
            </w:r>
          </w:p>
        </w:tc>
      </w:tr>
    </w:tbl>
    <w:p>
      <w:pPr>
        <w:spacing w:after="0" w:line="49" w:lineRule="exact"/>
        <w:rPr>
          <w:sz w:val="20"/>
          <w:szCs w:val="20"/>
          <w:color w:val="auto"/>
        </w:rPr>
      </w:pPr>
    </w:p>
    <w:p>
      <w:pPr>
        <w:ind w:left="680" w:right="1280" w:hanging="6"/>
        <w:spacing w:after="0" w:line="237" w:lineRule="auto"/>
        <w:tabs>
          <w:tab w:leader="none" w:pos="93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million of lease liabilities were recorded within accounts payable on the Company's Consolidated Balance Sheets as of November 2, 2024, and were paid in the fourth quarter of fiscal 2025.</w:t>
      </w:r>
    </w:p>
    <w:p>
      <w:pPr>
        <w:spacing w:after="0" w:line="32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94" w:lineRule="exact"/>
        <w:rPr>
          <w:rFonts w:ascii="Times New Roman" w:cs="Times New Roman" w:eastAsia="Times New Roman" w:hAnsi="Times New Roman"/>
          <w:sz w:val="18"/>
          <w:szCs w:val="18"/>
          <w:b w:val="1"/>
          <w:bCs w:val="1"/>
          <w:color w:val="auto"/>
        </w:rPr>
      </w:pPr>
    </w:p>
    <w:p>
      <w:pPr>
        <w:ind w:left="660" w:right="4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Basic earnings per share is computed based on the weighted-average number of common shares outstanding during the period. Diluted earnings per share is computed based on the weighted-average number of common shares outstanding, plus the effect of dilutive potential common shares outstanding during the period using the treasury stock method. Dilutive potential common shares represent outstanding restricted stock units.</w:t>
      </w:r>
    </w:p>
    <w:p>
      <w:pPr>
        <w:spacing w:after="0" w:line="3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basic and diluted earnings per share were as follows (in thousands, except per share data):</w:t>
      </w:r>
    </w:p>
    <w:p>
      <w:pPr>
        <w:spacing w:after="0" w:line="138" w:lineRule="exact"/>
        <w:rPr>
          <w:sz w:val="20"/>
          <w:szCs w:val="20"/>
          <w:color w:val="auto"/>
        </w:rPr>
      </w:pPr>
    </w:p>
    <w:tbl>
      <w:tblPr>
        <w:tblLayout w:type="fixed"/>
        <w:tblInd w:w="70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0" w:type="dxa"/>
            <w:vAlign w:val="bottom"/>
          </w:tcPr>
          <w:p>
            <w:pPr>
              <w:spacing w:after="0"/>
              <w:rPr>
                <w:sz w:val="16"/>
                <w:szCs w:val="16"/>
                <w:color w:val="auto"/>
              </w:rPr>
            </w:pPr>
          </w:p>
        </w:tc>
        <w:tc>
          <w:tcPr>
            <w:tcW w:w="2220" w:type="dxa"/>
            <w:vAlign w:val="bottom"/>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29"/>
        </w:trPr>
        <w:tc>
          <w:tcPr>
            <w:tcW w:w="49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1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15"/>
              <w:spacing w:after="0" w:line="129"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115"/>
              <w:spacing w:after="0" w:line="129" w:lineRule="exact"/>
              <w:rPr>
                <w:sz w:val="20"/>
                <w:szCs w:val="20"/>
                <w:color w:val="auto"/>
              </w:rPr>
            </w:pPr>
            <w:r>
              <w:rPr>
                <w:rFonts w:ascii="Times New Roman" w:cs="Times New Roman" w:eastAsia="Times New Roman" w:hAnsi="Times New Roman"/>
                <w:sz w:val="14"/>
                <w:szCs w:val="14"/>
                <w:b w:val="1"/>
                <w:bCs w:val="1"/>
                <w:color w:val="auto"/>
              </w:rPr>
              <w:t>October 28,</w:t>
            </w:r>
          </w:p>
        </w:tc>
      </w:tr>
      <w:tr>
        <w:trPr>
          <w:trHeight w:val="196"/>
        </w:trPr>
        <w:tc>
          <w:tcPr>
            <w:tcW w:w="49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r>
      <w:tr>
        <w:trPr>
          <w:trHeight w:val="196"/>
        </w:trPr>
        <w:tc>
          <w:tcPr>
            <w:tcW w:w="49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(12,800)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5,118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(15,215)</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9,693</w:t>
            </w:r>
          </w:p>
        </w:tc>
      </w:tr>
      <w:tr>
        <w:trPr>
          <w:trHeight w:val="20"/>
        </w:trPr>
        <w:tc>
          <w:tcPr>
            <w:tcW w:w="4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4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(basic)</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30,836</w:t>
            </w: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stock-based awards</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48"/>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(diluted)</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31,246</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(loss) income per share:</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r>
    </w:tbl>
    <w:p>
      <w:pPr>
        <w:spacing w:after="0" w:line="319" w:lineRule="exact"/>
        <w:rPr>
          <w:sz w:val="20"/>
          <w:szCs w:val="20"/>
          <w:color w:val="auto"/>
        </w:rPr>
      </w:pPr>
    </w:p>
    <w:p>
      <w:pPr>
        <w:ind w:left="660" w:right="220"/>
        <w:spacing w:after="0" w:line="282" w:lineRule="auto"/>
        <w:rPr>
          <w:sz w:val="20"/>
          <w:szCs w:val="20"/>
          <w:color w:val="auto"/>
        </w:rPr>
      </w:pPr>
      <w:r>
        <w:rPr>
          <w:rFonts w:ascii="Times New Roman" w:cs="Times New Roman" w:eastAsia="Times New Roman" w:hAnsi="Times New Roman"/>
          <w:sz w:val="18"/>
          <w:szCs w:val="18"/>
          <w:color w:val="auto"/>
        </w:rPr>
        <w:t>For the thirteen and thirty-nine weeks ended November 2, 2024, all potential common shares were excluded from the diluted share calculation because they were anti-dilutive due to the net loss in the period.</w:t>
      </w:r>
    </w:p>
    <w:p>
      <w:pPr>
        <w:spacing w:after="0" w:line="175"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For the thirteen and thirty-nine weeks ended October 28, 2023, there were an immaterial number of additional shares issuable upon the vesting of restricted stock units that were excluded from the diluted share calculations because they were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07"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40"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w:t>
      </w:r>
    </w:p>
    <w:p>
      <w:pPr>
        <w:spacing w:after="0" w:line="10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based on the Company’s own assumptions.</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classification of fair value measurements within the hierarchy is based upon the lowest level of input that is significant to the measurement.</w:t>
      </w:r>
    </w:p>
    <w:p>
      <w:pPr>
        <w:spacing w:after="0" w:line="104" w:lineRule="exact"/>
        <w:rPr>
          <w:sz w:val="20"/>
          <w:szCs w:val="20"/>
          <w:color w:val="auto"/>
        </w:rPr>
      </w:pPr>
    </w:p>
    <w:p>
      <w:pPr>
        <w:ind w:left="660" w:right="160"/>
        <w:spacing w:after="0" w:line="282" w:lineRule="auto"/>
        <w:rPr>
          <w:sz w:val="20"/>
          <w:szCs w:val="20"/>
          <w:color w:val="auto"/>
        </w:rPr>
      </w:pPr>
      <w:r>
        <w:rPr>
          <w:rFonts w:ascii="Times New Roman" w:cs="Times New Roman" w:eastAsia="Times New Roman" w:hAnsi="Times New Roman"/>
          <w:sz w:val="18"/>
          <w:szCs w:val="18"/>
          <w:color w:val="auto"/>
        </w:rPr>
        <w:t>The carrying amounts reflected on the Condensed Consolidated Balance Sheets for cash and cash equivalents, accounts receivable, other current assets, and accounts payable as of November 2, 2024 and February 3, 2024, approximated their fair values.</w:t>
      </w:r>
    </w:p>
    <w:p>
      <w:pPr>
        <w:spacing w:after="0" w:line="40" w:lineRule="exact"/>
        <w:rPr>
          <w:sz w:val="20"/>
          <w:szCs w:val="20"/>
          <w:color w:val="auto"/>
        </w:rPr>
      </w:pPr>
    </w:p>
    <w:p>
      <w:pPr>
        <w:ind w:left="660" w:right="720"/>
        <w:spacing w:after="0" w:line="270" w:lineRule="auto"/>
        <w:rPr>
          <w:sz w:val="20"/>
          <w:szCs w:val="20"/>
          <w:color w:val="auto"/>
        </w:rPr>
      </w:pPr>
      <w:r>
        <w:rPr>
          <w:rFonts w:ascii="Times New Roman" w:cs="Times New Roman" w:eastAsia="Times New Roman" w:hAnsi="Times New Roman"/>
          <w:sz w:val="18"/>
          <w:szCs w:val="18"/>
          <w:color w:val="auto"/>
        </w:rPr>
        <w:t>The following table details the fair value measurements of the Company's investments as of November 2, 2024 and February 3, 2024 (in thousands):</w:t>
      </w:r>
    </w:p>
    <w:tbl>
      <w:tblPr>
        <w:tblLayout w:type="fixed"/>
        <w:tblInd w:w="66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2260" w:type="dxa"/>
            <w:vAlign w:val="bottom"/>
            <w:gridSpan w:val="6"/>
          </w:tcPr>
          <w:p>
            <w:pPr>
              <w:jc w:val="right"/>
              <w:ind w:right="99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4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10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120" w:type="dxa"/>
            <w:vAlign w:val="bottom"/>
            <w:gridSpan w:val="3"/>
          </w:tcPr>
          <w:p>
            <w:pPr>
              <w:spacing w:after="0"/>
              <w:rPr>
                <w:sz w:val="2"/>
                <w:szCs w:val="2"/>
                <w:color w:val="auto"/>
              </w:rPr>
            </w:pPr>
          </w:p>
        </w:tc>
        <w:tc>
          <w:tcPr>
            <w:tcW w:w="1160" w:type="dxa"/>
            <w:vAlign w:val="bottom"/>
            <w:gridSpan w:val="3"/>
          </w:tcPr>
          <w:p>
            <w:pPr>
              <w:spacing w:after="0"/>
              <w:rPr>
                <w:sz w:val="2"/>
                <w:szCs w:val="2"/>
                <w:color w:val="auto"/>
              </w:rPr>
            </w:pPr>
          </w:p>
        </w:tc>
        <w:tc>
          <w:tcPr>
            <w:tcW w:w="880" w:type="dxa"/>
            <w:vAlign w:val="bottom"/>
          </w:tcPr>
          <w:p>
            <w:pPr>
              <w:spacing w:after="0"/>
              <w:rPr>
                <w:sz w:val="2"/>
                <w:szCs w:val="2"/>
                <w:color w:val="auto"/>
              </w:rPr>
            </w:pPr>
          </w:p>
        </w:tc>
      </w:tr>
      <w:tr>
        <w:trPr>
          <w:trHeight w:val="128"/>
        </w:trPr>
        <w:tc>
          <w:tcPr>
            <w:tcW w:w="30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3"/>
          </w:tcPr>
          <w:p>
            <w:pPr>
              <w:jc w:val="center"/>
              <w:ind w:right="250"/>
              <w:spacing w:after="0" w:line="12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900" w:type="dxa"/>
            <w:vAlign w:val="bottom"/>
            <w:tcBorders>
              <w:top w:val="single" w:sz="8" w:color="auto"/>
            </w:tcBorders>
          </w:tcPr>
          <w:p>
            <w:pPr>
              <w:jc w:val="center"/>
              <w:ind w:right="62"/>
              <w:spacing w:after="0" w:line="129"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3"/>
          </w:tcPr>
          <w:p>
            <w:pPr>
              <w:jc w:val="center"/>
              <w:ind w:right="270"/>
              <w:spacing w:after="0" w:line="12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900" w:type="dxa"/>
            <w:vAlign w:val="bottom"/>
            <w:tcBorders>
              <w:top w:val="single" w:sz="8" w:color="auto"/>
            </w:tcBorders>
          </w:tcPr>
          <w:p>
            <w:pPr>
              <w:jc w:val="center"/>
              <w:ind w:right="42"/>
              <w:spacing w:after="0" w:line="129" w:lineRule="exact"/>
              <w:rPr>
                <w:sz w:val="20"/>
                <w:szCs w:val="20"/>
                <w:color w:val="auto"/>
              </w:rPr>
            </w:pPr>
            <w:r>
              <w:rPr>
                <w:rFonts w:ascii="Times New Roman" w:cs="Times New Roman" w:eastAsia="Times New Roman" w:hAnsi="Times New Roman"/>
                <w:sz w:val="14"/>
                <w:szCs w:val="14"/>
                <w:b w:val="1"/>
                <w:bCs w:val="1"/>
                <w:color w:val="auto"/>
              </w:rPr>
              <w:t>February 3,</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3"/>
          </w:tcPr>
          <w:p>
            <w:pPr>
              <w:jc w:val="center"/>
              <w:ind w:right="250"/>
              <w:spacing w:after="0" w:line="12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880" w:type="dxa"/>
            <w:vAlign w:val="bottom"/>
            <w:tcBorders>
              <w:top w:val="single" w:sz="8" w:color="auto"/>
            </w:tcBorders>
          </w:tcPr>
          <w:p>
            <w:pPr>
              <w:jc w:val="center"/>
              <w:ind w:right="42"/>
              <w:spacing w:after="0" w:line="129" w:lineRule="exact"/>
              <w:rPr>
                <w:sz w:val="20"/>
                <w:szCs w:val="20"/>
                <w:color w:val="auto"/>
              </w:rPr>
            </w:pPr>
            <w:r>
              <w:rPr>
                <w:rFonts w:ascii="Times New Roman" w:cs="Times New Roman" w:eastAsia="Times New Roman" w:hAnsi="Times New Roman"/>
                <w:sz w:val="14"/>
                <w:szCs w:val="14"/>
                <w:b w:val="1"/>
                <w:bCs w:val="1"/>
                <w:color w:val="auto"/>
              </w:rPr>
              <w:t>February 3,</w:t>
            </w:r>
          </w:p>
        </w:tc>
      </w:tr>
      <w:tr>
        <w:trPr>
          <w:trHeight w:val="196"/>
        </w:trPr>
        <w:tc>
          <w:tcPr>
            <w:tcW w:w="30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30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Cash equivalents</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55,262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r>
    </w:tbl>
    <w:p>
      <w:pPr>
        <w:spacing w:after="0" w:line="49" w:lineRule="exact"/>
        <w:rPr>
          <w:sz w:val="20"/>
          <w:szCs w:val="20"/>
          <w:color w:val="auto"/>
        </w:rPr>
      </w:pPr>
    </w:p>
    <w:p>
      <w:pPr>
        <w:ind w:left="680" w:right="940" w:hanging="6"/>
        <w:spacing w:after="0" w:line="237" w:lineRule="auto"/>
        <w:tabs>
          <w:tab w:leader="none" w:pos="9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primarily represent a money market fund that has a maturity of three months or less at the date of purchase. Due to the short maturity, the Company believes the carrying value approximates fair value.</w:t>
      </w:r>
    </w:p>
    <w:p>
      <w:pPr>
        <w:spacing w:after="0" w:line="64" w:lineRule="exact"/>
        <w:rPr>
          <w:sz w:val="20"/>
          <w:szCs w:val="20"/>
          <w:color w:val="auto"/>
        </w:rPr>
      </w:pPr>
    </w:p>
    <w:p>
      <w:pPr>
        <w:ind w:left="660" w:right="80"/>
        <w:spacing w:after="0" w:line="255" w:lineRule="auto"/>
        <w:rPr>
          <w:sz w:val="20"/>
          <w:szCs w:val="20"/>
          <w:color w:val="auto"/>
        </w:rPr>
      </w:pPr>
      <w:r>
        <w:rPr>
          <w:rFonts w:ascii="Times New Roman" w:cs="Times New Roman" w:eastAsia="Times New Roman" w:hAnsi="Times New Roman"/>
          <w:sz w:val="17"/>
          <w:szCs w:val="17"/>
          <w:color w:val="auto"/>
        </w:rPr>
        <w:t>The Company assesses potential impairments to its long-lived assets, which includes property, plant, and equipment and lease right-of-use assets, on a quarterly basis or whenever events or circumstances indicate that the carrying amount of an asset may not be recoverable. Store-level assets and right-of-use assets are grouped at the individual store-level for the purpose of the impairment assessment. Recoverability of an asset group is measured by a comparison of the carrying amount of an asset group to its estimated undiscounted future cash flows expected to be generated by the asset group. If the carrying amount of the asset group exceeds its estimated undiscounted future cash flows, an impairment charge is recognized as the amount by which the carrying amount of the asset group exceeds the fair value of the asset group. The fair value of the store</w:t>
      </w:r>
    </w:p>
    <w:p>
      <w:pPr>
        <w:spacing w:after="0" w:line="1" w:lineRule="exact"/>
        <w:rPr>
          <w:sz w:val="20"/>
          <w:szCs w:val="20"/>
          <w:color w:val="auto"/>
        </w:rPr>
      </w:pPr>
    </w:p>
    <w:p>
      <w:pPr>
        <w:ind w:left="660" w:right="140"/>
        <w:spacing w:after="0" w:line="237" w:lineRule="auto"/>
        <w:rPr>
          <w:sz w:val="20"/>
          <w:szCs w:val="20"/>
          <w:color w:val="auto"/>
        </w:rPr>
      </w:pPr>
      <w:r>
        <w:rPr>
          <w:rFonts w:ascii="Times New Roman" w:cs="Times New Roman" w:eastAsia="Times New Roman" w:hAnsi="Times New Roman"/>
          <w:sz w:val="18"/>
          <w:szCs w:val="18"/>
          <w:color w:val="auto"/>
        </w:rPr>
        <w:t>assets is determined using the discounted future cash flow method of anticipated cash flows through the store’s lease-end date using fair value measurement inputs classified as Level 3. The fair value of right-of-use assets is estimated using market comparative information for similar properties. Level 3 inputs are derived from valuation techniques in which one or more significant inputs or significant value drivers are unobservable. The Company recorded $2.2 million for store property, plant, and equipment charges for the thirteen and thirty-nine weeks ended November 2, 2024. These charges are included in selling, general, and administrative ("SG&amp;A") expenses in the Consolidated Statements of Operations and in impairment charges in the Consolidated Statements of Cash Flows. There were no long-lived asset impairment charges for the thirteen and thirty-nine weeks ended October 28, 2023.</w:t>
      </w:r>
    </w:p>
    <w:p>
      <w:pPr>
        <w:spacing w:after="0" w:line="76" w:lineRule="exact"/>
        <w:rPr>
          <w:sz w:val="20"/>
          <w:szCs w:val="20"/>
          <w:color w:val="auto"/>
        </w:rPr>
      </w:pPr>
    </w:p>
    <w:p>
      <w:pPr>
        <w:ind w:left="660"/>
        <w:spacing w:after="0" w:line="256" w:lineRule="auto"/>
        <w:rPr>
          <w:sz w:val="20"/>
          <w:szCs w:val="20"/>
          <w:color w:val="auto"/>
        </w:rPr>
      </w:pPr>
      <w:r>
        <w:rPr>
          <w:rFonts w:ascii="Times New Roman" w:cs="Times New Roman" w:eastAsia="Times New Roman" w:hAnsi="Times New Roman"/>
          <w:sz w:val="18"/>
          <w:szCs w:val="18"/>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(2) discount rates used to derive the present value factors used in determining the fair values; and (3) market rentals at the retail store. These and other estimates and assumptions are impacted by economic conditions and our expectations and may change in the future based on period-specific facts and circumstances. If economic conditions were to deteriorate, future impairment charges may be required which may be material.</w:t>
      </w:r>
    </w:p>
    <w:p>
      <w:pPr>
        <w:spacing w:after="0" w:line="66" w:lineRule="exact"/>
        <w:rPr>
          <w:sz w:val="20"/>
          <w:szCs w:val="20"/>
          <w:color w:val="auto"/>
        </w:rPr>
      </w:pPr>
    </w:p>
    <w:p>
      <w:pPr>
        <w:ind w:left="660" w:right="20"/>
        <w:spacing w:after="0" w:line="261" w:lineRule="auto"/>
        <w:rPr>
          <w:sz w:val="20"/>
          <w:szCs w:val="20"/>
          <w:color w:val="auto"/>
        </w:rPr>
      </w:pPr>
      <w:r>
        <w:rPr>
          <w:rFonts w:ascii="Times New Roman" w:cs="Times New Roman" w:eastAsia="Times New Roman" w:hAnsi="Times New Roman"/>
          <w:sz w:val="18"/>
          <w:szCs w:val="18"/>
          <w:color w:val="auto"/>
        </w:rPr>
        <w:t>On a nonrecurring basis, assets recognized or disclosed at fair value on the consolidated financial statements include items such as property, plant, and equipment, including leasehold improvements, and operating lease assets, as well as intangible assets related to the Pura Vida acquisition. These assets are measured at fair value if determined to be impaired. There were no intangible asset impairment charges recorded during the thirteen and thirty-nine weeks ended November 2, 2024 or October 28, 2023. Refer to Note 13 herein for additional information.</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07" w:lineRule="exact"/>
        <w:rPr>
          <w:rFonts w:ascii="Times New Roman" w:cs="Times New Roman" w:eastAsia="Times New Roman" w:hAnsi="Times New Roman"/>
          <w:sz w:val="18"/>
          <w:szCs w:val="18"/>
          <w:b w:val="1"/>
          <w:bCs w:val="1"/>
          <w:color w:val="auto"/>
        </w:rPr>
      </w:pPr>
    </w:p>
    <w:p>
      <w:pPr>
        <w:ind w:left="6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On August 3, 2023, certain subsidiaries of the Company, JP Morgan Chase Bank, N.A., as the administrative agent, and lenders from time to time party thereto, entered into a Third Amendment (the “Third Amendment”) to the Credit Agreement dated September 7, 2018.</w:t>
      </w:r>
    </w:p>
    <w:p>
      <w:pPr>
        <w:spacing w:after="0" w:line="44" w:lineRule="exact"/>
        <w:rPr>
          <w:rFonts w:ascii="Times New Roman" w:cs="Times New Roman" w:eastAsia="Times New Roman" w:hAnsi="Times New Roman"/>
          <w:sz w:val="18"/>
          <w:szCs w:val="18"/>
          <w:b w:val="1"/>
          <w:bCs w:val="1"/>
          <w:color w:val="auto"/>
        </w:rPr>
      </w:pPr>
    </w:p>
    <w:p>
      <w:pPr>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provides for certain credit facilities to VBD in an aggregate principal amount not to initially exceed the lesser of $75.0 million or the amount of borrowing availability determined in accordance with a borrowing base of certain assets. Any proceeds of the credit facilities will be used to finance general corporate purposes of VBD and its subsidiaries, including but not limited to Vera Bradley International, LLC, Vera Bradley Sales, LLC, and Creative Genius, LLC (collectively, the “Named Subsidiaries”). The Credit Agreement also contains an option for VBD to arrange with lenders to increase the aggregate principal amount by up to $50.0 million.</w:t>
      </w:r>
    </w:p>
    <w:p>
      <w:pPr>
        <w:spacing w:after="0" w:line="61" w:lineRule="exact"/>
        <w:rPr>
          <w:rFonts w:ascii="Times New Roman" w:cs="Times New Roman" w:eastAsia="Times New Roman" w:hAnsi="Times New Roman"/>
          <w:sz w:val="18"/>
          <w:szCs w:val="18"/>
          <w:b w:val="1"/>
          <w:bCs w:val="1"/>
          <w:color w:val="auto"/>
        </w:rPr>
      </w:pPr>
    </w:p>
    <w:p>
      <w:pPr>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Amounts outstanding under the Credit Agreement bear interest at a per annum rate equal to (i) for CBFR borrowings (including swingline loans), the CB Floating Rate, where the CB Floating Rate is the greater of the prime rate or 2.5%, plus the Applicable Rate, where the Applicable Rate is a percentage spread ranging from -1.25% to -1.50%, (ii) for each Term Benchmark Borrowing, the Adjusted Term SOFR Rate, where the Adjusted Term SOFR Rate is the Term SOFR rate for such interest period plus 0.10% for the interest period in effect for such borrowing, plus the Applicable Rate, where the Applicable Rate is a percentage ranging from 1.25% to 1.50%, or (iii) for RFR Loans, the Adjusted Daily Simple SOFR Rate, where the adjusted Daily Simple SOFR Rate is equal to the Daily Simple SOFR plus 0.10%, plus the Applicable Rate, where the Applicable Rate is a percentage ranging from 1.25% to 1.50% The applicable CB Floating Rate, Adjusted Term SOFR Rate, Term SOFR Rate, Daily Simple SOFR, and Adjusted Daily Simple SOFR shall be determined by the administrative agent. The Credit Agreement also requires VBD to pay a commitment fee for the unused portion of the revolving facility of up to 0.30% per annum.</w:t>
      </w:r>
    </w:p>
    <w:p>
      <w:pPr>
        <w:spacing w:after="0" w:line="66" w:lineRule="exact"/>
        <w:rPr>
          <w:rFonts w:ascii="Times New Roman" w:cs="Times New Roman" w:eastAsia="Times New Roman" w:hAnsi="Times New Roman"/>
          <w:sz w:val="18"/>
          <w:szCs w:val="18"/>
          <w:b w:val="1"/>
          <w:bCs w:val="1"/>
          <w:color w:val="auto"/>
        </w:rPr>
      </w:pPr>
    </w:p>
    <w:p>
      <w:pPr>
        <w:ind w:left="660" w:right="2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VBD’s obligations under the Credit Agreement are guaranteed by the Company and the Named Subsidiaries. The obligations of VBD under the Credit Agreement are secured by substantially all of the respective assets of VBD, the Company, and the Named Subsidiaries and are further secured by the equity interests in VBD and the Named Subsidiaries.</w:t>
      </w:r>
    </w:p>
    <w:p>
      <w:pPr>
        <w:spacing w:after="0" w:line="40" w:lineRule="exact"/>
        <w:rPr>
          <w:rFonts w:ascii="Times New Roman" w:cs="Times New Roman" w:eastAsia="Times New Roman" w:hAnsi="Times New Roman"/>
          <w:sz w:val="18"/>
          <w:szCs w:val="18"/>
          <w:b w:val="1"/>
          <w:bCs w:val="1"/>
          <w:color w:val="auto"/>
        </w:rPr>
      </w:pPr>
    </w:p>
    <w:p>
      <w:pPr>
        <w:ind w:left="660" w:right="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contains various affirmative and negative covenants, including restrictions on the Company's ability to incur debt or liens; engage in mergers or consolidations; make certain investments, acquisitions, loans, and advances; sell assets; enter into certain swap agreements; pay dividends or make distributions or make other restricted payments; engage in certain transactions with affiliates; and amend, modify, or waive any of its rights related to subordinated indebtedness and certain charter and other organizational, governing, and material agreements. The Company may avoid certain of such restrictions by meeting payment conditions defined in the Credit Agreement.</w:t>
      </w:r>
    </w:p>
    <w:p>
      <w:pPr>
        <w:spacing w:after="0" w:line="6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Credit Agreement also requires the loan parties, as defined in the Credit Agreement, to maintain a minimum fixed charge coverage ratio of</w:t>
      </w:r>
    </w:p>
    <w:p>
      <w:pPr>
        <w:spacing w:after="0" w:line="27" w:lineRule="exact"/>
        <w:rPr>
          <w:rFonts w:ascii="Times New Roman" w:cs="Times New Roman" w:eastAsia="Times New Roman" w:hAnsi="Times New Roman"/>
          <w:sz w:val="18"/>
          <w:szCs w:val="18"/>
          <w:b w:val="1"/>
          <w:bCs w:val="1"/>
          <w:color w:val="auto"/>
        </w:rPr>
      </w:pPr>
    </w:p>
    <w:p>
      <w:pPr>
        <w:ind w:left="660" w:right="2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1.00 to 1.00 during periods when borrowing availability is less than the greater of (A) $9.4 million, and (B) 12.5% of the lesser of (i) the aggregate revolving commitment, and (ii) the borrowing base. The fixed charge coverage ratio, availability, aggregate revolving commitment, and the borrowing base are further defined in the Credit Agreement.</w:t>
      </w:r>
    </w:p>
    <w:p>
      <w:pPr>
        <w:spacing w:after="0" w:line="64" w:lineRule="exact"/>
        <w:rPr>
          <w:rFonts w:ascii="Times New Roman" w:cs="Times New Roman" w:eastAsia="Times New Roman" w:hAnsi="Times New Roman"/>
          <w:sz w:val="18"/>
          <w:szCs w:val="18"/>
          <w:b w:val="1"/>
          <w:bCs w:val="1"/>
          <w:color w:val="auto"/>
        </w:rPr>
      </w:pPr>
    </w:p>
    <w:p>
      <w:pPr>
        <w:ind w:left="660" w:right="120"/>
        <w:spacing w:after="0" w:line="27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Credit Agreement contains customary events of default, including, among other things: (i) the failure to pay any principal, interest, or other fees under the Credit Agreement; (ii) the making of any materially incorrect representation or warranty; (iii) the failure to observe or perform any covenant, condition, or agreement in the Credit Agreement or related agreements; (iv) a cross default with respect to other material indebtedness;</w:t>
      </w:r>
    </w:p>
    <w:p>
      <w:pPr>
        <w:spacing w:after="0" w:line="1" w:lineRule="exact"/>
        <w:rPr>
          <w:rFonts w:ascii="Times New Roman" w:cs="Times New Roman" w:eastAsia="Times New Roman" w:hAnsi="Times New Roman"/>
          <w:sz w:val="18"/>
          <w:szCs w:val="18"/>
          <w:b w:val="1"/>
          <w:bCs w:val="1"/>
          <w:color w:val="auto"/>
        </w:rPr>
      </w:pPr>
    </w:p>
    <w:p>
      <w:pPr>
        <w:ind w:left="660" w:right="4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 bankruptcy and insolvency events; (vi) unsatisfied material final judgments; (vii) Employee Retirement Income Security Act of 1974 (“ERISA”) events that could reasonably be expected to have a material adverse effect; and (viii) a change in control (as defined in the Credit Agreement).</w:t>
      </w:r>
    </w:p>
    <w:p>
      <w:pPr>
        <w:spacing w:after="0" w:line="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Credit Agreement matures in May 2028.</w:t>
      </w:r>
    </w:p>
    <w:p>
      <w:pPr>
        <w:spacing w:after="0" w:line="104" w:lineRule="exact"/>
        <w:rPr>
          <w:sz w:val="20"/>
          <w:szCs w:val="20"/>
          <w:color w:val="auto"/>
        </w:rPr>
      </w:pPr>
    </w:p>
    <w:p>
      <w:pPr>
        <w:ind w:left="660" w:right="300"/>
        <w:spacing w:after="0" w:line="282" w:lineRule="auto"/>
        <w:rPr>
          <w:sz w:val="20"/>
          <w:szCs w:val="20"/>
          <w:color w:val="auto"/>
        </w:rPr>
      </w:pPr>
      <w:r>
        <w:rPr>
          <w:rFonts w:ascii="Times New Roman" w:cs="Times New Roman" w:eastAsia="Times New Roman" w:hAnsi="Times New Roman"/>
          <w:sz w:val="18"/>
          <w:szCs w:val="18"/>
          <w:color w:val="auto"/>
        </w:rPr>
        <w:t>As of November 2, 2024 and February 3, 2024, the Company had no borrowings outstanding and availability of $75.0 million under the Credit Agreement.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07" w:lineRule="exact"/>
        <w:rPr>
          <w:rFonts w:ascii="Times New Roman" w:cs="Times New Roman" w:eastAsia="Times New Roman" w:hAnsi="Times New Roman"/>
          <w:sz w:val="18"/>
          <w:szCs w:val="18"/>
          <w:b w:val="1"/>
          <w:bCs w:val="1"/>
          <w:color w:val="auto"/>
        </w:rPr>
      </w:pPr>
    </w:p>
    <w:p>
      <w:pPr>
        <w:ind w:left="66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 for income taxes for interim periods is based on an estimate of the annual effective tax rate adjusted to reflect the impact of discrete items. Management judgment is required in projecting ordinary income to estimate the Company’s annual effective tax rate.</w:t>
      </w:r>
    </w:p>
    <w:p>
      <w:pPr>
        <w:spacing w:after="0" w:line="26" w:lineRule="exact"/>
        <w:rPr>
          <w:rFonts w:ascii="Times New Roman" w:cs="Times New Roman" w:eastAsia="Times New Roman" w:hAnsi="Times New Roman"/>
          <w:sz w:val="18"/>
          <w:szCs w:val="18"/>
          <w:b w:val="1"/>
          <w:bCs w:val="1"/>
          <w:color w:val="auto"/>
        </w:rPr>
      </w:pPr>
    </w:p>
    <w:p>
      <w:pPr>
        <w:ind w:left="660"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tax rate for the thirteen weeks ended November 2, 2024, was (23.5)%, compared to 27.6% for the thirteen weeks ended October 28, 2023. The change in year-over-year effective tax rate was primarily due to a change in the projection of the Company's annual income in the current fiscal quarter. The year-over-year effective tax rate also reflects the relative impact of permanent and discrete items in the current-year period compared to the prior-year period, primarily as a result of the impact of foreign operations as well as non-deductible executive compensation.</w:t>
      </w:r>
    </w:p>
    <w:p>
      <w:pPr>
        <w:spacing w:after="0" w:line="61" w:lineRule="exact"/>
        <w:rPr>
          <w:rFonts w:ascii="Times New Roman" w:cs="Times New Roman" w:eastAsia="Times New Roman" w:hAnsi="Times New Roman"/>
          <w:sz w:val="18"/>
          <w:szCs w:val="18"/>
          <w:b w:val="1"/>
          <w:bCs w:val="1"/>
          <w:color w:val="auto"/>
        </w:rPr>
      </w:pPr>
    </w:p>
    <w:p>
      <w:pPr>
        <w:ind w:left="660" w:right="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tax rate for the thirty-nine weeks ended November 2, 2024, was 15.3%, compared to 28.3% for the thirty-nine weeks ended October 28, 2023. The change in year-over-year effective tax rate was primarily due to a change in the projection of the Company's annual income in the current fiscal quarter. The year-over-year effective tax rate also reflects the relative impact of permanent and discrete items in the current-year period compared to the prior-year period, primarily as a result of the impact of foreign operations as well as non-deductible executive compensation.</w:t>
      </w:r>
    </w:p>
    <w:p>
      <w:pPr>
        <w:spacing w:after="0" w:line="61" w:lineRule="exact"/>
        <w:rPr>
          <w:rFonts w:ascii="Times New Roman" w:cs="Times New Roman" w:eastAsia="Times New Roman" w:hAnsi="Times New Roman"/>
          <w:sz w:val="18"/>
          <w:szCs w:val="18"/>
          <w:b w:val="1"/>
          <w:bCs w:val="1"/>
          <w:color w:val="auto"/>
        </w:rPr>
      </w:pPr>
    </w:p>
    <w:p>
      <w:pPr>
        <w:ind w:left="660" w:right="1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 to Note 12 herein for information regarding the deferred income tax adjustment associated with the purchase of the remaining 25% interest in Pura Vida on January 30, 2023.</w:t>
      </w:r>
    </w:p>
    <w:p>
      <w:pPr>
        <w:spacing w:after="0" w:line="265"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07"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recognizes stock-based compensation expense, for its awards of restricted stock units, in an amount equal to the fair market value of the underlying stock on the grant date of the respective award.</w:t>
      </w:r>
    </w:p>
    <w:p>
      <w:pPr>
        <w:spacing w:after="0" w:line="40" w:lineRule="exact"/>
        <w:rPr>
          <w:rFonts w:ascii="Times New Roman" w:cs="Times New Roman" w:eastAsia="Times New Roman" w:hAnsi="Times New Roman"/>
          <w:sz w:val="18"/>
          <w:szCs w:val="18"/>
          <w:b w:val="1"/>
          <w:bCs w:val="1"/>
          <w:color w:val="auto"/>
        </w:rPr>
      </w:pPr>
    </w:p>
    <w:p>
      <w:pPr>
        <w:jc w:val="both"/>
        <w:ind w:left="660" w:right="1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reserved 6,000,000 shares of common stock for issuance or transfer under the 2020 Equity and Incentive Plan, as amended, which allows for grants of restricted stock units, as well as other equity awards. The Company maintains the 2010 Equity and Incentive Plan for awards granted prior to the effectiveness of the 2020 Equity and Incentive Plan.</w:t>
      </w:r>
    </w:p>
    <w:p>
      <w:pPr>
        <w:spacing w:after="0" w:line="20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Awards of Restricted Stock Units</w:t>
      </w:r>
    </w:p>
    <w:p>
      <w:pPr>
        <w:spacing w:after="0" w:line="29" w:lineRule="exact"/>
        <w:rPr>
          <w:rFonts w:ascii="Times New Roman" w:cs="Times New Roman" w:eastAsia="Times New Roman" w:hAnsi="Times New Roman"/>
          <w:sz w:val="18"/>
          <w:szCs w:val="18"/>
          <w:b w:val="1"/>
          <w:bCs w:val="1"/>
          <w:color w:val="auto"/>
        </w:rPr>
      </w:pPr>
    </w:p>
    <w:p>
      <w:pPr>
        <w:jc w:val="both"/>
        <w:ind w:left="6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did not grant restricted stock units during the thirteen weeks ended November 2, 2024. During the thirteen weeks ended October 28, 2023, the Company granted 15,267 time-based and performance-based restricted stock units with an aggregate fair value of $0.1 million to certain employees under the 2020 Equity and Incentive Plan.</w:t>
      </w:r>
    </w:p>
    <w:p>
      <w:pPr>
        <w:spacing w:after="0" w:line="212" w:lineRule="exact"/>
        <w:rPr>
          <w:rFonts w:ascii="Times New Roman" w:cs="Times New Roman" w:eastAsia="Times New Roman" w:hAnsi="Times New Roman"/>
          <w:sz w:val="18"/>
          <w:szCs w:val="18"/>
          <w:b w:val="1"/>
          <w:bCs w:val="1"/>
          <w:color w:val="auto"/>
        </w:rPr>
      </w:pPr>
    </w:p>
    <w:p>
      <w:pPr>
        <w:ind w:left="660" w:right="8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thirty-nine weeks ended November 2, 2024, the Company granted 755,647 time-based and performance-based restricted stock units with an aggregate fair value of $5.1 million to certain employees and non-employee directors under the 2020 Equity and Incentive Plan compared to 753,454 time-based and performance-based restricted stock units with an aggregate fair value of $4.4 million in the same period of the prior year.</w:t>
      </w:r>
    </w:p>
    <w:p>
      <w:pPr>
        <w:spacing w:after="0" w:line="125" w:lineRule="exact"/>
        <w:rPr>
          <w:rFonts w:ascii="Times New Roman" w:cs="Times New Roman" w:eastAsia="Times New Roman" w:hAnsi="Times New Roman"/>
          <w:sz w:val="18"/>
          <w:szCs w:val="18"/>
          <w:b w:val="1"/>
          <w:bCs w:val="1"/>
          <w:color w:val="auto"/>
        </w:rPr>
      </w:pPr>
    </w:p>
    <w:p>
      <w:pPr>
        <w:ind w:left="66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Time-based restricted stock units vest and settle in shares of the Company’s common stock, on a one-for-one basis, with most vesting in equal installments on each of the first three anniversaries of the grant date. Restricted stock units issued to non-employee directors vest after a one-year period from the grant date. The Company recognizes the expense relating to these units, net of estimated forfeitures, on a straight-line basis over the vesting period.</w:t>
      </w:r>
    </w:p>
    <w:p>
      <w:pPr>
        <w:spacing w:after="0" w:line="125" w:lineRule="exact"/>
        <w:rPr>
          <w:rFonts w:ascii="Times New Roman" w:cs="Times New Roman" w:eastAsia="Times New Roman" w:hAnsi="Times New Roman"/>
          <w:sz w:val="18"/>
          <w:szCs w:val="18"/>
          <w:b w:val="1"/>
          <w:bCs w:val="1"/>
          <w:color w:val="auto"/>
        </w:rPr>
      </w:pPr>
    </w:p>
    <w:p>
      <w:pPr>
        <w:ind w:left="66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Performance-based restricted stock units vest upon the completion of a three-year period of time (cliff vesting), subject to the employee’s continuing employment throughout and the Company’s achievement of annual earnings per share targets, or other Company performance targets, during the three-year performance period. The Company recognizes the expense relating to these units, net of estimated forfeitures, based on the probable outcome of achievement of the financial targets, on a straight-line basis over three years.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restricted stock unit activity for the thirty-nine weeks ended November 2, 2024 (units in thousands):</w:t>
      </w:r>
    </w:p>
    <w:p>
      <w:pPr>
        <w:spacing w:after="0" w:line="2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28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2740" w:type="dxa"/>
            <w:vAlign w:val="bottom"/>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28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2740" w:type="dxa"/>
            <w:vAlign w:val="bottom"/>
            <w:gridSpan w:val="4"/>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39"/>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39"/>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7"/>
        </w:trPr>
        <w:tc>
          <w:tcPr>
            <w:tcW w:w="4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jc w:val="center"/>
              <w:ind w:right="159"/>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126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28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9"/>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6"/>
        </w:trPr>
        <w:tc>
          <w:tcPr>
            <w:tcW w:w="4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1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39"/>
              <w:spacing w:after="0" w:line="146"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126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28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29"/>
        </w:trPr>
        <w:tc>
          <w:tcPr>
            <w:tcW w:w="4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February 3, 2024</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units outstanding at November 2, 2024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60" w:right="580"/>
        <w:spacing w:after="0" w:line="266" w:lineRule="auto"/>
        <w:rPr>
          <w:sz w:val="20"/>
          <w:szCs w:val="20"/>
          <w:color w:val="auto"/>
        </w:rPr>
      </w:pPr>
      <w:r>
        <w:rPr>
          <w:rFonts w:ascii="Times New Roman" w:cs="Times New Roman" w:eastAsia="Times New Roman" w:hAnsi="Times New Roman"/>
          <w:sz w:val="18"/>
          <w:szCs w:val="18"/>
          <w:color w:val="auto"/>
        </w:rPr>
        <w:t>As of November 2, 2024, there was $5.0 million of total unrecognized compensation cost, net of estimated forfeitures, related to nonvested restricted stock units. That cost is expected to be recognized over a weighted-average period of 1.7 years, subject to meeting performance conditions.</w:t>
      </w:r>
    </w:p>
    <w:p>
      <w:pPr>
        <w:spacing w:after="0" w:line="280"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07" w:lineRule="exact"/>
        <w:rPr>
          <w:rFonts w:ascii="Times New Roman" w:cs="Times New Roman" w:eastAsia="Times New Roman" w:hAnsi="Times New Roman"/>
          <w:sz w:val="18"/>
          <w:szCs w:val="18"/>
          <w:b w:val="1"/>
          <w:bCs w:val="1"/>
          <w:color w:val="auto"/>
        </w:rPr>
      </w:pPr>
    </w:p>
    <w:p>
      <w:pPr>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subject to various claims and contingencies arising in the normal course of business, including those relating to product liability, legal claims, employee benefits, environmental issues,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aggregate, to have a material adverse effect on the Company’s financial condition, results of operations, or cash flows of a particular reporting period.</w:t>
      </w:r>
    </w:p>
    <w:p>
      <w:pPr>
        <w:spacing w:after="0" w:line="65" w:lineRule="exact"/>
        <w:rPr>
          <w:rFonts w:ascii="Times New Roman" w:cs="Times New Roman" w:eastAsia="Times New Roman" w:hAnsi="Times New Roman"/>
          <w:sz w:val="18"/>
          <w:szCs w:val="18"/>
          <w:b w:val="1"/>
          <w:bCs w:val="1"/>
          <w:color w:val="auto"/>
        </w:rPr>
      </w:pPr>
    </w:p>
    <w:p>
      <w:pPr>
        <w:ind w:left="660" w:right="1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August of 2024, Marishka Filio filed suit seeking class certification for those who purchased products from the Company’s website Verabradley.com during the applicable statute of limitations. The complaint alleges various violations of the California Invasion of Privacy Act and the California Unfair Competition Law. In November 2024, the Company settled this matter with the Plaintiff for a non-material amount and with no admission of any liability nor wrongdoing.</w:t>
      </w:r>
    </w:p>
    <w:p>
      <w:pPr>
        <w:spacing w:after="0" w:line="256"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107" w:lineRule="exact"/>
        <w:rPr>
          <w:rFonts w:ascii="Times New Roman" w:cs="Times New Roman" w:eastAsia="Times New Roman" w:hAnsi="Times New Roman"/>
          <w:sz w:val="18"/>
          <w:szCs w:val="18"/>
          <w:b w:val="1"/>
          <w:bCs w:val="1"/>
          <w:color w:val="auto"/>
        </w:rPr>
      </w:pPr>
    </w:p>
    <w:p>
      <w:pPr>
        <w:jc w:val="both"/>
        <w:ind w:left="660" w:right="8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December 2021, the Company's board of directors approved a share repurchase plan (the “2021 Share Repurchase Program”) which authorized Company management to utilize up to $50.0 million of available cash for repurchases of shares of the Company's common stock. The 2021 Share Repurchase Program went into effect beginning December 13, 2021 and expires in December 2024.</w:t>
      </w:r>
    </w:p>
    <w:p>
      <w:pPr>
        <w:spacing w:after="0" w:line="5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purchased 3,281,921 shares at an average price of $6.45 per share, excluding commissions, for an aggregate amount of</w:t>
      </w:r>
    </w:p>
    <w:p>
      <w:pPr>
        <w:spacing w:after="0" w:line="27" w:lineRule="exact"/>
        <w:rPr>
          <w:rFonts w:ascii="Times New Roman" w:cs="Times New Roman" w:eastAsia="Times New Roman" w:hAnsi="Times New Roman"/>
          <w:sz w:val="18"/>
          <w:szCs w:val="18"/>
          <w:b w:val="1"/>
          <w:bCs w:val="1"/>
          <w:color w:val="auto"/>
        </w:rPr>
      </w:pPr>
    </w:p>
    <w:p>
      <w:pPr>
        <w:ind w:left="660" w:right="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$21.2 million during the thirty-nine weeks ended November 2, 2024 under the 2021 Share Repurchase Program. There was $4.4 million remaining available to repurchase shares of the Company's common stock under the 2021 Share Repurchase Program as of November 2, 2024.</w:t>
      </w:r>
    </w:p>
    <w:p>
      <w:pPr>
        <w:spacing w:after="0" w:line="46" w:lineRule="exact"/>
        <w:rPr>
          <w:rFonts w:ascii="Times New Roman" w:cs="Times New Roman" w:eastAsia="Times New Roman" w:hAnsi="Times New Roman"/>
          <w:sz w:val="18"/>
          <w:szCs w:val="18"/>
          <w:b w:val="1"/>
          <w:bCs w:val="1"/>
          <w:color w:val="auto"/>
        </w:rPr>
      </w:pPr>
    </w:p>
    <w:p>
      <w:pPr>
        <w:ind w:left="660" w:right="20"/>
        <w:spacing w:after="0" w:line="28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As of November 2, 2024, the Company held as treasury shares 15,721,165 shares of its common stock at an average price of $9.94 per share, excluding commissions, for an aggregate carrying amount of $156.2 million. The Company’s treasury shares may be issued under the 2010 Equity and Incentive Plan (with respect to outstanding awards under that plan), under the 2020 Equity and Incentive Plan, or for other corporate purposes.</w:t>
      </w:r>
    </w:p>
    <w:p>
      <w:pPr>
        <w:spacing w:after="0" w:line="22" w:lineRule="exact"/>
        <w:rPr>
          <w:rFonts w:ascii="Times New Roman" w:cs="Times New Roman" w:eastAsia="Times New Roman" w:hAnsi="Times New Roman"/>
          <w:sz w:val="18"/>
          <w:szCs w:val="18"/>
          <w:b w:val="1"/>
          <w:bCs w:val="1"/>
          <w:color w:val="auto"/>
        </w:rPr>
      </w:pPr>
    </w:p>
    <w:p>
      <w:pPr>
        <w:ind w:left="660" w:right="40"/>
        <w:spacing w:after="0" w:line="24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Subsequent to the end of the quarter, in December 2024, the Company's board of directors approved a new share repurchase plan (the “2024 Share Repurchase Program”) which authorized Company management to utilize up to $30.0 million of available cash for repurchases of shares of the Company's common stock. The 2024 Share Repurchase Program goes into effect beginning December 14, 2024 and expires in December 2027. The Company does not</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ind w:left="660" w:right="240"/>
        <w:spacing w:after="0" w:line="266" w:lineRule="auto"/>
        <w:rPr>
          <w:sz w:val="20"/>
          <w:szCs w:val="20"/>
          <w:color w:val="auto"/>
        </w:rPr>
      </w:pPr>
      <w:r>
        <w:rPr>
          <w:rFonts w:ascii="Times New Roman" w:cs="Times New Roman" w:eastAsia="Times New Roman" w:hAnsi="Times New Roman"/>
          <w:sz w:val="18"/>
          <w:szCs w:val="18"/>
          <w:color w:val="auto"/>
        </w:rPr>
        <w:t>currently plan to purchase under the 2024 Share Repurchase Program, but anticipates utilizing it in the future depending on the Company's cash position.</w:t>
      </w:r>
    </w:p>
    <w:p>
      <w:pPr>
        <w:spacing w:after="0" w:line="199" w:lineRule="exact"/>
        <w:rPr>
          <w:sz w:val="20"/>
          <w:szCs w:val="20"/>
          <w:color w:val="auto"/>
        </w:rPr>
      </w:pPr>
    </w:p>
    <w:p>
      <w:pPr>
        <w:ind w:left="640" w:hanging="632"/>
        <w:spacing w:after="0"/>
        <w:tabs>
          <w:tab w:leader="none" w:pos="6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Cloud Computing Arrangements</w:t>
      </w:r>
    </w:p>
    <w:p>
      <w:pPr>
        <w:spacing w:after="0" w:line="107" w:lineRule="exact"/>
        <w:rPr>
          <w:rFonts w:ascii="Times New Roman" w:cs="Times New Roman" w:eastAsia="Times New Roman" w:hAnsi="Times New Roman"/>
          <w:sz w:val="18"/>
          <w:szCs w:val="18"/>
          <w:b w:val="1"/>
          <w:bCs w:val="1"/>
          <w:color w:val="auto"/>
        </w:rPr>
      </w:pPr>
    </w:p>
    <w:p>
      <w:pPr>
        <w:ind w:left="660" w:right="4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capitalizes implementation costs associated with its Cloud Computing Arrangements (“CCA”) consistent with costs capitalized for internal-use software. The CCA costs are amortized over the term of the related hosting agreement, taking into consideration renewal options, if any. The renewal period is included in the amortization period if determined that the option is reasonably certain to be exercised. The amortization expense is recorded within selling, general, and administrative expenses in the Company's Condensed Consolidated Statements of Operations, which is within the same line item as the related hosting fees. The balance of the unamortized CCA implementation costs totaled $2.4 million and $3.8 million as of November 2, 2024 and February 3, 2024, respectively. Of this total, $1.5 million and $2.8 million was recorded within prepaid expenses and other current assets and $0.9 million and $1.0 million was recorded within other assets on the Company's Condensed Consolidated Balance Sheets as of November 2, 2024 and February 3, 2024, respectively. The CCA implementation costs are recorded within operating activities in the Company's Condensed Consolidated Statements of Cash Flows.</w:t>
      </w:r>
    </w:p>
    <w:p>
      <w:pPr>
        <w:spacing w:after="0" w:line="211"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Noncontrolling Interest</w:t>
      </w:r>
    </w:p>
    <w:p>
      <w:pPr>
        <w:spacing w:after="0" w:line="94" w:lineRule="exact"/>
        <w:rPr>
          <w:rFonts w:ascii="Times New Roman" w:cs="Times New Roman" w:eastAsia="Times New Roman" w:hAnsi="Times New Roman"/>
          <w:sz w:val="18"/>
          <w:szCs w:val="18"/>
          <w:b w:val="1"/>
          <w:bCs w:val="1"/>
          <w:color w:val="auto"/>
        </w:rPr>
      </w:pPr>
    </w:p>
    <w:p>
      <w:pPr>
        <w:ind w:left="660" w:right="1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Redeemable noncontrolling interest represented the remaining twenty-five percent (25%) interest in Pura Vida not acquired by the Company until January 30, 2023.</w:t>
      </w:r>
    </w:p>
    <w:p>
      <w:pPr>
        <w:spacing w:after="0" w:line="40" w:lineRule="exact"/>
        <w:rPr>
          <w:rFonts w:ascii="Times New Roman" w:cs="Times New Roman" w:eastAsia="Times New Roman" w:hAnsi="Times New Roman"/>
          <w:sz w:val="18"/>
          <w:szCs w:val="18"/>
          <w:b w:val="1"/>
          <w:bCs w:val="1"/>
          <w:color w:val="auto"/>
        </w:rPr>
      </w:pPr>
    </w:p>
    <w:p>
      <w:pPr>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July 16, 2019, the Company purchased 75% of Pura Vida's outstanding equity interest and entered into a Put/Call Agreement with the Sellers (the “Put/Call Agreement”) providing for certain rights with respect to the purchase by the Company and sale by the Sellers of the Remaining Pura Vida Interests. On January 23, 2023, the Company and certain of its subsidiaries entered into an Interest Purchase Agreement (the “Interest Purchase Agreement”) with Creative Genius Holdings, Inc. a California corporation, Creative Genius Investments, Inc., a California corporation, Griffin Thall, and Paul Goodman (collectively “Sellers”) to purchase the remaining 25% of the outstanding membership interests (the “Remaining Pura Vida Interests”) of Creative Genius, LLC, a California limited liability company (“Pura Vida”).</w:t>
      </w:r>
    </w:p>
    <w:p>
      <w:pPr>
        <w:spacing w:after="0" w:line="52" w:lineRule="exact"/>
        <w:rPr>
          <w:rFonts w:ascii="Times New Roman" w:cs="Times New Roman" w:eastAsia="Times New Roman" w:hAnsi="Times New Roman"/>
          <w:sz w:val="18"/>
          <w:szCs w:val="18"/>
          <w:b w:val="1"/>
          <w:bCs w:val="1"/>
          <w:color w:val="auto"/>
        </w:rPr>
      </w:pPr>
    </w:p>
    <w:p>
      <w:pPr>
        <w:ind w:left="66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Pursuant to the Interest Purchase Agreement, and subject to the terms and conditions thereof, on the closing date (January 30, 2023), the Company acquired the Remaining Pura Vida Interests (the “Transaction”) in exchange for cash consideration consisting of $10.0 million paid at closing, subject to certain adjustments. The Transaction was not subject to financing conditions. The Company’s existing available cash and cash equivalents funded the purchase price. Following completion of the Transaction, the Company owns 100% of the ownership interests in Pura Vida.</w:t>
      </w:r>
    </w:p>
    <w:p>
      <w:pPr>
        <w:spacing w:after="0" w:line="42" w:lineRule="exact"/>
        <w:rPr>
          <w:rFonts w:ascii="Times New Roman" w:cs="Times New Roman" w:eastAsia="Times New Roman" w:hAnsi="Times New Roman"/>
          <w:sz w:val="18"/>
          <w:szCs w:val="18"/>
          <w:b w:val="1"/>
          <w:bCs w:val="1"/>
          <w:color w:val="auto"/>
        </w:rPr>
      </w:pPr>
    </w:p>
    <w:p>
      <w:pPr>
        <w:ind w:left="660" w:right="40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Interest Purchase Agreement provides that, as of the closing of the Transaction, all rights and obligations of the Company and the Sellers under any agreements among the parties, including the Put/Call Agreement, were terminated.</w:t>
      </w:r>
    </w:p>
    <w:p>
      <w:pPr>
        <w:spacing w:after="0" w:line="40" w:lineRule="exact"/>
        <w:rPr>
          <w:rFonts w:ascii="Times New Roman" w:cs="Times New Roman" w:eastAsia="Times New Roman" w:hAnsi="Times New Roman"/>
          <w:sz w:val="18"/>
          <w:szCs w:val="18"/>
          <w:b w:val="1"/>
          <w:bCs w:val="1"/>
          <w:color w:val="auto"/>
        </w:rPr>
      </w:pPr>
    </w:p>
    <w:p>
      <w:pPr>
        <w:ind w:left="660" w:right="12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result of the Transaction, the Company recorded a decrease to redeemable noncontrolling interest of $10.7 million. The difference between the fair value of the consideration paid and the balance of the redeemable noncontrolling interest resulted in $0.7 million recognized in additional paid-in capital (“APIC”) during the thirteen weeks ended April 29, 2023. In addition, there was an APIC adjustment of $0.6 million related to deferred income taxes for the purchase of the redeemable noncontrolling interest. The total APIC adjustment for this matter during the thirteen weeks ended April 29, 2023, was $1.3 million.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10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following tables detail the carrying value of the Company's intangible assets related to the acquisition of a majority interest in Pura Vida.</w:t>
      </w:r>
    </w:p>
    <w:p>
      <w:pPr>
        <w:spacing w:after="0" w:line="136"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11"/>
                <w:szCs w:val="11"/>
                <w:color w:val="auto"/>
              </w:rPr>
            </w:pP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Gross Basis</w:t>
            </w:r>
          </w:p>
        </w:tc>
        <w:tc>
          <w:tcPr>
            <w:tcW w:w="180" w:type="dxa"/>
            <w:vAlign w:val="bottom"/>
          </w:tcPr>
          <w:p>
            <w:pPr>
              <w:spacing w:after="0"/>
              <w:rPr>
                <w:sz w:val="11"/>
                <w:szCs w:val="11"/>
                <w:color w:val="auto"/>
              </w:rPr>
            </w:pPr>
          </w:p>
        </w:tc>
        <w:tc>
          <w:tcPr>
            <w:tcW w:w="15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40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202"/>
        </w:trPr>
        <w:tc>
          <w:tcPr>
            <w:tcW w:w="49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4"/>
                <w:szCs w:val="14"/>
                <w:b w:val="1"/>
                <w:bCs w:val="1"/>
                <w:color w:val="auto"/>
                <w:w w:val="99"/>
              </w:rPr>
              <w:t>Amortization</w:t>
            </w:r>
            <w:r>
              <w:rPr>
                <w:rFonts w:ascii="Times New Roman" w:cs="Times New Roman" w:eastAsia="Times New Roman" w:hAnsi="Times New Roman"/>
                <w:sz w:val="18"/>
                <w:szCs w:val="18"/>
                <w:b w:val="1"/>
                <w:bCs w:val="1"/>
                <w:color w:val="auto"/>
                <w:w w:val="99"/>
                <w:vertAlign w:val="superscript"/>
              </w:rPr>
              <w:t>(1)</w:t>
            </w:r>
          </w:p>
        </w:tc>
        <w:tc>
          <w:tcPr>
            <w:tcW w:w="1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intangible asset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Pura Vida Brand</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 Amortization expense is recorded within the Pura Vida segment.</w:t>
      </w:r>
    </w:p>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11"/>
                <w:szCs w:val="11"/>
                <w:color w:val="auto"/>
              </w:rPr>
            </w:pPr>
          </w:p>
        </w:tc>
        <w:tc>
          <w:tcPr>
            <w:tcW w:w="14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Gross Basis</w:t>
            </w:r>
          </w:p>
        </w:tc>
        <w:tc>
          <w:tcPr>
            <w:tcW w:w="180" w:type="dxa"/>
            <w:vAlign w:val="bottom"/>
          </w:tcPr>
          <w:p>
            <w:pPr>
              <w:spacing w:after="0"/>
              <w:rPr>
                <w:sz w:val="11"/>
                <w:szCs w:val="11"/>
                <w:color w:val="auto"/>
              </w:rPr>
            </w:pPr>
          </w:p>
        </w:tc>
        <w:tc>
          <w:tcPr>
            <w:tcW w:w="150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140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203"/>
        </w:trPr>
        <w:tc>
          <w:tcPr>
            <w:tcW w:w="49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r>
              <w:rPr>
                <w:rFonts w:ascii="Times New Roman" w:cs="Times New Roman" w:eastAsia="Times New Roman" w:hAnsi="Times New Roman"/>
                <w:sz w:val="9"/>
                <w:szCs w:val="9"/>
                <w:b w:val="1"/>
                <w:bCs w:val="1"/>
                <w:color w:val="auto"/>
              </w:rPr>
              <w:t>(1)</w:t>
            </w:r>
          </w:p>
        </w:tc>
        <w:tc>
          <w:tcPr>
            <w:tcW w:w="16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Definite-lived intangible assets</w:t>
            </w: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23"/>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50"/>
        </w:trPr>
        <w:tc>
          <w:tcPr>
            <w:tcW w:w="4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Indefinite-lived intangible asset</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Borders>
              <w:bottom w:val="single" w:sz="8" w:color="CCEEFF"/>
            </w:tcBorders>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Pura Vida Brand </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6,237</w:t>
            </w:r>
          </w:p>
        </w:tc>
        <w:tc>
          <w:tcPr>
            <w:tcW w:w="0" w:type="dxa"/>
            <w:vAlign w:val="bottom"/>
          </w:tcPr>
          <w:p>
            <w:pPr>
              <w:spacing w:after="0"/>
              <w:rPr>
                <w:sz w:val="1"/>
                <w:szCs w:val="1"/>
                <w:color w:val="auto"/>
              </w:rPr>
            </w:pPr>
          </w:p>
        </w:tc>
      </w:tr>
      <w:tr>
        <w:trPr>
          <w:trHeight w:val="250"/>
        </w:trPr>
        <w:tc>
          <w:tcPr>
            <w:tcW w:w="49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excluding goodwill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expense is recorded within the Pura Vida segment.</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impairment charge of $5.4 million was recorded within the Pura Vida segment during fourth quarter of fiscal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17" w:right="7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p>
      <w:pPr>
        <w:ind w:left="660" w:right="6720" w:hanging="652"/>
        <w:spacing w:after="0" w:line="375" w:lineRule="auto"/>
        <w:tabs>
          <w:tab w:leader="none" w:pos="655"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Cost Savings Initiatives and Other Charges </w:t>
      </w:r>
      <w:r>
        <w:rPr>
          <w:rFonts w:ascii="Times New Roman" w:cs="Times New Roman" w:eastAsia="Times New Roman" w:hAnsi="Times New Roman"/>
          <w:sz w:val="17"/>
          <w:szCs w:val="17"/>
          <w:i w:val="1"/>
          <w:iCs w:val="1"/>
          <w:color w:val="auto"/>
        </w:rPr>
        <w:t>Cost Savings Initiatives and Severance Charges</w:t>
      </w:r>
    </w:p>
    <w:p>
      <w:pPr>
        <w:ind w:left="66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During fiscal 2023, the Company began implementation of its targeted cost reductions, which are expected to be fully realized in fiscal 2025. Expense savings are being derived across various areas of the Company, including retail store efficiencies, marketing expenses, information technology contracts, professional services, logistics and operational costs, and corporate payroll.</w:t>
      </w:r>
    </w:p>
    <w:p>
      <w:pPr>
        <w:spacing w:after="0" w:line="54" w:lineRule="exact"/>
        <w:rPr>
          <w:rFonts w:ascii="Times New Roman" w:cs="Times New Roman" w:eastAsia="Times New Roman" w:hAnsi="Times New Roman"/>
          <w:sz w:val="17"/>
          <w:szCs w:val="17"/>
          <w:b w:val="1"/>
          <w:bCs w:val="1"/>
          <w:color w:val="auto"/>
        </w:rPr>
      </w:pPr>
    </w:p>
    <w:p>
      <w:pPr>
        <w:ind w:left="6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incurred the following charges during the thirteen weeks ended November 2, 2024 (in thousands):</w:t>
      </w:r>
    </w:p>
    <w:p>
      <w:pPr>
        <w:spacing w:after="0" w:line="367"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Unallocated Corporate</w:t>
            </w: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0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280" w:type="dxa"/>
            <w:vAlign w:val="bottom"/>
          </w:tcPr>
          <w:p>
            <w:pPr>
              <w:spacing w:after="0"/>
              <w:rPr>
                <w:sz w:val="10"/>
                <w:szCs w:val="10"/>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Pura Vida</w:t>
            </w:r>
          </w:p>
        </w:tc>
        <w:tc>
          <w:tcPr>
            <w:tcW w:w="15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charges</w:t>
            </w: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23"/>
        </w:trPr>
        <w:tc>
          <w:tcPr>
            <w:tcW w:w="20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110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 Recorded within selling, general, and administrative ("SG&amp;A") expenses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incurred the following charges during the thirty-nine weeks ended November 2, 2024 (in thousands):</w:t>
      </w: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Unallocated Corporate</w:t>
            </w: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120" w:type="dxa"/>
            <w:vAlign w:val="bottom"/>
          </w:tcPr>
          <w:p>
            <w:pPr>
              <w:spacing w:after="0"/>
              <w:rPr>
                <w:sz w:val="10"/>
                <w:szCs w:val="10"/>
                <w:color w:val="auto"/>
              </w:rPr>
            </w:pPr>
          </w:p>
        </w:tc>
        <w:tc>
          <w:tcPr>
            <w:tcW w:w="14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280" w:type="dxa"/>
            <w:vAlign w:val="bottom"/>
          </w:tcPr>
          <w:p>
            <w:pPr>
              <w:spacing w:after="0"/>
              <w:rPr>
                <w:sz w:val="10"/>
                <w:szCs w:val="10"/>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Pura Vida</w:t>
            </w:r>
          </w:p>
        </w:tc>
        <w:tc>
          <w:tcPr>
            <w:tcW w:w="16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charges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23"/>
        </w:trPr>
        <w:tc>
          <w:tcPr>
            <w:tcW w:w="20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 Recorded within cost of goods sold and SG&amp;A expenses</w:t>
      </w:r>
    </w:p>
    <w:p>
      <w:pPr>
        <w:spacing w:after="0" w:line="3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charges and related liabilities associated with the cost savings initiatives and severance charges are as follows (in thousands):</w:t>
      </w:r>
    </w:p>
    <w:p>
      <w:pPr>
        <w:spacing w:after="0" w:line="26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Severance Charges and Cash</w:t>
            </w:r>
          </w:p>
        </w:tc>
        <w:tc>
          <w:tcPr>
            <w:tcW w:w="0" w:type="dxa"/>
            <w:vAlign w:val="bottom"/>
          </w:tcPr>
          <w:p>
            <w:pPr>
              <w:spacing w:after="0"/>
              <w:rPr>
                <w:sz w:val="1"/>
                <w:szCs w:val="1"/>
                <w:color w:val="auto"/>
              </w:rPr>
            </w:pPr>
          </w:p>
        </w:tc>
      </w:tr>
      <w:tr>
        <w:trPr>
          <w:trHeight w:val="146"/>
        </w:trPr>
        <w:tc>
          <w:tcPr>
            <w:tcW w:w="7700" w:type="dxa"/>
            <w:vAlign w:val="bottom"/>
          </w:tcPr>
          <w:p>
            <w:pPr>
              <w:spacing w:after="0"/>
              <w:rPr>
                <w:sz w:val="12"/>
                <w:szCs w:val="12"/>
                <w:color w:val="auto"/>
              </w:rPr>
            </w:pPr>
          </w:p>
        </w:tc>
        <w:tc>
          <w:tcPr>
            <w:tcW w:w="20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Retention Payment Acceleration</w:t>
            </w: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 xml:space="preserve">Charges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as of February 3,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0" w:type="dxa"/>
            <w:vAlign w:val="bottom"/>
          </w:tcPr>
          <w:p>
            <w:pPr>
              <w:spacing w:after="0"/>
              <w:rPr>
                <w:sz w:val="1"/>
                <w:szCs w:val="1"/>
                <w:color w:val="auto"/>
              </w:rPr>
            </w:pP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2025 charges</w:t>
            </w:r>
          </w:p>
        </w:tc>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0" w:type="dxa"/>
            <w:vAlign w:val="bottom"/>
          </w:tcPr>
          <w:p>
            <w:pPr>
              <w:spacing w:after="0"/>
              <w:rPr>
                <w:sz w:val="1"/>
                <w:szCs w:val="1"/>
                <w:color w:val="auto"/>
              </w:rPr>
            </w:pPr>
          </w:p>
        </w:tc>
      </w:tr>
      <w:tr>
        <w:trPr>
          <w:trHeight w:val="22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as of November 2, 2024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 Remaining liability is recorded within accrued employment costs</w:t>
            </w: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7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incurred the following charges during the thirteen weeks ended October 28, 2023 (in thousands):</w:t>
      </w: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Unallocated Corporate</w:t>
            </w: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000" w:type="dxa"/>
            <w:vAlign w:val="bottom"/>
          </w:tcPr>
          <w:p>
            <w:pPr>
              <w:spacing w:after="0"/>
              <w:rPr>
                <w:sz w:val="10"/>
                <w:szCs w:val="1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280" w:type="dxa"/>
            <w:vAlign w:val="bottom"/>
          </w:tcPr>
          <w:p>
            <w:pPr>
              <w:spacing w:after="0"/>
              <w:rPr>
                <w:sz w:val="10"/>
                <w:szCs w:val="10"/>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Pura Vida</w:t>
            </w:r>
          </w:p>
        </w:tc>
        <w:tc>
          <w:tcPr>
            <w:tcW w:w="15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charges</w:t>
            </w:r>
          </w:p>
        </w:tc>
        <w:tc>
          <w:tcPr>
            <w:tcW w:w="1140" w:type="dxa"/>
            <w:vAlign w:val="bottom"/>
            <w:tcBorders>
              <w:top w:val="single" w:sz="8" w:color="auto"/>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23"/>
        </w:trPr>
        <w:tc>
          <w:tcPr>
            <w:tcW w:w="200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(1)</w:t>
            </w:r>
          </w:p>
        </w:tc>
        <w:tc>
          <w:tcPr>
            <w:tcW w:w="114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(1) Recorded within SG&amp;A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17" w:right="7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incurred the following charges during the thirty-nine weeks ended October 28, 2023 (in thousands):</w:t>
      </w:r>
    </w:p>
    <w:p>
      <w:pPr>
        <w:spacing w:after="0" w:line="27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Unallocated Corporate</w:t>
            </w: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200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VB Direct</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VB Indirect</w:t>
            </w:r>
          </w:p>
        </w:tc>
        <w:tc>
          <w:tcPr>
            <w:tcW w:w="280" w:type="dxa"/>
            <w:vAlign w:val="bottom"/>
          </w:tcPr>
          <w:p>
            <w:pPr>
              <w:spacing w:after="0"/>
              <w:rPr>
                <w:sz w:val="10"/>
                <w:szCs w:val="10"/>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Pura Vida</w:t>
            </w:r>
          </w:p>
        </w:tc>
        <w:tc>
          <w:tcPr>
            <w:tcW w:w="16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Total Expense</w:t>
            </w:r>
          </w:p>
        </w:tc>
        <w:tc>
          <w:tcPr>
            <w:tcW w:w="0" w:type="dxa"/>
            <w:vAlign w:val="bottom"/>
          </w:tcPr>
          <w:p>
            <w:pPr>
              <w:spacing w:after="0"/>
              <w:rPr>
                <w:sz w:val="1"/>
                <w:szCs w:val="1"/>
                <w:color w:val="auto"/>
              </w:rPr>
            </w:pPr>
          </w:p>
        </w:tc>
      </w:tr>
      <w:tr>
        <w:trPr>
          <w:trHeight w:val="195"/>
        </w:trPr>
        <w:tc>
          <w:tcPr>
            <w:tcW w:w="20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0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0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Severance charges </w:t>
            </w:r>
            <w:r>
              <w:rPr>
                <w:rFonts w:ascii="Times New Roman" w:cs="Times New Roman" w:eastAsia="Times New Roman" w:hAnsi="Times New Roman"/>
                <w:sz w:val="23"/>
                <w:szCs w:val="23"/>
                <w:color w:val="auto"/>
                <w:vertAlign w:val="superscript"/>
              </w:rPr>
              <w:t>(1)</w:t>
            </w:r>
          </w:p>
        </w:tc>
        <w:tc>
          <w:tcPr>
            <w:tcW w:w="1100" w:type="dxa"/>
            <w:vAlign w:val="bottom"/>
            <w:tcBorders>
              <w:top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0" w:type="dxa"/>
            <w:vAlign w:val="bottom"/>
          </w:tcPr>
          <w:p>
            <w:pPr>
              <w:spacing w:after="0"/>
              <w:rPr>
                <w:sz w:val="1"/>
                <w:szCs w:val="1"/>
                <w:color w:val="auto"/>
              </w:rPr>
            </w:pPr>
          </w:p>
        </w:tc>
      </w:tr>
      <w:tr>
        <w:trPr>
          <w:trHeight w:val="181"/>
        </w:trPr>
        <w:tc>
          <w:tcPr>
            <w:tcW w:w="2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Consulting fees and other</w:t>
            </w: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00" w:type="dxa"/>
            <w:vAlign w:val="bottom"/>
          </w:tcPr>
          <w:p>
            <w:pPr>
              <w:ind w:left="20"/>
              <w:spacing w:after="0" w:line="237" w:lineRule="exact"/>
              <w:rPr>
                <w:sz w:val="20"/>
                <w:szCs w:val="20"/>
                <w:color w:val="auto"/>
              </w:rPr>
            </w:pPr>
            <w:r>
              <w:rPr>
                <w:rFonts w:ascii="Times New Roman" w:cs="Times New Roman" w:eastAsia="Times New Roman" w:hAnsi="Times New Roman"/>
                <w:sz w:val="18"/>
                <w:szCs w:val="18"/>
                <w:color w:val="auto"/>
              </w:rPr>
              <w:t xml:space="preserve">costs </w:t>
            </w:r>
            <w:r>
              <w:rPr>
                <w:rFonts w:ascii="Times New Roman" w:cs="Times New Roman" w:eastAsia="Times New Roman" w:hAnsi="Times New Roman"/>
                <w:sz w:val="23"/>
                <w:szCs w:val="23"/>
                <w:color w:val="auto"/>
                <w:vertAlign w:val="superscript"/>
              </w:rPr>
              <w:t>(2)</w:t>
            </w:r>
          </w:p>
        </w:tc>
        <w:tc>
          <w:tcPr>
            <w:tcW w:w="1100" w:type="dxa"/>
            <w:vAlign w:val="bottom"/>
          </w:tcPr>
          <w:p>
            <w:pPr>
              <w:spacing w:after="0"/>
              <w:rPr>
                <w:sz w:val="20"/>
                <w:szCs w:val="20"/>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48"/>
        </w:trPr>
        <w:tc>
          <w:tcPr>
            <w:tcW w:w="200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(3)</w:t>
            </w:r>
          </w:p>
        </w:tc>
        <w:tc>
          <w:tcPr>
            <w:tcW w:w="1100" w:type="dxa"/>
            <w:vAlign w:val="bottom"/>
            <w:tcBorders>
              <w:top w:val="single" w:sz="8" w:color="auto"/>
              <w:bottom w:val="single" w:sz="8" w:color="auto"/>
            </w:tcBorders>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920" w:hanging="246"/>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former CFO severance</w:t>
      </w:r>
    </w:p>
    <w:p>
      <w:pPr>
        <w:spacing w:after="0" w:line="27"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professional fees</w:t>
      </w:r>
    </w:p>
    <w:p>
      <w:pPr>
        <w:spacing w:after="0" w:line="22" w:lineRule="exact"/>
        <w:rPr>
          <w:rFonts w:ascii="Times New Roman" w:cs="Times New Roman" w:eastAsia="Times New Roman" w:hAnsi="Times New Roman"/>
          <w:sz w:val="18"/>
          <w:szCs w:val="18"/>
          <w:color w:val="auto"/>
        </w:rPr>
      </w:pPr>
    </w:p>
    <w:p>
      <w:pPr>
        <w:ind w:left="920" w:hanging="246"/>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within SG&amp;A expenses</w:t>
      </w:r>
    </w:p>
    <w:p>
      <w:pPr>
        <w:spacing w:after="0" w:line="3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 summary of charges and related liabilities associated with the cost savings initiatives and severance charges are as follows (in thousands):</w:t>
      </w:r>
    </w:p>
    <w:p>
      <w:pPr>
        <w:sectPr>
          <w:pgSz w:w="11900" w:h="16838" w:orient="portrait"/>
          <w:cols w:equalWidth="0" w:num="1">
            <w:col w:w="11180"/>
          </w:cols>
          <w:pgMar w:left="320" w:top="11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Liability as of January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-136525</wp:posOffset>
            </wp:positionV>
            <wp:extent cx="624078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40780" cy="154305"/>
                    </a:xfrm>
                    <a:prstGeom prst="rect">
                      <a:avLst/>
                    </a:prstGeom>
                    <a:noFill/>
                  </pic:spPr>
                </pic:pic>
              </a:graphicData>
            </a:graphic>
          </wp:anchor>
        </w:drawing>
      </w: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Fiscal 2024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624078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40780" cy="146050"/>
                    </a:xfrm>
                    <a:prstGeom prst="rect">
                      <a:avLst/>
                    </a:prstGeom>
                    <a:noFill/>
                  </pic:spPr>
                </pic:pic>
              </a:graphicData>
            </a:graphic>
          </wp:anchor>
        </w:drawing>
      </w:r>
    </w:p>
    <w:p>
      <w:pPr>
        <w:spacing w:after="0" w:line="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Cash payments</w:t>
      </w:r>
    </w:p>
    <w:p>
      <w:pPr>
        <w:spacing w:after="0" w:line="5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Liability as of October 28, 2023</w:t>
      </w:r>
    </w:p>
    <w:p>
      <w:pPr>
        <w:spacing w:after="0" w:line="77" w:lineRule="exact"/>
        <w:rPr>
          <w:sz w:val="20"/>
          <w:szCs w:val="20"/>
          <w:color w:val="auto"/>
        </w:rPr>
      </w:pPr>
    </w:p>
    <w:p>
      <w:pPr>
        <w:ind w:left="920" w:hanging="246"/>
        <w:spacing w:after="0"/>
        <w:tabs>
          <w:tab w:leader="none" w:pos="92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Remaining liability is recorded within accrued employment costs</w:t>
      </w: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2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Severance Charges and Cash</w:t>
            </w:r>
          </w:p>
        </w:tc>
        <w:tc>
          <w:tcPr>
            <w:tcW w:w="140" w:type="dxa"/>
            <w:vAlign w:val="bottom"/>
          </w:tcPr>
          <w:p>
            <w:pPr>
              <w:spacing w:after="0"/>
              <w:rPr>
                <w:sz w:val="13"/>
                <w:szCs w:val="13"/>
                <w:color w:val="auto"/>
              </w:rPr>
            </w:pPr>
          </w:p>
        </w:tc>
        <w:tc>
          <w:tcPr>
            <w:tcW w:w="184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Consulting Fees and Other</w:t>
            </w:r>
          </w:p>
        </w:tc>
        <w:tc>
          <w:tcPr>
            <w:tcW w:w="0" w:type="dxa"/>
            <w:vAlign w:val="bottom"/>
          </w:tcPr>
          <w:p>
            <w:pPr>
              <w:spacing w:after="0"/>
              <w:rPr>
                <w:sz w:val="1"/>
                <w:szCs w:val="1"/>
                <w:color w:val="auto"/>
              </w:rPr>
            </w:pPr>
          </w:p>
        </w:tc>
      </w:tr>
      <w:tr>
        <w:trPr>
          <w:trHeight w:val="146"/>
        </w:trPr>
        <w:tc>
          <w:tcPr>
            <w:tcW w:w="2160" w:type="dxa"/>
            <w:vAlign w:val="bottom"/>
            <w:gridSpan w:val="3"/>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Retention Payment Acceleration</w:t>
            </w:r>
          </w:p>
        </w:tc>
        <w:tc>
          <w:tcPr>
            <w:tcW w:w="14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17"/>
                <w:szCs w:val="17"/>
                <w:color w:val="auto"/>
              </w:rPr>
            </w:pPr>
          </w:p>
        </w:tc>
        <w:tc>
          <w:tcPr>
            <w:tcW w:w="204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Charges </w:t>
            </w:r>
            <w:r>
              <w:rPr>
                <w:rFonts w:ascii="Times New Roman" w:cs="Times New Roman" w:eastAsia="Times New Roman" w:hAnsi="Times New Roman"/>
                <w:sz w:val="18"/>
                <w:szCs w:val="18"/>
                <w:b w:val="1"/>
                <w:bCs w:val="1"/>
                <w:color w:val="auto"/>
                <w:w w:val="98"/>
                <w:vertAlign w:val="superscript"/>
              </w:rPr>
              <w:t>(1)</w:t>
            </w:r>
          </w:p>
        </w:tc>
        <w:tc>
          <w:tcPr>
            <w:tcW w:w="140" w:type="dxa"/>
            <w:vAlign w:val="bottom"/>
          </w:tcPr>
          <w:p>
            <w:pPr>
              <w:spacing w:after="0"/>
              <w:rPr>
                <w:sz w:val="17"/>
                <w:szCs w:val="17"/>
                <w:color w:val="auto"/>
              </w:rPr>
            </w:pPr>
          </w:p>
        </w:tc>
        <w:tc>
          <w:tcPr>
            <w:tcW w:w="1840" w:type="dxa"/>
            <w:vAlign w:val="bottom"/>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Costs</w:t>
            </w:r>
          </w:p>
        </w:tc>
        <w:tc>
          <w:tcPr>
            <w:tcW w:w="0" w:type="dxa"/>
            <w:vAlign w:val="bottom"/>
          </w:tcPr>
          <w:p>
            <w:pPr>
              <w:spacing w:after="0"/>
              <w:rPr>
                <w:sz w:val="1"/>
                <w:szCs w:val="1"/>
                <w:color w:val="auto"/>
              </w:rPr>
            </w:pPr>
          </w:p>
        </w:tc>
      </w:tr>
      <w:tr>
        <w:trPr>
          <w:trHeight w:val="218"/>
        </w:trPr>
        <w:tc>
          <w:tcPr>
            <w:tcW w:w="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4"/>
        </w:trPr>
        <w:tc>
          <w:tcPr>
            <w:tcW w:w="1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23"/>
        </w:trPr>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67" w:lineRule="exact"/>
        <w:rPr>
          <w:sz w:val="20"/>
          <w:szCs w:val="20"/>
          <w:color w:val="auto"/>
        </w:rPr>
      </w:pPr>
    </w:p>
    <w:p>
      <w:pPr>
        <w:sectPr>
          <w:pgSz w:w="11900" w:h="16838" w:orient="portrait"/>
          <w:cols w:equalWidth="0" w:num="2">
            <w:col w:w="5620" w:space="720"/>
            <w:col w:w="4840"/>
          </w:cols>
          <w:pgMar w:left="320" w:top="117" w:right="399" w:bottom="1440" w:gutter="0" w:footer="0" w:header="0"/>
          <w:type w:val="continuous"/>
        </w:sectPr>
      </w:pPr>
    </w:p>
    <w:p>
      <w:pPr>
        <w:ind w:left="660" w:right="40"/>
        <w:spacing w:after="0" w:line="266" w:lineRule="auto"/>
        <w:rPr>
          <w:sz w:val="20"/>
          <w:szCs w:val="20"/>
          <w:color w:val="auto"/>
        </w:rPr>
      </w:pPr>
      <w:r>
        <w:rPr>
          <w:rFonts w:ascii="Times New Roman" w:cs="Times New Roman" w:eastAsia="Times New Roman" w:hAnsi="Times New Roman"/>
          <w:sz w:val="18"/>
          <w:szCs w:val="18"/>
          <w:color w:val="auto"/>
        </w:rPr>
        <w:t>The Company has three operating segments, which are also its reportable segments: VB Direct, VB Indirect, and Pura Vida.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54" w:lineRule="exact"/>
        <w:rPr>
          <w:sz w:val="20"/>
          <w:szCs w:val="20"/>
          <w:color w:val="auto"/>
        </w:rPr>
      </w:pPr>
    </w:p>
    <w:p>
      <w:pPr>
        <w:ind w:left="660"/>
        <w:spacing w:after="0" w:line="266" w:lineRule="auto"/>
        <w:rPr>
          <w:sz w:val="20"/>
          <w:szCs w:val="20"/>
          <w:color w:val="auto"/>
        </w:rPr>
      </w:pPr>
      <w:r>
        <w:rPr>
          <w:rFonts w:ascii="Times New Roman" w:cs="Times New Roman" w:eastAsia="Times New Roman" w:hAnsi="Times New Roman"/>
          <w:sz w:val="18"/>
          <w:szCs w:val="18"/>
          <w:color w:val="auto"/>
        </w:rPr>
        <w:t>The VB Direct segment includes Vera Bradley full-line and outlet stores; e-commerce sites (verabradley.com, outlet.verabradley.com, and international.verabradley.com); and the Vera Bradley annual outlet sale. Revenues generated from this segment are driven through the sale of Vera Bradley-branded products from Vera Bradley to end consumers.</w:t>
      </w:r>
    </w:p>
    <w:p>
      <w:pPr>
        <w:spacing w:after="0" w:line="41" w:lineRule="exact"/>
        <w:rPr>
          <w:sz w:val="20"/>
          <w:szCs w:val="20"/>
          <w:color w:val="auto"/>
        </w:rPr>
      </w:pPr>
    </w:p>
    <w:p>
      <w:pPr>
        <w:ind w:left="660" w:right="220"/>
        <w:spacing w:after="0" w:line="261" w:lineRule="auto"/>
        <w:rPr>
          <w:sz w:val="20"/>
          <w:szCs w:val="20"/>
          <w:color w:val="auto"/>
        </w:rPr>
      </w:pPr>
      <w:r>
        <w:rPr>
          <w:rFonts w:ascii="Times New Roman" w:cs="Times New Roman" w:eastAsia="Times New Roman" w:hAnsi="Times New Roman"/>
          <w:sz w:val="18"/>
          <w:szCs w:val="18"/>
          <w:color w:val="auto"/>
        </w:rPr>
        <w:t>The VB Indirect segment represents revenues generated through the distribution of Vera Bradley-branded products to specialty retailers representing approximately 1,200 locations, substantially all of which are located in the United States; key accounts, which include department stores, national accounts, third-party e-commerce sites, and third-party inventory liquidators; and royalties recognized through licensing agreements related to the Vera Bradley brand.</w:t>
      </w:r>
    </w:p>
    <w:p>
      <w:pPr>
        <w:spacing w:after="0" w:line="58" w:lineRule="exact"/>
        <w:rPr>
          <w:sz w:val="20"/>
          <w:szCs w:val="20"/>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The Pura Vida segment represents revenues generated through the Pura Vida websites (www.puravidabracelets.com and www.puravidabracelets.eu); through the distribution of Pura Vida-branded products to wholesale retailers, substantially all of which are located in the United States; and through the Pura Vida retail stores.</w:t>
      </w:r>
    </w:p>
    <w:p>
      <w:pPr>
        <w:spacing w:after="0" w:line="54"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Corporate costs represent the Company’s administrative expenses, which include, but are not limited to: human resources, legal, finance, information technology, design, product development, merchandising, corporate-level marketing and advertising, and various other corporate-level-activity-related expenses not directly attributable to a reportable segment. All intercompany-related activities are eliminated in consolidation and are excluded from the segment reporting.</w:t>
      </w: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Vera Bradley,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p>
      <w:pPr>
        <w:ind w:left="660"/>
        <w:spacing w:after="0" w:line="279" w:lineRule="auto"/>
        <w:rPr>
          <w:sz w:val="20"/>
          <w:szCs w:val="20"/>
          <w:color w:val="auto"/>
        </w:rPr>
      </w:pPr>
      <w:r>
        <w:rPr>
          <w:rFonts w:ascii="Times New Roman" w:cs="Times New Roman" w:eastAsia="Times New Roman" w:hAnsi="Times New Roman"/>
          <w:sz w:val="17"/>
          <w:szCs w:val="17"/>
          <w:color w:val="auto"/>
        </w:rPr>
        <w:t>Company management evaluates segment operating results based on several indicators. The primary or key performance indicators for each segment are net revenues and operating income. Net revenues and operating income (loss) information for the Company’s reportable segments during the thirteen and thirty-nine weeks ended November 2, 2024 and October 28, 2023, respectively, consisted of the following (in thousands):</w:t>
      </w:r>
    </w:p>
    <w:tbl>
      <w:tblPr>
        <w:tblLayout w:type="fixed"/>
        <w:tblInd w:w="660" w:type="dxa"/>
        <w:tblCellMar>
          <w:top w:w="0" w:type="dxa"/>
          <w:left w:w="0" w:type="dxa"/>
          <w:bottom w:w="0" w:type="dxa"/>
          <w:right w:w="0" w:type="dxa"/>
        </w:tblCellMar>
      </w:tblPr>
      <w:tr>
        <w:trPr>
          <w:trHeight w:val="190"/>
        </w:trPr>
        <w:tc>
          <w:tcPr>
            <w:tcW w:w="3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4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40" w:type="dxa"/>
            <w:vAlign w:val="bottom"/>
          </w:tcPr>
          <w:p>
            <w:pPr>
              <w:spacing w:after="0"/>
              <w:rPr>
                <w:sz w:val="16"/>
                <w:szCs w:val="16"/>
                <w:color w:val="auto"/>
              </w:rPr>
            </w:pPr>
          </w:p>
        </w:tc>
        <w:tc>
          <w:tcPr>
            <w:tcW w:w="2940" w:type="dxa"/>
            <w:vAlign w:val="bottom"/>
            <w:gridSpan w:val="4"/>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23"/>
        </w:trPr>
        <w:tc>
          <w:tcPr>
            <w:tcW w:w="3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313"/>
              <w:spacing w:after="0" w:line="129"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333"/>
              <w:spacing w:after="0" w:line="129"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0" w:type="dxa"/>
            <w:vAlign w:val="bottom"/>
          </w:tcPr>
          <w:p>
            <w:pPr>
              <w:spacing w:after="0"/>
              <w:rPr>
                <w:sz w:val="1"/>
                <w:szCs w:val="1"/>
                <w:color w:val="auto"/>
              </w:rPr>
            </w:pPr>
          </w:p>
        </w:tc>
      </w:tr>
      <w:tr>
        <w:trPr>
          <w:trHeight w:val="196"/>
        </w:trPr>
        <w:tc>
          <w:tcPr>
            <w:tcW w:w="30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net revenues: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VB Direct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52,475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72,309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181,140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216,916</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VB Indirect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57,722</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Pura Vida</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62,883</w:t>
            </w:r>
          </w:p>
        </w:tc>
        <w:tc>
          <w:tcPr>
            <w:tcW w:w="0" w:type="dxa"/>
            <w:vAlign w:val="bottom"/>
          </w:tcPr>
          <w:p>
            <w:pPr>
              <w:spacing w:after="0"/>
              <w:rPr>
                <w:sz w:val="1"/>
                <w:szCs w:val="1"/>
                <w:color w:val="auto"/>
              </w:rPr>
            </w:pPr>
          </w:p>
        </w:tc>
      </w:tr>
      <w:tr>
        <w:trPr>
          <w:trHeight w:val="248"/>
        </w:trPr>
        <w:tc>
          <w:tcPr>
            <w:tcW w:w="3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337,521</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0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VB Direct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43,669</w:t>
            </w:r>
          </w:p>
        </w:tc>
        <w:tc>
          <w:tcPr>
            <w:tcW w:w="0" w:type="dxa"/>
            <w:vAlign w:val="bottom"/>
          </w:tcPr>
          <w:p>
            <w:pPr>
              <w:spacing w:after="0"/>
              <w:rPr>
                <w:sz w:val="1"/>
                <w:szCs w:val="1"/>
                <w:color w:val="auto"/>
              </w:rPr>
            </w:pPr>
          </w:p>
        </w:tc>
      </w:tr>
      <w:tr>
        <w:trPr>
          <w:trHeight w:val="229"/>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VB Indirect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19,877</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Pura Vida</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0" w:type="dxa"/>
            <w:vAlign w:val="bottom"/>
          </w:tcPr>
          <w:p>
            <w:pPr>
              <w:spacing w:after="0"/>
              <w:rPr>
                <w:sz w:val="1"/>
                <w:szCs w:val="1"/>
                <w:color w:val="auto"/>
              </w:rPr>
            </w:pPr>
          </w:p>
        </w:tc>
      </w:tr>
      <w:tr>
        <w:trPr>
          <w:trHeight w:val="223"/>
        </w:trPr>
        <w:tc>
          <w:tcPr>
            <w:tcW w:w="30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68,528</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Reconciliation:</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24,095</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68,528</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Unallocated corporate expenses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(49,375)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(55,257)</w:t>
            </w:r>
          </w:p>
        </w:tc>
        <w:tc>
          <w:tcPr>
            <w:tcW w:w="0" w:type="dxa"/>
            <w:vAlign w:val="bottom"/>
          </w:tcPr>
          <w:p>
            <w:pPr>
              <w:spacing w:after="0"/>
              <w:rPr>
                <w:sz w:val="1"/>
                <w:szCs w:val="1"/>
                <w:color w:val="auto"/>
              </w:rPr>
            </w:pPr>
          </w:p>
        </w:tc>
      </w:tr>
      <w:tr>
        <w:trPr>
          <w:trHeight w:val="248"/>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following discussion summarizes the significant factors affecting the condensed consolidated operating results, financial condition, liquidity, and cash flows of the Company as of and for the thirteen and thirty-nine weeks ended November 2, 2024 and October 28, 2023. The following discussion should be read in conjunction with our Annual Report on Form 10-K for the fiscal year ended February 3, 2024, and our unaudited condensed consolidated financial statements and the related notes included in Item 1 of this Quarterly Report. The results of operations for the thirteen and thirty-nine weeks ended November 2, 2024, are not necessarily indicative of the results to be expected for the full fiscal year.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Progress, Macroeconomic Factors, and Other Factors Impacting our Financial Condition and Results of Operations</w:t>
      </w:r>
    </w:p>
    <w:p>
      <w:pPr>
        <w:spacing w:after="0" w:line="268" w:lineRule="exact"/>
        <w:rPr>
          <w:sz w:val="20"/>
          <w:szCs w:val="20"/>
          <w:color w:val="auto"/>
        </w:rPr>
      </w:pPr>
    </w:p>
    <w:p>
      <w:pPr>
        <w:jc w:val="both"/>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Strategic Progress. </w:t>
      </w:r>
      <w:r>
        <w:rPr>
          <w:rFonts w:ascii="Times New Roman" w:cs="Times New Roman" w:eastAsia="Times New Roman" w:hAnsi="Times New Roman"/>
          <w:sz w:val="18"/>
          <w:szCs w:val="18"/>
          <w:color w:val="auto"/>
        </w:rPr>
        <w:t>We launched the first of our customer-facing stages of Project Restoration in July of fiscal 2025, which included new products, store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remodels, website redesigns, and customer marketing. Project Restoration is focused on four key pillars of the business (Consumer, Brand, Product, and Channel) for each brand to help drive long-term profitable growth.</w:t>
      </w:r>
    </w:p>
    <w:p>
      <w:pPr>
        <w:spacing w:after="0" w:line="20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we continued to identify cost reductions as part of our overall plan to right-size the expense structure of our Company and lay the groundwork for success to help drive long-term profitable growth. Savings are being derived across various areas of the Company, including retail store efficiencies, marketing expenses, information technology contracts, professional services, logistics and operational costs, and corporate payroll. We will continue to review our expense structure for additional cost reduction opportunities.</w:t>
      </w:r>
    </w:p>
    <w:p>
      <w:pPr>
        <w:spacing w:after="0" w:line="20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Macroeconomic and Other Factors</w:t>
      </w:r>
      <w:r>
        <w:rPr>
          <w:rFonts w:ascii="Times New Roman" w:cs="Times New Roman" w:eastAsia="Times New Roman" w:hAnsi="Times New Roman"/>
          <w:sz w:val="18"/>
          <w:szCs w:val="18"/>
          <w:color w:val="auto"/>
        </w:rPr>
        <w:t>. We continue to be impacted by higher tariffs from previously duty-free countries, where we source products, as a result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expiration of the Generalized System of Preferences (“GSP”) duty-free status at the end of calendar year 2020. In addition, the macroeconomic environment has been further challenged by inflationary pressures and other related factors that have impacted consumer discretionary spending. We continued to see weakness in both the Vera Bradley outlet store business and full line stores in the third quarter of fiscal 2025.</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06"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Net revenues reflect sales of our merchandise and revenue from distribution and shipping and handling fees, less returns and discounts. Revenues for the VB Direct segment reflect sales through Vera Bradley full-line and outlet stores; e-commerce sites (verabradley.com, outlet.verabradley.com, and international.verabradley.com); and the Vera Bradley annual outlet sale. Revenues for the VB Indirect segment reflect sales of Vera Bradley-branded products to specialty retail partners; key accounts consisting of department stores, national accounts, third-party e-commerce sites, and third-party inventory liquidators; and royalties recognized through licensing agreements related to the Vera Bradley brand. Revenues for the Pura Vida segment reflect revenues generated through the Pura Vida websites (www.puravidabracelets.com and www.puravidabracelets.eu); through the distribution of Pura Vida-branded products to wholesale retailers; and through Pura Vida retail stores.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Comparable Sales</w:t>
      </w:r>
    </w:p>
    <w:p>
      <w:pPr>
        <w:spacing w:after="0" w:line="92"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8"/>
          <w:szCs w:val="18"/>
          <w:color w:val="auto"/>
        </w:rPr>
        <w:t>Comparable sales are calculated based upon our stores that have been open for at least 12 full fiscal months and net revenues from our Vera Bradley e-commerce operations. Remodeled stores are included in both comparable sales and comparable store sales unless the store was closed for more than one week of the current or comparable prior period, in which case the non-comparable temporary closure periods are not included,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w:t>
      </w:r>
    </w:p>
    <w:p>
      <w:pPr>
        <w:spacing w:after="0" w:line="5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Measuring the change in year-over-year comparable sales allows us and our investors to evaluate how our store base and e-commerce operations are performing. Various factors affect our comparable sales, including:</w:t>
      </w:r>
    </w:p>
    <w:p>
      <w:pPr>
        <w:spacing w:after="0" w:line="27"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economic trends;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fashion trends;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releases of new patterns and collections;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product mix;</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as well as timing and level of promotions;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store, mall, and e-commerce traffic;</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customer service that we provide in stores and to our on-line customers;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and distribute products efficiently;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stores we open and close in any period; and</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promotional and marketing efforts.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0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Gross profit is equal to our net revenues less our cost of sales. Cost of sales includes the direct cost of purchased merchandise, distribution center costs, operations overhead, duties, all inbound freight costs incurred, and inventory adjustments, if any. The components of our reported cost of sales may not be comparable to those of other retail and wholesale companies.</w:t>
      </w:r>
    </w:p>
    <w:p>
      <w:pPr>
        <w:spacing w:after="0" w:line="12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Gross profit can be impacted by changes in volume; fluctuations in sales price; inbound freight and other logistical costs; operational efficiencies, such as leveraging of fixed costs; promotional activities, including free shipping; commodity prices, such as for cotton; tariffs; and labor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 (“SG&amp;A”)</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SG&amp;A expenses include selling; advertising, marketing, and product development; and administrative expenses. Selling expenses include:</w:t>
      </w:r>
    </w:p>
    <w:p>
      <w:pPr>
        <w:spacing w:after="0" w:line="104"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VB Direct business expenses, such as store expenses, employee compensation, and store occupancy and supply costs;</w:t>
      </w:r>
    </w:p>
    <w:p>
      <w:pPr>
        <w:spacing w:after="0" w:line="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VB Indirect business expenses consisting primarily of employee compensation and other expenses associated with sales to Indirect retailers;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Pura Vida business expenses primarily related to employee compensation and store expenses.</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Advertising, marketing, and product development expenses include employee compensation, media costs, creative production expenses, marketing agency fees, new product design costs, public relations expenses, and market research expenses. Administrative expenses include employee compensation for corporate functions, corporate headquarters occupancy costs, consulting and software expenses, and charitable donations, as well as severance charges and consulting fees associated with cost savings initiatives disclosed in Note 14 to the Notes to the Condensed Consolidated Financial Statements herein.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(Loss) Income</w:t>
      </w:r>
    </w:p>
    <w:p>
      <w:pPr>
        <w:spacing w:after="0" w:line="10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Operating (loss) income is equal to gross profit less SG&amp;A expenses plus other income, net. Operating (loss) income excludes interest income, interest expense, and income taxes.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income is equal to operating (loss) income plus interest income less interest expense and income taxes.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Charges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perform our annual impairment test of the indefinite-lived Pura Vida brand during the second quarter of each fiscal year.</w:t>
      </w:r>
    </w:p>
    <w:p>
      <w:pPr>
        <w:spacing w:after="0" w:line="225"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8"/>
          <w:szCs w:val="18"/>
          <w:color w:val="auto"/>
        </w:rPr>
        <w:t>Refer to Note 15 to the Notes to the Consolidated Financial Statements filed with the SEC on Form 10-K for the fiscal year ended February 3, 2024, for additional information regarding the indefinite-lived intangible assets impairment test and impairment charges recorded during fiscal 2024. There were no impairment charges recorded during the thirteen and thirty-nine weeks ended November 2, 2024 or October 28, 2023. Depending on the results of future impairment tests, it is possible additional impairments could be identified in future periods, and such amounts could be material.</w:t>
      </w:r>
    </w:p>
    <w:p>
      <w:pPr>
        <w:sectPr>
          <w:pgSz w:w="11900" w:h="16838" w:orient="portrait"/>
          <w:cols w:equalWidth="0" w:num="1">
            <w:col w:w="11140"/>
          </w:cols>
          <w:pgMar w:left="320" w:top="117"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79"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7"/>
          <w:szCs w:val="17"/>
          <w:color w:val="auto"/>
        </w:rPr>
        <w:t>Property, plant, and equipment and lease right-of-use assets (the “asset group” for store-related assets) are reviewed for impairment whenever events or changes in circumstances indicate that the carrying amount of the asset group may not be recoverable. The reviews are conducted at the lowest identifiable level of cash flows. If the estimated undiscounted future cash flows related to the asset group are less than the carrying value, we recognize a loss equal to the difference between the carrying value and the fair value, as further defined in Note 5 to the Notes to the Condensed Consolidated Financial Statements herein. Impairment charges of $2.2 million were recognized during the thirteen and thirty-nine weeks ended November 2, 2024, for store property, plant, and equipment charges, which are included in SG&amp;A expenses within the Condensed Consolidated Statements of Operations and within impairment charges in the Condensed Consolidated Statements of Cash Flows. $2.1 million of the impairment charge is included in the Direct segment, and</w:t>
      </w:r>
    </w:p>
    <w:p>
      <w:pPr>
        <w:spacing w:after="0" w:line="2" w:lineRule="exact"/>
        <w:rPr>
          <w:sz w:val="20"/>
          <w:szCs w:val="20"/>
          <w:color w:val="auto"/>
        </w:rPr>
      </w:pPr>
    </w:p>
    <w:p>
      <w:pPr>
        <w:ind w:right="500"/>
        <w:spacing w:after="0" w:line="230" w:lineRule="auto"/>
        <w:rPr>
          <w:sz w:val="20"/>
          <w:szCs w:val="20"/>
          <w:color w:val="auto"/>
        </w:rPr>
      </w:pPr>
      <w:r>
        <w:rPr>
          <w:rFonts w:ascii="Times New Roman" w:cs="Times New Roman" w:eastAsia="Times New Roman" w:hAnsi="Times New Roman"/>
          <w:sz w:val="18"/>
          <w:szCs w:val="18"/>
          <w:color w:val="auto"/>
        </w:rPr>
        <w:t>$0.1 million is included in the Pura Vida segment for the thirteen and thirty-nine weeks ended November 2, 2024. There were no impairment charges recorded during the thirteen and thirty-nine weeks ended October 28, 2023. We are unable to predict the extent of the impact that the inflationary environment could have on our operations, the economy, or other factors; therefore, it is possible additional impairments could be identified in future periods, and such amounts could be material.</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ind w:right="400"/>
        <w:spacing w:after="0" w:line="270" w:lineRule="auto"/>
        <w:rPr>
          <w:sz w:val="20"/>
          <w:szCs w:val="20"/>
          <w:color w:val="auto"/>
        </w:rPr>
      </w:pPr>
      <w:r>
        <w:rPr>
          <w:rFonts w:ascii="Times New Roman" w:cs="Times New Roman" w:eastAsia="Times New Roman" w:hAnsi="Times New Roman"/>
          <w:sz w:val="18"/>
          <w:szCs w:val="18"/>
          <w:color w:val="auto"/>
        </w:rPr>
        <w:t>The following tables summarize key components of our condensed consolidated results of operations for the periods indicated, both in dollars and as a percentage of our net revenues ($ in thousands):</w:t>
      </w: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40" w:type="dxa"/>
            <w:vAlign w:val="bottom"/>
          </w:tcPr>
          <w:p>
            <w:pPr>
              <w:spacing w:after="0"/>
              <w:rPr>
                <w:sz w:val="16"/>
                <w:szCs w:val="16"/>
                <w:color w:val="auto"/>
              </w:rPr>
            </w:pPr>
          </w:p>
        </w:tc>
        <w:tc>
          <w:tcPr>
            <w:tcW w:w="290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4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28"/>
        </w:trPr>
        <w:tc>
          <w:tcPr>
            <w:tcW w:w="48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312"/>
              <w:spacing w:after="0" w:line="129"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right"/>
              <w:ind w:right="312"/>
              <w:spacing w:after="0" w:line="129" w:lineRule="exact"/>
              <w:rPr>
                <w:sz w:val="20"/>
                <w:szCs w:val="20"/>
                <w:color w:val="auto"/>
              </w:rPr>
            </w:pPr>
            <w:r>
              <w:rPr>
                <w:rFonts w:ascii="Times New Roman" w:cs="Times New Roman" w:eastAsia="Times New Roman" w:hAnsi="Times New Roman"/>
                <w:sz w:val="14"/>
                <w:szCs w:val="14"/>
                <w:b w:val="1"/>
                <w:bCs w:val="1"/>
                <w:color w:val="auto"/>
              </w:rPr>
              <w:t>October 28,</w:t>
            </w:r>
          </w:p>
        </w:tc>
      </w:tr>
      <w:tr>
        <w:trPr>
          <w:trHeight w:val="196"/>
        </w:trPr>
        <w:tc>
          <w:tcPr>
            <w:tcW w:w="48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80,578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114,987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272,003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337,521</w:t>
            </w:r>
          </w:p>
        </w:tc>
      </w:tr>
      <w:tr>
        <w:trPr>
          <w:trHeight w:val="22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36,969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51,980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130,124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150,749</w:t>
            </w: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43,609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63,007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141,879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186,772</w:t>
            </w: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54,220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56,363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161,628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174,274</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773</w:t>
            </w:r>
          </w:p>
        </w:tc>
      </w:tr>
      <w:tr>
        <w:trPr>
          <w:trHeight w:val="223"/>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 income</w:t>
            </w:r>
          </w:p>
        </w:tc>
        <w:tc>
          <w:tcPr>
            <w:tcW w:w="24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(10,474)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6,786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(19,032)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13,271</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241</w:t>
            </w:r>
          </w:p>
        </w:tc>
      </w:tr>
      <w:tr>
        <w:trPr>
          <w:trHeight w:val="223"/>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4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(10,361)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7,071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(17,973)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13,512</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3,819</w:t>
            </w:r>
          </w:p>
        </w:tc>
      </w:tr>
      <w:tr>
        <w:trPr>
          <w:trHeight w:val="196"/>
        </w:trPr>
        <w:tc>
          <w:tcPr>
            <w:tcW w:w="4860" w:type="dxa"/>
            <w:vAlign w:val="bottom"/>
          </w:tcPr>
          <w:p>
            <w:pPr>
              <w:ind w:left="220"/>
              <w:spacing w:after="0" w:line="196" w:lineRule="exact"/>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92"/>
              <w:spacing w:after="0" w:line="196" w:lineRule="exact"/>
              <w:rPr>
                <w:sz w:val="20"/>
                <w:szCs w:val="20"/>
                <w:color w:val="auto"/>
              </w:rPr>
            </w:pPr>
            <w:r>
              <w:rPr>
                <w:rFonts w:ascii="Times New Roman" w:cs="Times New Roman" w:eastAsia="Times New Roman" w:hAnsi="Times New Roman"/>
                <w:sz w:val="18"/>
                <w:szCs w:val="18"/>
                <w:color w:val="auto"/>
              </w:rPr>
              <w:t>(12,800)</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rPr>
              <w:t>5,118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92"/>
              <w:spacing w:after="0" w:line="196" w:lineRule="exact"/>
              <w:rPr>
                <w:sz w:val="20"/>
                <w:szCs w:val="20"/>
                <w:color w:val="auto"/>
              </w:rPr>
            </w:pPr>
            <w:r>
              <w:rPr>
                <w:rFonts w:ascii="Times New Roman" w:cs="Times New Roman" w:eastAsia="Times New Roman" w:hAnsi="Times New Roman"/>
                <w:sz w:val="18"/>
                <w:szCs w:val="18"/>
                <w:color w:val="auto"/>
              </w:rPr>
              <w:t>(15,215)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ind w:right="132"/>
              <w:spacing w:after="0" w:line="196" w:lineRule="exact"/>
              <w:rPr>
                <w:sz w:val="20"/>
                <w:szCs w:val="20"/>
                <w:color w:val="auto"/>
              </w:rPr>
            </w:pPr>
            <w:r>
              <w:rPr>
                <w:rFonts w:ascii="Times New Roman" w:cs="Times New Roman" w:eastAsia="Times New Roman" w:hAnsi="Times New Roman"/>
                <w:sz w:val="18"/>
                <w:szCs w:val="18"/>
                <w:color w:val="auto"/>
              </w:rPr>
              <w:t>9,693</w:t>
            </w: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7"/>
        </w:trPr>
        <w:tc>
          <w:tcPr>
            <w:tcW w:w="4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Percentage of Net Revenues:</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47.8 %</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44.7 %</w:t>
            </w:r>
          </w:p>
        </w:tc>
      </w:tr>
      <w:tr>
        <w:trPr>
          <w:trHeight w:val="223"/>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55.3 %</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51.6 %</w:t>
            </w: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(loss) income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23"/>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48"/>
        </w:trPr>
        <w:tc>
          <w:tcPr>
            <w:tcW w:w="48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tables present net revenues and operating income (loss) by operating segment, both in dollars and as a percentage of associated net revenues, and store data for the periods indicated ($ in thousands, except as otherwise indicated):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0" w:type="dxa"/>
            <w:vAlign w:val="bottom"/>
            <w:gridSpan w:val="8"/>
          </w:tcPr>
          <w:p>
            <w:pPr>
              <w:ind w:left="6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6"/>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3"/>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153"/>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3"/>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73"/>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0" w:type="dxa"/>
            <w:vAlign w:val="bottom"/>
          </w:tcPr>
          <w:p>
            <w:pPr>
              <w:spacing w:after="0"/>
              <w:rPr>
                <w:sz w:val="1"/>
                <w:szCs w:val="1"/>
                <w:color w:val="auto"/>
              </w:rPr>
            </w:pPr>
          </w:p>
        </w:tc>
      </w:tr>
      <w:tr>
        <w:trPr>
          <w:trHeight w:val="194"/>
        </w:trPr>
        <w:tc>
          <w:tcPr>
            <w:tcW w:w="48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 by Segment: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52,475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72,309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181,140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216,916</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18,008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24,986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51,294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57,722</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10,095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17,692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39,569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62,883</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80,578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114,987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272,003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337,521</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Percentage of Net Revenues by Segment: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64.3 %</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0" w:type="dxa"/>
            <w:vAlign w:val="bottom"/>
            <w:gridSpan w:val="8"/>
          </w:tcPr>
          <w:p>
            <w:pPr>
              <w:ind w:left="6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900" w:type="dxa"/>
            <w:vAlign w:val="bottom"/>
            <w:gridSpan w:val="6"/>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23"/>
        </w:trPr>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3"/>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3"/>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73"/>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c>
          <w:tcPr>
            <w:tcW w:w="0" w:type="dxa"/>
            <w:vAlign w:val="bottom"/>
          </w:tcPr>
          <w:p>
            <w:pPr>
              <w:spacing w:after="0"/>
              <w:rPr>
                <w:sz w:val="1"/>
                <w:szCs w:val="1"/>
                <w:color w:val="auto"/>
              </w:rPr>
            </w:pPr>
          </w:p>
        </w:tc>
      </w:tr>
      <w:tr>
        <w:trPr>
          <w:trHeight w:val="194"/>
        </w:trPr>
        <w:tc>
          <w:tcPr>
            <w:tcW w:w="4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 (Loss) by Segment: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2,104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15,708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19,530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43,669</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6,068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8,967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14,637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19,877</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(2,711)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(580)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(3,824)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4,982</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Corporate unallocated</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(15,935)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(17,309)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(49,375)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(55,257)</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(10,474)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6,786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(19,032)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13,271</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b w:val="1"/>
                <w:bCs w:val="1"/>
                <w:color w:val="auto"/>
              </w:rPr>
              <w:t>Operating Income (Loss) as a Percentage of Net Revenues by</w:t>
            </w: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VB Direct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VB Indirect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Pura Vida</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 xml:space="preserve">Vera Bradley Store Data </w:t>
            </w:r>
            <w:r>
              <w:rPr>
                <w:rFonts w:ascii="Times New Roman" w:cs="Times New Roman" w:eastAsia="Times New Roman" w:hAnsi="Times New Roman"/>
                <w:sz w:val="23"/>
                <w:szCs w:val="23"/>
                <w:b w:val="1"/>
                <w:bCs w:val="1"/>
                <w:color w:val="auto"/>
                <w:vertAlign w:val="superscript"/>
              </w:rPr>
              <w:t>(1)</w:t>
            </w: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stores opened during period</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stores closed during period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stores open at end of period</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square footage at end of period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387,245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379,576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387,245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379,576</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Average net revenues per gross square foot </w:t>
            </w:r>
            <w:r>
              <w:rPr>
                <w:rFonts w:ascii="Times New Roman" w:cs="Times New Roman" w:eastAsia="Times New Roman" w:hAnsi="Times New Roman"/>
                <w:sz w:val="23"/>
                <w:szCs w:val="23"/>
                <w:color w:val="auto"/>
                <w:vertAlign w:val="superscript"/>
              </w:rPr>
              <w:t>(2)</w:t>
            </w: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30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Comparable sales (including e-commerce) decrease </w:t>
            </w:r>
            <w:r>
              <w:rPr>
                <w:rFonts w:ascii="Times New Roman" w:cs="Times New Roman" w:eastAsia="Times New Roman" w:hAnsi="Times New Roman"/>
                <w:sz w:val="23"/>
                <w:szCs w:val="23"/>
                <w:color w:val="auto"/>
                <w:vertAlign w:val="superscript"/>
              </w:rPr>
              <w:t>(3)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560" w:hanging="552"/>
        <w:spacing w:after="0"/>
        <w:tabs>
          <w:tab w:leader="none" w:pos="5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Vera Bradley full-line and outlet stores. These figures do not include Pura Vida retail locations or Pura Vida e-commerce operations.</w:t>
      </w:r>
    </w:p>
    <w:p>
      <w:pPr>
        <w:spacing w:after="0" w:line="27" w:lineRule="exact"/>
        <w:rPr>
          <w:rFonts w:ascii="Times New Roman" w:cs="Times New Roman" w:eastAsia="Times New Roman" w:hAnsi="Times New Roman"/>
          <w:sz w:val="18"/>
          <w:szCs w:val="18"/>
          <w:color w:val="auto"/>
        </w:rPr>
      </w:pPr>
    </w:p>
    <w:p>
      <w:pPr>
        <w:ind w:left="580" w:right="20" w:hanging="572"/>
        <w:spacing w:after="0" w:line="250" w:lineRule="auto"/>
        <w:tabs>
          <w:tab w:leader="none" w:pos="57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w:t>
      </w:r>
    </w:p>
    <w:p>
      <w:pPr>
        <w:spacing w:after="0" w:line="1" w:lineRule="exact"/>
        <w:rPr>
          <w:rFonts w:ascii="Times New Roman" w:cs="Times New Roman" w:eastAsia="Times New Roman" w:hAnsi="Times New Roman"/>
          <w:sz w:val="18"/>
          <w:szCs w:val="18"/>
          <w:color w:val="auto"/>
        </w:rPr>
      </w:pPr>
    </w:p>
    <w:p>
      <w:pPr>
        <w:ind w:left="580" w:right="220" w:hanging="572"/>
        <w:spacing w:after="0" w:line="253" w:lineRule="auto"/>
        <w:tabs>
          <w:tab w:leader="none" w:pos="57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are calculated based upon stores that have been open for at least 12 full fiscal months and net revenues from e-commerce operations. Comparable sales decrease is reported as a percentage of the comparable sales for the same period in the prior fiscal year. Remodeled stores are included in comparable sales unless the store was closed for a portion of the current or comparable prior period, in which case the non-comparable temporary closure periods are not included, or the remodel resulted in a significant change in square footage.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Thirteen Weeks Ended November 2, 2024, Compared to Thirteen Weeks Ended October 28, 2023</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10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the thirteen weeks ended November 2, 2024, net revenues decreased $34.4 million, or 29.9%, to $80.6 million, from $115.0 million in the comparable prior-year period.</w:t>
      </w:r>
    </w:p>
    <w:p>
      <w:pPr>
        <w:spacing w:after="0" w:line="106"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thirteen weeks ended November 2, 2024, net revenues in the VB Direct segment decreased $19.8 million, or 27.4%, to $52.5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$72.3 million in the comparable prior-year period. Vera Bradley comparable sales decreased 27.2%, which includes a 32.6% decrease in comparable store sales and a 17.5% decrease in e-commerce sales. In addition, non-comparable store revenue decreased $0.5 million. The decrease in comparable sales and comparable store sales was primarily due to reduced traffic, conversion, and units sold in the e-commerce, full-line, and outlet channels.</w:t>
      </w:r>
    </w:p>
    <w:p>
      <w:pPr>
        <w:spacing w:after="0" w:line="120"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thirteen weeks ended November 2, 2024, net revenues in the VB Indirect segment decreased $7.0 million, or 27.9%, to $18.0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$25.0 million in the comparable prior-year period. The decrease was primarily due to a decline in specialty and key account orders, as well as a decrease in liquidation sales.</w:t>
      </w:r>
    </w:p>
    <w:p>
      <w:pPr>
        <w:spacing w:after="0" w:line="113"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thirteen weeks ended November 2, 2024, net revenues in the Pura Vida segment decreased $7.6 million, or 42.9%, to $10.1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$17.7 million in the comparable prior-year period. The decrease was primarily due to a decline in e-commerce and wholesale sales.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9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For the thirteen weeks ended November 2, 2024, gross profit decreased $19.4 million, or 30.8%, to $43.6 million, from $63.0 million in the comparable prior-year period. As a percentage of net revenues, gross profit decreased to 54.1% for the thirteen weeks ended November 2, 2024, from 54.8% in the comparable prior-year period. Current year gross margin was negatively impacted by sales channel mix as well as an increase in outbound freight costs.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92"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8"/>
          <w:szCs w:val="18"/>
          <w:color w:val="auto"/>
        </w:rPr>
        <w:t>For the thirteen weeks ended November 2, 2024, SG&amp;A expenses decreased $2.2 million, or 3.8%, to $54.2 million, from $56.4 million in the comparable prior-year period. As a percentage of net revenues, SG&amp;A expenses increased to 67.3% for the thirteen weeks ended November 2, 2024, from 49.0% in the comparable prior-year period. SG&amp;A expenses related to Vera Bradley and corporate unallocated were $46.3 million compared to $45.0 million in the comparable prior-year period. SG&amp;A expenses related to Pura Vida were $7.9 million compared to $11.4 million in the comparable prior-year period. For the thirteen weeks ended November 2, 2024, consolidated SG&amp;A expenses decreased primarily due to a $3.1 million reduction in employee-related costs, including lower variable compensation and reduced headcount; $0.8 million selling expense reduction resulting from sales decreases as described above; and $0.7 million intangible asset amortization in the prior-year period that did not occur in the current-year period. These decreases were partially offset by $2.2 million of property, plant, and equipment impairment charges in the current year period.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thirteen weeks ended November 2, 2024, net other income totaled $0.1 million, consistent with the comparable prior-year period.</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(Loss) Income</w:t>
      </w:r>
    </w:p>
    <w:p>
      <w:pPr>
        <w:spacing w:after="0" w:line="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thirteen weeks ended November 2, 2024, there was an operating loss of $(10.5) million, a $17.3 million decrease, or 254.3%, from operating income of $6.8 million in the comparable prior-year period. As a percentage of net revenues, operating (loss) income was (13.0)% and 5.9% for the thirteen weeks ended November 2, 2024 and October 28, 2023, respectively. Operating loss increased due to the factors described in the captions above.</w:t>
      </w:r>
    </w:p>
    <w:p>
      <w:pPr>
        <w:spacing w:after="0" w:line="12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thirteen weeks ended November 2, 2024, operating income in the VB Direct segment decreased $13.6 million, or 86.6%, to $2.1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$15.7 million in the comparable prior-year period. As a percentage of VB Direct segment net revenues, operating income in the VB Direct segment was 4.0% and 21.7% for the thirteen weeks ended November 2, 2024 and October 28, 2023, respectively. The decrease in operating income as a percentage of VB Direct segment net revenues was primarily due to SG&amp;A expense deleverage associated with decreased sales as well as property, plant, and equipment charges of $2.1 million.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thirteen weeks ended November 2, 2024, operating income in the VB Indirect segment decreased $2.9 million, or 32.3%, to</w:t>
      </w:r>
    </w:p>
    <w:p>
      <w:pPr>
        <w:spacing w:after="0" w:line="29" w:lineRule="exact"/>
        <w:rPr>
          <w:sz w:val="20"/>
          <w:szCs w:val="20"/>
          <w:color w:val="auto"/>
        </w:rPr>
      </w:pPr>
    </w:p>
    <w:p>
      <w:pPr>
        <w:jc w:val="both"/>
        <w:ind w:right="400"/>
        <w:spacing w:after="0" w:line="255" w:lineRule="auto"/>
        <w:rPr>
          <w:sz w:val="20"/>
          <w:szCs w:val="20"/>
          <w:color w:val="auto"/>
        </w:rPr>
      </w:pPr>
      <w:r>
        <w:rPr>
          <w:rFonts w:ascii="Times New Roman" w:cs="Times New Roman" w:eastAsia="Times New Roman" w:hAnsi="Times New Roman"/>
          <w:sz w:val="18"/>
          <w:szCs w:val="18"/>
          <w:color w:val="auto"/>
        </w:rPr>
        <w:t>$6.1 million from $9.0 million in the comparable prior-year period. As a percentage of VB Indirect segment net revenues, operating income in the VB Indirect segment was 33.7% and 35.9% for the thirteen weeks ended November 2, 2024 and October 28, 2023, respectively. The decrease in operating income as a percentage of VB Indirect</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segment net revenues was primarily due to SG&amp;A expense deleverage associated with decreased sales, partially offset by an increase in gross margin due to a decrease in liquidation sales.</w:t>
      </w:r>
    </w:p>
    <w:p>
      <w:pPr>
        <w:spacing w:after="0" w:line="10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thirteen weeks ended November 2, 2024, operating loss in the Pura Vida segment increased $2.1 million, or 367.4%, to $(2.7)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$(0.6) million in the comparable prior-year period. As a percentage of Pura Vida segment net revenues, operating loss in the Pura Vida segment was (26.9)% and (3.3)% for the thirteen weeks ended November 2, 2024 and October 28, 2023, respectively. The increase in operating loss as a percentage of Pura Vida net revenues was primarily due to SG&amp;A expense deleverage associated with a decrease in sales, an increase in promotional activity, and property, plant, and equipment charges of $0.1 million.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the thirteen weeks ended November 2, 2024, unallocated expenses decreased $1.4 million, or 7.9%, to $15.9 million from</w:t>
      </w:r>
    </w:p>
    <w:p>
      <w:pPr>
        <w:spacing w:after="0" w:line="29"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$17.3 million in the comparable prior-year period. The decrease in unallocated expenses was primarily due to a decrease in employee related expenses of $1.2 million and $0.2 million in other net corporate expense reductions.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9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effective tax rate for the thirteen weeks ended November 2, 2024, was (23.5)%, compared to 27.6% for the thirteen weeks ended October 28, 2023. The change in year-over-year effective tax rate was primarily due to a change in the projection of the Company's annual income in the current fiscal quarter. The year-over-year effective tax rate also reflects the relative impact of permanent and discrete items in the current-year period compared to the prior-year period, primarily as a result of the impact of foreign operations as well as non-deductible executive compensation. See Note 7 "Income Taxes" of the Notes to the Condensed Consolidated Financial Statements for additional information about the Company's interim provision for income taxes.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w:t>
      </w:r>
    </w:p>
    <w:p>
      <w:pPr>
        <w:spacing w:after="0" w:line="9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For the thirteen weeks ended November 2, 2024, there was an net loss of $(12.8) million, a $17.9 million decrease, or 350.1%, from net income of $5.1 million in the comparable prior-year period due to the factors described in the captions above</w:t>
      </w:r>
      <w:r>
        <w:rPr>
          <w:rFonts w:ascii="Times New Roman" w:cs="Times New Roman" w:eastAsia="Times New Roman" w:hAnsi="Times New Roman"/>
          <w:sz w:val="18"/>
          <w:szCs w:val="18"/>
          <w:i w:val="1"/>
          <w:iCs w:val="1"/>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Thirty-Nine Weeks Ended November 2, 2024, Compared to Thirty-Nine Weeks Ended October 28,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9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For the thirty-nine weeks ended November 2, 2024, net revenues decreased $65.5 million, or 19.4%, to $272.0 million, from $337.5 million in the comparable prior-year period.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thirty-nine weeks ended November 2, 2024, net revenues in the VB Direct segment decreased $35.8 million, or 16.5%, to</w:t>
      </w:r>
    </w:p>
    <w:p>
      <w:pPr>
        <w:spacing w:after="0" w:line="29"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8"/>
          <w:szCs w:val="18"/>
          <w:color w:val="auto"/>
        </w:rPr>
        <w:t>$181.1 million, from $216.9 million in the comparable prior-year period. Vera Bradley comparable sales decreased 16.0%, which includes a 20.1% decrease in comparable store sales as well as a decrease in e-commerce sales of 8.3%. In addition, non-comparable store revenue decreased $1.2 million. The decrease in comparable sales and comparable store sales was primarily due to reduced traffic, conversion, and units sold in the full-line and outlet channels.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thirty-nine weeks ended November 2, 2024, net revenues in the VB Indirect segment decreased $6.4 million, or 11.1%, to</w:t>
      </w:r>
    </w:p>
    <w:p>
      <w:pPr>
        <w:spacing w:after="0" w:line="1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$51.3 million, from $57.7 million in the comparable prior-year period. The decrease was primarily due to a decrease in specialty account orders, liquidation sales, and key account orders.</w:t>
      </w:r>
    </w:p>
    <w:p>
      <w:pPr>
        <w:spacing w:after="0" w:line="113"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Pura Vida. </w:t>
      </w:r>
      <w:r>
        <w:rPr>
          <w:rFonts w:ascii="Times New Roman" w:cs="Times New Roman" w:eastAsia="Times New Roman" w:hAnsi="Times New Roman"/>
          <w:sz w:val="18"/>
          <w:szCs w:val="18"/>
          <w:color w:val="auto"/>
        </w:rPr>
        <w:t>For the thirty-nine weeks ended November 2, 2024, net revenues in the Pura Vida segment decreased $23.3 million, or 37.1%, to $39.6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$62.9 million in the comparable prior-year period. The decrease was primarily due to a decline in e-commerce and wholesale sales, partially offset by an increase in retail store sales associated with the opening of two new retail stores in the current-year period.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For the thirty-nine weeks ended November 2, 2024, gross profit decreased $44.9 million, or 24.0%, to $141.9 million, from $186.8 million in the comparable prior-year period. As a percentage of net revenues, gross profit decreased to 52.2% for the thirty-nine weeks ended November 2, 2024, from 55.3% in the comparable prior-year period. Current year gross margin was negatively impacted by sales channel mix, increases in promotional activity, and one-time vendor charges.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79" w:lineRule="exact"/>
        <w:rPr>
          <w:sz w:val="20"/>
          <w:szCs w:val="20"/>
          <w:color w:val="auto"/>
        </w:rPr>
      </w:pPr>
    </w:p>
    <w:p>
      <w:pPr>
        <w:ind w:right="500"/>
        <w:spacing w:after="0" w:line="250" w:lineRule="auto"/>
        <w:rPr>
          <w:sz w:val="20"/>
          <w:szCs w:val="20"/>
          <w:color w:val="auto"/>
        </w:rPr>
      </w:pPr>
      <w:r>
        <w:rPr>
          <w:rFonts w:ascii="Times New Roman" w:cs="Times New Roman" w:eastAsia="Times New Roman" w:hAnsi="Times New Roman"/>
          <w:sz w:val="18"/>
          <w:szCs w:val="18"/>
          <w:color w:val="auto"/>
        </w:rPr>
        <w:t>For the thirty-nine weeks ended November 2, 2024, SG&amp;A expenses decreased $12.7 million, or 7.3%, to $161.6 million, from $174.3 million in the comparable prior-year period. As a percentage of net revenues, SG&amp;A expenses increased to 59.4% for</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0"/>
        <w:spacing w:after="0" w:line="228" w:lineRule="auto"/>
        <w:rPr>
          <w:sz w:val="20"/>
          <w:szCs w:val="20"/>
          <w:color w:val="auto"/>
        </w:rPr>
      </w:pPr>
      <w:r>
        <w:rPr>
          <w:rFonts w:ascii="Times New Roman" w:cs="Times New Roman" w:eastAsia="Times New Roman" w:hAnsi="Times New Roman"/>
          <w:sz w:val="18"/>
          <w:szCs w:val="18"/>
          <w:color w:val="auto"/>
        </w:rPr>
        <w:t>the thirty-nine weeks ended November 2, 2024, from 51.6% in the comparable prior-year period. SG&amp;A expenses related to Vera Bradley and corporate unallocated were $135.1 million compared to $140.5 million in the comparable prior-year period. SG&amp;A expenses related to Pura Vida were $26.5 million compared to $33.7 million in the comparable prior-year period. For the thirty-nine weeks ended November 2, 2024, consolidated SG&amp;A expenses decreased primarily due to a $10.9 million reduction in employee-related costs, including lower variable compensation, reduced headcount, and decrease in severance charges compared to the prior-year period; a $1.8 million reduction in variable selling expenses resulting from sales decreases as described above; a $0.8 decrease in professional fees; a $0.8 million reduction in intangible asset amortization; and a $0.6 million reduction in building expenses. These decreases were partially offset by $2.2 million of property, plant, and equipment impairment charges in the current year period.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1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thirty-nine weeks ended November 2, 2024, net other income decreased $0.1 million to $0.7 million, from $0.8 million in the comparable prior-year period. The decrease in net other income was primarily due to ticket sales from the Vera Bradley annual outlet sale.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(Loss) Income</w:t>
      </w:r>
    </w:p>
    <w:p>
      <w:pPr>
        <w:spacing w:after="0" w:line="106"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For the thirty-nine weeks ended November 2, 2024, there was an operating loss of $(19.0) million, a $32.3 million decrease, or 243.4%, from operating income of $13.3 million in the comparable prior-year period. As a percentage of net revenues, operating (loss) income was (7.0)% and 3.9% for the thirty-nine weeks ended November 2, 2024 and October 28, 2023, respectively. Operating loss increased due to the factors described in the captions above.</w:t>
      </w:r>
    </w:p>
    <w:p>
      <w:pPr>
        <w:spacing w:after="0" w:line="1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VB Direct</w:t>
      </w:r>
      <w:r>
        <w:rPr>
          <w:rFonts w:ascii="Times New Roman" w:cs="Times New Roman" w:eastAsia="Times New Roman" w:hAnsi="Times New Roman"/>
          <w:sz w:val="18"/>
          <w:szCs w:val="18"/>
          <w:color w:val="auto"/>
        </w:rPr>
        <w:t>. For the thirty-nine weeks ended November 2, 2024, operating income in the VB Direct segment decreased $24.2 million, or 55.3%, to $19.5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$43.7 million in the comparable prior-year period. As a percentage of VB Direct segment net revenues, operating income in the VB Direct segment was 10.8% and 20.1% for the thirty-nine weeks ended November 2, 2024 and October 28, 2023, respectively. The decrease in operating income as a percentage of VB Direct segment net revenues was primarily due to a decrease in gross margin as a percentage of net revenues as described above, SG&amp;A expense deleverage associated with decreased sales, as well as property, plant, and equipment charges of $2.1 million.</w:t>
      </w:r>
    </w:p>
    <w:p>
      <w:pPr>
        <w:spacing w:after="0" w:line="1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VB Indirect</w:t>
      </w:r>
      <w:r>
        <w:rPr>
          <w:rFonts w:ascii="Times New Roman" w:cs="Times New Roman" w:eastAsia="Times New Roman" w:hAnsi="Times New Roman"/>
          <w:sz w:val="18"/>
          <w:szCs w:val="18"/>
          <w:color w:val="auto"/>
        </w:rPr>
        <w:t>. For the thirty-nine weeks ended November 2, 2024, operating income in the VB Indirect segment decreased $5.3 million, or 26.4%, to $14.6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$19.9 million in the comparable prior-year period. As a percentage of VB Indirect segment net revenues, operating income in the VB Indirect segment was 28.5% and 34.4% for the thirty-nine weeks ended November 2, 2024 and October 28, 2023, respectively. The decrease in operating income as a percentage of VB Indirect segment net revenues was due to a decrease in gross margin as a percentage of net revenues as well as SG&amp;A expense deleverage associated with decreased sales.</w:t>
      </w:r>
    </w:p>
    <w:p>
      <w:pPr>
        <w:spacing w:after="0" w:line="129" w:lineRule="exact"/>
        <w:rPr>
          <w:sz w:val="20"/>
          <w:szCs w:val="20"/>
          <w:color w:val="auto"/>
        </w:rPr>
      </w:pPr>
    </w:p>
    <w:p>
      <w:pPr>
        <w:ind w:right="42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Pura Vida. </w:t>
      </w:r>
      <w:r>
        <w:rPr>
          <w:rFonts w:ascii="Times New Roman" w:cs="Times New Roman" w:eastAsia="Times New Roman" w:hAnsi="Times New Roman"/>
          <w:sz w:val="17"/>
          <w:szCs w:val="17"/>
          <w:color w:val="auto"/>
        </w:rPr>
        <w:t>For the thirty-nine weeks ended November 2, 2024, there was an operating loss in the Pura Vida segment of $(3.8) million, a $8.8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decrease, or 176.7%, from operating income of $5.0 million in the comparable prior-year period. As a percentage of Pura Vida segment net revenues, operating (loss) income in the Pura Vida segment was (9.7)% and 7.9% for the thirty-nine weeks ended November 2, 2024 and October 28, 2023, respectively. The increase in operating loss as a percentage of Pura Vida net revenues was primarily due to SG&amp;A expense deleverage associated with decreased e-commerce and wholesale revenues, an increase in promotional activity, as well as property, plant, and equipment charges of $0.1 million.</w:t>
      </w:r>
    </w:p>
    <w:p>
      <w:pPr>
        <w:spacing w:after="0" w:line="11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Corporate Unallocated</w:t>
      </w:r>
      <w:r>
        <w:rPr>
          <w:rFonts w:ascii="Times New Roman" w:cs="Times New Roman" w:eastAsia="Times New Roman" w:hAnsi="Times New Roman"/>
          <w:sz w:val="18"/>
          <w:szCs w:val="18"/>
          <w:color w:val="auto"/>
        </w:rPr>
        <w:t>. For the thirty-nine weeks ended November 2, 2024, unallocated expenses decreased $5.9 million, or 10.6%, to $49.4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$55.3 million in the comparable prior-year period. The decrease in unallocated expenses was primarily due to a $6.3 million reduction in employee-related costs, including lower variable compensation, reduced headcount, and decrease in severance charges compared to the prior-year period, as well as a $0.8 million reduction in professional fees. These decreases were partially offset by an increase in advertising spend of $0.8 million primarily related to Project Restoration initiatives and $0.4 million of net other expenses.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effective tax rate for the thirty-nine weeks ended November 2, 2024, was 15.3%, compared to 28.3% for the thirty-nine weeks ended October 28, 2023. The change in year-over-year effective tax rate was primarily due to a change in the projection of the Company's annual income in the current fiscal quarter. The year-over-year effective tax rate also reflects the relative impact of permanent and discrete items in the current-year period compared to the prior-year period, primarily as a result of the impact of foreign operations as well as non-deductible executive compensation. See Note 7 "Income Taxes" of the Notes to the Condensed Consolidated Financial Statements for additional information about the Company's interim provision for income taxes.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Income</w:t>
      </w:r>
    </w:p>
    <w:p>
      <w:pPr>
        <w:spacing w:after="0" w:line="10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thirty-nine weeks ended November 2, 2024, there was a net loss of $(15.2) million, a $24.9 million decrease, from net income of $9.7 million in the comparable prior-year period due to the factors described in the captions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primary sources of liquidity are cash on hand and cash equivalents, as well as cash flow from operations. We also have access to additional liquidity, if needed, through borrowings under our $75.0 million asset-based revolving credit agreement (the “Credit Agreement”). There was no debt outstanding as of November 2, 2024.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merchandise inventories, accounts receivable, accounts payable, and other current liabilities.</w:t>
      </w:r>
    </w:p>
    <w:p>
      <w:pPr>
        <w:spacing w:after="0" w:line="21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believe that cash on hand and cash equivalents, cash flows from operating activities, and the availability of borrowings under our Credit Agreement or other financing arrangements will be sufficient to meet working capital requirements and anticipated capital expenditures, and other strategic uses of cash, if any, for the foreseeable future.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Analysis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4"/>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23"/>
        </w:trPr>
        <w:tc>
          <w:tcPr>
            <w:tcW w:w="8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31"/>
        </w:trPr>
        <w:tc>
          <w:tcPr>
            <w:tcW w:w="8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November 2,</w:t>
            </w:r>
          </w:p>
        </w:tc>
        <w:tc>
          <w:tcPr>
            <w:tcW w:w="240" w:type="dxa"/>
            <w:vAlign w:val="bottom"/>
          </w:tcPr>
          <w:p>
            <w:pPr>
              <w:spacing w:after="0"/>
              <w:rPr>
                <w:sz w:val="11"/>
                <w:szCs w:val="11"/>
                <w:color w:val="auto"/>
              </w:rPr>
            </w:pPr>
          </w:p>
        </w:tc>
        <w:tc>
          <w:tcPr>
            <w:tcW w:w="1200" w:type="dxa"/>
            <w:vAlign w:val="bottom"/>
          </w:tcPr>
          <w:p>
            <w:pPr>
              <w:jc w:val="right"/>
              <w:ind w:right="277"/>
              <w:spacing w:after="0" w:line="131" w:lineRule="exact"/>
              <w:rPr>
                <w:sz w:val="20"/>
                <w:szCs w:val="20"/>
                <w:color w:val="auto"/>
              </w:rPr>
            </w:pPr>
            <w:r>
              <w:rPr>
                <w:rFonts w:ascii="Times New Roman" w:cs="Times New Roman" w:eastAsia="Times New Roman" w:hAnsi="Times New Roman"/>
                <w:sz w:val="14"/>
                <w:szCs w:val="14"/>
                <w:b w:val="1"/>
                <w:bCs w:val="1"/>
                <w:color w:val="auto"/>
              </w:rPr>
              <w:t>October 28,</w:t>
            </w:r>
          </w:p>
        </w:tc>
      </w:tr>
      <w:tr>
        <w:trPr>
          <w:trHeight w:val="195"/>
        </w:trPr>
        <w:tc>
          <w:tcPr>
            <w:tcW w:w="82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21,058</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(12,546)</w:t>
            </w: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Operating Activities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provided by operating activities consists primarily of net (loss) income adjusted for non-cash items, including depreciation, amortization, impairment charges, deferred taxes, and stock-based compensation; and the effect of changes in assets and liabilities.</w:t>
      </w:r>
    </w:p>
    <w:p>
      <w:pPr>
        <w:spacing w:after="0" w:line="1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for the thirty-nine weeks ended November 2, 2024 was $35.8 million compared to net cash provided by operating activities of $21.1 million for the thirty-nine weeks ended October 28, 2023. The increase in cash used in operating activities was primarily related to a net loss of $(15.2) million, a $24.9 million decrease, from net income in the comparable prior-year period, a change in deferred income taxes of $3.3 million, $1.6 million in other non-cash items, partially offset by a $2.2 million impairment charge in the current year period. Additionally, there was a change in assets and liabilities of $29.2 million, primarily driven by an increase in inventory receipts in the current year period.</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9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Investing activities consist primarily of investments and capital expenditures related to new store openings, buildings, operational equipment, and information technology investments.</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$6.1 million for the thirty-nine weeks ended November 2, 2024 compared to $12.5 million for the thirty-nine weeks ended October 28, 2023. The decrease in cash used in investing activities was a result of the purchase of the remaining 25% interest in Pura Vida for $10.0 million in the prior year, partially offset by an increase in property, plant, and equipment spending of $3.5 million primarily as a result of Vera Bradley outlet new store openings in the current year as well as Project Restoration initiatives.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17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$21.9 million for the thirty-nine weeks ended November 2, 2024 compared to $2.9 million for the thirty-nine weeks ended October 28, 2023. The increase in cash used in financing activities was primarily due to $21.2 million of common stock repurchases in the current-year period compared to $1.9 million in the comparable prior-year period.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9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September 7, 2018, Vera Bradley Designs, Inc. (“VBD”), a wholly-owned subsidiary of the Company, entered into an asset-based revolving Credit Agreement (the “Credit Agreement”) among VBD, JPMorgan Chase Bank, N.A., as administrative agent, and the lenders from time to time party thereto. On August 3, 2023, certain subsidiaries of the Company, JP Morgan Chase Bank, N.A., as the administrative agent, and lenders from time to time party thereto, entered into a Third Amendment (the “Third Amendment”) to the Credit Agreement. The Credit Agreement provides for certain credit facilities to VBD in an aggregate principal amount not to initially exceed the lesser of $75.0 million or the amount of borrowing availability determined in accordance with a borrowing base of certain assets. Borrowings under the credit facilities are available to finance general corporate purposes of VBD and its subsidiaries, including but not limited to Vera Bradley International, LLC, Vera Bradley Sales, LLC, and Creative Genius, LLC (collectively, the “Named Subsidiaries”). The Credit Agreement also contains an option for VBD to arrange with lenders to increase the aggregate principal amount by up to $50.0 million.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regarding the Credit Agreement, please see Note 6 of the Notes to Condensed Consolidated Financial Statements herein.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0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As of November 2, 2024, there were no material changes outside the ordinary course of business to material cash requirements, as disclosed in our Annual Report on Form 10-K for the fiscal year ended February 3,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Off-Balance-Sheet Arrangements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have any off-balance-sheet financing or unconsolidated special-purpose entities.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that affect the reported amounts of assets, liabilities, revenues, and expenses, as well as the related disclosures of contingent assets and liabilities at the date of the financial statements. A summary of the Company’s significant accounting policies is included in Note 2 to the Company’s consolidated financial statements in the Company’s Annual Report on Form 10-K for the fiscal year ended February 3, 2024.</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accounting policies and estimates of the Company are considered critical, as these policies and estimates are the most important to the depiction of the Company’s consolidated financial statements and require significant, difficult, or complex judgments, often about the effect of matters that are inherently uncertain. Such policies are summarized in the “Management’s Discussion and Analysis of Financial Condition and Results of Operations” in the Company’s Annual Report on Form 10-K for the fiscal year ended February 3, 2024. There were no significant changes to any of the critical accounting policies and estimates described in the Annual Report as of November 2,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Refer to Note 1 “Description of the Company and Basis of Presentation” within Item 1 “Financial Statements” of this Quarterly Report on Form 10-Q for a discussion of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November 2, 2024, there was no material change in the market risks described in “Quantitative and Qualitative Disclosures About Market Risks” in the Company’s Annual Report on Form 10-K for the fiscal year ended February 3, 2024.</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end of the period covered by this Quarterly Report on Form 10-Q, the Company carried out an evaluation, under the supervision and with the participation of the Company’s Disclosure Committee and management, including the Chief Executive Officer and the Chief Financial Officer, of the effectiveness of the design and operation of the Company’s disclosure controls and procedures pursuant to Rule 13a-15 of the Securities Exchange Act of 1934. Based on that evaluation, the Chief Executive Officer and Chief Financial Officer concluded that the Company’s disclosure controls and procedures were effective as of November 2, 2024.</w:t>
      </w:r>
    </w:p>
    <w:p>
      <w:pPr>
        <w:spacing w:after="0" w:line="1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most recent fiscal quarter that has materially affected, or that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August of 2024, Marishka Filio filed suit seeking class certification for those who purchased products from the Company’s website Verabradley.com during the applicable statute of limitations. The complaint alleges various violations of the California Invasion of Privacy Act and the California Unfair Competition Law. In November 2024, the Company settled this matter with the Plaintiff for a non-material amount and with no admission of any liability nor wrongdoing.</w:t>
      </w:r>
    </w:p>
    <w:p>
      <w:pPr>
        <w:spacing w:after="0" w:line="4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is subject to other legal proceedings from time to time in the ordinary course of business but does not believe any of these such claims would have a material adverse impact on the Company at this time.</w:t>
      </w:r>
    </w:p>
    <w:p>
      <w:pPr>
        <w:spacing w:after="0" w:line="2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0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set forth in the Company’s Annual Report on Form 10-K for the fiscal year ended February 3, 2024.</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0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 December 2021, the Company's board of directors approved a new share repurchase plan (the “2021 Share Repurchase Program”) which authorized Company management to utilize up to $50.0 million of available cash for repurchases of shares of the Company's common stock. The 2021 Share Repurchase Program was effective beginning December 13, 2021 and expires in December 2024.</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regarding the activity under the program during the thirteen weeks ended November 2, 2024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80" w:type="dxa"/>
            <w:vAlign w:val="bottom"/>
          </w:tcPr>
          <w:p>
            <w:pPr>
              <w:spacing w:after="0"/>
              <w:rPr>
                <w:sz w:val="13"/>
                <w:szCs w:val="13"/>
                <w:color w:val="auto"/>
              </w:rPr>
            </w:pP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Approximate</w:t>
            </w:r>
          </w:p>
        </w:tc>
        <w:tc>
          <w:tcPr>
            <w:tcW w:w="0" w:type="dxa"/>
            <w:vAlign w:val="bottom"/>
          </w:tcPr>
          <w:p>
            <w:pPr>
              <w:spacing w:after="0"/>
              <w:rPr>
                <w:sz w:val="1"/>
                <w:szCs w:val="1"/>
                <w:color w:val="auto"/>
              </w:rPr>
            </w:pPr>
          </w:p>
        </w:tc>
      </w:tr>
      <w:tr>
        <w:trPr>
          <w:trHeight w:val="146"/>
        </w:trPr>
        <w:tc>
          <w:tcPr>
            <w:tcW w:w="30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Dollar Value of Shares</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7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35"/>
        </w:trPr>
        <w:tc>
          <w:tcPr>
            <w:tcW w:w="3080" w:type="dxa"/>
            <w:vAlign w:val="bottom"/>
            <w:vMerge w:val="restart"/>
          </w:tcPr>
          <w:p>
            <w:pPr>
              <w:ind w:left="13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00" w:type="dxa"/>
            <w:vAlign w:val="bottom"/>
            <w:gridSpan w:val="2"/>
            <w:vMerge w:val="continue"/>
          </w:tcPr>
          <w:p>
            <w:pPr>
              <w:spacing w:after="0"/>
              <w:rPr>
                <w:sz w:val="11"/>
                <w:szCs w:val="11"/>
                <w:color w:val="auto"/>
              </w:rPr>
            </w:pPr>
          </w:p>
        </w:tc>
        <w:tc>
          <w:tcPr>
            <w:tcW w:w="1700" w:type="dxa"/>
            <w:vAlign w:val="bottom"/>
            <w:gridSpan w:val="3"/>
            <w:vMerge w:val="continue"/>
          </w:tcPr>
          <w:p>
            <w:pPr>
              <w:spacing w:after="0"/>
              <w:rPr>
                <w:sz w:val="11"/>
                <w:szCs w:val="11"/>
                <w:color w:val="auto"/>
              </w:rPr>
            </w:pPr>
          </w:p>
        </w:tc>
        <w:tc>
          <w:tcPr>
            <w:tcW w:w="16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tcPr>
          <w:p>
            <w:pPr>
              <w:jc w:val="center"/>
              <w:ind w:right="40"/>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98"/>
        </w:trPr>
        <w:tc>
          <w:tcPr>
            <w:tcW w:w="3080" w:type="dxa"/>
            <w:vAlign w:val="bottom"/>
            <w:vMerge w:val="continue"/>
          </w:tcPr>
          <w:p>
            <w:pPr>
              <w:spacing w:after="0"/>
              <w:rPr>
                <w:sz w:val="17"/>
                <w:szCs w:val="17"/>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80" w:type="dxa"/>
            <w:vAlign w:val="bottom"/>
          </w:tcPr>
          <w:p>
            <w:pPr>
              <w:spacing w:after="0"/>
              <w:rPr>
                <w:sz w:val="17"/>
                <w:szCs w:val="17"/>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Plans or Program</w:t>
            </w:r>
          </w:p>
        </w:tc>
        <w:tc>
          <w:tcPr>
            <w:tcW w:w="0" w:type="dxa"/>
            <w:vAlign w:val="bottom"/>
          </w:tcPr>
          <w:p>
            <w:pPr>
              <w:spacing w:after="0"/>
              <w:rPr>
                <w:sz w:val="1"/>
                <w:szCs w:val="1"/>
                <w:color w:val="auto"/>
              </w:rPr>
            </w:pPr>
          </w:p>
        </w:tc>
      </w:tr>
      <w:tr>
        <w:trPr>
          <w:trHeight w:val="228"/>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4, 2024 - August 31, 2024</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426,577</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426,577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7,114,444</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1, 2024 - October 5, 2024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460,093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4,744,378</w:t>
            </w: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6, 2024 - November 2, 2024</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4,359,149</w:t>
            </w:r>
          </w:p>
        </w:tc>
        <w:tc>
          <w:tcPr>
            <w:tcW w:w="0" w:type="dxa"/>
            <w:vAlign w:val="bottom"/>
          </w:tcPr>
          <w:p>
            <w:pPr>
              <w:spacing w:after="0"/>
              <w:rPr>
                <w:sz w:val="1"/>
                <w:szCs w:val="1"/>
                <w:color w:val="auto"/>
              </w:rPr>
            </w:pPr>
          </w:p>
        </w:tc>
      </w:tr>
      <w:tr>
        <w:trPr>
          <w:trHeight w:val="196"/>
        </w:trPr>
        <w:tc>
          <w:tcPr>
            <w:tcW w:w="3080" w:type="dxa"/>
            <w:vAlign w:val="bottom"/>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960,487</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7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5.50</w:t>
            </w:r>
          </w:p>
        </w:tc>
        <w:tc>
          <w:tcPr>
            <w:tcW w:w="80" w:type="dxa"/>
            <w:vAlign w:val="bottom"/>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960,487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9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thirteen weeks ended November 2, 2024,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40" w:type="dxa"/>
            <w:vAlign w:val="bottom"/>
            <w:gridSpan w:val="11"/>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80" w:type="dxa"/>
            <w:vAlign w:val="bottom"/>
            <w:gridSpan w:val="12"/>
          </w:tcPr>
          <w:p>
            <w:pPr>
              <w:ind w:left="120"/>
              <w:spacing w:after="0"/>
              <w:rPr>
                <w:sz w:val="20"/>
                <w:szCs w:val="20"/>
                <w:color w:val="auto"/>
              </w:rPr>
            </w:pPr>
            <w:r>
              <w:rPr>
                <w:rFonts w:ascii="Times New Roman" w:cs="Times New Roman" w:eastAsia="Times New Roman" w:hAnsi="Times New Roman"/>
                <w:sz w:val="18"/>
                <w:szCs w:val="18"/>
                <w:color w:val="auto"/>
              </w:rPr>
              <w:t>a. Exhibits</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3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980" w:type="dxa"/>
            <w:vAlign w:val="bottom"/>
            <w:tcBorders>
              <w:bottom w:val="single" w:sz="8" w:color="auto"/>
            </w:tcBorders>
            <w:gridSpan w:val="8"/>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80" w:type="dxa"/>
            <w:vAlign w:val="bottom"/>
            <w:gridSpan w:val="8"/>
          </w:tcPr>
          <w:p>
            <w:pPr>
              <w:spacing w:after="0"/>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Articles of Amendment to Amended and Restated Articles of Incorporation of Vera Bradley, Inc., dated October 11, 2024 (Incorporated</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by reference to Exhibit 3.1 on Form 8-K filed October 11, 2024)</w:t>
              </w:r>
            </w:hyperlink>
          </w:p>
        </w:tc>
        <w:tc>
          <w:tcPr>
            <w:tcW w:w="5120" w:type="dxa"/>
            <w:vAlign w:val="bottom"/>
            <w:tcBorders>
              <w:top w:val="single" w:sz="8" w:color="0000FF"/>
            </w:tcBorders>
            <w:gridSpan w:val="2"/>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8"/>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Rights Agreement dated October 11, 2024 between Vera Bradley, Inc., and Equiniti Trust Company, LLC (Incorporated by reference to</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Exhibit 4.1 on Form 8-K filed October 11, 2024)</w:t>
              </w:r>
            </w:hyperlink>
          </w:p>
        </w:tc>
        <w:tc>
          <w:tcPr>
            <w:tcW w:w="6220" w:type="dxa"/>
            <w:vAlign w:val="bottom"/>
            <w:tcBorders>
              <w:top w:val="single" w:sz="8" w:color="0000FF"/>
            </w:tcBorders>
            <w:gridSpan w:val="2"/>
          </w:tcPr>
          <w:p>
            <w:pPr>
              <w:spacing w:after="0"/>
              <w:rPr>
                <w:sz w:val="13"/>
                <w:szCs w:val="13"/>
                <w:color w:val="auto"/>
              </w:rPr>
            </w:pPr>
          </w:p>
        </w:tc>
        <w:tc>
          <w:tcPr>
            <w:tcW w:w="2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CEO Section 302 Certification</w:t>
            </w:r>
          </w:p>
        </w:tc>
        <w:tc>
          <w:tcPr>
            <w:tcW w:w="77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CFO Section 302 Certification</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Section 906 Certifications*</w:t>
            </w:r>
          </w:p>
        </w:tc>
        <w:tc>
          <w:tcPr>
            <w:tcW w:w="778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80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720" w:hanging="694"/>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not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4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Vera Bradley, Inc.</w:t>
            </w:r>
          </w:p>
        </w:tc>
      </w:tr>
      <w:tr>
        <w:trPr>
          <w:trHeight w:val="234"/>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508"/>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11, 2024</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Schwindle</w:t>
            </w:r>
          </w:p>
        </w:tc>
      </w:tr>
      <w:tr>
        <w:trPr>
          <w:trHeight w:val="218"/>
        </w:trPr>
        <w:tc>
          <w:tcPr>
            <w:tcW w:w="564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Michael Schwindle</w:t>
            </w:r>
          </w:p>
        </w:tc>
      </w:tr>
      <w:tr>
        <w:trPr>
          <w:trHeight w:val="234"/>
        </w:trPr>
        <w:tc>
          <w:tcPr>
            <w:tcW w:w="564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20"/>
          </w:cols>
          <w:pgMar w:left="320" w:top="117" w:right="35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Jacqueline Ardrey, certify that:</w:t>
      </w:r>
    </w:p>
    <w:p>
      <w:pPr>
        <w:spacing w:after="0" w:line="104"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0"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140" w:hanging="644"/>
        <w:spacing w:after="0" w:line="273" w:lineRule="auto"/>
        <w:tabs>
          <w:tab w:leader="none" w:pos="129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11, 2024</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Jacqueline Ardrey</w:t>
            </w:r>
          </w:p>
        </w:tc>
      </w:tr>
      <w:tr>
        <w:trPr>
          <w:trHeight w:val="216"/>
        </w:trPr>
        <w:tc>
          <w:tcPr>
            <w:tcW w:w="498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Jacqueline Ardrey</w:t>
            </w:r>
          </w:p>
        </w:tc>
      </w:tr>
      <w:tr>
        <w:trPr>
          <w:trHeight w:val="236"/>
        </w:trPr>
        <w:tc>
          <w:tcPr>
            <w:tcW w:w="49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bl>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Schwindle, certify that:</w:t>
      </w:r>
    </w:p>
    <w:p>
      <w:pPr>
        <w:spacing w:after="0" w:line="104" w:lineRule="exact"/>
        <w:rPr>
          <w:sz w:val="20"/>
          <w:szCs w:val="20"/>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 Bradley, Inc.;</w:t>
      </w:r>
    </w:p>
    <w:p>
      <w:pPr>
        <w:spacing w:after="0" w:line="9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40"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1300" w:right="140" w:hanging="644"/>
        <w:spacing w:after="0" w:line="273" w:lineRule="auto"/>
        <w:tabs>
          <w:tab w:leader="none" w:pos="129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32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11, 2024</w:t>
            </w:r>
          </w:p>
        </w:tc>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Schwindle</w:t>
            </w:r>
          </w:p>
        </w:tc>
      </w:tr>
      <w:tr>
        <w:trPr>
          <w:trHeight w:val="216"/>
        </w:trPr>
        <w:tc>
          <w:tcPr>
            <w:tcW w:w="4980" w:type="dxa"/>
            <w:vAlign w:val="bottom"/>
          </w:tcPr>
          <w:p>
            <w:pPr>
              <w:spacing w:after="0"/>
              <w:rPr>
                <w:sz w:val="18"/>
                <w:szCs w:val="18"/>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Schwindle</w:t>
            </w:r>
          </w:p>
        </w:tc>
      </w:tr>
      <w:tr>
        <w:trPr>
          <w:trHeight w:val="236"/>
        </w:trPr>
        <w:tc>
          <w:tcPr>
            <w:tcW w:w="498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ind w:right="160" w:firstLine="180"/>
        <w:spacing w:after="0" w:line="261" w:lineRule="auto"/>
        <w:rPr>
          <w:sz w:val="20"/>
          <w:szCs w:val="20"/>
          <w:color w:val="auto"/>
        </w:rPr>
      </w:pPr>
      <w:r>
        <w:rPr>
          <w:rFonts w:ascii="Times New Roman" w:cs="Times New Roman" w:eastAsia="Times New Roman" w:hAnsi="Times New Roman"/>
          <w:sz w:val="18"/>
          <w:szCs w:val="18"/>
          <w:color w:val="auto"/>
        </w:rPr>
        <w:t>I, Jacqueline Ardrey, the Chief Executive Officer of Vera Bradley, Inc., certify that (i) the quarterly report on Form 10-Q for the fiscal quarter ended November 2, 2024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Jacqueline Ardrey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Jacqueline Ardrey</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8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December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Date</w:t>
      </w:r>
    </w:p>
    <w:p>
      <w:pPr>
        <w:spacing w:after="0" w:line="347" w:lineRule="exact"/>
        <w:rPr>
          <w:sz w:val="20"/>
          <w:szCs w:val="20"/>
          <w:color w:val="auto"/>
        </w:rPr>
      </w:pPr>
    </w:p>
    <w:p>
      <w:pPr>
        <w:ind w:right="160" w:firstLine="180"/>
        <w:spacing w:after="0" w:line="261" w:lineRule="auto"/>
        <w:rPr>
          <w:sz w:val="20"/>
          <w:szCs w:val="20"/>
          <w:color w:val="auto"/>
        </w:rPr>
      </w:pPr>
      <w:r>
        <w:rPr>
          <w:rFonts w:ascii="Times New Roman" w:cs="Times New Roman" w:eastAsia="Times New Roman" w:hAnsi="Times New Roman"/>
          <w:sz w:val="18"/>
          <w:szCs w:val="18"/>
          <w:color w:val="auto"/>
        </w:rPr>
        <w:t>I, Michael Schwindle, the Chief Financial Officer of Vera Bradley, Inc., certify that (i) the quarterly report on Form 10-Q for the fiscal quarter ended November 2, 2024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4"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Michael Schwindle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Michael Schwindle</w:t>
      </w:r>
    </w:p>
    <w:p>
      <w:pPr>
        <w:spacing w:after="0" w:line="2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8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December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17145</wp:posOffset>
            </wp:positionV>
            <wp:extent cx="35318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Date</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lvl w:ilvl="1">
      <w:lvlJc w:val="left"/>
      <w:lvlText w:val="•"/>
      <w:numFmt w:val="bullet"/>
      <w:start w:val="1"/>
    </w:lvl>
  </w:abstractNum>
  <w:abstractNum w:abstractNumId="4">
    <w:nsid w:val="431BD7B7"/>
    <w:multiLevelType w:val="hybridMultilevel"/>
    <w:lvl w:ilvl="0">
      <w:lvlJc w:val="left"/>
      <w:lvlText w:val="%1."/>
      <w:numFmt w:val="decimal"/>
      <w:start w:val="2"/>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1)"/>
      <w:numFmt w:val="decimal"/>
      <w:start w:val="1"/>
    </w:lvl>
  </w:abstractNum>
  <w:abstractNum w:abstractNumId="9">
    <w:nsid w:val="436C6125"/>
    <w:multiLevelType w:val="hybridMultilevel"/>
    <w:lvl w:ilvl="0">
      <w:lvlJc w:val="left"/>
      <w:lvlText w:val="%1."/>
      <w:numFmt w:val="decimal"/>
      <w:start w:val="3"/>
    </w:lvl>
  </w:abstractNum>
  <w:abstractNum w:abstractNumId="10">
    <w:nsid w:val="628C895D"/>
    <w:multiLevelType w:val="hybridMultilevel"/>
    <w:lvl w:ilvl="0">
      <w:lvlJc w:val="left"/>
      <w:lvlText w:val="%1"/>
      <w:numFmt w:val="decimal"/>
      <w:start w:val="1"/>
    </w:lvl>
    <w:lvl w:ilvl="1">
      <w:lvlJc w:val="left"/>
      <w:lvlText w:val="(%2)"/>
      <w:numFmt w:val="decimal"/>
      <w:start w:val="1"/>
    </w:lvl>
  </w:abstractNum>
  <w:abstractNum w:abstractNumId="11">
    <w:nsid w:val="333AB105"/>
    <w:multiLevelType w:val="hybridMultilevel"/>
    <w:lvl w:ilvl="0">
      <w:lvlJc w:val="left"/>
      <w:lvlText w:val="%1."/>
      <w:numFmt w:val="decimal"/>
      <w:start w:val="4"/>
    </w:lvl>
    <w:lvl w:ilvl="1">
      <w:lvlJc w:val="left"/>
      <w:lvlText w:val="%2"/>
      <w:numFmt w:val="decimal"/>
      <w:start w:val="1"/>
    </w:lvl>
  </w:abstractNum>
  <w:abstractNum w:abstractNumId="12">
    <w:nsid w:val="721DA317"/>
    <w:multiLevelType w:val="hybridMultilevel"/>
    <w:lvl w:ilvl="0">
      <w:lvlJc w:val="left"/>
      <w:lvlText w:val="%1."/>
      <w:numFmt w:val="decimal"/>
      <w:start w:val="5"/>
    </w:lvl>
    <w:lvl w:ilvl="1">
      <w:lvlJc w:val="left"/>
      <w:lvlText w:val="•"/>
      <w:numFmt w:val="bullet"/>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6"/>
    </w:lvl>
  </w:abstractNum>
  <w:abstractNum w:abstractNumId="15">
    <w:nsid w:val="6763845E"/>
    <w:multiLevelType w:val="hybridMultilevel"/>
    <w:lvl w:ilvl="0">
      <w:lvlJc w:val="left"/>
      <w:lvlText w:val="%1."/>
      <w:numFmt w:val="decimal"/>
      <w:start w:val="7"/>
    </w:lvl>
  </w:abstractNum>
  <w:abstractNum w:abstractNumId="16">
    <w:nsid w:val="75A2A8D4"/>
    <w:multiLevelType w:val="hybridMultilevel"/>
    <w:lvl w:ilvl="0">
      <w:lvlJc w:val="left"/>
      <w:lvlText w:val="%1."/>
      <w:numFmt w:val="decimal"/>
      <w:start w:val="9"/>
    </w:lvl>
  </w:abstractNum>
  <w:abstractNum w:abstractNumId="17">
    <w:nsid w:val="8EDBDAB"/>
    <w:multiLevelType w:val="hybridMultilevel"/>
    <w:lvl w:ilvl="0">
      <w:lvlJc w:val="left"/>
      <w:lvlText w:val="%1."/>
      <w:numFmt w:val="decimal"/>
      <w:start w:val="11"/>
    </w:lvl>
  </w:abstractNum>
  <w:abstractNum w:abstractNumId="18">
    <w:nsid w:val="79838CB2"/>
    <w:multiLevelType w:val="hybridMultilevel"/>
    <w:lvl w:ilvl="0">
      <w:lvlJc w:val="left"/>
      <w:lvlText w:val="%1."/>
      <w:numFmt w:val="decimal"/>
      <w:start w:val="13"/>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4"/>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lvl w:ilvl="1">
      <w:lvlJc w:val="left"/>
      <w:lvlText w:val="(%2)"/>
      <w:numFmt w:val="decimal"/>
      <w:start w:val="1"/>
    </w:lvl>
  </w:abstractNum>
  <w:abstractNum w:abstractNumId="23">
    <w:nsid w:val="71F32454"/>
    <w:multiLevelType w:val="hybridMultilevel"/>
    <w:lvl w:ilvl="0">
      <w:lvlJc w:val="left"/>
      <w:lvlText w:val="%1."/>
      <w:numFmt w:val="decimal"/>
      <w:start w:val="15"/>
    </w:lvl>
    <w:lvl w:ilvl="1">
      <w:lvlJc w:val="left"/>
      <w:lvlText w:val="%2"/>
      <w:numFmt w:val="decimal"/>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54" Type="http://schemas.openxmlformats.org/officeDocument/2006/relationships/hyperlink" Target="https://www.sec.gov/Archives/edgar/data/1495320/000149532024000073/exhibit31.htm" TargetMode="External"/><Relationship Id="rId55" Type="http://schemas.openxmlformats.org/officeDocument/2006/relationships/hyperlink" Target="https://www.sec.gov/Archives/edgar/data/1495320/000149532024000073/exhibit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2024-12-11T13:40:36Z</dcterms:created>
  <dcterms:modified xsi:type="dcterms:W3CDTF">2024-12-11T13:40:36Z</dcterms:modified>
</cp:coreProperties>
</file>