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727964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172720</wp:posOffset>
            </wp:positionV>
            <wp:extent cx="72796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80645</wp:posOffset>
            </wp:positionV>
            <wp:extent cx="15265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635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85725</wp:posOffset>
            </wp:positionV>
            <wp:extent cx="15265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6350"/>
                    </a:xfrm>
                    <a:prstGeom prst="rect">
                      <a:avLst/>
                    </a:prstGeom>
                    <a:noFill/>
                  </pic:spPr>
                </pic:pic>
              </a:graphicData>
            </a:graphic>
          </wp:anchor>
        </w:drawing>
      </w:r>
    </w:p>
    <w:p>
      <w:pPr>
        <w:spacing w:after="0" w:line="176" w:lineRule="exact"/>
        <w:rPr>
          <w:sz w:val="24"/>
          <w:szCs w:val="24"/>
          <w:color w:val="auto"/>
        </w:rPr>
      </w:pPr>
    </w:p>
    <w:p>
      <w:pPr>
        <w:ind w:left="460" w:right="2980" w:hanging="458"/>
        <w:spacing w:after="0" w:line="301" w:lineRule="auto"/>
        <w:tabs>
          <w:tab w:leader="none" w:pos="45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January 28,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2"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60"/>
          </w:cols>
          <w:pgMar w:left="220" w:top="209" w:right="219" w:bottom="1440" w:gutter="0" w:footer="0" w:header="0"/>
        </w:sectPr>
      </w:pPr>
    </w:p>
    <w:p>
      <w:pPr>
        <w:spacing w:after="0" w:line="59" w:lineRule="exact"/>
        <w:rPr>
          <w:sz w:val="24"/>
          <w:szCs w:val="24"/>
          <w:color w:val="auto"/>
        </w:rPr>
      </w:pPr>
    </w:p>
    <w:p>
      <w:pPr>
        <w:ind w:left="46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60"/>
          </w:cols>
          <w:pgMar w:left="220" w:top="209" w:right="21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100330</wp:posOffset>
            </wp:positionV>
            <wp:extent cx="15265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6540" cy="63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type w:val="continuous"/>
        </w:sectPr>
      </w:pP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VERA BRADLEY,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85090</wp:posOffset>
            </wp:positionV>
            <wp:extent cx="15265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6540" cy="6350"/>
                    </a:xfrm>
                    <a:prstGeom prst="rect">
                      <a:avLst/>
                    </a:prstGeom>
                    <a:noFill/>
                  </pic:spPr>
                </pic:pic>
              </a:graphicData>
            </a:graphic>
          </wp:anchor>
        </w:drawing>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400" w:type="dxa"/>
            <w:vAlign w:val="bottom"/>
          </w:tcPr>
          <w:p>
            <w:pPr>
              <w:spacing w:after="0"/>
              <w:rPr>
                <w:sz w:val="14"/>
                <w:szCs w:val="14"/>
                <w:color w:val="auto"/>
              </w:rPr>
            </w:pPr>
          </w:p>
        </w:tc>
        <w:tc>
          <w:tcPr>
            <w:tcW w:w="4340" w:type="dxa"/>
            <w:vAlign w:val="bottom"/>
            <w:gridSpan w:val="3"/>
          </w:tcPr>
          <w:p>
            <w:pPr>
              <w:jc w:val="center"/>
              <w:ind w:right="3461"/>
              <w:spacing w:after="0"/>
              <w:rPr>
                <w:sz w:val="20"/>
                <w:szCs w:val="20"/>
                <w:color w:val="auto"/>
              </w:rPr>
            </w:pPr>
            <w:r>
              <w:rPr>
                <w:rFonts w:ascii="Arial" w:cs="Arial" w:eastAsia="Arial" w:hAnsi="Arial"/>
                <w:sz w:val="13"/>
                <w:szCs w:val="13"/>
                <w:b w:val="1"/>
                <w:bCs w:val="1"/>
                <w:color w:val="auto"/>
              </w:rPr>
              <w:t>Indiana</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right"/>
              <w:ind w:right="646"/>
              <w:spacing w:after="0"/>
              <w:rPr>
                <w:sz w:val="20"/>
                <w:szCs w:val="20"/>
                <w:color w:val="auto"/>
              </w:rPr>
            </w:pPr>
            <w:r>
              <w:rPr>
                <w:rFonts w:ascii="Arial" w:cs="Arial" w:eastAsia="Arial" w:hAnsi="Arial"/>
                <w:sz w:val="13"/>
                <w:szCs w:val="13"/>
                <w:b w:val="1"/>
                <w:bCs w:val="1"/>
                <w:color w:val="auto"/>
              </w:rPr>
              <w:t>27-2935063</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740" w:type="dxa"/>
            <w:vAlign w:val="bottom"/>
            <w:gridSpan w:val="4"/>
          </w:tcPr>
          <w:p>
            <w:pPr>
              <w:jc w:val="center"/>
              <w:ind w:right="1061"/>
              <w:spacing w:after="0" w:line="113" w:lineRule="exact"/>
              <w:rPr>
                <w:sz w:val="20"/>
                <w:szCs w:val="20"/>
                <w:color w:val="auto"/>
              </w:rPr>
            </w:pPr>
            <w:r>
              <w:rPr>
                <w:rFonts w:ascii="Arial" w:cs="Arial" w:eastAsia="Arial" w:hAnsi="Arial"/>
                <w:sz w:val="10"/>
                <w:szCs w:val="10"/>
                <w:b w:val="1"/>
                <w:bCs w:val="1"/>
                <w:color w:val="auto"/>
                <w:w w:val="94"/>
              </w:rPr>
              <w:t>(State or other jurisdiction of</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00" w:type="dxa"/>
            <w:vAlign w:val="bottom"/>
            <w:gridSpan w:val="2"/>
          </w:tcPr>
          <w:p>
            <w:pPr>
              <w:jc w:val="center"/>
              <w:ind w:right="1480"/>
              <w:spacing w:after="0" w:line="113" w:lineRule="exact"/>
              <w:rPr>
                <w:sz w:val="20"/>
                <w:szCs w:val="20"/>
                <w:color w:val="auto"/>
              </w:rPr>
            </w:pPr>
            <w:r>
              <w:rPr>
                <w:rFonts w:ascii="Arial" w:cs="Arial" w:eastAsia="Arial" w:hAnsi="Arial"/>
                <w:sz w:val="10"/>
                <w:szCs w:val="10"/>
                <w:b w:val="1"/>
                <w:bCs w:val="1"/>
                <w:color w:val="auto"/>
                <w:w w:val="96"/>
              </w:rPr>
              <w:t>(I.R.S. Employer</w:t>
            </w:r>
          </w:p>
        </w:tc>
        <w:tc>
          <w:tcPr>
            <w:tcW w:w="0" w:type="dxa"/>
            <w:vAlign w:val="bottom"/>
          </w:tcPr>
          <w:p>
            <w:pPr>
              <w:spacing w:after="0"/>
              <w:rPr>
                <w:sz w:val="1"/>
                <w:szCs w:val="1"/>
                <w:color w:val="auto"/>
              </w:rPr>
            </w:pPr>
          </w:p>
        </w:tc>
      </w:tr>
      <w:tr>
        <w:trPr>
          <w:trHeight w:val="134"/>
        </w:trPr>
        <w:tc>
          <w:tcPr>
            <w:tcW w:w="6740" w:type="dxa"/>
            <w:vAlign w:val="bottom"/>
            <w:gridSpan w:val="4"/>
          </w:tcPr>
          <w:p>
            <w:pPr>
              <w:jc w:val="center"/>
              <w:ind w:right="1061"/>
              <w:spacing w:after="0"/>
              <w:rPr>
                <w:sz w:val="20"/>
                <w:szCs w:val="20"/>
                <w:color w:val="auto"/>
              </w:rPr>
            </w:pPr>
            <w:r>
              <w:rPr>
                <w:rFonts w:ascii="Arial" w:cs="Arial" w:eastAsia="Arial" w:hAnsi="Arial"/>
                <w:sz w:val="10"/>
                <w:szCs w:val="10"/>
                <w:b w:val="1"/>
                <w:bCs w:val="1"/>
                <w:color w:val="auto"/>
                <w:w w:val="93"/>
              </w:rPr>
              <w:t>incorporation or organization)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00" w:type="dxa"/>
            <w:vAlign w:val="bottom"/>
            <w:gridSpan w:val="2"/>
          </w:tcPr>
          <w:p>
            <w:pPr>
              <w:jc w:val="center"/>
              <w:ind w:right="1460"/>
              <w:spacing w:after="0"/>
              <w:rPr>
                <w:sz w:val="20"/>
                <w:szCs w:val="20"/>
                <w:color w:val="auto"/>
              </w:rPr>
            </w:pPr>
            <w:r>
              <w:rPr>
                <w:rFonts w:ascii="Arial" w:cs="Arial" w:eastAsia="Arial" w:hAnsi="Arial"/>
                <w:sz w:val="10"/>
                <w:szCs w:val="10"/>
                <w:b w:val="1"/>
                <w:bCs w:val="1"/>
                <w:color w:val="auto"/>
                <w:w w:val="94"/>
              </w:rPr>
              <w:t>Identification No.)</w:t>
            </w:r>
          </w:p>
        </w:tc>
        <w:tc>
          <w:tcPr>
            <w:tcW w:w="0" w:type="dxa"/>
            <w:vAlign w:val="bottom"/>
          </w:tcPr>
          <w:p>
            <w:pPr>
              <w:spacing w:after="0"/>
              <w:rPr>
                <w:sz w:val="1"/>
                <w:szCs w:val="1"/>
                <w:color w:val="auto"/>
              </w:rPr>
            </w:pPr>
          </w:p>
        </w:tc>
      </w:tr>
      <w:tr>
        <w:trPr>
          <w:trHeight w:val="236"/>
        </w:trPr>
        <w:tc>
          <w:tcPr>
            <w:tcW w:w="6740" w:type="dxa"/>
            <w:vAlign w:val="bottom"/>
            <w:gridSpan w:val="4"/>
          </w:tcPr>
          <w:p>
            <w:pPr>
              <w:jc w:val="center"/>
              <w:ind w:right="1061"/>
              <w:spacing w:after="0"/>
              <w:rPr>
                <w:sz w:val="20"/>
                <w:szCs w:val="20"/>
                <w:color w:val="auto"/>
              </w:rPr>
            </w:pPr>
            <w:r>
              <w:rPr>
                <w:rFonts w:ascii="Arial" w:cs="Arial" w:eastAsia="Arial" w:hAnsi="Arial"/>
                <w:sz w:val="13"/>
                <w:szCs w:val="13"/>
                <w:b w:val="1"/>
                <w:bCs w:val="1"/>
                <w:color w:val="auto"/>
                <w:w w:val="94"/>
              </w:rPr>
              <w:t>2208 Production Road, Fort Wayne, Indiana</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806"/>
              <w:spacing w:after="0"/>
              <w:rPr>
                <w:sz w:val="20"/>
                <w:szCs w:val="20"/>
                <w:color w:val="auto"/>
              </w:rPr>
            </w:pPr>
            <w:r>
              <w:rPr>
                <w:rFonts w:ascii="Arial" w:cs="Arial" w:eastAsia="Arial" w:hAnsi="Arial"/>
                <w:sz w:val="13"/>
                <w:szCs w:val="13"/>
                <w:b w:val="1"/>
                <w:bCs w:val="1"/>
                <w:color w:val="auto"/>
              </w:rPr>
              <w:t>46808</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6740" w:type="dxa"/>
            <w:vAlign w:val="bottom"/>
            <w:gridSpan w:val="4"/>
          </w:tcPr>
          <w:p>
            <w:pPr>
              <w:jc w:val="center"/>
              <w:ind w:right="1061"/>
              <w:spacing w:after="0"/>
              <w:rPr>
                <w:sz w:val="20"/>
                <w:szCs w:val="20"/>
                <w:color w:val="auto"/>
              </w:rPr>
            </w:pPr>
            <w:r>
              <w:rPr>
                <w:rFonts w:ascii="Arial" w:cs="Arial" w:eastAsia="Arial" w:hAnsi="Arial"/>
                <w:sz w:val="10"/>
                <w:szCs w:val="10"/>
                <w:b w:val="1"/>
                <w:bCs w:val="1"/>
                <w:color w:val="auto"/>
                <w:w w:val="91"/>
              </w:rPr>
              <w:t>(Address of principal executive offices)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00" w:type="dxa"/>
            <w:vAlign w:val="bottom"/>
            <w:gridSpan w:val="2"/>
          </w:tcPr>
          <w:p>
            <w:pPr>
              <w:jc w:val="center"/>
              <w:ind w:right="1460"/>
              <w:spacing w:after="0"/>
              <w:rPr>
                <w:sz w:val="20"/>
                <w:szCs w:val="20"/>
                <w:color w:val="auto"/>
              </w:rPr>
            </w:pPr>
            <w:r>
              <w:rPr>
                <w:rFonts w:ascii="Arial" w:cs="Arial" w:eastAsia="Arial" w:hAnsi="Arial"/>
                <w:sz w:val="10"/>
                <w:szCs w:val="10"/>
                <w:b w:val="1"/>
                <w:bCs w:val="1"/>
                <w:color w:val="auto"/>
                <w:w w:val="96"/>
              </w:rPr>
              <w:t>(Zip Code)</w:t>
            </w:r>
          </w:p>
        </w:tc>
        <w:tc>
          <w:tcPr>
            <w:tcW w:w="0" w:type="dxa"/>
            <w:vAlign w:val="bottom"/>
          </w:tcPr>
          <w:p>
            <w:pPr>
              <w:spacing w:after="0"/>
              <w:rPr>
                <w:sz w:val="1"/>
                <w:szCs w:val="1"/>
                <w:color w:val="auto"/>
              </w:rPr>
            </w:pPr>
          </w:p>
        </w:tc>
      </w:tr>
      <w:tr>
        <w:trPr>
          <w:trHeight w:val="185"/>
        </w:trPr>
        <w:tc>
          <w:tcPr>
            <w:tcW w:w="6740" w:type="dxa"/>
            <w:vAlign w:val="bottom"/>
            <w:gridSpan w:val="4"/>
          </w:tcPr>
          <w:p>
            <w:pPr>
              <w:jc w:val="center"/>
              <w:ind w:left="4678"/>
              <w:spacing w:after="0"/>
              <w:rPr>
                <w:sz w:val="20"/>
                <w:szCs w:val="20"/>
                <w:color w:val="auto"/>
              </w:rPr>
            </w:pPr>
            <w:r>
              <w:rPr>
                <w:rFonts w:ascii="Arial" w:cs="Arial" w:eastAsia="Arial" w:hAnsi="Arial"/>
                <w:sz w:val="13"/>
                <w:szCs w:val="13"/>
                <w:b w:val="1"/>
                <w:bCs w:val="1"/>
                <w:color w:val="auto"/>
                <w:w w:val="94"/>
              </w:rPr>
              <w:t>(877) 708-8372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5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1"/>
              </w:rPr>
              <w:t>(Registrant’s telephone number, including area code)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0" w:type="dxa"/>
            <w:vAlign w:val="bottom"/>
            <w:tcBorders>
              <w:bottom w:val="single" w:sz="8" w:color="auto"/>
            </w:tcBorders>
            <w:gridSpan w:val="2"/>
          </w:tcPr>
          <w:p>
            <w:pPr>
              <w:spacing w:after="0"/>
              <w:rPr>
                <w:sz w:val="9"/>
                <w:szCs w:val="9"/>
                <w:color w:val="auto"/>
              </w:rPr>
            </w:pPr>
          </w:p>
        </w:tc>
        <w:tc>
          <w:tcPr>
            <w:tcW w:w="4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60" w:type="dxa"/>
            <w:vAlign w:val="bottom"/>
            <w:gridSpan w:val="5"/>
          </w:tcPr>
          <w:p>
            <w:pPr>
              <w:jc w:val="center"/>
              <w:ind w:left="793"/>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4340" w:type="dxa"/>
            <w:vAlign w:val="bottom"/>
            <w:gridSpan w:val="3"/>
          </w:tcPr>
          <w:p>
            <w:pPr>
              <w:jc w:val="center"/>
              <w:ind w:right="3461"/>
              <w:spacing w:after="0"/>
              <w:rPr>
                <w:sz w:val="20"/>
                <w:szCs w:val="20"/>
                <w:color w:val="auto"/>
              </w:rPr>
            </w:pPr>
            <w:r>
              <w:rPr>
                <w:rFonts w:ascii="Arial" w:cs="Arial" w:eastAsia="Arial" w:hAnsi="Arial"/>
                <w:sz w:val="10"/>
                <w:szCs w:val="10"/>
                <w:b w:val="1"/>
                <w:bCs w:val="1"/>
                <w:color w:val="auto"/>
                <w:w w:val="90"/>
              </w:rPr>
              <w:t>Title of each class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gridSpan w:val="2"/>
          </w:tcPr>
          <w:p>
            <w:pPr>
              <w:jc w:val="center"/>
              <w:ind w:right="1480"/>
              <w:spacing w:after="0"/>
              <w:rPr>
                <w:sz w:val="20"/>
                <w:szCs w:val="20"/>
                <w:color w:val="auto"/>
              </w:rPr>
            </w:pPr>
            <w:r>
              <w:rPr>
                <w:rFonts w:ascii="Arial" w:cs="Arial" w:eastAsia="Arial" w:hAnsi="Arial"/>
                <w:sz w:val="10"/>
                <w:szCs w:val="10"/>
                <w:b w:val="1"/>
                <w:bCs w:val="1"/>
                <w:color w:val="auto"/>
                <w:w w:val="89"/>
              </w:rPr>
              <w:t>Name of each exchange on which registered</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Common Stock</w:t>
            </w:r>
          </w:p>
        </w:tc>
        <w:tc>
          <w:tcPr>
            <w:tcW w:w="35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60" w:type="dxa"/>
            <w:vAlign w:val="bottom"/>
            <w:gridSpan w:val="5"/>
          </w:tcPr>
          <w:p>
            <w:pPr>
              <w:jc w:val="center"/>
              <w:ind w:left="793"/>
              <w:spacing w:after="0"/>
              <w:rPr>
                <w:sz w:val="20"/>
                <w:szCs w:val="20"/>
                <w:color w:val="auto"/>
              </w:rPr>
            </w:pPr>
            <w:r>
              <w:rPr>
                <w:rFonts w:ascii="Arial" w:cs="Arial" w:eastAsia="Arial" w:hAnsi="Arial"/>
                <w:sz w:val="13"/>
                <w:szCs w:val="13"/>
                <w:b w:val="1"/>
                <w:bCs w:val="1"/>
                <w:color w:val="auto"/>
                <w:w w:val="91"/>
              </w:rPr>
              <w:t>Securities registered pursuant to Section 12(g) of the Act: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0" w:type="dxa"/>
            <w:vAlign w:val="bottom"/>
          </w:tcPr>
          <w:p>
            <w:pPr>
              <w:jc w:val="center"/>
              <w:ind w:left="121"/>
              <w:spacing w:after="0"/>
              <w:rPr>
                <w:sz w:val="20"/>
                <w:szCs w:val="20"/>
                <w:color w:val="auto"/>
              </w:rPr>
            </w:pPr>
            <w:r>
              <w:rPr>
                <w:rFonts w:ascii="Arial" w:cs="Arial" w:eastAsia="Arial" w:hAnsi="Arial"/>
                <w:sz w:val="13"/>
                <w:szCs w:val="13"/>
                <w:b w:val="1"/>
                <w:bCs w:val="1"/>
                <w:color w:val="auto"/>
                <w:w w:val="92"/>
              </w:rPr>
              <w:t>None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4540" w:type="dxa"/>
            <w:vAlign w:val="bottom"/>
            <w:gridSpan w:val="3"/>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vMerge w:val="restart"/>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740" w:type="dxa"/>
            <w:vAlign w:val="bottom"/>
            <w:gridSpan w:val="4"/>
          </w:tcPr>
          <w:p>
            <w:pPr>
              <w:ind w:left="340"/>
              <w:spacing w:after="0"/>
              <w:rPr>
                <w:sz w:val="20"/>
                <w:szCs w:val="20"/>
                <w:color w:val="auto"/>
              </w:rPr>
            </w:pPr>
            <w:r>
              <w:rPr>
                <w:rFonts w:ascii="Arial" w:cs="Arial" w:eastAsia="Arial" w:hAnsi="Arial"/>
                <w:sz w:val="13"/>
                <w:szCs w:val="13"/>
                <w:color w:val="auto"/>
                <w:w w:val="94"/>
              </w:rPr>
              <w:t>Indicate by check mark if the registrant is a well-known seasoned issuer, as defined in Rule 405 of the Securities Act.</w:t>
            </w:r>
          </w:p>
        </w:tc>
        <w:tc>
          <w:tcPr>
            <w:tcW w:w="380" w:type="dxa"/>
            <w:vAlign w:val="bottom"/>
            <w:gridSpan w:val="2"/>
          </w:tcPr>
          <w:p>
            <w:pPr>
              <w:spacing w:after="0" w:line="150" w:lineRule="exact"/>
              <w:rPr>
                <w:sz w:val="20"/>
                <w:szCs w:val="20"/>
                <w:color w:val="auto"/>
              </w:rPr>
            </w:pPr>
            <w:r>
              <w:rPr>
                <w:rFonts w:ascii="Arial" w:cs="Arial" w:eastAsia="Arial" w:hAnsi="Arial"/>
                <w:sz w:val="13"/>
                <w:szCs w:val="13"/>
                <w:color w:val="auto"/>
                <w:w w:val="92"/>
              </w:rPr>
              <w:t xml:space="preserve">Yes </w:t>
            </w:r>
            <w:r>
              <w:rPr>
                <w:rFonts w:ascii="MS PGothic" w:cs="MS PGothic" w:eastAsia="MS PGothic" w:hAnsi="MS PGothic"/>
                <w:sz w:val="13"/>
                <w:szCs w:val="13"/>
                <w:color w:val="auto"/>
                <w:w w:val="92"/>
              </w:rPr>
              <w:t>☐</w:t>
            </w:r>
          </w:p>
        </w:tc>
        <w:tc>
          <w:tcPr>
            <w:tcW w:w="5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40" w:type="dxa"/>
            <w:vAlign w:val="bottom"/>
            <w:gridSpan w:val="4"/>
          </w:tcPr>
          <w:p>
            <w:pPr>
              <w:ind w:left="340"/>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w:t>
            </w:r>
          </w:p>
        </w:tc>
        <w:tc>
          <w:tcPr>
            <w:tcW w:w="380" w:type="dxa"/>
            <w:vAlign w:val="bottom"/>
            <w:gridSpan w:val="2"/>
          </w:tcPr>
          <w:p>
            <w:pPr>
              <w:ind w:left="120"/>
              <w:spacing w:after="0"/>
              <w:rPr>
                <w:sz w:val="20"/>
                <w:szCs w:val="20"/>
                <w:color w:val="auto"/>
              </w:rPr>
            </w:pPr>
            <w:r>
              <w:rPr>
                <w:rFonts w:ascii="Arial" w:cs="Arial" w:eastAsia="Arial" w:hAnsi="Arial"/>
                <w:sz w:val="13"/>
                <w:szCs w:val="13"/>
                <w:color w:val="auto"/>
              </w:rPr>
              <w:t>Yes</w:t>
            </w:r>
          </w:p>
        </w:tc>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40" w:type="dxa"/>
            <w:vAlign w:val="bottom"/>
          </w:tcPr>
          <w:p>
            <w:pPr>
              <w:spacing w:after="0"/>
              <w:rPr>
                <w:sz w:val="20"/>
                <w:szCs w:val="20"/>
                <w:color w:val="auto"/>
              </w:rPr>
            </w:pPr>
            <w:r>
              <w:rPr>
                <w:rFonts w:ascii="Arial" w:cs="Arial" w:eastAsia="Arial" w:hAnsi="Arial"/>
                <w:sz w:val="13"/>
                <w:szCs w:val="13"/>
                <w:color w:val="auto"/>
              </w:rPr>
              <w:t>No</w:t>
            </w:r>
          </w:p>
        </w:tc>
        <w:tc>
          <w:tcPr>
            <w:tcW w:w="3640" w:type="dxa"/>
            <w:vAlign w:val="bottom"/>
            <w:gridSpan w:val="3"/>
          </w:tcPr>
          <w:p>
            <w:pPr>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62"/>
        </w:trPr>
        <w:tc>
          <w:tcPr>
            <w:tcW w:w="11260" w:type="dxa"/>
            <w:vAlign w:val="bottom"/>
            <w:gridSpan w:val="11"/>
          </w:tcPr>
          <w:p>
            <w:pPr>
              <w:ind w:left="340"/>
              <w:spacing w:after="0"/>
              <w:rPr>
                <w:sz w:val="20"/>
                <w:szCs w:val="20"/>
                <w:color w:val="auto"/>
              </w:rPr>
            </w:pPr>
            <w:r>
              <w:rPr>
                <w:rFonts w:ascii="Arial" w:cs="Arial" w:eastAsia="Arial" w:hAnsi="Arial"/>
                <w:sz w:val="13"/>
                <w:szCs w:val="13"/>
                <w:color w:val="auto"/>
                <w:w w:val="93"/>
              </w:rPr>
              <w:t>Indicate by check mark whether the registrant (1) has filed all reports required to be filed by Section 13 or 15(d) of the Securities Exchange Act of 1934 during the preceding 12 months (or for such shorter</w:t>
            </w:r>
          </w:p>
        </w:tc>
        <w:tc>
          <w:tcPr>
            <w:tcW w:w="0" w:type="dxa"/>
            <w:vAlign w:val="bottom"/>
          </w:tcPr>
          <w:p>
            <w:pPr>
              <w:spacing w:after="0"/>
              <w:rPr>
                <w:sz w:val="1"/>
                <w:szCs w:val="1"/>
                <w:color w:val="auto"/>
              </w:rPr>
            </w:pPr>
          </w:p>
        </w:tc>
      </w:tr>
      <w:tr>
        <w:trPr>
          <w:trHeight w:val="208"/>
        </w:trPr>
        <w:tc>
          <w:tcPr>
            <w:tcW w:w="7120" w:type="dxa"/>
            <w:vAlign w:val="bottom"/>
            <w:gridSpan w:val="6"/>
          </w:tcPr>
          <w:p>
            <w:pPr>
              <w:spacing w:after="0"/>
              <w:rPr>
                <w:sz w:val="20"/>
                <w:szCs w:val="20"/>
                <w:color w:val="auto"/>
              </w:rPr>
            </w:pPr>
            <w:r>
              <w:rPr>
                <w:rFonts w:ascii="Arial" w:cs="Arial" w:eastAsia="Arial" w:hAnsi="Arial"/>
                <w:sz w:val="13"/>
                <w:szCs w:val="13"/>
                <w:color w:val="auto"/>
                <w:w w:val="93"/>
              </w:rPr>
              <w:t>period that the registrant was required to file such reports), and (2) has been subject to such filing requirements for the past 90 days.</w:t>
            </w:r>
          </w:p>
        </w:tc>
        <w:tc>
          <w:tcPr>
            <w:tcW w:w="260" w:type="dxa"/>
            <w:vAlign w:val="bottom"/>
          </w:tcPr>
          <w:p>
            <w:pPr>
              <w:ind w:left="60"/>
              <w:spacing w:after="0"/>
              <w:rPr>
                <w:sz w:val="20"/>
                <w:szCs w:val="20"/>
                <w:color w:val="auto"/>
              </w:rPr>
            </w:pPr>
            <w:r>
              <w:rPr>
                <w:rFonts w:ascii="Arial" w:cs="Arial" w:eastAsia="Arial" w:hAnsi="Arial"/>
                <w:sz w:val="13"/>
                <w:szCs w:val="13"/>
                <w:color w:val="auto"/>
                <w:w w:val="80"/>
              </w:rPr>
              <w:t>Yes</w:t>
            </w:r>
          </w:p>
        </w:tc>
        <w:tc>
          <w:tcPr>
            <w:tcW w:w="24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40" w:type="dxa"/>
            <w:vAlign w:val="bottom"/>
            <w:gridSpan w:val="3"/>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80" w:firstLine="344"/>
        <w:spacing w:after="0" w:line="175"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460" w:firstLine="344"/>
        <w:spacing w:after="0" w:line="175"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1" w:lineRule="exact"/>
        <w:rPr>
          <w:sz w:val="24"/>
          <w:szCs w:val="24"/>
          <w:color w:val="auto"/>
        </w:rPr>
      </w:pPr>
    </w:p>
    <w:p>
      <w:pPr>
        <w:ind w:firstLine="344"/>
        <w:spacing w:after="0" w:line="2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20" w:top="209" w:right="21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26" w:lineRule="exact"/>
        <w:rPr>
          <w:sz w:val="24"/>
          <w:szCs w:val="24"/>
          <w:color w:val="auto"/>
        </w:rPr>
      </w:pPr>
    </w:p>
    <w:p>
      <w:pPr>
        <w:sectPr>
          <w:pgSz w:w="11900" w:h="16838" w:orient="portrait"/>
          <w:cols w:equalWidth="0" w:num="4">
            <w:col w:w="1340" w:space="720"/>
            <w:col w:w="6040" w:space="720"/>
            <w:col w:w="1800" w:space="720"/>
            <w:col w:w="120"/>
          </w:cols>
          <w:pgMar w:left="220" w:top="209" w:right="21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7" w:lineRule="exact"/>
        <w:rPr>
          <w:sz w:val="24"/>
          <w:szCs w:val="24"/>
          <w:color w:val="auto"/>
        </w:rPr>
      </w:pPr>
    </w:p>
    <w:p>
      <w:pPr>
        <w:sectPr>
          <w:pgSz w:w="11900" w:h="16838" w:orient="portrait"/>
          <w:cols w:equalWidth="0" w:num="5">
            <w:col w:w="1340" w:space="720"/>
            <w:col w:w="120" w:space="40"/>
            <w:col w:w="5880" w:space="720"/>
            <w:col w:w="1800" w:space="720"/>
            <w:col w:w="120"/>
          </w:cols>
          <w:pgMar w:left="220" w:top="209" w:right="219" w:bottom="1440" w:gutter="0" w:footer="0" w:header="0"/>
          <w:type w:val="continuous"/>
        </w:sectPr>
      </w:pPr>
    </w:p>
    <w:p>
      <w:pPr>
        <w:spacing w:after="0" w:line="20"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5" w:lineRule="exact"/>
        <w:rPr>
          <w:sz w:val="24"/>
          <w:szCs w:val="24"/>
          <w:color w:val="auto"/>
        </w:rPr>
      </w:pPr>
    </w:p>
    <w:p>
      <w:pPr>
        <w:sectPr>
          <w:pgSz w:w="11900" w:h="16838" w:orient="portrait"/>
          <w:cols w:equalWidth="0" w:num="4">
            <w:col w:w="6400" w:space="140"/>
            <w:col w:w="180" w:space="80"/>
            <w:col w:w="120" w:space="140"/>
            <w:col w:w="4400"/>
          </w:cols>
          <w:pgMar w:left="220" w:top="209" w:right="219" w:bottom="1440" w:gutter="0" w:footer="0" w:header="0"/>
          <w:type w:val="continuous"/>
        </w:sectPr>
      </w:pPr>
    </w:p>
    <w:p>
      <w:pPr>
        <w:ind w:left="340"/>
        <w:spacing w:after="0"/>
        <w:rPr>
          <w:sz w:val="20"/>
          <w:szCs w:val="20"/>
          <w:color w:val="auto"/>
        </w:rPr>
      </w:pPr>
      <w:r>
        <w:rPr>
          <w:rFonts w:ascii="Arial" w:cs="Arial" w:eastAsia="Arial" w:hAnsi="Arial"/>
          <w:sz w:val="13"/>
          <w:szCs w:val="13"/>
          <w:color w:val="auto"/>
        </w:rPr>
        <w:t>The aggregate market value of the registrant’s voting stock held by non-affiliates of the registrant as of July 30, 2011 was $713,454,367.</w:t>
      </w:r>
    </w:p>
    <w:p>
      <w:pPr>
        <w:spacing w:after="0" w:line="56"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registrant had 40,506,720 shares of its common stock outstanding as of March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92710</wp:posOffset>
            </wp:positionV>
            <wp:extent cx="15265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6540" cy="635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 INCORPORATED BY REFERENCE:</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2"/>
          <w:szCs w:val="12"/>
          <w:color w:val="auto"/>
        </w:rPr>
        <w:t>Portions of the registrant’s definitive proxy statement for the 2012 Annual Meeting of Shareholders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796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Forward-Looking Statements</w:t>
      </w:r>
    </w:p>
    <w:p>
      <w:pPr>
        <w:spacing w:after="0" w:line="140" w:lineRule="exact"/>
        <w:rPr>
          <w:sz w:val="20"/>
          <w:szCs w:val="20"/>
          <w:color w:val="auto"/>
        </w:rPr>
      </w:pPr>
    </w:p>
    <w:p>
      <w:pPr>
        <w:ind w:right="100"/>
        <w:spacing w:after="0" w:line="295" w:lineRule="auto"/>
        <w:rPr>
          <w:sz w:val="20"/>
          <w:szCs w:val="20"/>
          <w:color w:val="auto"/>
        </w:rPr>
      </w:pPr>
      <w:r>
        <w:rPr>
          <w:rFonts w:ascii="Arial" w:cs="Arial" w:eastAsia="Arial" w:hAnsi="Arial"/>
          <w:sz w:val="12"/>
          <w:szCs w:val="12"/>
          <w:color w:val="auto"/>
        </w:rPr>
        <w:t>This annual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25" w:lineRule="exact"/>
        <w:rPr>
          <w:sz w:val="20"/>
          <w:szCs w:val="20"/>
          <w:color w:val="auto"/>
        </w:rPr>
      </w:pPr>
    </w:p>
    <w:p>
      <w:pPr>
        <w:ind w:left="900" w:hanging="33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possible adverse changes in general economic conditions and their impact on consumer confidence and consumer spending;</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possible inability to predict and respond in a timely manner to changes in consumer demand;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possible loss of key management or design associates or inability to attract and retain the talent required for our business;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possible inability to maintain and enhance our brand;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possible inability to successfully implement our growth strategies or manage our growing business;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possible inability to successfully open and operate new stores as planned;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possible inability to sustain levels of comparable-store sales.</w:t>
      </w:r>
    </w:p>
    <w:p>
      <w:pPr>
        <w:spacing w:after="0" w:line="138"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8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For a discussion of these risks and other risks and uncertainties that could cause actual results to differ materially from those contained in our forward-looking statements, please refer to “Risk Factors” in Item 1A of this report.</w:t>
      </w:r>
    </w:p>
    <w:p>
      <w:pPr>
        <w:spacing w:after="0" w:line="8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384" w:right="2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80" w:type="dxa"/>
            <w:vAlign w:val="bottom"/>
            <w:gridSpan w:val="6"/>
          </w:tcPr>
          <w:p>
            <w:pPr>
              <w:jc w:val="center"/>
              <w:ind w:right="1940"/>
              <w:spacing w:after="0"/>
              <w:rPr>
                <w:sz w:val="20"/>
                <w:szCs w:val="20"/>
                <w:color w:val="auto"/>
              </w:rPr>
            </w:pPr>
            <w:r>
              <w:rPr>
                <w:rFonts w:ascii="Arial" w:cs="Arial" w:eastAsia="Arial" w:hAnsi="Arial"/>
                <w:sz w:val="13"/>
                <w:szCs w:val="13"/>
                <w:b w:val="1"/>
                <w:bCs w:val="1"/>
                <w:color w:val="auto"/>
              </w:rPr>
              <w:t>TABLE OF CONTENTS</w:t>
            </w:r>
          </w:p>
        </w:tc>
        <w:tc>
          <w:tcPr>
            <w:tcW w:w="2260" w:type="dxa"/>
            <w:vAlign w:val="bottom"/>
          </w:tcPr>
          <w:p>
            <w:pPr>
              <w:spacing w:after="0"/>
              <w:rPr>
                <w:sz w:val="15"/>
                <w:szCs w:val="15"/>
                <w:color w:val="auto"/>
              </w:rPr>
            </w:pPr>
          </w:p>
        </w:tc>
      </w:tr>
      <w:tr>
        <w:trPr>
          <w:trHeight w:val="289"/>
        </w:trPr>
        <w:tc>
          <w:tcPr>
            <w:tcW w:w="1020" w:type="dxa"/>
            <w:vAlign w:val="bottom"/>
            <w:gridSpan w:val="5"/>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27"/>
        </w:trPr>
        <w:tc>
          <w:tcPr>
            <w:tcW w:w="460" w:type="dxa"/>
            <w:vAlign w:val="bottom"/>
            <w:tcBorders>
              <w:top w:val="single" w:sz="8" w:color="0000EE"/>
            </w:tcBorders>
          </w:tcPr>
          <w:p>
            <w:pPr>
              <w:spacing w:after="0"/>
              <w:rPr>
                <w:sz w:val="20"/>
                <w:szCs w:val="20"/>
                <w:color w:val="auto"/>
              </w:rPr>
            </w:pPr>
            <w:r>
              <w:rPr>
                <w:rFonts w:ascii="Arial" w:cs="Arial" w:eastAsia="Arial" w:hAnsi="Arial"/>
                <w:sz w:val="13"/>
                <w:szCs w:val="13"/>
                <w:color w:val="auto"/>
              </w:rPr>
              <w:t>Item 1.</w:t>
            </w:r>
          </w:p>
        </w:tc>
        <w:tc>
          <w:tcPr>
            <w:tcW w:w="560" w:type="dxa"/>
            <w:vAlign w:val="bottom"/>
            <w:gridSpan w:val="4"/>
          </w:tcPr>
          <w:p>
            <w:pPr>
              <w:spacing w:after="0"/>
              <w:rPr>
                <w:sz w:val="19"/>
                <w:szCs w:val="19"/>
                <w:color w:val="auto"/>
              </w:rPr>
            </w:pPr>
          </w:p>
        </w:tc>
        <w:tc>
          <w:tcPr>
            <w:tcW w:w="8120" w:type="dxa"/>
            <w:vAlign w:val="bottom"/>
            <w:gridSpan w:val="20"/>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1A.</w:t>
            </w:r>
          </w:p>
        </w:tc>
        <w:tc>
          <w:tcPr>
            <w:tcW w:w="8120" w:type="dxa"/>
            <w:vAlign w:val="bottom"/>
            <w:gridSpan w:val="20"/>
          </w:tcPr>
          <w:p>
            <w:pPr>
              <w:spacing w:after="0"/>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20"/>
        </w:trPr>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1B.</w:t>
            </w:r>
          </w:p>
        </w:tc>
        <w:tc>
          <w:tcPr>
            <w:tcW w:w="8120" w:type="dxa"/>
            <w:vAlign w:val="bottom"/>
            <w:gridSpan w:val="20"/>
          </w:tcPr>
          <w:p>
            <w:pPr>
              <w:spacing w:after="0"/>
              <w:rPr>
                <w:rFonts w:ascii="Arial" w:cs="Arial" w:eastAsia="Arial" w:hAnsi="Arial"/>
                <w:sz w:val="13"/>
                <w:szCs w:val="13"/>
                <w:color w:val="0000EE"/>
              </w:rPr>
            </w:pPr>
            <w:hyperlink w:anchor="page26">
              <w:r>
                <w:rPr>
                  <w:rFonts w:ascii="Arial" w:cs="Arial" w:eastAsia="Arial" w:hAnsi="Arial"/>
                  <w:sz w:val="13"/>
                  <w:szCs w:val="13"/>
                  <w:color w:val="0000EE"/>
                </w:rPr>
                <w:t>Unresolved Staff Comments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2.</w:t>
            </w:r>
          </w:p>
        </w:tc>
        <w:tc>
          <w:tcPr>
            <w:tcW w:w="560" w:type="dxa"/>
            <w:vAlign w:val="bottom"/>
            <w:tcBorders>
              <w:top w:val="single" w:sz="8" w:color="0000EE"/>
              <w:bottom w:val="single" w:sz="8" w:color="0000EE"/>
            </w:tcBorders>
            <w:gridSpan w:val="2"/>
          </w:tcPr>
          <w:p>
            <w:pPr>
              <w:spacing w:after="0"/>
              <w:rPr>
                <w:rFonts w:ascii="Arial" w:cs="Arial" w:eastAsia="Arial" w:hAnsi="Arial"/>
                <w:sz w:val="13"/>
                <w:szCs w:val="13"/>
                <w:color w:val="0000EE"/>
                <w:w w:val="91"/>
              </w:rPr>
            </w:pPr>
            <w:hyperlink w:anchor="page26">
              <w:r>
                <w:rPr>
                  <w:rFonts w:ascii="Arial" w:cs="Arial" w:eastAsia="Arial" w:hAnsi="Arial"/>
                  <w:sz w:val="13"/>
                  <w:szCs w:val="13"/>
                  <w:color w:val="0000EE"/>
                  <w:w w:val="91"/>
                </w:rPr>
                <w:t>Properties</w:t>
              </w:r>
            </w:hyperlink>
          </w:p>
        </w:tc>
        <w:tc>
          <w:tcPr>
            <w:tcW w:w="960" w:type="dxa"/>
            <w:vAlign w:val="bottom"/>
            <w:tcBorders>
              <w:top w:val="single" w:sz="8" w:color="0000EE"/>
            </w:tcBorders>
            <w:gridSpan w:val="7"/>
          </w:tcPr>
          <w:p>
            <w:pPr>
              <w:spacing w:after="0"/>
              <w:rPr>
                <w:sz w:val="19"/>
                <w:szCs w:val="19"/>
                <w:color w:val="auto"/>
              </w:rPr>
            </w:pPr>
          </w:p>
        </w:tc>
        <w:tc>
          <w:tcPr>
            <w:tcW w:w="6600" w:type="dxa"/>
            <w:vAlign w:val="bottom"/>
            <w:gridSpan w:val="11"/>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3.</w:t>
            </w:r>
          </w:p>
        </w:tc>
        <w:tc>
          <w:tcPr>
            <w:tcW w:w="1000" w:type="dxa"/>
            <w:vAlign w:val="bottom"/>
            <w:tcBorders>
              <w:bottom w:val="single" w:sz="8" w:color="0000EE"/>
            </w:tcBorders>
            <w:gridSpan w:val="5"/>
          </w:tcPr>
          <w:p>
            <w:pPr>
              <w:spacing w:after="0"/>
              <w:rPr>
                <w:rFonts w:ascii="Arial" w:cs="Arial" w:eastAsia="Arial" w:hAnsi="Arial"/>
                <w:sz w:val="13"/>
                <w:szCs w:val="13"/>
                <w:color w:val="0000EE"/>
                <w:w w:val="90"/>
              </w:rPr>
            </w:pPr>
            <w:hyperlink w:anchor="page27">
              <w:r>
                <w:rPr>
                  <w:rFonts w:ascii="Arial" w:cs="Arial" w:eastAsia="Arial" w:hAnsi="Arial"/>
                  <w:sz w:val="13"/>
                  <w:szCs w:val="13"/>
                  <w:color w:val="0000EE"/>
                  <w:w w:val="90"/>
                </w:rPr>
                <w:t>Legal Proceedings</w:t>
              </w:r>
            </w:hyperlink>
          </w:p>
        </w:tc>
        <w:tc>
          <w:tcPr>
            <w:tcW w:w="7120" w:type="dxa"/>
            <w:vAlign w:val="bottom"/>
            <w:gridSpan w:val="15"/>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4.</w:t>
            </w:r>
          </w:p>
        </w:tc>
        <w:tc>
          <w:tcPr>
            <w:tcW w:w="8120" w:type="dxa"/>
            <w:vAlign w:val="bottom"/>
            <w:gridSpan w:val="20"/>
          </w:tcPr>
          <w:p>
            <w:pPr>
              <w:spacing w:after="0"/>
              <w:rPr>
                <w:rFonts w:ascii="Arial" w:cs="Arial" w:eastAsia="Arial" w:hAnsi="Arial"/>
                <w:sz w:val="13"/>
                <w:szCs w:val="13"/>
                <w:color w:val="0000EE"/>
              </w:rPr>
            </w:pPr>
            <w:hyperlink w:anchor="page27">
              <w:r>
                <w:rPr>
                  <w:rFonts w:ascii="Arial" w:cs="Arial" w:eastAsia="Arial" w:hAnsi="Arial"/>
                  <w:sz w:val="13"/>
                  <w:szCs w:val="13"/>
                  <w:color w:val="0000EE"/>
                </w:rPr>
                <w:t>Mine Safety Disclosure</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227"/>
        </w:trPr>
        <w:tc>
          <w:tcPr>
            <w:tcW w:w="520" w:type="dxa"/>
            <w:vAlign w:val="bottom"/>
            <w:tcBorders>
              <w:bottom w:val="single" w:sz="8" w:color="0000EE"/>
            </w:tcBorders>
            <w:gridSpan w:val="2"/>
          </w:tcPr>
          <w:p>
            <w:pPr>
              <w:spacing w:after="0"/>
              <w:rPr>
                <w:rFonts w:ascii="Arial" w:cs="Arial" w:eastAsia="Arial" w:hAnsi="Arial"/>
                <w:sz w:val="13"/>
                <w:szCs w:val="13"/>
                <w:b w:val="1"/>
                <w:bCs w:val="1"/>
                <w:color w:val="0000EE"/>
              </w:rPr>
            </w:pPr>
            <w:hyperlink w:anchor="page28">
              <w:r>
                <w:rPr>
                  <w:rFonts w:ascii="Arial" w:cs="Arial" w:eastAsia="Arial" w:hAnsi="Arial"/>
                  <w:sz w:val="13"/>
                  <w:szCs w:val="13"/>
                  <w:b w:val="1"/>
                  <w:bCs w:val="1"/>
                  <w:color w:val="0000EE"/>
                </w:rPr>
                <w:t>PART II.</w:t>
              </w:r>
            </w:hyperlink>
          </w:p>
        </w:tc>
        <w:tc>
          <w:tcPr>
            <w:tcW w:w="500" w:type="dxa"/>
            <w:vAlign w:val="bottom"/>
            <w:gridSpan w:val="3"/>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5.</w:t>
            </w:r>
          </w:p>
        </w:tc>
        <w:tc>
          <w:tcPr>
            <w:tcW w:w="8120" w:type="dxa"/>
            <w:vAlign w:val="bottom"/>
            <w:gridSpan w:val="20"/>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Market for Registrant’s Common Equity, Related Stockholder Matters and Issuer Purchases of Equity Securities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6.</w:t>
            </w:r>
          </w:p>
        </w:tc>
        <w:tc>
          <w:tcPr>
            <w:tcW w:w="1280" w:type="dxa"/>
            <w:vAlign w:val="bottom"/>
            <w:tcBorders>
              <w:top w:val="single" w:sz="8" w:color="0000EE"/>
              <w:bottom w:val="single" w:sz="8" w:color="0000EE"/>
            </w:tcBorders>
            <w:gridSpan w:val="6"/>
          </w:tcPr>
          <w:p>
            <w:pPr>
              <w:spacing w:after="0"/>
              <w:rPr>
                <w:rFonts w:ascii="Arial" w:cs="Arial" w:eastAsia="Arial" w:hAnsi="Arial"/>
                <w:sz w:val="13"/>
                <w:szCs w:val="13"/>
                <w:color w:val="0000EE"/>
                <w:w w:val="91"/>
              </w:rPr>
            </w:pPr>
            <w:hyperlink w:anchor="page30">
              <w:r>
                <w:rPr>
                  <w:rFonts w:ascii="Arial" w:cs="Arial" w:eastAsia="Arial" w:hAnsi="Arial"/>
                  <w:sz w:val="13"/>
                  <w:szCs w:val="13"/>
                  <w:color w:val="0000EE"/>
                  <w:w w:val="91"/>
                </w:rPr>
                <w:t>Selected Financial Data</w:t>
              </w:r>
            </w:hyperlink>
          </w:p>
        </w:tc>
        <w:tc>
          <w:tcPr>
            <w:tcW w:w="4720" w:type="dxa"/>
            <w:vAlign w:val="bottom"/>
            <w:tcBorders>
              <w:top w:val="single" w:sz="8" w:color="0000EE"/>
            </w:tcBorders>
            <w:gridSpan w:val="13"/>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7.</w:t>
            </w:r>
          </w:p>
        </w:tc>
        <w:tc>
          <w:tcPr>
            <w:tcW w:w="8120" w:type="dxa"/>
            <w:vAlign w:val="bottom"/>
            <w:gridSpan w:val="20"/>
          </w:tcPr>
          <w:p>
            <w:pPr>
              <w:spacing w:after="0"/>
              <w:rPr>
                <w:rFonts w:ascii="Arial" w:cs="Arial" w:eastAsia="Arial" w:hAnsi="Arial"/>
                <w:sz w:val="13"/>
                <w:szCs w:val="13"/>
                <w:color w:val="0000EE"/>
              </w:rPr>
            </w:pPr>
            <w:hyperlink w:anchor="page32">
              <w:r>
                <w:rPr>
                  <w:rFonts w:ascii="Arial" w:cs="Arial" w:eastAsia="Arial" w:hAnsi="Arial"/>
                  <w:sz w:val="13"/>
                  <w:szCs w:val="13"/>
                  <w:color w:val="0000EE"/>
                </w:rPr>
                <w:t>Management’s Discussion and Analysis of Financial Condition and Results of Operations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7A.</w:t>
            </w:r>
          </w:p>
        </w:tc>
        <w:tc>
          <w:tcPr>
            <w:tcW w:w="4800" w:type="dxa"/>
            <w:vAlign w:val="bottom"/>
            <w:tcBorders>
              <w:top w:val="single" w:sz="8" w:color="0000EE"/>
            </w:tcBorders>
            <w:gridSpan w:val="16"/>
          </w:tcPr>
          <w:p>
            <w:pPr>
              <w:spacing w:after="0"/>
              <w:rPr>
                <w:rFonts w:ascii="Arial" w:cs="Arial" w:eastAsia="Arial" w:hAnsi="Arial"/>
                <w:sz w:val="13"/>
                <w:szCs w:val="13"/>
                <w:color w:val="0000EE"/>
              </w:rPr>
            </w:pPr>
            <w:hyperlink w:anchor="page45">
              <w:r>
                <w:rPr>
                  <w:rFonts w:ascii="Arial" w:cs="Arial" w:eastAsia="Arial" w:hAnsi="Arial"/>
                  <w:sz w:val="13"/>
                  <w:szCs w:val="13"/>
                  <w:color w:val="0000EE"/>
                </w:rPr>
                <w:t>Quantitative and Qualitative Disclosures About Market Risk</w:t>
              </w:r>
            </w:hyperlink>
          </w:p>
        </w:tc>
        <w:tc>
          <w:tcPr>
            <w:tcW w:w="3320" w:type="dxa"/>
            <w:vAlign w:val="bottom"/>
            <w:gridSpan w:val="4"/>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8.</w:t>
            </w:r>
          </w:p>
        </w:tc>
        <w:tc>
          <w:tcPr>
            <w:tcW w:w="2480" w:type="dxa"/>
            <w:vAlign w:val="bottom"/>
            <w:tcBorders>
              <w:top w:val="single" w:sz="8" w:color="0000EE"/>
              <w:bottom w:val="single" w:sz="8" w:color="0000EE"/>
            </w:tcBorders>
            <w:gridSpan w:val="12"/>
          </w:tcPr>
          <w:p>
            <w:pPr>
              <w:spacing w:after="0"/>
              <w:rPr>
                <w:rFonts w:ascii="Arial" w:cs="Arial" w:eastAsia="Arial" w:hAnsi="Arial"/>
                <w:sz w:val="13"/>
                <w:szCs w:val="13"/>
                <w:color w:val="0000EE"/>
                <w:w w:val="91"/>
              </w:rPr>
            </w:pPr>
            <w:hyperlink w:anchor="page46">
              <w:r>
                <w:rPr>
                  <w:rFonts w:ascii="Arial" w:cs="Arial" w:eastAsia="Arial" w:hAnsi="Arial"/>
                  <w:sz w:val="13"/>
                  <w:szCs w:val="13"/>
                  <w:color w:val="0000EE"/>
                  <w:w w:val="91"/>
                </w:rPr>
                <w:t>Financial Statements and Supplementary Data</w:t>
              </w:r>
            </w:hyperlink>
          </w:p>
        </w:tc>
        <w:tc>
          <w:tcPr>
            <w:tcW w:w="760" w:type="dxa"/>
            <w:vAlign w:val="bottom"/>
            <w:tcBorders>
              <w:top w:val="single" w:sz="8" w:color="0000EE"/>
            </w:tcBorders>
            <w:gridSpan w:val="2"/>
          </w:tcPr>
          <w:p>
            <w:pPr>
              <w:spacing w:after="0"/>
              <w:rPr>
                <w:sz w:val="19"/>
                <w:szCs w:val="19"/>
                <w:color w:val="auto"/>
              </w:rPr>
            </w:pPr>
          </w:p>
        </w:tc>
        <w:tc>
          <w:tcPr>
            <w:tcW w:w="4880" w:type="dxa"/>
            <w:vAlign w:val="bottom"/>
            <w:gridSpan w:val="6"/>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9.</w:t>
            </w:r>
          </w:p>
        </w:tc>
        <w:tc>
          <w:tcPr>
            <w:tcW w:w="4820" w:type="dxa"/>
            <w:vAlign w:val="bottom"/>
            <w:tcBorders>
              <w:bottom w:val="single" w:sz="8" w:color="0000EE"/>
            </w:tcBorders>
            <w:gridSpan w:val="17"/>
          </w:tcPr>
          <w:p>
            <w:pPr>
              <w:spacing w:after="0"/>
              <w:rPr>
                <w:rFonts w:ascii="Arial" w:cs="Arial" w:eastAsia="Arial" w:hAnsi="Arial"/>
                <w:sz w:val="13"/>
                <w:szCs w:val="13"/>
                <w:color w:val="0000EE"/>
                <w:w w:val="93"/>
              </w:rPr>
            </w:pPr>
            <w:hyperlink w:anchor="page69">
              <w:r>
                <w:rPr>
                  <w:rFonts w:ascii="Arial" w:cs="Arial" w:eastAsia="Arial" w:hAnsi="Arial"/>
                  <w:sz w:val="13"/>
                  <w:szCs w:val="13"/>
                  <w:color w:val="0000EE"/>
                  <w:w w:val="93"/>
                </w:rPr>
                <w:t>Changes in and Disagreements with Accountants on Accounting and Financial Disclosure</w:t>
              </w:r>
            </w:hyperlink>
          </w:p>
        </w:tc>
        <w:tc>
          <w:tcPr>
            <w:tcW w:w="3300" w:type="dxa"/>
            <w:vAlign w:val="bottom"/>
            <w:gridSpan w:val="3"/>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9A.</w:t>
            </w:r>
          </w:p>
        </w:tc>
        <w:tc>
          <w:tcPr>
            <w:tcW w:w="8120" w:type="dxa"/>
            <w:vAlign w:val="bottom"/>
            <w:gridSpan w:val="20"/>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Controls and Procedures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9B.</w:t>
            </w:r>
          </w:p>
        </w:tc>
        <w:tc>
          <w:tcPr>
            <w:tcW w:w="1320" w:type="dxa"/>
            <w:vAlign w:val="bottom"/>
            <w:tcBorders>
              <w:top w:val="single" w:sz="8" w:color="0000EE"/>
            </w:tcBorders>
            <w:gridSpan w:val="7"/>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Other Information</w:t>
              </w:r>
            </w:hyperlink>
          </w:p>
        </w:tc>
        <w:tc>
          <w:tcPr>
            <w:tcW w:w="6800" w:type="dxa"/>
            <w:vAlign w:val="bottom"/>
            <w:gridSpan w:val="13"/>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227"/>
        </w:trPr>
        <w:tc>
          <w:tcPr>
            <w:tcW w:w="580" w:type="dxa"/>
            <w:vAlign w:val="bottom"/>
            <w:tcBorders>
              <w:bottom w:val="single" w:sz="8" w:color="0000EE"/>
            </w:tcBorders>
            <w:gridSpan w:val="4"/>
          </w:tcPr>
          <w:p>
            <w:pPr>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III.</w:t>
              </w:r>
            </w:hyperlink>
          </w:p>
        </w:tc>
        <w:tc>
          <w:tcPr>
            <w:tcW w:w="44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10.</w:t>
            </w:r>
          </w:p>
        </w:tc>
        <w:tc>
          <w:tcPr>
            <w:tcW w:w="8120" w:type="dxa"/>
            <w:vAlign w:val="bottom"/>
            <w:gridSpan w:val="20"/>
          </w:tcPr>
          <w:p>
            <w:pPr>
              <w:spacing w:after="0"/>
              <w:rPr>
                <w:rFonts w:ascii="Arial" w:cs="Arial" w:eastAsia="Arial" w:hAnsi="Arial"/>
                <w:sz w:val="13"/>
                <w:szCs w:val="13"/>
                <w:color w:val="0000EE"/>
              </w:rPr>
            </w:pPr>
            <w:hyperlink w:anchor="page70">
              <w:r>
                <w:rPr>
                  <w:rFonts w:ascii="Arial" w:cs="Arial" w:eastAsia="Arial" w:hAnsi="Arial"/>
                  <w:sz w:val="13"/>
                  <w:szCs w:val="13"/>
                  <w:color w:val="0000EE"/>
                </w:rPr>
                <w:t>Directors, Executive Officers and Corporate Governance</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11.</w:t>
            </w:r>
          </w:p>
        </w:tc>
        <w:tc>
          <w:tcPr>
            <w:tcW w:w="3040" w:type="dxa"/>
            <w:vAlign w:val="bottom"/>
            <w:tcBorders>
              <w:top w:val="single" w:sz="8" w:color="0000EE"/>
            </w:tcBorders>
            <w:gridSpan w:val="13"/>
          </w:tcPr>
          <w:p>
            <w:pPr>
              <w:spacing w:after="0"/>
              <w:rPr>
                <w:rFonts w:ascii="Arial" w:cs="Arial" w:eastAsia="Arial" w:hAnsi="Arial"/>
                <w:sz w:val="13"/>
                <w:szCs w:val="13"/>
                <w:color w:val="0000EE"/>
              </w:rPr>
            </w:pPr>
            <w:hyperlink w:anchor="page72">
              <w:r>
                <w:rPr>
                  <w:rFonts w:ascii="Arial" w:cs="Arial" w:eastAsia="Arial" w:hAnsi="Arial"/>
                  <w:sz w:val="13"/>
                  <w:szCs w:val="13"/>
                  <w:color w:val="0000EE"/>
                </w:rPr>
                <w:t>Executive Compensation</w:t>
              </w:r>
            </w:hyperlink>
          </w:p>
        </w:tc>
        <w:tc>
          <w:tcPr>
            <w:tcW w:w="5080" w:type="dxa"/>
            <w:vAlign w:val="bottom"/>
            <w:gridSpan w:val="7"/>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20"/>
        </w:trPr>
        <w:tc>
          <w:tcPr>
            <w:tcW w:w="5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12.</w:t>
            </w:r>
          </w:p>
        </w:tc>
        <w:tc>
          <w:tcPr>
            <w:tcW w:w="8120" w:type="dxa"/>
            <w:vAlign w:val="bottom"/>
            <w:gridSpan w:val="20"/>
          </w:tcPr>
          <w:p>
            <w:pPr>
              <w:spacing w:after="0"/>
              <w:rPr>
                <w:rFonts w:ascii="Arial" w:cs="Arial" w:eastAsia="Arial" w:hAnsi="Arial"/>
                <w:sz w:val="13"/>
                <w:szCs w:val="13"/>
                <w:color w:val="0000EE"/>
              </w:rPr>
            </w:pPr>
            <w:hyperlink w:anchor="page72">
              <w:r>
                <w:rPr>
                  <w:rFonts w:ascii="Arial" w:cs="Arial" w:eastAsia="Arial" w:hAnsi="Arial"/>
                  <w:sz w:val="13"/>
                  <w:szCs w:val="13"/>
                  <w:color w:val="0000EE"/>
                </w:rPr>
                <w:t>Security Ownership of Certain Beneficial Owners and Management and Related Stockholder Matters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13.</w:t>
            </w:r>
          </w:p>
        </w:tc>
        <w:tc>
          <w:tcPr>
            <w:tcW w:w="4060" w:type="dxa"/>
            <w:vAlign w:val="bottom"/>
            <w:tcBorders>
              <w:top w:val="single" w:sz="8" w:color="0000EE"/>
              <w:bottom w:val="single" w:sz="8" w:color="0000EE"/>
            </w:tcBorders>
            <w:gridSpan w:val="15"/>
          </w:tcPr>
          <w:p>
            <w:pPr>
              <w:spacing w:after="0"/>
              <w:rPr>
                <w:rFonts w:ascii="Arial" w:cs="Arial" w:eastAsia="Arial" w:hAnsi="Arial"/>
                <w:sz w:val="13"/>
                <w:szCs w:val="13"/>
                <w:color w:val="0000EE"/>
                <w:w w:val="91"/>
              </w:rPr>
            </w:pPr>
            <w:hyperlink w:anchor="page72">
              <w:r>
                <w:rPr>
                  <w:rFonts w:ascii="Arial" w:cs="Arial" w:eastAsia="Arial" w:hAnsi="Arial"/>
                  <w:sz w:val="13"/>
                  <w:szCs w:val="13"/>
                  <w:color w:val="0000EE"/>
                  <w:w w:val="91"/>
                </w:rPr>
                <w:t>Certain Relationships and Related Transactions, and Director Independence</w:t>
              </w:r>
            </w:hyperlink>
          </w:p>
        </w:tc>
        <w:tc>
          <w:tcPr>
            <w:tcW w:w="1360" w:type="dxa"/>
            <w:vAlign w:val="bottom"/>
            <w:tcBorders>
              <w:top w:val="single" w:sz="8" w:color="0000EE"/>
            </w:tcBorders>
            <w:gridSpan w:val="3"/>
          </w:tcPr>
          <w:p>
            <w:pPr>
              <w:spacing w:after="0"/>
              <w:rPr>
                <w:sz w:val="19"/>
                <w:szCs w:val="19"/>
                <w:color w:val="auto"/>
              </w:rPr>
            </w:pPr>
          </w:p>
        </w:tc>
        <w:tc>
          <w:tcPr>
            <w:tcW w:w="2700" w:type="dxa"/>
            <w:vAlign w:val="bottom"/>
            <w:gridSpan w:val="2"/>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227"/>
        </w:trPr>
        <w:tc>
          <w:tcPr>
            <w:tcW w:w="1020" w:type="dxa"/>
            <w:vAlign w:val="bottom"/>
            <w:gridSpan w:val="5"/>
          </w:tcPr>
          <w:p>
            <w:pPr>
              <w:spacing w:after="0"/>
              <w:rPr>
                <w:sz w:val="20"/>
                <w:szCs w:val="20"/>
                <w:color w:val="auto"/>
              </w:rPr>
            </w:pPr>
            <w:r>
              <w:rPr>
                <w:rFonts w:ascii="Arial" w:cs="Arial" w:eastAsia="Arial" w:hAnsi="Arial"/>
                <w:sz w:val="13"/>
                <w:szCs w:val="13"/>
                <w:color w:val="auto"/>
              </w:rPr>
              <w:t>Item 14.</w:t>
            </w:r>
          </w:p>
        </w:tc>
        <w:tc>
          <w:tcPr>
            <w:tcW w:w="8120" w:type="dxa"/>
            <w:vAlign w:val="bottom"/>
            <w:gridSpan w:val="20"/>
          </w:tcPr>
          <w:p>
            <w:pPr>
              <w:spacing w:after="0"/>
              <w:rPr>
                <w:rFonts w:ascii="Arial" w:cs="Arial" w:eastAsia="Arial" w:hAnsi="Arial"/>
                <w:sz w:val="13"/>
                <w:szCs w:val="13"/>
                <w:color w:val="0000EE"/>
              </w:rPr>
            </w:pPr>
            <w:hyperlink w:anchor="page72">
              <w:r>
                <w:rPr>
                  <w:rFonts w:ascii="Arial" w:cs="Arial" w:eastAsia="Arial" w:hAnsi="Arial"/>
                  <w:sz w:val="13"/>
                  <w:szCs w:val="13"/>
                  <w:color w:val="0000EE"/>
                </w:rPr>
                <w:t>Principal Accounting Fees and Services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227"/>
        </w:trPr>
        <w:tc>
          <w:tcPr>
            <w:tcW w:w="1020" w:type="dxa"/>
            <w:vAlign w:val="bottom"/>
            <w:gridSpan w:val="5"/>
          </w:tcPr>
          <w:p>
            <w:pPr>
              <w:spacing w:after="0"/>
              <w:rPr>
                <w:rFonts w:ascii="Arial" w:cs="Arial" w:eastAsia="Arial" w:hAnsi="Arial"/>
                <w:sz w:val="13"/>
                <w:szCs w:val="13"/>
                <w:b w:val="1"/>
                <w:bCs w:val="1"/>
                <w:color w:val="0000EE"/>
              </w:rPr>
            </w:pPr>
            <w:hyperlink w:anchor="page73">
              <w:r>
                <w:rPr>
                  <w:rFonts w:ascii="Arial" w:cs="Arial" w:eastAsia="Arial" w:hAnsi="Arial"/>
                  <w:sz w:val="13"/>
                  <w:szCs w:val="13"/>
                  <w:b w:val="1"/>
                  <w:bCs w:val="1"/>
                  <w:color w:val="0000EE"/>
                </w:rPr>
                <w:t>PART IV.</w:t>
              </w:r>
            </w:hyperlink>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227"/>
        </w:trPr>
        <w:tc>
          <w:tcPr>
            <w:tcW w:w="540" w:type="dxa"/>
            <w:vAlign w:val="bottom"/>
            <w:tcBorders>
              <w:top w:val="single" w:sz="8" w:color="0000EE"/>
            </w:tcBorders>
            <w:gridSpan w:val="3"/>
          </w:tcPr>
          <w:p>
            <w:pPr>
              <w:spacing w:after="0"/>
              <w:rPr>
                <w:sz w:val="20"/>
                <w:szCs w:val="20"/>
                <w:color w:val="auto"/>
              </w:rPr>
            </w:pPr>
            <w:r>
              <w:rPr>
                <w:rFonts w:ascii="Arial" w:cs="Arial" w:eastAsia="Arial" w:hAnsi="Arial"/>
                <w:sz w:val="13"/>
                <w:szCs w:val="13"/>
                <w:color w:val="auto"/>
              </w:rPr>
              <w:t>Item 15.</w:t>
            </w:r>
          </w:p>
        </w:tc>
        <w:tc>
          <w:tcPr>
            <w:tcW w:w="480" w:type="dxa"/>
            <w:vAlign w:val="bottom"/>
            <w:gridSpan w:val="2"/>
          </w:tcPr>
          <w:p>
            <w:pPr>
              <w:spacing w:after="0"/>
              <w:rPr>
                <w:sz w:val="19"/>
                <w:szCs w:val="19"/>
                <w:color w:val="auto"/>
              </w:rPr>
            </w:pPr>
          </w:p>
        </w:tc>
        <w:tc>
          <w:tcPr>
            <w:tcW w:w="8120" w:type="dxa"/>
            <w:vAlign w:val="bottom"/>
            <w:gridSpan w:val="20"/>
          </w:tcPr>
          <w:p>
            <w:pPr>
              <w:spacing w:after="0"/>
              <w:rPr>
                <w:rFonts w:ascii="Arial" w:cs="Arial" w:eastAsia="Arial" w:hAnsi="Arial"/>
                <w:sz w:val="13"/>
                <w:szCs w:val="13"/>
                <w:color w:val="0000EE"/>
              </w:rPr>
            </w:pPr>
            <w:hyperlink w:anchor="page73">
              <w:r>
                <w:rPr>
                  <w:rFonts w:ascii="Arial" w:cs="Arial" w:eastAsia="Arial" w:hAnsi="Arial"/>
                  <w:sz w:val="13"/>
                  <w:szCs w:val="13"/>
                  <w:color w:val="0000EE"/>
                </w:rPr>
                <w:t>Exhibits, Financial Statement Schedules</w:t>
              </w:r>
            </w:hyperlink>
          </w:p>
        </w:tc>
        <w:tc>
          <w:tcPr>
            <w:tcW w:w="22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28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Borders>
              <w:top w:val="single" w:sz="8" w:color="0000EE"/>
            </w:tcBorders>
            <w:gridSpan w:val="11"/>
          </w:tcPr>
          <w:p>
            <w:pPr>
              <w:spacing w:after="0"/>
              <w:rPr>
                <w:sz w:val="24"/>
                <w:szCs w:val="24"/>
                <w:color w:val="auto"/>
              </w:rPr>
            </w:pPr>
          </w:p>
        </w:tc>
        <w:tc>
          <w:tcPr>
            <w:tcW w:w="2640" w:type="dxa"/>
            <w:vAlign w:val="bottom"/>
            <w:gridSpan w:val="5"/>
          </w:tcPr>
          <w:p>
            <w:pPr>
              <w:jc w:val="right"/>
              <w:ind w:right="6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00"/>
          </w:cols>
          <w:pgMar w:left="220" w:top="384" w:right="2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PART I</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Company</w:t>
      </w:r>
    </w:p>
    <w:p>
      <w:pPr>
        <w:spacing w:after="0" w:line="78" w:lineRule="exact"/>
        <w:rPr>
          <w:sz w:val="20"/>
          <w:szCs w:val="20"/>
          <w:color w:val="auto"/>
        </w:rPr>
      </w:pPr>
    </w:p>
    <w:p>
      <w:pPr>
        <w:ind w:right="280"/>
        <w:spacing w:after="0" w:line="275" w:lineRule="auto"/>
        <w:rPr>
          <w:sz w:val="20"/>
          <w:szCs w:val="20"/>
          <w:color w:val="auto"/>
        </w:rPr>
      </w:pPr>
      <w:r>
        <w:rPr>
          <w:rFonts w:ascii="Arial" w:cs="Arial" w:eastAsia="Arial" w:hAnsi="Arial"/>
          <w:sz w:val="13"/>
          <w:szCs w:val="13"/>
          <w:color w:val="auto"/>
        </w:rPr>
        <w:t>Vera Bradley is a leading designer, producer, marketer, and retailer of stylish and highly functional accessories for women. Our products include a wide offering of handbags, accessories, and travel and leisure items. Over our 30-year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We generate net revenues by selling products through two reportable segments: Direct and Indirect. As of January 28, 2012, our Direct segment consisted of sales of Vera Bradley products through our 48 full-price stores, our eight outlet stores in the United States, seven pop-up stores in Japan, our websites, verabradley.com and verabradley.co.jp, and our annual outlet sale in Fort Wayne, Indiana. As of January 28, 2012, our Indirect segment consisted of sales of Vera Bradley products to approximately 3,300 specialty retailers, substantially all of which are located in the United States, as well as select national retailers and third party e-commerce sites. For financial information about our reportable segments, refer to Note 15 of the Notes to Consolidated Financial Statements set forth in Part II, “Item 8. Financial Statements and Supplementary Data,” of this report.</w:t>
      </w:r>
    </w:p>
    <w:p>
      <w:pPr>
        <w:spacing w:after="0" w:line="98"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color w:val="auto"/>
        </w:rPr>
        <w:t>Effective January 1, 2008, we changed our fiscal year to end on the Saturday closest to January 31. Our most recent fiscal years ended on January 28, 2012 (“fiscal 2012”), January 29, 2011 (“fiscal 2011”), and January 30, 2010 (“fiscal 2010”), and the current fiscal year will end on February 2, 2013 (“fiscal 2013”).</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Reorganization Transaction and Stock Split</w:t>
      </w:r>
    </w:p>
    <w:p>
      <w:pPr>
        <w:spacing w:after="0" w:line="78"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Vera Bradley, Inc. was formed as an Indiana corporation on June 23, 2010, for the purpose of reorganizing the corporate structure of Vera Bradley Designs, Inc., which was incorporated in Indiana on November 15, 1982.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 owned subsidiary of Vera Bradley, Inc.</w:t>
      </w:r>
    </w:p>
    <w:p>
      <w:pPr>
        <w:spacing w:after="0" w:line="85" w:lineRule="exact"/>
        <w:rPr>
          <w:sz w:val="20"/>
          <w:szCs w:val="20"/>
          <w:color w:val="auto"/>
        </w:rPr>
      </w:pPr>
    </w:p>
    <w:p>
      <w:pPr>
        <w:ind w:right="160"/>
        <w:spacing w:after="0" w:line="314" w:lineRule="auto"/>
        <w:rPr>
          <w:sz w:val="20"/>
          <w:szCs w:val="20"/>
          <w:color w:val="auto"/>
        </w:rPr>
      </w:pPr>
      <w:r>
        <w:rPr>
          <w:rFonts w:ascii="Arial" w:cs="Arial" w:eastAsia="Arial" w:hAnsi="Arial"/>
          <w:sz w:val="12"/>
          <w:szCs w:val="12"/>
          <w:color w:val="auto"/>
        </w:rPr>
        <w:t>The only significant asset of Vera Bradley, Inc. is its investment in Vera Bradley Designs, Inc., and all of our operations are conducted through Vera Bradley Designs, Inc. Except where context requires or where otherwise indicated, the terms “Company,” “Vera Bradley,” “we,” “our,” and “us”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00"/>
          </w:cols>
          <w:pgMar w:left="220" w:top="384" w:right="2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History</w:t>
      </w:r>
    </w:p>
    <w:p>
      <w:pPr>
        <w:spacing w:after="0" w:line="78"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Barbara Bradley Baekgaard and Patricia Miller founded the Company in 1982 in Fort Wayne, Indiana, after recognizing a lack of stylish travel accessories in the market. Within weeks, the friends created Vera Bradley, named after Barbara’s mother, and began manufacturing and marketing their distinctive products. The founders, together with the executive management team, have been instrumental in our growth and success. The following timeline sets forth a summary of significant milestones in Vera Bradley’s history:</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1982</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Barbara Bradley Baekgaard and Patricia Miller launched Vera Bradley by introducing three products: the handbag, the sports bag, and the duffel bag.</w:t>
            </w:r>
          </w:p>
        </w:tc>
      </w:tr>
      <w:tr>
        <w:trPr>
          <w:trHeight w:val="216"/>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1987</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We relocated to our current headquarters in Fort Wayne, Indiana. Ernst &amp; Young honored our Co-Founders with an “Entrepreneur of the Year” award.</w:t>
            </w:r>
          </w:p>
        </w:tc>
      </w:tr>
      <w:tr>
        <w:trPr>
          <w:trHeight w:val="209"/>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1991</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w w:val="94"/>
              </w:rPr>
              <w:t>To accommodate the increasing number of attendees, we relocated our annual outlet sale from a tent in our parking lot to its present location at the Allen County War Memorial</w:t>
            </w:r>
          </w:p>
        </w:tc>
      </w:tr>
      <w:tr>
        <w:trPr>
          <w:trHeight w:val="17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60" w:type="dxa"/>
            <w:vAlign w:val="bottom"/>
          </w:tcPr>
          <w:p>
            <w:pPr>
              <w:ind w:left="120"/>
              <w:spacing w:after="0"/>
              <w:rPr>
                <w:sz w:val="20"/>
                <w:szCs w:val="20"/>
                <w:color w:val="auto"/>
              </w:rPr>
            </w:pPr>
            <w:r>
              <w:rPr>
                <w:rFonts w:ascii="Arial" w:cs="Arial" w:eastAsia="Arial" w:hAnsi="Arial"/>
                <w:sz w:val="13"/>
                <w:szCs w:val="13"/>
                <w:color w:val="auto"/>
              </w:rPr>
              <w:t>Coliseum in Fort Wayne, Indiana.</w:t>
            </w:r>
          </w:p>
        </w:tc>
      </w:tr>
      <w:tr>
        <w:trPr>
          <w:trHeight w:val="216"/>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1998</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We founded our primary philanthropy, the Vera Bradley Foundation for Breast Cancer.</w:t>
            </w:r>
          </w:p>
        </w:tc>
      </w:tr>
      <w:tr>
        <w:trPr>
          <w:trHeight w:val="216"/>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1999</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Our products were being sold in all 50 states through Indirect retailers.</w:t>
            </w:r>
          </w:p>
        </w:tc>
      </w:tr>
      <w:tr>
        <w:trPr>
          <w:trHeight w:val="209"/>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2005</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w w:val="92"/>
              </w:rPr>
              <w:t>We launched the Vera Bradley Visual Merchandising Program, providing retailers a framework for presenting the brand and merchandising our products in a consistent manner. In</w:t>
            </w:r>
          </w:p>
        </w:tc>
      </w:tr>
      <w:tr>
        <w:trPr>
          <w:trHeight w:val="17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60" w:type="dxa"/>
            <w:vAlign w:val="bottom"/>
          </w:tcPr>
          <w:p>
            <w:pPr>
              <w:ind w:left="120"/>
              <w:spacing w:after="0"/>
              <w:rPr>
                <w:sz w:val="20"/>
                <w:szCs w:val="20"/>
                <w:color w:val="auto"/>
              </w:rPr>
            </w:pPr>
            <w:r>
              <w:rPr>
                <w:rFonts w:ascii="Arial" w:cs="Arial" w:eastAsia="Arial" w:hAnsi="Arial"/>
                <w:sz w:val="13"/>
                <w:szCs w:val="13"/>
                <w:color w:val="auto"/>
              </w:rPr>
              <w:t>addition, we launched a series of strategic initiatives to build a foundation for future growth.</w:t>
            </w:r>
          </w:p>
        </w:tc>
      </w:tr>
      <w:tr>
        <w:trPr>
          <w:trHeight w:val="216"/>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2006</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We launched our e-commerce business through our website, verabradley.com.</w:t>
            </w:r>
          </w:p>
        </w:tc>
      </w:tr>
      <w:tr>
        <w:trPr>
          <w:trHeight w:val="209"/>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2007</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w w:val="93"/>
              </w:rPr>
              <w:t>We opened a state-of-the-art warehouse and distribution facility in Roanoke, Indiana. In mid-September, we also opened our first store at the Natick Collection, in greater Boston,</w:t>
            </w:r>
          </w:p>
        </w:tc>
      </w:tr>
      <w:tr>
        <w:trPr>
          <w:trHeight w:val="17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60" w:type="dxa"/>
            <w:vAlign w:val="bottom"/>
          </w:tcPr>
          <w:p>
            <w:pPr>
              <w:ind w:left="120"/>
              <w:spacing w:after="0"/>
              <w:rPr>
                <w:sz w:val="20"/>
                <w:szCs w:val="20"/>
                <w:color w:val="auto"/>
              </w:rPr>
            </w:pPr>
            <w:r>
              <w:rPr>
                <w:rFonts w:ascii="Arial" w:cs="Arial" w:eastAsia="Arial" w:hAnsi="Arial"/>
                <w:sz w:val="13"/>
                <w:szCs w:val="13"/>
                <w:color w:val="auto"/>
              </w:rPr>
              <w:t>and opened six additional stores later in the year.</w:t>
            </w:r>
          </w:p>
        </w:tc>
      </w:tr>
      <w:tr>
        <w:trPr>
          <w:trHeight w:val="216"/>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2008</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We transitioned from using an independent sales force to a sales force comprised entirely of in-house, full-time employees. We opened fourteen additional stores.</w:t>
            </w:r>
          </w:p>
        </w:tc>
      </w:tr>
      <w:tr>
        <w:trPr>
          <w:trHeight w:val="216"/>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2009</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We opened five additional stores, and in early November, we opened our first outlet store at Chicago Premium Outlets in Aurora, Illinois.</w:t>
            </w:r>
          </w:p>
        </w:tc>
      </w:tr>
      <w:tr>
        <w:trPr>
          <w:trHeight w:val="216"/>
        </w:trPr>
        <w:tc>
          <w:tcPr>
            <w:tcW w:w="460" w:type="dxa"/>
            <w:vAlign w:val="bottom"/>
          </w:tcPr>
          <w:p>
            <w:pPr>
              <w:jc w:val="right"/>
              <w:ind w:right="113"/>
              <w:spacing w:after="0"/>
              <w:rPr>
                <w:sz w:val="20"/>
                <w:szCs w:val="20"/>
                <w:color w:val="auto"/>
              </w:rPr>
            </w:pPr>
            <w:r>
              <w:rPr>
                <w:rFonts w:ascii="Arial" w:cs="Arial" w:eastAsia="Arial" w:hAnsi="Arial"/>
                <w:sz w:val="13"/>
                <w:szCs w:val="13"/>
                <w:color w:val="auto"/>
                <w:w w:val="89"/>
              </w:rPr>
              <w:t>2010</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rPr>
              <w:t>We opened a design office in New York City as well as nine additional full-price stores and three additional outlet stores, and we completed our initial public offering.</w:t>
            </w:r>
          </w:p>
        </w:tc>
      </w:tr>
      <w:tr>
        <w:trPr>
          <w:trHeight w:val="209"/>
        </w:trPr>
        <w:tc>
          <w:tcPr>
            <w:tcW w:w="460" w:type="dxa"/>
            <w:vAlign w:val="bottom"/>
          </w:tcPr>
          <w:p>
            <w:pPr>
              <w:jc w:val="right"/>
              <w:ind w:right="133"/>
              <w:spacing w:after="0"/>
              <w:rPr>
                <w:sz w:val="20"/>
                <w:szCs w:val="20"/>
                <w:color w:val="auto"/>
              </w:rPr>
            </w:pPr>
            <w:r>
              <w:rPr>
                <w:rFonts w:ascii="Arial" w:cs="Arial" w:eastAsia="Arial" w:hAnsi="Arial"/>
                <w:sz w:val="13"/>
                <w:szCs w:val="13"/>
                <w:color w:val="auto"/>
                <w:w w:val="82"/>
              </w:rPr>
              <w:t>2011</w:t>
            </w: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9660" w:type="dxa"/>
            <w:vAlign w:val="bottom"/>
          </w:tcPr>
          <w:p>
            <w:pPr>
              <w:ind w:left="120"/>
              <w:spacing w:after="0"/>
              <w:rPr>
                <w:sz w:val="20"/>
                <w:szCs w:val="20"/>
                <w:color w:val="auto"/>
              </w:rPr>
            </w:pPr>
            <w:r>
              <w:rPr>
                <w:rFonts w:ascii="Arial" w:cs="Arial" w:eastAsia="Arial" w:hAnsi="Arial"/>
                <w:sz w:val="13"/>
                <w:szCs w:val="13"/>
                <w:color w:val="auto"/>
                <w:w w:val="94"/>
              </w:rPr>
              <w:t>We entered the Japanese market, opened the Vera Bradley Design Center in Roanoke, Indiana, began the 200,000 square-foot expansion of the distribution facility in Roanoke,</w:t>
            </w:r>
          </w:p>
        </w:tc>
      </w:tr>
      <w:tr>
        <w:trPr>
          <w:trHeight w:val="17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60" w:type="dxa"/>
            <w:vAlign w:val="bottom"/>
          </w:tcPr>
          <w:p>
            <w:pPr>
              <w:ind w:left="120"/>
              <w:spacing w:after="0"/>
              <w:rPr>
                <w:sz w:val="20"/>
                <w:szCs w:val="20"/>
                <w:color w:val="auto"/>
              </w:rPr>
            </w:pPr>
            <w:r>
              <w:rPr>
                <w:rFonts w:ascii="Arial" w:cs="Arial" w:eastAsia="Arial" w:hAnsi="Arial"/>
                <w:sz w:val="13"/>
                <w:szCs w:val="13"/>
                <w:color w:val="auto"/>
              </w:rPr>
              <w:t>Indiana, launched our products in 65 Dillard’s locations, and opened thirteen additional full-price stores and four additional outlet stores.</w:t>
            </w:r>
          </w:p>
        </w:tc>
      </w:tr>
    </w:tbl>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passion for design and customer service established by our founders has driven our growth over the past 30 years and remains the cornerstone of Vera Bradley today. As Chief Creative Officer, Ms. Bradley Baekgaard continues to play a role in the team responsible for our day-to-day creative functions, including product development and store design. As our National Spokesperson, Ms. Miller continues to play a role representing the brand at events, business and community functions, and philanthropic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Evolution of Our Business</w:t>
      </w:r>
    </w:p>
    <w:p>
      <w:pPr>
        <w:spacing w:after="0" w:line="78" w:lineRule="exact"/>
        <w:rPr>
          <w:sz w:val="20"/>
          <w:szCs w:val="20"/>
          <w:color w:val="auto"/>
        </w:rPr>
      </w:pPr>
    </w:p>
    <w:p>
      <w:pPr>
        <w:ind w:right="280"/>
        <w:spacing w:after="0" w:line="339" w:lineRule="auto"/>
        <w:rPr>
          <w:sz w:val="20"/>
          <w:szCs w:val="20"/>
          <w:color w:val="auto"/>
        </w:rPr>
      </w:pPr>
      <w:r>
        <w:rPr>
          <w:rFonts w:ascii="Arial" w:cs="Arial" w:eastAsia="Arial" w:hAnsi="Arial"/>
          <w:sz w:val="12"/>
          <w:szCs w:val="12"/>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included the following:</w:t>
      </w:r>
    </w:p>
    <w:p>
      <w:pPr>
        <w:spacing w:after="0" w:line="1" w:lineRule="exact"/>
        <w:rPr>
          <w:sz w:val="20"/>
          <w:szCs w:val="20"/>
          <w:color w:val="auto"/>
        </w:rPr>
      </w:pPr>
    </w:p>
    <w:p>
      <w:pPr>
        <w:ind w:right="300"/>
        <w:spacing w:after="0" w:line="298" w:lineRule="auto"/>
        <w:rPr>
          <w:sz w:val="20"/>
          <w:szCs w:val="20"/>
          <w:color w:val="auto"/>
        </w:rPr>
      </w:pPr>
      <w:r>
        <w:rPr>
          <w:rFonts w:ascii="Arial" w:cs="Arial" w:eastAsia="Arial" w:hAnsi="Arial"/>
          <w:sz w:val="13"/>
          <w:szCs w:val="13"/>
          <w:i w:val="1"/>
          <w:iCs w:val="1"/>
          <w:color w:val="auto"/>
        </w:rPr>
        <w:t>Merchandising Strategy</w:t>
      </w:r>
      <w:r>
        <w:rPr>
          <w:rFonts w:ascii="Arial" w:cs="Arial" w:eastAsia="Arial" w:hAnsi="Arial"/>
          <w:sz w:val="13"/>
          <w:szCs w:val="13"/>
          <w:color w:val="auto"/>
        </w:rPr>
        <w:t>. To appeal to a broader range of consumers, we developed a mix of pattern and product offerings specifically targeted at different consumer demographics, refined our product release</w:t>
      </w:r>
      <w:r>
        <w:rPr>
          <w:rFonts w:ascii="Arial" w:cs="Arial" w:eastAsia="Arial" w:hAnsi="Arial"/>
          <w:sz w:val="13"/>
          <w:szCs w:val="13"/>
          <w:i w:val="1"/>
          <w:iCs w:val="1"/>
          <w:color w:val="auto"/>
        </w:rPr>
        <w:t xml:space="preserve"> </w:t>
      </w:r>
      <w:r>
        <w:rPr>
          <w:rFonts w:ascii="Arial" w:cs="Arial" w:eastAsia="Arial" w:hAnsi="Arial"/>
          <w:sz w:val="13"/>
          <w:szCs w:val="13"/>
          <w:color w:val="auto"/>
        </w:rPr>
        <w:t>strategy to</w:t>
      </w: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60"/>
          </w:cols>
          <w:pgMar w:left="220" w:top="384" w:right="3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 In fiscal 2012, we established a dedicated merchant function and elevated the role of marketing to work more collaboratively with the design team to continue improving our process of bringing products to market.</w:t>
      </w:r>
    </w:p>
    <w:p>
      <w:pPr>
        <w:spacing w:after="0" w:line="91" w:lineRule="exact"/>
        <w:rPr>
          <w:sz w:val="20"/>
          <w:szCs w:val="20"/>
          <w:color w:val="auto"/>
        </w:rPr>
      </w:pPr>
    </w:p>
    <w:p>
      <w:pPr>
        <w:ind w:right="140"/>
        <w:spacing w:after="0" w:line="314" w:lineRule="auto"/>
        <w:rPr>
          <w:sz w:val="20"/>
          <w:szCs w:val="20"/>
          <w:color w:val="auto"/>
        </w:rPr>
      </w:pPr>
      <w:r>
        <w:rPr>
          <w:rFonts w:ascii="Arial" w:cs="Arial" w:eastAsia="Arial" w:hAnsi="Arial"/>
          <w:sz w:val="12"/>
          <w:szCs w:val="12"/>
          <w:i w:val="1"/>
          <w:iCs w:val="1"/>
          <w:color w:val="auto"/>
        </w:rPr>
        <w:t>Multi-Channel Distribution Capability</w:t>
      </w:r>
      <w:r>
        <w:rPr>
          <w:rFonts w:ascii="Arial" w:cs="Arial" w:eastAsia="Arial" w:hAnsi="Arial"/>
          <w:sz w:val="12"/>
          <w:szCs w:val="12"/>
          <w:color w:val="auto"/>
        </w:rPr>
        <w:t>. In 2006, we initiated a Direct channel strategy that was designed to expand our brand presence and broaden our consumer demographic while complementing the growing</w:t>
      </w:r>
      <w:r>
        <w:rPr>
          <w:rFonts w:ascii="Arial" w:cs="Arial" w:eastAsia="Arial" w:hAnsi="Arial"/>
          <w:sz w:val="12"/>
          <w:szCs w:val="12"/>
          <w:i w:val="1"/>
          <w:iCs w:val="1"/>
          <w:color w:val="auto"/>
        </w:rPr>
        <w:t xml:space="preserve"> </w:t>
      </w:r>
      <w:r>
        <w:rPr>
          <w:rFonts w:ascii="Arial" w:cs="Arial" w:eastAsia="Arial" w:hAnsi="Arial"/>
          <w:sz w:val="12"/>
          <w:szCs w:val="12"/>
          <w:color w:val="auto"/>
        </w:rPr>
        <w:t>Indirect segment of our business. The first step in establishing the Direct segment of our business was selling directly to consumers through verabradley.com beginning in 2006. In September 2007, we opened our first full-price store. In fiscal 2012, we had more than 43 million visits to verabradley.com, and as of January 28, 2012, we operated 48 full-price stores and eight outlet stores, and entered the Japanese market.</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3"/>
          <w:szCs w:val="13"/>
          <w:i w:val="1"/>
          <w:iCs w:val="1"/>
          <w:color w:val="auto"/>
        </w:rPr>
        <w:t>Infrastructure Investment</w:t>
      </w:r>
      <w:r>
        <w:rPr>
          <w:rFonts w:ascii="Arial" w:cs="Arial" w:eastAsia="Arial" w:hAnsi="Arial"/>
          <w:sz w:val="13"/>
          <w:szCs w:val="13"/>
          <w:color w:val="auto"/>
        </w:rPr>
        <w:t>. Beginning in 2005, we made a series of investments to strengthen our supply chain capabilities, information systems, and product development processes, resulting in substantial cost</w:t>
      </w:r>
      <w:r>
        <w:rPr>
          <w:rFonts w:ascii="Arial" w:cs="Arial" w:eastAsia="Arial" w:hAnsi="Arial"/>
          <w:sz w:val="13"/>
          <w:szCs w:val="13"/>
          <w:i w:val="1"/>
          <w:iCs w:val="1"/>
          <w:color w:val="auto"/>
        </w:rPr>
        <w:t xml:space="preserve"> </w:t>
      </w:r>
      <w:r>
        <w:rPr>
          <w:rFonts w:ascii="Arial" w:cs="Arial" w:eastAsia="Arial" w:hAnsi="Arial"/>
          <w:sz w:val="13"/>
          <w:szCs w:val="13"/>
          <w:color w:val="auto"/>
        </w:rPr>
        <w:t>savings and a more flexible and scalable operating structure. During this period, we shifted our production from a primarily domestic manufacturing model to a more cost-effective global sourcing platform. In 2007, we opened a state-of-the-art warehouse and distribution facility in Roanoke, Indiana, which will be expanded in fiscal 2013.</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Brand</w:t>
      </w:r>
    </w:p>
    <w:p>
      <w:pPr>
        <w:spacing w:after="0" w:line="78"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For over 30 years, we have created, developed, and solidified a true lifestyle brand that resonates with a broad range of female consumers. Our brand vision is accessible luxury that inspires a casual, fun, and family-oriented lifestyle. Employees, family members,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 each year.</w:t>
      </w:r>
    </w:p>
    <w:p>
      <w:pPr>
        <w:spacing w:after="0" w:line="82"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We have positioned our brand to highlight the high quality, distinctive and vibrant styling, and functional design of our products. At the same time, our frequent releases of new patterns and styles keep the brand fresh, inspire our customers to express their individuality and sense of style in a colorful way, and encourage multiple purchases. We also provide consumers a consistently fresh set of patterns, styles, and products from which to choose that fit with different ages, wardrobes, seasons, and personalities.</w:t>
      </w:r>
    </w:p>
    <w:p>
      <w:pPr>
        <w:spacing w:after="0" w:line="91"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We also offer a broad assortment of products that meets our customers’ different functional needs, including: handbags such as purses, totes, and specialty bags; accessories such as wallets, ID cases, and eyewear; and travel and leisure items such as weekend bags, duffel bags, and garment bags. We believe this combination of patterns, styles, and products allows us to appeal to all age brackets, including teens, young women, mothers, and grandmothers. Although our customers represent a broad range of demographic segments, our market research has shown that they generally have a common attitude toward the brand: Vera Bradley is a colorful way of allowing them to express their individuality and sense of style.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Competitive Strengths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We believe the following competitive strengths differentiate us within the marketplace and provide a strong foundation for our future growth:</w:t>
      </w:r>
    </w:p>
    <w:p>
      <w:pPr>
        <w:spacing w:after="0" w:line="76"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i w:val="1"/>
          <w:iCs w:val="1"/>
          <w:color w:val="auto"/>
        </w:rPr>
        <w:t xml:space="preserve">Strong Brand Identity and Positioning. </w:t>
      </w:r>
      <w:r>
        <w:rPr>
          <w:rFonts w:ascii="Arial" w:cs="Arial" w:eastAsia="Arial" w:hAnsi="Arial"/>
          <w:sz w:val="13"/>
          <w:szCs w:val="13"/>
          <w:color w:val="auto"/>
        </w:rPr>
        <w:t>We believe the Vera Bradley brand is highly recognized for its distinctive and vibrant style. Vera Bradley is positioned in the market as a lifestyle brand that inspires</w:t>
      </w:r>
      <w:r>
        <w:rPr>
          <w:rFonts w:ascii="Arial" w:cs="Arial" w:eastAsia="Arial" w:hAnsi="Arial"/>
          <w:sz w:val="13"/>
          <w:szCs w:val="13"/>
          <w:i w:val="1"/>
          <w:iCs w:val="1"/>
          <w:color w:val="auto"/>
        </w:rPr>
        <w:t xml:space="preserve"> </w:t>
      </w:r>
      <w:r>
        <w:rPr>
          <w:rFonts w:ascii="Arial" w:cs="Arial" w:eastAsia="Arial" w:hAnsi="Arial"/>
          <w:sz w:val="13"/>
          <w:szCs w:val="13"/>
          <w:color w:val="auto"/>
        </w:rPr>
        <w:t>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384" w:right="21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line="343" w:lineRule="auto"/>
        <w:rPr>
          <w:sz w:val="20"/>
          <w:szCs w:val="20"/>
          <w:color w:val="auto"/>
        </w:rPr>
      </w:pPr>
      <w:r>
        <w:rPr>
          <w:rFonts w:ascii="Arial" w:cs="Arial" w:eastAsia="Arial" w:hAnsi="Arial"/>
          <w:sz w:val="12"/>
          <w:szCs w:val="12"/>
          <w:i w:val="1"/>
          <w:iCs w:val="1"/>
          <w:color w:val="auto"/>
        </w:rPr>
        <w:t xml:space="preserve">Exceptional Customer Loyalty. </w:t>
      </w:r>
      <w:r>
        <w:rPr>
          <w:rFonts w:ascii="Arial" w:cs="Arial" w:eastAsia="Arial" w:hAnsi="Arial"/>
          <w:sz w:val="12"/>
          <w:szCs w:val="12"/>
          <w:color w:val="auto"/>
        </w:rPr>
        <w:t>We believe that, as consumers become familiar with the Vera Bradley brand and begin using our products, they become loyal and enthusiastic brand advocates. We believe enthusiasm</w:t>
      </w:r>
      <w:r>
        <w:rPr>
          <w:rFonts w:ascii="Arial" w:cs="Arial" w:eastAsia="Arial" w:hAnsi="Arial"/>
          <w:sz w:val="12"/>
          <w:szCs w:val="12"/>
          <w:i w:val="1"/>
          <w:iCs w:val="1"/>
          <w:color w:val="auto"/>
        </w:rPr>
        <w:t xml:space="preserve"> </w:t>
      </w:r>
      <w:r>
        <w:rPr>
          <w:rFonts w:ascii="Arial" w:cs="Arial" w:eastAsia="Arial" w:hAnsi="Arial"/>
          <w:sz w:val="12"/>
          <w:szCs w:val="12"/>
          <w:color w:val="auto"/>
        </w:rPr>
        <w:t>for our brand inspires repeat purchases and helps us expand our customer base. Our customers often purchase our products as gifts for family members and friends, who, in turn, become loyal customers.</w:t>
      </w:r>
    </w:p>
    <w:p>
      <w:pPr>
        <w:spacing w:after="0" w:line="58"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i w:val="1"/>
          <w:iCs w:val="1"/>
          <w:color w:val="auto"/>
        </w:rPr>
        <w:t xml:space="preserve">Product Development Expertise. </w:t>
      </w:r>
      <w:r>
        <w:rPr>
          <w:rFonts w:ascii="Arial" w:cs="Arial" w:eastAsia="Arial" w:hAnsi="Arial"/>
          <w:sz w:val="13"/>
          <w:szCs w:val="13"/>
          <w:color w:val="auto"/>
        </w:rPr>
        <w:t>Our product development team combines an understanding of consumer preferences with a knowledge of color, fashion, and style trends to design our products. Our highly creative</w:t>
      </w:r>
      <w:r>
        <w:rPr>
          <w:rFonts w:ascii="Arial" w:cs="Arial" w:eastAsia="Arial" w:hAnsi="Arial"/>
          <w:sz w:val="13"/>
          <w:szCs w:val="13"/>
          <w:i w:val="1"/>
          <w:iCs w:val="1"/>
          <w:color w:val="auto"/>
        </w:rPr>
        <w:t xml:space="preserve"> </w:t>
      </w:r>
      <w:r>
        <w:rPr>
          <w:rFonts w:ascii="Arial" w:cs="Arial" w:eastAsia="Arial" w:hAnsi="Arial"/>
          <w:sz w:val="13"/>
          <w:szCs w:val="13"/>
          <w:color w:val="auto"/>
        </w:rPr>
        <w:t>design associates utilize a disciplined product design process that seeks to maximize the productivity of our product releases and drive consumer demand.</w:t>
      </w:r>
    </w:p>
    <w:p>
      <w:pPr>
        <w:spacing w:after="0" w:line="81" w:lineRule="exact"/>
        <w:rPr>
          <w:sz w:val="20"/>
          <w:szCs w:val="20"/>
          <w:color w:val="auto"/>
        </w:rPr>
      </w:pPr>
    </w:p>
    <w:p>
      <w:pPr>
        <w:ind w:right="220"/>
        <w:spacing w:after="0" w:line="281" w:lineRule="auto"/>
        <w:rPr>
          <w:sz w:val="20"/>
          <w:szCs w:val="20"/>
          <w:color w:val="auto"/>
        </w:rPr>
      </w:pPr>
      <w:r>
        <w:rPr>
          <w:rFonts w:ascii="Arial" w:cs="Arial" w:eastAsia="Arial" w:hAnsi="Arial"/>
          <w:sz w:val="13"/>
          <w:szCs w:val="13"/>
          <w:i w:val="1"/>
          <w:iCs w:val="1"/>
          <w:color w:val="auto"/>
        </w:rPr>
        <w:t xml:space="preserve">Dynamic Multi-Channel Distribution Model. </w:t>
      </w:r>
      <w:r>
        <w:rPr>
          <w:rFonts w:ascii="Arial" w:cs="Arial" w:eastAsia="Arial" w:hAnsi="Arial"/>
          <w:sz w:val="13"/>
          <w:szCs w:val="13"/>
          <w:color w:val="auto"/>
        </w:rPr>
        <w:t>We offer our products through a diverse choice of shopping options across channels that are intimate, highly shop-able, fun, and characteristic of our brand. Whether</w:t>
      </w:r>
      <w:r>
        <w:rPr>
          <w:rFonts w:ascii="Arial" w:cs="Arial" w:eastAsia="Arial" w:hAnsi="Arial"/>
          <w:sz w:val="13"/>
          <w:szCs w:val="13"/>
          <w:i w:val="1"/>
          <w:iCs w:val="1"/>
          <w:color w:val="auto"/>
        </w:rPr>
        <w:t xml:space="preserve"> </w:t>
      </w:r>
      <w:r>
        <w:rPr>
          <w:rFonts w:ascii="Arial" w:cs="Arial" w:eastAsia="Arial" w:hAnsi="Arial"/>
          <w:sz w:val="13"/>
          <w:szCs w:val="13"/>
          <w:color w:val="auto"/>
        </w:rPr>
        <w:t>they are at a Vera Bradley store, a specialty retail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9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i w:val="1"/>
          <w:iCs w:val="1"/>
          <w:color w:val="auto"/>
        </w:rPr>
        <w:t xml:space="preserve">Established Network of Indirect Retailers. </w:t>
      </w:r>
      <w:r>
        <w:rPr>
          <w:rFonts w:ascii="Arial" w:cs="Arial" w:eastAsia="Arial" w:hAnsi="Arial"/>
          <w:sz w:val="13"/>
          <w:szCs w:val="13"/>
          <w:color w:val="auto"/>
        </w:rPr>
        <w:t>Our Indirect business consists of an established and diverse network of over 3,300 specialty retailers. This channel of gift, apparel and accessories, travel,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specialty retailers, located throughout the United States, provides a strong foundation for our growth. Our Indirect retailers include some of the brand’s strongest advocates, and their passion has been instrumental in the development of our brand.</w:t>
      </w:r>
    </w:p>
    <w:p>
      <w:pPr>
        <w:spacing w:after="0" w:line="91"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i w:val="1"/>
          <w:iCs w:val="1"/>
          <w:color w:val="auto"/>
        </w:rPr>
        <w:t xml:space="preserve">Distinctive Retail Stores. </w:t>
      </w:r>
      <w:r>
        <w:rPr>
          <w:rFonts w:ascii="Arial" w:cs="Arial" w:eastAsia="Arial" w:hAnsi="Arial"/>
          <w:sz w:val="13"/>
          <w:szCs w:val="13"/>
          <w:color w:val="auto"/>
        </w:rPr>
        <w:t>Our stores provide a shopping experience that is uniquely “Vera Bradley.” We bring the Vera Bradley brand to life in our stores through visual presentation of our wide range of product</w:t>
      </w:r>
      <w:r>
        <w:rPr>
          <w:rFonts w:ascii="Arial" w:cs="Arial" w:eastAsia="Arial" w:hAnsi="Arial"/>
          <w:sz w:val="13"/>
          <w:szCs w:val="13"/>
          <w:i w:val="1"/>
          <w:iCs w:val="1"/>
          <w:color w:val="auto"/>
        </w:rPr>
        <w:t xml:space="preserve"> </w:t>
      </w:r>
      <w:r>
        <w:rPr>
          <w:rFonts w:ascii="Arial" w:cs="Arial" w:eastAsia="Arial" w:hAnsi="Arial"/>
          <w:sz w:val="13"/>
          <w:szCs w:val="13"/>
          <w:color w:val="auto"/>
        </w:rPr>
        <w:t>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91"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i w:val="1"/>
          <w:iCs w:val="1"/>
          <w:color w:val="auto"/>
        </w:rPr>
        <w:t xml:space="preserve">Unique Company Culture. </w:t>
      </w:r>
      <w:r>
        <w:rPr>
          <w:rFonts w:ascii="Arial" w:cs="Arial" w:eastAsia="Arial" w:hAnsi="Arial"/>
          <w:sz w:val="13"/>
          <w:szCs w:val="13"/>
          <w:color w:val="auto"/>
        </w:rPr>
        <w:t>We were founded in 1982 by two friends, Barbara Bradley Baekgaard and Patricia Miller, who built our company around their passion for design and commitment to customer service. We</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95" w:lineRule="exact"/>
        <w:rPr>
          <w:sz w:val="20"/>
          <w:szCs w:val="20"/>
          <w:color w:val="auto"/>
        </w:rPr>
      </w:pPr>
    </w:p>
    <w:p>
      <w:pPr>
        <w:ind w:right="120"/>
        <w:spacing w:after="0" w:line="343" w:lineRule="auto"/>
        <w:rPr>
          <w:sz w:val="20"/>
          <w:szCs w:val="20"/>
          <w:color w:val="auto"/>
        </w:rPr>
      </w:pPr>
      <w:r>
        <w:rPr>
          <w:rFonts w:ascii="Arial" w:cs="Arial" w:eastAsia="Arial" w:hAnsi="Arial"/>
          <w:sz w:val="12"/>
          <w:szCs w:val="12"/>
          <w:i w:val="1"/>
          <w:iCs w:val="1"/>
          <w:color w:val="auto"/>
        </w:rPr>
        <w:t xml:space="preserve">Experienced Management Team. </w:t>
      </w:r>
      <w:r>
        <w:rPr>
          <w:rFonts w:ascii="Arial" w:cs="Arial" w:eastAsia="Arial" w:hAnsi="Arial"/>
          <w:sz w:val="12"/>
          <w:szCs w:val="12"/>
          <w:color w:val="auto"/>
        </w:rPr>
        <w:t>Our senior management team led by Michael C. Ray, our Chief Executive Officer, has extensive experience across a diverse range of disciplines in product design, merchandising,</w:t>
      </w:r>
      <w:r>
        <w:rPr>
          <w:rFonts w:ascii="Arial" w:cs="Arial" w:eastAsia="Arial" w:hAnsi="Arial"/>
          <w:sz w:val="12"/>
          <w:szCs w:val="12"/>
          <w:i w:val="1"/>
          <w:iCs w:val="1"/>
          <w:color w:val="auto"/>
        </w:rPr>
        <w:t xml:space="preserve"> </w:t>
      </w:r>
      <w:r>
        <w:rPr>
          <w:rFonts w:ascii="Arial" w:cs="Arial" w:eastAsia="Arial" w:hAnsi="Arial"/>
          <w:sz w:val="12"/>
          <w:szCs w:val="12"/>
          <w:color w:val="auto"/>
        </w:rPr>
        <w:t>marketing, store development, supply chain management, and finance. The current management team has been instrumental in the development and execution of our long-term strategies.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Growth Strategies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We believe there are significant opportunities to expand our business and increase our net revenues and net income through the execution of the following growth strategies:</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i w:val="1"/>
          <w:iCs w:val="1"/>
          <w:color w:val="auto"/>
        </w:rPr>
        <w:t xml:space="preserve">Grow in Underpenetrated Markets. </w:t>
      </w:r>
      <w:r>
        <w:rPr>
          <w:rFonts w:ascii="Arial" w:cs="Arial" w:eastAsia="Arial" w:hAnsi="Arial"/>
          <w:sz w:val="13"/>
          <w:szCs w:val="13"/>
          <w:color w:val="auto"/>
        </w:rPr>
        <w:t>Our historic growth focused primarily on the eastern United States, and accordingly, the Vera Bradley brand is most recognized in that region. In recent years, we have</w:t>
      </w:r>
      <w:r>
        <w:rPr>
          <w:rFonts w:ascii="Arial" w:cs="Arial" w:eastAsia="Arial" w:hAnsi="Arial"/>
          <w:sz w:val="13"/>
          <w:szCs w:val="13"/>
          <w:i w:val="1"/>
          <w:iCs w:val="1"/>
          <w:color w:val="auto"/>
        </w:rPr>
        <w:t xml:space="preserve"> </w:t>
      </w:r>
      <w:r>
        <w:rPr>
          <w:rFonts w:ascii="Arial" w:cs="Arial" w:eastAsia="Arial" w:hAnsi="Arial"/>
          <w:sz w:val="13"/>
          <w:szCs w:val="13"/>
          <w:color w:val="auto"/>
        </w:rPr>
        <w:t>successfully expanded our Direct and Indirect channels in key developing markets, including in the Midwest and Southwest. In addition, in fiscal 2012 we expanded internationally by entering the Japanese market. We believe the success of our expansion efforts is a testament to the strength and portability of our brand and the power of our multi-channel distribution capabilities. We intend to utilize these strengths to further penetrate our existing markets and successfully expand our business into other foreign markets and relatively underpenetrated U.S. markets.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384" w:right="21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Expand Our U.S. Store Base. </w:t>
      </w:r>
      <w:r>
        <w:rPr>
          <w:rFonts w:ascii="Arial" w:cs="Arial" w:eastAsia="Arial" w:hAnsi="Arial"/>
          <w:sz w:val="12"/>
          <w:szCs w:val="12"/>
          <w:color w:val="auto"/>
        </w:rPr>
        <w:t>We plan to expand our retail presence in the United States by opening new stores. We believe that the market in the United States can support at least 300 Vera Bradley full-price stores.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We plan to open 14 to 20 new stores annually during each of the next five fiscal years.</w:t>
      </w:r>
    </w:p>
    <w:p>
      <w:pPr>
        <w:spacing w:after="0" w:line="131"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i w:val="1"/>
          <w:iCs w:val="1"/>
          <w:color w:val="auto"/>
        </w:rPr>
        <w:t xml:space="preserve">Drive Comparable-Store Sales and Our E-Commerce Business. </w:t>
      </w:r>
      <w:r>
        <w:rPr>
          <w:rFonts w:ascii="Arial" w:cs="Arial" w:eastAsia="Arial" w:hAnsi="Arial"/>
          <w:sz w:val="12"/>
          <w:szCs w:val="12"/>
          <w:color w:val="auto"/>
        </w:rPr>
        <w:t>We have several ongoing initiatives to drive comparable-store sales growth, including focusing on store-level merchandising programs and enhancing</w:t>
      </w:r>
      <w:r>
        <w:rPr>
          <w:rFonts w:ascii="Arial" w:cs="Arial" w:eastAsia="Arial" w:hAnsi="Arial"/>
          <w:sz w:val="12"/>
          <w:szCs w:val="12"/>
          <w:i w:val="1"/>
          <w:iCs w:val="1"/>
          <w:color w:val="auto"/>
        </w:rPr>
        <w:t xml:space="preserve"> </w:t>
      </w:r>
      <w:r>
        <w:rPr>
          <w:rFonts w:ascii="Arial" w:cs="Arial" w:eastAsia="Arial" w:hAnsi="Arial"/>
          <w:sz w:val="12"/>
          <w:szCs w:val="12"/>
          <w:color w:val="auto"/>
        </w:rPr>
        <w:t>in-store customer service and selling capabilities. As a key element of our Direct channel strategy, we intend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75"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i w:val="1"/>
          <w:iCs w:val="1"/>
          <w:color w:val="auto"/>
        </w:rPr>
        <w:t xml:space="preserve">Expand Our Product Offerings. </w:t>
      </w:r>
      <w:r>
        <w:rPr>
          <w:rFonts w:ascii="Arial" w:cs="Arial" w:eastAsia="Arial" w:hAnsi="Arial"/>
          <w:sz w:val="13"/>
          <w:szCs w:val="13"/>
          <w:color w:val="auto"/>
        </w:rPr>
        <w:t>We design products to “accessorize a woman’s life” and believe this core competence serves as a platform for growth within and beyond our current product lines. We have expanded</w:t>
      </w:r>
      <w:r>
        <w:rPr>
          <w:rFonts w:ascii="Arial" w:cs="Arial" w:eastAsia="Arial" w:hAnsi="Arial"/>
          <w:sz w:val="13"/>
          <w:szCs w:val="13"/>
          <w:i w:val="1"/>
          <w:iCs w:val="1"/>
          <w:color w:val="auto"/>
        </w:rPr>
        <w:t xml:space="preserve"> </w:t>
      </w:r>
      <w:r>
        <w:rPr>
          <w:rFonts w:ascii="Arial" w:cs="Arial" w:eastAsia="Arial" w:hAnsi="Arial"/>
          <w:sz w:val="13"/>
          <w:szCs w:val="13"/>
          <w:color w:val="auto"/>
        </w:rPr>
        <w:t>our product offerings to include new line extensions, such as focused gift and special occasion offerings, and brand extensions, such as our paper and stationery collection. We believe that opportunities exist to “accessorize a woman’s life” through complementary product collections that fit within our positioning as a lifestyle brand.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Product Release Strategy</w:t>
      </w:r>
    </w:p>
    <w:p>
      <w:pPr>
        <w:spacing w:after="0" w:line="78" w:lineRule="exact"/>
        <w:rPr>
          <w:sz w:val="20"/>
          <w:szCs w:val="20"/>
          <w:color w:val="auto"/>
        </w:rPr>
      </w:pPr>
    </w:p>
    <w:p>
      <w:pPr>
        <w:spacing w:after="0" w:line="343" w:lineRule="auto"/>
        <w:rPr>
          <w:sz w:val="20"/>
          <w:szCs w:val="20"/>
          <w:color w:val="auto"/>
        </w:rPr>
      </w:pPr>
      <w:r>
        <w:rPr>
          <w:rFonts w:ascii="Arial" w:cs="Arial" w:eastAsia="Arial" w:hAnsi="Arial"/>
          <w:sz w:val="12"/>
          <w:szCs w:val="12"/>
          <w:color w:val="auto"/>
        </w:rPr>
        <w:t>We introduce new patterns seasonally. Within each season, we generally introduce three to five patterns. These patterns are incorporated into the designs of a wide range of products, including handbags, accessories, and travel and leisure items, that are part of the core seasonal release. These product assortments each season, can be classic styles, updates to older designs, or new product introductions.</w:t>
      </w:r>
    </w:p>
    <w:p>
      <w:pPr>
        <w:spacing w:after="0" w:line="58"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After each seasonal launch, we release additional new collections. These collections often utilize or are inspired by that season’s patterns (e.g., the paper and gift collection in a new pattern), but a few of our releases are separate from the Signature Collection (e.g., the Vera Vera collection in solid colors).</w:t>
      </w:r>
    </w:p>
    <w:p>
      <w:pPr>
        <w:spacing w:after="0" w:line="81" w:lineRule="exact"/>
        <w:rPr>
          <w:sz w:val="20"/>
          <w:szCs w:val="20"/>
          <w:color w:val="auto"/>
        </w:rPr>
      </w:pPr>
    </w:p>
    <w:p>
      <w:pPr>
        <w:ind w:right="60"/>
        <w:spacing w:after="0" w:line="304" w:lineRule="auto"/>
        <w:rPr>
          <w:sz w:val="20"/>
          <w:szCs w:val="20"/>
          <w:color w:val="auto"/>
        </w:rPr>
      </w:pPr>
      <w:r>
        <w:rPr>
          <w:rFonts w:ascii="Arial" w:cs="Arial" w:eastAsia="Arial" w:hAnsi="Arial"/>
          <w:sz w:val="12"/>
          <w:szCs w:val="12"/>
          <w:color w:val="auto"/>
        </w:rPr>
        <w:t>We have increased the number of patterns per Signature release as well as the frequency of subsequent releases over time and believe that the assortment, breadth, and cadence allow us to reach a broader range of consumer demographics and needs. We believe this approach keeps consumers continually engaged with our brand and repeatedly shopping at our points of distribution. In addition, we believe this approach allows us to minimize the risk associated with a single pattern not performing to our expectations. To keep our assortment current and fresh and to focus our inventory investments on our best performers, we discontinue patterns from time to time. We sell our remaining inventory of discontinued products at our annual outlet sale and through our website and outlet stores.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Products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chart presents net revenues generated by each of our three product categories and other revenues as a percentage of our total net revenues for fiscal 2012, 2011, and 2010:</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0"/>
                <w:szCs w:val="10"/>
                <w:b w:val="1"/>
                <w:bCs w:val="1"/>
                <w:color w:val="auto"/>
                <w:w w:val="92"/>
              </w:rPr>
              <w:t>Fiscal Year Ended</w:t>
            </w:r>
          </w:p>
        </w:tc>
        <w:tc>
          <w:tcPr>
            <w:tcW w:w="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960" w:type="dxa"/>
            <w:vAlign w:val="bottom"/>
            <w:gridSpan w:val="2"/>
          </w:tcPr>
          <w:p>
            <w:pPr>
              <w:jc w:val="center"/>
              <w:ind w:right="440"/>
              <w:spacing w:after="0" w:line="92" w:lineRule="exact"/>
              <w:rPr>
                <w:sz w:val="20"/>
                <w:szCs w:val="20"/>
                <w:color w:val="auto"/>
              </w:rPr>
            </w:pPr>
            <w:r>
              <w:rPr>
                <w:rFonts w:ascii="Arial" w:cs="Arial" w:eastAsia="Arial" w:hAnsi="Arial"/>
                <w:sz w:val="10"/>
                <w:szCs w:val="10"/>
                <w:b w:val="1"/>
                <w:bCs w:val="1"/>
                <w:color w:val="auto"/>
                <w:w w:val="94"/>
              </w:rPr>
              <w:t>January 28,</w:t>
            </w:r>
          </w:p>
        </w:tc>
        <w:tc>
          <w:tcPr>
            <w:tcW w:w="1540" w:type="dxa"/>
            <w:vAlign w:val="bottom"/>
            <w:gridSpan w:val="3"/>
          </w:tcPr>
          <w:p>
            <w:pPr>
              <w:jc w:val="center"/>
              <w:ind w:right="60"/>
              <w:spacing w:after="0" w:line="92" w:lineRule="exact"/>
              <w:rPr>
                <w:sz w:val="20"/>
                <w:szCs w:val="20"/>
                <w:color w:val="auto"/>
              </w:rPr>
            </w:pPr>
            <w:r>
              <w:rPr>
                <w:rFonts w:ascii="Arial" w:cs="Arial" w:eastAsia="Arial" w:hAnsi="Arial"/>
                <w:sz w:val="10"/>
                <w:szCs w:val="10"/>
                <w:b w:val="1"/>
                <w:bCs w:val="1"/>
                <w:color w:val="auto"/>
                <w:w w:val="94"/>
              </w:rPr>
              <w:t>January 29,</w:t>
            </w:r>
          </w:p>
        </w:tc>
        <w:tc>
          <w:tcPr>
            <w:tcW w:w="920" w:type="dxa"/>
            <w:vAlign w:val="bottom"/>
            <w:gridSpan w:val="2"/>
          </w:tcPr>
          <w:p>
            <w:pPr>
              <w:jc w:val="center"/>
              <w:ind w:left="336"/>
              <w:spacing w:after="0" w:line="92" w:lineRule="exact"/>
              <w:rPr>
                <w:sz w:val="20"/>
                <w:szCs w:val="20"/>
                <w:color w:val="auto"/>
              </w:rPr>
            </w:pPr>
            <w:r>
              <w:rPr>
                <w:rFonts w:ascii="Arial" w:cs="Arial" w:eastAsia="Arial" w:hAnsi="Arial"/>
                <w:sz w:val="10"/>
                <w:szCs w:val="10"/>
                <w:b w:val="1"/>
                <w:bCs w:val="1"/>
                <w:color w:val="auto"/>
                <w:w w:val="94"/>
              </w:rPr>
              <w:t>January 30,</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tcBorders>
              <w:bottom w:val="single" w:sz="8" w:color="CCEEFF"/>
            </w:tcBorders>
          </w:tcPr>
          <w:p>
            <w:pPr>
              <w:spacing w:after="0"/>
              <w:rPr>
                <w:sz w:val="10"/>
                <w:szCs w:val="10"/>
                <w:color w:val="auto"/>
              </w:rPr>
            </w:pPr>
          </w:p>
        </w:tc>
        <w:tc>
          <w:tcPr>
            <w:tcW w:w="23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2012</w:t>
            </w:r>
          </w:p>
        </w:tc>
        <w:tc>
          <w:tcPr>
            <w:tcW w:w="44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2011</w:t>
            </w:r>
          </w:p>
        </w:tc>
        <w:tc>
          <w:tcPr>
            <w:tcW w:w="54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2010</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Handbags</w:t>
            </w:r>
          </w:p>
        </w:tc>
        <w:tc>
          <w:tcPr>
            <w:tcW w:w="23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43.1%</w:t>
            </w:r>
          </w:p>
        </w:tc>
        <w:tc>
          <w:tcPr>
            <w:tcW w:w="4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49.2%</w:t>
            </w:r>
          </w:p>
        </w:tc>
        <w:tc>
          <w:tcPr>
            <w:tcW w:w="4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Accessories</w:t>
            </w:r>
          </w:p>
        </w:tc>
        <w:tc>
          <w:tcPr>
            <w:tcW w:w="3320" w:type="dxa"/>
            <w:vAlign w:val="bottom"/>
            <w:gridSpan w:val="3"/>
          </w:tcPr>
          <w:p>
            <w:pPr>
              <w:jc w:val="right"/>
              <w:ind w:right="340"/>
              <w:spacing w:after="0"/>
              <w:rPr>
                <w:sz w:val="20"/>
                <w:szCs w:val="20"/>
                <w:color w:val="auto"/>
              </w:rPr>
            </w:pPr>
            <w:r>
              <w:rPr>
                <w:rFonts w:ascii="Arial" w:cs="Arial" w:eastAsia="Arial" w:hAnsi="Arial"/>
                <w:sz w:val="13"/>
                <w:szCs w:val="13"/>
                <w:color w:val="auto"/>
              </w:rPr>
              <w:t>32.2%</w:t>
            </w:r>
          </w:p>
        </w:tc>
        <w:tc>
          <w:tcPr>
            <w:tcW w:w="1540" w:type="dxa"/>
            <w:vAlign w:val="bottom"/>
            <w:gridSpan w:val="3"/>
          </w:tcPr>
          <w:p>
            <w:pPr>
              <w:jc w:val="right"/>
              <w:ind w:right="420"/>
              <w:spacing w:after="0"/>
              <w:rPr>
                <w:sz w:val="20"/>
                <w:szCs w:val="20"/>
                <w:color w:val="auto"/>
              </w:rPr>
            </w:pPr>
            <w:r>
              <w:rPr>
                <w:rFonts w:ascii="Arial" w:cs="Arial" w:eastAsia="Arial" w:hAnsi="Arial"/>
                <w:sz w:val="13"/>
                <w:szCs w:val="13"/>
                <w:color w:val="auto"/>
              </w:rPr>
              <w:t>31.9%</w:t>
            </w: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Travel and Leisure Items</w:t>
            </w:r>
          </w:p>
        </w:tc>
        <w:tc>
          <w:tcPr>
            <w:tcW w:w="33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15.2%</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12.7%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tcPr>
          <w:p>
            <w:pPr>
              <w:spacing w:after="0" w:line="164"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7"/>
                <w:szCs w:val="17"/>
                <w:color w:val="auto"/>
                <w:vertAlign w:val="subscript"/>
              </w:rPr>
              <w:t>(1)</w:t>
            </w:r>
          </w:p>
        </w:tc>
        <w:tc>
          <w:tcPr>
            <w:tcW w:w="23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9.5%</w:t>
            </w:r>
          </w:p>
        </w:tc>
        <w:tc>
          <w:tcPr>
            <w:tcW w:w="1540" w:type="dxa"/>
            <w:vAlign w:val="bottom"/>
            <w:gridSpan w:val="3"/>
          </w:tcPr>
          <w:p>
            <w:pPr>
              <w:jc w:val="right"/>
              <w:ind w:right="420"/>
              <w:spacing w:after="0"/>
              <w:rPr>
                <w:sz w:val="20"/>
                <w:szCs w:val="20"/>
                <w:color w:val="auto"/>
              </w:rPr>
            </w:pPr>
            <w:r>
              <w:rPr>
                <w:rFonts w:ascii="Arial" w:cs="Arial" w:eastAsia="Arial" w:hAnsi="Arial"/>
                <w:sz w:val="13"/>
                <w:szCs w:val="13"/>
                <w:color w:val="auto"/>
              </w:rPr>
              <w:t>6.2%</w:t>
            </w: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line="164" w:lineRule="exact"/>
              <w:rPr>
                <w:sz w:val="20"/>
                <w:szCs w:val="20"/>
                <w:color w:val="auto"/>
              </w:rPr>
            </w:pPr>
            <w:r>
              <w:rPr>
                <w:rFonts w:ascii="Arial" w:cs="Arial" w:eastAsia="Arial" w:hAnsi="Arial"/>
                <w:sz w:val="13"/>
                <w:szCs w:val="13"/>
                <w:color w:val="auto"/>
              </w:rPr>
              <w:t xml:space="preserve">Total </w:t>
            </w:r>
            <w:r>
              <w:rPr>
                <w:rFonts w:ascii="Arial" w:cs="Arial" w:eastAsia="Arial" w:hAnsi="Arial"/>
                <w:sz w:val="17"/>
                <w:szCs w:val="17"/>
                <w:color w:val="auto"/>
                <w:vertAlign w:val="subscript"/>
              </w:rPr>
              <w:t>(2)</w:t>
            </w:r>
          </w:p>
        </w:tc>
        <w:tc>
          <w:tcPr>
            <w:tcW w:w="2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100.0%</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100.0%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7302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 cy="6350"/>
                    </a:xfrm>
                    <a:prstGeom prst="rect">
                      <a:avLst/>
                    </a:prstGeom>
                    <a:noFill/>
                  </pic:spPr>
                </pic:pic>
              </a:graphicData>
            </a:graphic>
          </wp:anchor>
        </w:drawing>
      </w:r>
    </w:p>
    <w:p>
      <w:pPr>
        <w:spacing w:after="0" w:line="96" w:lineRule="exact"/>
        <w:rPr>
          <w:sz w:val="20"/>
          <w:szCs w:val="20"/>
          <w:color w:val="auto"/>
        </w:rPr>
      </w:pPr>
    </w:p>
    <w:p>
      <w:pPr>
        <w:ind w:left="460" w:hanging="458"/>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primarily merchandising, freight, promotional products, and licensing revenues.</w:t>
      </w:r>
    </w:p>
    <w:p>
      <w:pPr>
        <w:spacing w:after="0" w:line="21" w:lineRule="exact"/>
        <w:rPr>
          <w:rFonts w:ascii="Arial" w:cs="Arial" w:eastAsia="Arial" w:hAnsi="Arial"/>
          <w:sz w:val="13"/>
          <w:szCs w:val="13"/>
          <w:color w:val="auto"/>
        </w:rPr>
      </w:pPr>
    </w:p>
    <w:p>
      <w:pPr>
        <w:ind w:left="460" w:hanging="458"/>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Excludes net revenues generated by our annual outlet sale.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60"/>
          </w:cols>
          <w:pgMar w:left="220" w:top="384" w:right="2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i w:val="1"/>
          <w:iCs w:val="1"/>
          <w:color w:val="auto"/>
        </w:rPr>
        <w:t xml:space="preserve">Handbags. </w:t>
      </w:r>
      <w:r>
        <w:rPr>
          <w:rFonts w:ascii="Arial" w:cs="Arial" w:eastAsia="Arial" w:hAnsi="Arial"/>
          <w:sz w:val="13"/>
          <w:szCs w:val="13"/>
          <w:color w:val="auto"/>
        </w:rPr>
        <w:t>Handbags are a core part of our product offerings and are the primary component of every Signature Collection. The category consists of classic and new styles developed by our product development</w:t>
      </w:r>
      <w:r>
        <w:rPr>
          <w:rFonts w:ascii="Arial" w:cs="Arial" w:eastAsia="Arial" w:hAnsi="Arial"/>
          <w:sz w:val="13"/>
          <w:szCs w:val="13"/>
          <w:i w:val="1"/>
          <w:iCs w:val="1"/>
          <w:color w:val="auto"/>
        </w:rPr>
        <w:t xml:space="preserve"> </w:t>
      </w:r>
      <w:r>
        <w:rPr>
          <w:rFonts w:ascii="Arial" w:cs="Arial" w:eastAsia="Arial" w:hAnsi="Arial"/>
          <w:sz w:val="13"/>
          <w:szCs w:val="13"/>
          <w:color w:val="auto"/>
        </w:rPr>
        <w:t>team to meet consumer demand and drive repeat purchases. Our handbag product category extends beyond handbags to include totes and specialty bags such as baby bags, backpacks, and laptop portfolios. Handbags play a prominent role in our visual merchandising, and we focus on showcasing the different patterns, colors, and features of each bag.</w:t>
      </w:r>
    </w:p>
    <w:p>
      <w:pPr>
        <w:spacing w:after="0" w:line="91" w:lineRule="exact"/>
        <w:rPr>
          <w:sz w:val="20"/>
          <w:szCs w:val="20"/>
          <w:color w:val="auto"/>
        </w:rPr>
      </w:pPr>
    </w:p>
    <w:p>
      <w:pPr>
        <w:spacing w:after="0" w:line="281" w:lineRule="auto"/>
        <w:rPr>
          <w:sz w:val="20"/>
          <w:szCs w:val="20"/>
          <w:color w:val="auto"/>
        </w:rPr>
      </w:pPr>
      <w:r>
        <w:rPr>
          <w:rFonts w:ascii="Arial" w:cs="Arial" w:eastAsia="Arial" w:hAnsi="Arial"/>
          <w:sz w:val="13"/>
          <w:szCs w:val="13"/>
          <w:i w:val="1"/>
          <w:iCs w:val="1"/>
          <w:color w:val="auto"/>
        </w:rPr>
        <w:t xml:space="preserve">Accessories. </w:t>
      </w:r>
      <w:r>
        <w:rPr>
          <w:rFonts w:ascii="Arial" w:cs="Arial" w:eastAsia="Arial" w:hAnsi="Arial"/>
          <w:sz w:val="13"/>
          <w:szCs w:val="13"/>
          <w:color w:val="auto"/>
        </w:rPr>
        <w:t>Accessories, our second largest revenue category, include fashion accessories such as wallets, ID cases, eyeglass cases, cosmetics, paper and gift products, and eyewear. Accessories are attractively</w:t>
      </w:r>
      <w:r>
        <w:rPr>
          <w:rFonts w:ascii="Arial" w:cs="Arial" w:eastAsia="Arial" w:hAnsi="Arial"/>
          <w:sz w:val="13"/>
          <w:szCs w:val="13"/>
          <w:i w:val="1"/>
          <w:iCs w:val="1"/>
          <w:color w:val="auto"/>
        </w:rPr>
        <w:t xml:space="preserve"> </w:t>
      </w:r>
      <w:r>
        <w:rPr>
          <w:rFonts w:ascii="Arial" w:cs="Arial" w:eastAsia="Arial" w:hAnsi="Arial"/>
          <w:sz w:val="13"/>
          <w:szCs w:val="13"/>
          <w:color w:val="auto"/>
        </w:rPr>
        <w:t>priced and allow the consumer to include some color in her wardrobe, even if tucked into another bag. Our product development team consistently updates the accessories assortment based on consumer demand and fashion trends.</w:t>
      </w:r>
    </w:p>
    <w:p>
      <w:pPr>
        <w:spacing w:after="0" w:line="91" w:lineRule="exact"/>
        <w:rPr>
          <w:sz w:val="20"/>
          <w:szCs w:val="20"/>
          <w:color w:val="auto"/>
        </w:rPr>
      </w:pPr>
    </w:p>
    <w:p>
      <w:pPr>
        <w:jc w:val="both"/>
        <w:ind w:right="120"/>
        <w:spacing w:after="0" w:line="281" w:lineRule="auto"/>
        <w:rPr>
          <w:sz w:val="20"/>
          <w:szCs w:val="20"/>
          <w:color w:val="auto"/>
        </w:rPr>
      </w:pPr>
      <w:r>
        <w:rPr>
          <w:rFonts w:ascii="Arial" w:cs="Arial" w:eastAsia="Arial" w:hAnsi="Arial"/>
          <w:sz w:val="13"/>
          <w:szCs w:val="13"/>
          <w:i w:val="1"/>
          <w:iCs w:val="1"/>
          <w:color w:val="auto"/>
        </w:rPr>
        <w:t xml:space="preserve">Travel and Leisure Items. </w:t>
      </w:r>
      <w:r>
        <w:rPr>
          <w:rFonts w:ascii="Arial" w:cs="Arial" w:eastAsia="Arial" w:hAnsi="Arial"/>
          <w:sz w:val="13"/>
          <w:szCs w:val="13"/>
          <w:color w:val="auto"/>
        </w:rPr>
        <w:t>Our travel and leisure product category includes duffel bags, garment bags, rolling luggage, and travel accessories, such as travel cosmetic cases. The first Vera Bradley product offering</w:t>
      </w:r>
      <w:r>
        <w:rPr>
          <w:rFonts w:ascii="Arial" w:cs="Arial" w:eastAsia="Arial" w:hAnsi="Arial"/>
          <w:sz w:val="13"/>
          <w:szCs w:val="13"/>
          <w:i w:val="1"/>
          <w:iCs w:val="1"/>
          <w:color w:val="auto"/>
        </w:rPr>
        <w:t xml:space="preserve"> </w:t>
      </w:r>
      <w:r>
        <w:rPr>
          <w:rFonts w:ascii="Arial" w:cs="Arial" w:eastAsia="Arial" w:hAnsi="Arial"/>
          <w:sz w:val="13"/>
          <w:szCs w:val="13"/>
          <w:color w:val="auto"/>
        </w:rPr>
        <w:t>included duffel bags, which consistently have been a strong performer. We believe their popularity, as well as the appeal of our other travel and leisure items, results from our vibrant designs, functional styles, and lightweight fabrications.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Development</w:t>
      </w:r>
    </w:p>
    <w:p>
      <w:pPr>
        <w:spacing w:after="0" w:line="78" w:lineRule="exact"/>
        <w:rPr>
          <w:sz w:val="20"/>
          <w:szCs w:val="20"/>
          <w:color w:val="auto"/>
        </w:rPr>
      </w:pPr>
    </w:p>
    <w:p>
      <w:pPr>
        <w:jc w:val="both"/>
        <w:ind w:right="120"/>
        <w:spacing w:after="0" w:line="314" w:lineRule="auto"/>
        <w:rPr>
          <w:sz w:val="20"/>
          <w:szCs w:val="20"/>
          <w:color w:val="auto"/>
        </w:rPr>
      </w:pPr>
      <w:r>
        <w:rPr>
          <w:rFonts w:ascii="Arial" w:cs="Arial" w:eastAsia="Arial" w:hAnsi="Arial"/>
          <w:sz w:val="12"/>
          <w:szCs w:val="12"/>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75"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color w:val="auto"/>
        </w:rPr>
        <w:t>We begin the development stage of our products in the Vera Bradley portfolio 12 – 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generally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 as well as opening a design center in Roanoke, Indiana that puts all individuals involved in the product design process in the same location.</w:t>
      </w:r>
    </w:p>
    <w:p>
      <w:pPr>
        <w:spacing w:after="0" w:line="100"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 shopping.</w:t>
      </w:r>
    </w:p>
    <w:p>
      <w:pPr>
        <w:spacing w:after="0" w:line="91"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Our product development team is also responsible for assortment planning, pricing, forecasting, promotional development, and product lifecycle management. Forecasting is based on seasonal market research and in-store testing. We gather seasonal market research through a variety of methodologies, including scheduled interviews and online and in-person surveys. We conduct seasonal in-store testing by releasing test products in our full-price stores and evaluating their success in the marketplace prior to product introduction on a larger scale. The team assures that we offer a broad range of patterns, fabrics, styles, and functionality features in a cost-effective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384" w:right="2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400"/>
        <w:spacing w:after="0" w:line="298" w:lineRule="auto"/>
        <w:rPr>
          <w:sz w:val="20"/>
          <w:szCs w:val="20"/>
          <w:color w:val="auto"/>
        </w:rPr>
      </w:pPr>
      <w:r>
        <w:rPr>
          <w:rFonts w:ascii="Arial" w:cs="Arial" w:eastAsia="Arial" w:hAnsi="Arial"/>
          <w:sz w:val="13"/>
          <w:szCs w:val="13"/>
          <w:color w:val="auto"/>
        </w:rPr>
        <w:t>manner. We believe that with our cross-functional, collaborative approach, we are able to introduce and sell our merchandise in a way that clearly communicates the Vera Bradley brand and the Vera Bradley lifestyle.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believe that the growth of our brand and our business is influenced by our ability to introduce and sell our merchandise in a way that clearly conveys the Vera Bradley lifestyle. We use marketing and advertising as critical tools in our efforts to promote our brand.</w:t>
      </w:r>
    </w:p>
    <w:p>
      <w:pPr>
        <w:spacing w:after="0" w:line="81"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i w:val="1"/>
          <w:iCs w:val="1"/>
          <w:color w:val="auto"/>
        </w:rPr>
        <w:t xml:space="preserve">Catalogs and Collateral. </w:t>
      </w:r>
      <w:r>
        <w:rPr>
          <w:rFonts w:ascii="Arial" w:cs="Arial" w:eastAsia="Arial" w:hAnsi="Arial"/>
          <w:sz w:val="13"/>
          <w:szCs w:val="13"/>
          <w:color w:val="auto"/>
        </w:rPr>
        <w:t>The seasonal Vera Bradley catalog is a key vehicle for the brand and our product portfolio. Each season’s catalog is sent to a targeted customer mailing list. In addition to distributing the</w:t>
      </w:r>
      <w:r>
        <w:rPr>
          <w:rFonts w:ascii="Arial" w:cs="Arial" w:eastAsia="Arial" w:hAnsi="Arial"/>
          <w:sz w:val="13"/>
          <w:szCs w:val="13"/>
          <w:i w:val="1"/>
          <w:iCs w:val="1"/>
          <w:color w:val="auto"/>
        </w:rPr>
        <w:t xml:space="preserve"> </w:t>
      </w:r>
      <w:r>
        <w:rPr>
          <w:rFonts w:ascii="Arial" w:cs="Arial" w:eastAsia="Arial" w:hAnsi="Arial"/>
          <w:sz w:val="13"/>
          <w:szCs w:val="13"/>
          <w:color w:val="auto"/>
        </w:rPr>
        <w:t>catalog, we produce and distribute a number of other marketing pieces, or “collateral,” including postcards, gift guides, in-store signage, and release-focused mailers. Catalogs and collateral provide consumers with a powerful visual representation of both the products and lifestyle images embodied by the Vera Bradley brand. We believe that Vera Bradley’s catalogs and other mailed collateral generate excitement and awareness about the brand and seasonal introductions and allow us to reach both new and loyal customers in their homes.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Advertising. </w:t>
      </w:r>
      <w:r>
        <w:rPr>
          <w:rFonts w:ascii="Arial" w:cs="Arial" w:eastAsia="Arial" w:hAnsi="Arial"/>
          <w:sz w:val="12"/>
          <w:szCs w:val="12"/>
          <w:color w:val="auto"/>
        </w:rPr>
        <w:t>We employ print and outdoor advertising to increase overall brand awareness. Our advertisements are placed primarily in national magazines that have a readership similar to our target demographics.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These publications have recently included </w:t>
      </w:r>
      <w:r>
        <w:rPr>
          <w:rFonts w:ascii="Arial" w:cs="Arial" w:eastAsia="Arial" w:hAnsi="Arial"/>
          <w:sz w:val="13"/>
          <w:szCs w:val="13"/>
          <w:i w:val="1"/>
          <w:iCs w:val="1"/>
          <w:color w:val="auto"/>
        </w:rPr>
        <w:t>Seventeen</w:t>
      </w:r>
      <w:r>
        <w:rPr>
          <w:rFonts w:ascii="Arial" w:cs="Arial" w:eastAsia="Arial" w:hAnsi="Arial"/>
          <w:sz w:val="13"/>
          <w:szCs w:val="13"/>
          <w:color w:val="auto"/>
        </w:rPr>
        <w:t xml:space="preserve">, </w:t>
      </w:r>
      <w:r>
        <w:rPr>
          <w:rFonts w:ascii="Arial" w:cs="Arial" w:eastAsia="Arial" w:hAnsi="Arial"/>
          <w:sz w:val="13"/>
          <w:szCs w:val="13"/>
          <w:i w:val="1"/>
          <w:iCs w:val="1"/>
          <w:color w:val="auto"/>
        </w:rPr>
        <w:t>InStyle, O the Oprah Magazine, and Real Simple</w:t>
      </w:r>
      <w:r>
        <w:rPr>
          <w:rFonts w:ascii="Arial" w:cs="Arial" w:eastAsia="Arial" w:hAnsi="Arial"/>
          <w:sz w:val="13"/>
          <w:szCs w:val="13"/>
          <w:color w:val="auto"/>
        </w:rPr>
        <w:t>. We continually assess our advertising strategies and tactics.</w:t>
      </w:r>
    </w:p>
    <w:p>
      <w:pPr>
        <w:spacing w:after="0" w:line="131"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i w:val="1"/>
          <w:iCs w:val="1"/>
          <w:color w:val="auto"/>
        </w:rPr>
        <w:t xml:space="preserve">Public Relations and Product Placement. </w:t>
      </w:r>
      <w:r>
        <w:rPr>
          <w:rFonts w:ascii="Arial" w:cs="Arial" w:eastAsia="Arial" w:hAnsi="Arial"/>
          <w:sz w:val="13"/>
          <w:szCs w:val="13"/>
          <w:color w:val="auto"/>
        </w:rPr>
        <w:t>Vera Bradley has received considerable exposure in the press, including in publications such as</w:t>
      </w:r>
      <w:r>
        <w:rPr>
          <w:rFonts w:ascii="Arial" w:cs="Arial" w:eastAsia="Arial" w:hAnsi="Arial"/>
          <w:sz w:val="13"/>
          <w:szCs w:val="13"/>
          <w:i w:val="1"/>
          <w:iCs w:val="1"/>
          <w:color w:val="auto"/>
        </w:rPr>
        <w:t xml:space="preserve"> InStyle, O the Oprah Magazine, Good Housekeeping, Coastal Living, and The New York Times</w:t>
      </w:r>
      <w:r>
        <w:rPr>
          <w:rFonts w:ascii="Arial" w:cs="Arial" w:eastAsia="Arial" w:hAnsi="Arial"/>
          <w:sz w:val="13"/>
          <w:szCs w:val="13"/>
          <w:color w:val="auto"/>
        </w:rPr>
        <w:t>. In addition, we have expanded our marketing efforts to promote product placement in feature-length films and on prime-time television shows such as</w:t>
      </w:r>
      <w:r>
        <w:rPr>
          <w:rFonts w:ascii="Arial" w:cs="Arial" w:eastAsia="Arial" w:hAnsi="Arial"/>
          <w:sz w:val="13"/>
          <w:szCs w:val="13"/>
          <w:i w:val="1"/>
          <w:iCs w:val="1"/>
          <w:color w:val="auto"/>
        </w:rPr>
        <w:t xml:space="preserve"> Desperate Housewives, Brothers and Sisters, Entourage, Modern Family, and New Girl</w:t>
      </w:r>
      <w:r>
        <w:rPr>
          <w:rFonts w:ascii="Arial" w:cs="Arial" w:eastAsia="Arial" w:hAnsi="Arial"/>
          <w:sz w:val="13"/>
          <w:szCs w:val="13"/>
          <w:color w:val="auto"/>
        </w:rPr>
        <w:t>.</w:t>
      </w:r>
    </w:p>
    <w:p>
      <w:pPr>
        <w:spacing w:after="0" w:line="91" w:lineRule="exact"/>
        <w:rPr>
          <w:sz w:val="20"/>
          <w:szCs w:val="20"/>
          <w:color w:val="auto"/>
        </w:rPr>
      </w:pPr>
    </w:p>
    <w:p>
      <w:pPr>
        <w:ind w:right="40"/>
        <w:spacing w:after="0" w:line="304" w:lineRule="auto"/>
        <w:rPr>
          <w:sz w:val="20"/>
          <w:szCs w:val="20"/>
          <w:color w:val="auto"/>
        </w:rPr>
      </w:pPr>
      <w:r>
        <w:rPr>
          <w:rFonts w:ascii="Arial" w:cs="Arial" w:eastAsia="Arial" w:hAnsi="Arial"/>
          <w:sz w:val="12"/>
          <w:szCs w:val="12"/>
          <w:i w:val="1"/>
          <w:iCs w:val="1"/>
          <w:color w:val="auto"/>
        </w:rPr>
        <w:t xml:space="preserve">Social Media and Online Marketing. </w:t>
      </w:r>
      <w:r>
        <w:rPr>
          <w:rFonts w:ascii="Arial" w:cs="Arial" w:eastAsia="Arial" w:hAnsi="Arial"/>
          <w:sz w:val="12"/>
          <w:szCs w:val="12"/>
          <w:color w:val="auto"/>
        </w:rPr>
        <w:t>In recent years, we have greatly increased traffic to verabradley.com and have increased awareness of our brand through online marketing and social networking sites. We have</w:t>
      </w:r>
      <w:r>
        <w:rPr>
          <w:rFonts w:ascii="Arial" w:cs="Arial" w:eastAsia="Arial" w:hAnsi="Arial"/>
          <w:sz w:val="12"/>
          <w:szCs w:val="12"/>
          <w:i w:val="1"/>
          <w:iCs w:val="1"/>
          <w:color w:val="auto"/>
        </w:rPr>
        <w:t xml:space="preserve"> </w:t>
      </w:r>
      <w:r>
        <w:rPr>
          <w:rFonts w:ascii="Arial" w:cs="Arial" w:eastAsia="Arial" w:hAnsi="Arial"/>
          <w:sz w:val="12"/>
          <w:szCs w:val="12"/>
          <w:color w:val="auto"/>
        </w:rPr>
        <w:t>captured more than 1.2 million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January 28, 2012, we had over 700,000 Facebook fans and a growing number of Twitter followers. We believe these media not only connect us with our fans, but also allow us to target them through cross-channel marketing.</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Channels of Distribution</w:t>
      </w:r>
    </w:p>
    <w:p>
      <w:pPr>
        <w:spacing w:after="0" w:line="78"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We distribute our products through our Direct and Indirect segments. This multi-channel distribution model not only enables us to have operational flexibility, but also maximizes the methods by which we can access potential customers.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 Segment</w:t>
      </w:r>
    </w:p>
    <w:p>
      <w:pPr>
        <w:spacing w:after="0" w:line="78" w:lineRule="exact"/>
        <w:rPr>
          <w:sz w:val="20"/>
          <w:szCs w:val="20"/>
          <w:color w:val="auto"/>
        </w:rPr>
      </w:pPr>
    </w:p>
    <w:p>
      <w:pPr>
        <w:ind w:right="180"/>
        <w:spacing w:after="0" w:line="304" w:lineRule="auto"/>
        <w:rPr>
          <w:sz w:val="20"/>
          <w:szCs w:val="20"/>
          <w:color w:val="auto"/>
        </w:rPr>
      </w:pPr>
      <w:r>
        <w:rPr>
          <w:rFonts w:ascii="Arial" w:cs="Arial" w:eastAsia="Arial" w:hAnsi="Arial"/>
          <w:sz w:val="12"/>
          <w:szCs w:val="12"/>
          <w:i w:val="1"/>
          <w:iCs w:val="1"/>
          <w:color w:val="auto"/>
        </w:rPr>
        <w:t xml:space="preserve">Full-Price Stores. </w:t>
      </w:r>
      <w:r>
        <w:rPr>
          <w:rFonts w:ascii="Arial" w:cs="Arial" w:eastAsia="Arial" w:hAnsi="Arial"/>
          <w:sz w:val="12"/>
          <w:szCs w:val="12"/>
          <w:color w:val="auto"/>
        </w:rPr>
        <w:t>We have developed a retail presence through our full-price stores, all located in the United States, which provides us with a format to showcase the image and products of Vera Bradley. As of</w:t>
      </w:r>
      <w:r>
        <w:rPr>
          <w:rFonts w:ascii="Arial" w:cs="Arial" w:eastAsia="Arial" w:hAnsi="Arial"/>
          <w:sz w:val="12"/>
          <w:szCs w:val="12"/>
          <w:i w:val="1"/>
          <w:iCs w:val="1"/>
          <w:color w:val="auto"/>
        </w:rPr>
        <w:t xml:space="preserve"> </w:t>
      </w:r>
      <w:r>
        <w:rPr>
          <w:rFonts w:ascii="Arial" w:cs="Arial" w:eastAsia="Arial" w:hAnsi="Arial"/>
          <w:sz w:val="12"/>
          <w:szCs w:val="12"/>
          <w:color w:val="auto"/>
        </w:rPr>
        <w:t>January 28, 2012, we operated 48 full-price stores. Our full-price stores average approximately 1,800 square feet per store. Our stores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20"/>
          </w:cols>
          <w:pgMar w:left="220" w:top="384"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00"/>
        <w:spacing w:after="0" w:line="275" w:lineRule="auto"/>
        <w:rPr>
          <w:sz w:val="20"/>
          <w:szCs w:val="20"/>
          <w:color w:val="auto"/>
        </w:rPr>
      </w:pPr>
      <w:r>
        <w:rPr>
          <w:rFonts w:ascii="Arial" w:cs="Arial" w:eastAsia="Arial" w:hAnsi="Arial"/>
          <w:sz w:val="13"/>
          <w:szCs w:val="13"/>
          <w:i w:val="1"/>
          <w:iCs w:val="1"/>
          <w:color w:val="auto"/>
        </w:rPr>
        <w:t xml:space="preserve">E-Commerce. </w:t>
      </w:r>
      <w:r>
        <w:rPr>
          <w:rFonts w:ascii="Arial" w:cs="Arial" w:eastAsia="Arial" w:hAnsi="Arial"/>
          <w:sz w:val="13"/>
          <w:szCs w:val="13"/>
          <w:color w:val="auto"/>
        </w:rPr>
        <w:t>In 2006, we began selling our products through the verabradley.com website. The objective of verabradley.com is to provide both a mechanism for marketing directly to consumers and a storefront</w:t>
      </w:r>
      <w:r>
        <w:rPr>
          <w:rFonts w:ascii="Arial" w:cs="Arial" w:eastAsia="Arial" w:hAnsi="Arial"/>
          <w:sz w:val="13"/>
          <w:szCs w:val="13"/>
          <w:i w:val="1"/>
          <w:iCs w:val="1"/>
          <w:color w:val="auto"/>
        </w:rPr>
        <w:t xml:space="preserve"> </w:t>
      </w:r>
      <w:r>
        <w:rPr>
          <w:rFonts w:ascii="Arial" w:cs="Arial" w:eastAsia="Arial" w:hAnsi="Arial"/>
          <w:sz w:val="13"/>
          <w:szCs w:val="13"/>
          <w:color w:val="auto"/>
        </w:rPr>
        <w:t>where consumers can find the entire Vera Bradley collection. In fiscal 2010, we invested in upgrades to our website that enable us to provide customized shopping experiences tailored to each online shopper and allow better integration with third-party sites such as Facebook.com. We believe the enhanced functionality allows us to provide a superior experience to our e-commerce customers. In fiscal 2012, we had over 43 million visits to verabradley.com.</w:t>
      </w:r>
    </w:p>
    <w:p>
      <w:pPr>
        <w:spacing w:after="0" w:line="95" w:lineRule="exact"/>
        <w:rPr>
          <w:sz w:val="20"/>
          <w:szCs w:val="20"/>
          <w:color w:val="auto"/>
        </w:rPr>
      </w:pPr>
    </w:p>
    <w:p>
      <w:pPr>
        <w:ind w:right="120"/>
        <w:spacing w:after="0" w:line="298" w:lineRule="auto"/>
        <w:rPr>
          <w:sz w:val="20"/>
          <w:szCs w:val="20"/>
          <w:color w:val="auto"/>
        </w:rPr>
      </w:pPr>
      <w:r>
        <w:rPr>
          <w:rFonts w:ascii="Arial" w:cs="Arial" w:eastAsia="Arial" w:hAnsi="Arial"/>
          <w:sz w:val="13"/>
          <w:szCs w:val="13"/>
          <w:i w:val="1"/>
          <w:iCs w:val="1"/>
          <w:color w:val="auto"/>
        </w:rPr>
        <w:t xml:space="preserve">Outlet Stores. </w:t>
      </w:r>
      <w:r>
        <w:rPr>
          <w:rFonts w:ascii="Arial" w:cs="Arial" w:eastAsia="Arial" w:hAnsi="Arial"/>
          <w:sz w:val="13"/>
          <w:szCs w:val="13"/>
          <w:color w:val="auto"/>
        </w:rPr>
        <w:t>Our outlet stores are a vehicle for selling discontinued merchandise at discounted prices, while maintaining brand identity. We believe our outlet stores are an integral part of our distribution strategy,</w:t>
      </w:r>
      <w:r>
        <w:rPr>
          <w:rFonts w:ascii="Arial" w:cs="Arial" w:eastAsia="Arial" w:hAnsi="Arial"/>
          <w:sz w:val="13"/>
          <w:szCs w:val="13"/>
          <w:i w:val="1"/>
          <w:iCs w:val="1"/>
          <w:color w:val="auto"/>
        </w:rPr>
        <w:t xml:space="preserve"> </w:t>
      </w:r>
      <w:r>
        <w:rPr>
          <w:rFonts w:ascii="Arial" w:cs="Arial" w:eastAsia="Arial" w:hAnsi="Arial"/>
          <w:sz w:val="13"/>
          <w:szCs w:val="13"/>
          <w:color w:val="auto"/>
        </w:rPr>
        <w:t>as this format provides an additional channel of distribution for our products and enables us to better target value-oriented customers.</w:t>
      </w:r>
    </w:p>
    <w:p>
      <w:pPr>
        <w:spacing w:after="0" w:line="8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i w:val="1"/>
          <w:iCs w:val="1"/>
          <w:color w:val="auto"/>
        </w:rPr>
        <w:t>International</w:t>
      </w:r>
      <w:r>
        <w:rPr>
          <w:rFonts w:ascii="Arial" w:cs="Arial" w:eastAsia="Arial" w:hAnsi="Arial"/>
          <w:sz w:val="13"/>
          <w:szCs w:val="13"/>
          <w:color w:val="auto"/>
        </w:rPr>
        <w:t>. We launched a marketing campaign to connect with the Japanese consumer on April 18, 2011. This campaign included seven temporary pop-up stores in several department stores including Isetan</w:t>
      </w:r>
      <w:r>
        <w:rPr>
          <w:rFonts w:ascii="Arial" w:cs="Arial" w:eastAsia="Arial" w:hAnsi="Arial"/>
          <w:sz w:val="13"/>
          <w:szCs w:val="13"/>
          <w:i w:val="1"/>
          <w:iCs w:val="1"/>
          <w:color w:val="auto"/>
        </w:rPr>
        <w:t xml:space="preserve"> </w:t>
      </w:r>
      <w:r>
        <w:rPr>
          <w:rFonts w:ascii="Arial" w:cs="Arial" w:eastAsia="Arial" w:hAnsi="Arial"/>
          <w:sz w:val="13"/>
          <w:szCs w:val="13"/>
          <w:color w:val="auto"/>
        </w:rPr>
        <w:t>Shinjuku and Marui Yurakucho located across Tokyo and Kyoto. The international channel includes the Japanese website verabradley.co.jp launched in fiscal 2012.</w:t>
      </w:r>
    </w:p>
    <w:p>
      <w:pPr>
        <w:spacing w:after="0" w:line="8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i w:val="1"/>
          <w:iCs w:val="1"/>
          <w:color w:val="auto"/>
        </w:rPr>
        <w:t xml:space="preserve">Annual Outlet Sale. </w:t>
      </w:r>
      <w:r>
        <w:rPr>
          <w:rFonts w:ascii="Arial" w:cs="Arial" w:eastAsia="Arial" w:hAnsi="Arial"/>
          <w:sz w:val="13"/>
          <w:szCs w:val="13"/>
          <w:color w:val="auto"/>
        </w:rPr>
        <w:t>For the last ten years, our annual outlet sale has been held in the Allen County War Memorial Coliseum Exposition Center in Fort Wayne, Indiana. The annual outlet sale is an important tradition</w:t>
      </w:r>
      <w:r>
        <w:rPr>
          <w:rFonts w:ascii="Arial" w:cs="Arial" w:eastAsia="Arial" w:hAnsi="Arial"/>
          <w:sz w:val="13"/>
          <w:szCs w:val="13"/>
          <w:i w:val="1"/>
          <w:iCs w:val="1"/>
          <w:color w:val="auto"/>
        </w:rPr>
        <w:t xml:space="preserve"> </w:t>
      </w:r>
      <w:r>
        <w:rPr>
          <w:rFonts w:ascii="Arial" w:cs="Arial" w:eastAsia="Arial" w:hAnsi="Arial"/>
          <w:sz w:val="13"/>
          <w:szCs w:val="13"/>
          <w:color w:val="auto"/>
        </w:rPr>
        <w:t>for Vera Bradley, has many loyal followers, and is an opportunity for us to sell our discontinued merchandise at discounted prices in a brand-right fashion. We attracted more than 60,000 attendees to our 2011 annual outlet sale.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Indirect Segment</w:t>
      </w:r>
    </w:p>
    <w:p>
      <w:pPr>
        <w:spacing w:after="0" w:line="78"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As of January 28, 2012, we had approximately 3,300 Indirect retailers, the majority of which were specialty retailers with whom we have had long-standing relationships. In fiscal 2012, 2011, and 2010, our Indirect channel generated net revenues of $235.6 million, $214.9 million, and $192.8 million, respectively, or, as a percentage of our total net revenues, 51.1%, 58.7%, and 66.7%, respectively. Indirect retailers are primarily gift, apparel and accessories, travel, or other specialty retailers. No single account represented more than 3.0% of total Indirect net revenues in fiscal 2012, with the top ten accounts representing in the aggregate less than 13.0% of total Indirect net revenues. The majority of our Indirect retailers have been customers for over five years. In fiscal 2012, we launched our products in the department store channel.</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Force</w:t>
      </w:r>
    </w:p>
    <w:p>
      <w:pPr>
        <w:spacing w:after="0" w:line="78" w:lineRule="exact"/>
        <w:rPr>
          <w:sz w:val="20"/>
          <w:szCs w:val="20"/>
          <w:color w:val="auto"/>
        </w:rPr>
      </w:pPr>
    </w:p>
    <w:p>
      <w:pPr>
        <w:ind w:right="160"/>
        <w:spacing w:after="0" w:line="281" w:lineRule="auto"/>
        <w:rPr>
          <w:sz w:val="20"/>
          <w:szCs w:val="20"/>
          <w:color w:val="auto"/>
        </w:rPr>
      </w:pPr>
      <w:r>
        <w:rPr>
          <w:rFonts w:ascii="Arial" w:cs="Arial" w:eastAsia="Arial" w:hAnsi="Arial"/>
          <w:sz w:val="13"/>
          <w:szCs w:val="13"/>
          <w:color w:val="auto"/>
        </w:rPr>
        <w:t>We believe that having an in-house sales force results in more consistent brand presentation and messaging, enhanced support for our Indirect retailers, and a more predictable, scalable, and cost-efficient business model. As of January 28, 2012, our sales team consisted of 87 in-house, full-time sales consultants. The compensation structure for our sales consultants consists of a combination of fixed pay and sales-based incentives.</w:t>
      </w:r>
    </w:p>
    <w:p>
      <w:pPr>
        <w:spacing w:after="0" w:line="91"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Stores</w:t>
      </w:r>
    </w:p>
    <w:p>
      <w:pPr>
        <w:spacing w:after="0" w:line="78"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As of January 28, 2012, we operated 56 stores in 27 states throughout the United States, which includes 48 full-price stores. We believe there is a significant opportunity to grow our store base, as we believe the market in the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384" w:right="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United States can support at least 300 Vera Bradley full-price stores. Based on the success of our existing outlet stores, the number of attractive outlet centers in the United States, and the growing popularity of outlet shopping, we believe the United States has capacity to support additional Vera Bradley outlet stores.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We opened thirteen full-price stores and four outlet stores in fiscal 2012. We plan to open 14 to 20 new stores annually during each of the next five fiscal years.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Store Location Selection Strategy</w:t>
      </w:r>
    </w:p>
    <w:p>
      <w:pPr>
        <w:spacing w:after="0" w:line="76" w:lineRule="exact"/>
        <w:rPr>
          <w:sz w:val="20"/>
          <w:szCs w:val="20"/>
          <w:color w:val="auto"/>
        </w:rPr>
      </w:pPr>
    </w:p>
    <w:p>
      <w:pPr>
        <w:spacing w:after="0" w:line="300" w:lineRule="auto"/>
        <w:rPr>
          <w:sz w:val="20"/>
          <w:szCs w:val="20"/>
          <w:color w:val="auto"/>
        </w:rPr>
      </w:pPr>
      <w:r>
        <w:rPr>
          <w:rFonts w:ascii="Arial" w:cs="Arial" w:eastAsia="Arial" w:hAnsi="Arial"/>
          <w:sz w:val="12"/>
          <w:szCs w:val="12"/>
          <w:color w:val="auto"/>
        </w:rPr>
        <w:t>Our store location decisions are made case by case, depending on the combined retail strategy we have developed for the particular market. This includes actual and planned penetration in both Indirect and Direct segments, as well as existing e-commerce demand. At this time, we do not believe any market has been fully penetrated. We believe that expansion of our store base complements our Indirect segment by increasing brand awareness and reinforcing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full-price store size is approximately 1,800 square feet, but we are comfortable with spaces as small as 1,000 square feet or, depending on our market strategy and relevant economic factors, spaces as large as 2,800 square feet.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Store Locations</w:t>
      </w:r>
    </w:p>
    <w:p>
      <w:pPr>
        <w:spacing w:after="0" w:line="76"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Our full-price stores are located primarily in high-traffic regional malls, lifestyle centers, and mixed-use shopping centers across the United States. The following table shows the number of full-price and outlet stores we operated in each state as of January 28, 2012: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9"/>
              </w:rPr>
              <w:t>State</w:t>
            </w:r>
          </w:p>
        </w:tc>
        <w:tc>
          <w:tcPr>
            <w:tcW w:w="3580" w:type="dxa"/>
            <w:vAlign w:val="bottom"/>
            <w:vMerge w:val="restart"/>
          </w:tcPr>
          <w:p>
            <w:pPr>
              <w:spacing w:after="0"/>
              <w:rPr>
                <w:sz w:val="10"/>
                <w:szCs w:val="10"/>
                <w:color w:val="auto"/>
              </w:rPr>
            </w:pPr>
          </w:p>
        </w:tc>
        <w:tc>
          <w:tcPr>
            <w:tcW w:w="1700" w:type="dxa"/>
            <w:vAlign w:val="bottom"/>
            <w:gridSpan w:val="2"/>
          </w:tcPr>
          <w:p>
            <w:pPr>
              <w:spacing w:after="0"/>
              <w:rPr>
                <w:sz w:val="20"/>
                <w:szCs w:val="20"/>
                <w:color w:val="auto"/>
              </w:rPr>
            </w:pPr>
            <w:r>
              <w:rPr>
                <w:rFonts w:ascii="Arial" w:cs="Arial" w:eastAsia="Arial" w:hAnsi="Arial"/>
                <w:sz w:val="10"/>
                <w:szCs w:val="10"/>
                <w:b w:val="1"/>
                <w:bCs w:val="1"/>
                <w:color w:val="auto"/>
              </w:rPr>
              <w:t>Total Number of</w:t>
            </w:r>
          </w:p>
        </w:tc>
        <w:tc>
          <w:tcPr>
            <w:tcW w:w="1720" w:type="dxa"/>
            <w:vAlign w:val="bottom"/>
            <w:gridSpan w:val="2"/>
          </w:tcPr>
          <w:p>
            <w:pPr>
              <w:jc w:val="center"/>
              <w:ind w:right="960"/>
              <w:spacing w:after="0"/>
              <w:rPr>
                <w:sz w:val="20"/>
                <w:szCs w:val="20"/>
                <w:color w:val="auto"/>
              </w:rPr>
            </w:pPr>
            <w:r>
              <w:rPr>
                <w:rFonts w:ascii="Arial" w:cs="Arial" w:eastAsia="Arial" w:hAnsi="Arial"/>
                <w:sz w:val="10"/>
                <w:szCs w:val="10"/>
                <w:b w:val="1"/>
                <w:bCs w:val="1"/>
                <w:color w:val="auto"/>
                <w:w w:val="93"/>
              </w:rPr>
              <w:t>Total Number of</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 Number of</w:t>
            </w:r>
          </w:p>
        </w:tc>
        <w:tc>
          <w:tcPr>
            <w:tcW w:w="76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6"/>
              </w:rPr>
              <w:t>Total Number of</w:t>
            </w:r>
          </w:p>
        </w:tc>
        <w:tc>
          <w:tcPr>
            <w:tcW w:w="0" w:type="dxa"/>
            <w:vAlign w:val="bottom"/>
          </w:tcPr>
          <w:p>
            <w:pPr>
              <w:spacing w:after="0"/>
              <w:rPr>
                <w:sz w:val="1"/>
                <w:szCs w:val="1"/>
                <w:color w:val="auto"/>
              </w:rPr>
            </w:pPr>
          </w:p>
        </w:tc>
      </w:tr>
      <w:tr>
        <w:trPr>
          <w:trHeight w:val="134"/>
        </w:trPr>
        <w:tc>
          <w:tcPr>
            <w:tcW w:w="240" w:type="dxa"/>
            <w:vAlign w:val="bottom"/>
            <w:tcBorders>
              <w:bottom w:val="single" w:sz="8" w:color="auto"/>
            </w:tcBorders>
            <w:vMerge w:val="continue"/>
          </w:tcPr>
          <w:p>
            <w:pPr>
              <w:spacing w:after="0"/>
              <w:rPr>
                <w:sz w:val="11"/>
                <w:szCs w:val="11"/>
                <w:color w:val="auto"/>
              </w:rPr>
            </w:pPr>
          </w:p>
        </w:tc>
        <w:tc>
          <w:tcPr>
            <w:tcW w:w="3580" w:type="dxa"/>
            <w:vAlign w:val="bottom"/>
            <w:vMerge w:val="continue"/>
          </w:tcPr>
          <w:p>
            <w:pPr>
              <w:spacing w:after="0"/>
              <w:rPr>
                <w:sz w:val="11"/>
                <w:szCs w:val="11"/>
                <w:color w:val="auto"/>
              </w:rPr>
            </w:pPr>
          </w:p>
        </w:tc>
        <w:tc>
          <w:tcPr>
            <w:tcW w:w="1700" w:type="dxa"/>
            <w:vAlign w:val="bottom"/>
            <w:gridSpan w:val="2"/>
          </w:tcPr>
          <w:p>
            <w:pPr>
              <w:jc w:val="right"/>
              <w:ind w:right="960"/>
              <w:spacing w:after="0" w:line="114" w:lineRule="exact"/>
              <w:rPr>
                <w:sz w:val="20"/>
                <w:szCs w:val="20"/>
                <w:color w:val="auto"/>
              </w:rPr>
            </w:pPr>
            <w:r>
              <w:rPr>
                <w:rFonts w:ascii="Arial" w:cs="Arial" w:eastAsia="Arial" w:hAnsi="Arial"/>
                <w:sz w:val="10"/>
                <w:szCs w:val="10"/>
                <w:b w:val="1"/>
                <w:bCs w:val="1"/>
                <w:color w:val="auto"/>
                <w:w w:val="90"/>
              </w:rPr>
              <w:t>Full-Price Stores</w:t>
            </w:r>
          </w:p>
        </w:tc>
        <w:tc>
          <w:tcPr>
            <w:tcW w:w="1720" w:type="dxa"/>
            <w:vAlign w:val="bottom"/>
            <w:gridSpan w:val="2"/>
          </w:tcPr>
          <w:p>
            <w:pPr>
              <w:jc w:val="center"/>
              <w:ind w:right="980"/>
              <w:spacing w:after="0" w:line="114" w:lineRule="exact"/>
              <w:rPr>
                <w:sz w:val="20"/>
                <w:szCs w:val="20"/>
                <w:color w:val="auto"/>
              </w:rPr>
            </w:pPr>
            <w:r>
              <w:rPr>
                <w:rFonts w:ascii="Arial" w:cs="Arial" w:eastAsia="Arial" w:hAnsi="Arial"/>
                <w:sz w:val="10"/>
                <w:szCs w:val="10"/>
                <w:b w:val="1"/>
                <w:bCs w:val="1"/>
                <w:color w:val="auto"/>
                <w:w w:val="92"/>
              </w:rPr>
              <w:t>Outlet Stores</w:t>
            </w:r>
          </w:p>
        </w:tc>
        <w:tc>
          <w:tcPr>
            <w:tcW w:w="1700" w:type="dxa"/>
            <w:vAlign w:val="bottom"/>
            <w:gridSpan w:val="2"/>
          </w:tcPr>
          <w:p>
            <w:pPr>
              <w:ind w:left="280"/>
              <w:spacing w:after="0" w:line="114" w:lineRule="exact"/>
              <w:rPr>
                <w:sz w:val="20"/>
                <w:szCs w:val="20"/>
                <w:color w:val="auto"/>
              </w:rPr>
            </w:pPr>
            <w:r>
              <w:rPr>
                <w:rFonts w:ascii="Arial" w:cs="Arial" w:eastAsia="Arial" w:hAnsi="Arial"/>
                <w:sz w:val="10"/>
                <w:szCs w:val="10"/>
                <w:b w:val="1"/>
                <w:bCs w:val="1"/>
                <w:color w:val="auto"/>
              </w:rPr>
              <w:t>State</w:t>
            </w:r>
          </w:p>
        </w:tc>
        <w:tc>
          <w:tcPr>
            <w:tcW w:w="172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Full-Price Stores</w:t>
            </w:r>
          </w:p>
        </w:tc>
        <w:tc>
          <w:tcPr>
            <w:tcW w:w="76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92"/>
              </w:rPr>
              <w:t>Outlet Stores</w:t>
            </w:r>
          </w:p>
        </w:tc>
        <w:tc>
          <w:tcPr>
            <w:tcW w:w="0" w:type="dxa"/>
            <w:vAlign w:val="bottom"/>
          </w:tcPr>
          <w:p>
            <w:pPr>
              <w:spacing w:after="0"/>
              <w:rPr>
                <w:sz w:val="1"/>
                <w:szCs w:val="1"/>
                <w:color w:val="auto"/>
              </w:rPr>
            </w:pPr>
          </w:p>
        </w:tc>
      </w:tr>
      <w:tr>
        <w:trPr>
          <w:trHeight w:val="137"/>
        </w:trPr>
        <w:tc>
          <w:tcPr>
            <w:tcW w:w="3820" w:type="dxa"/>
            <w:vAlign w:val="bottom"/>
            <w:gridSpan w:val="2"/>
          </w:tcPr>
          <w:p>
            <w:pPr>
              <w:spacing w:after="0" w:line="138" w:lineRule="exact"/>
              <w:rPr>
                <w:sz w:val="20"/>
                <w:szCs w:val="20"/>
                <w:color w:val="auto"/>
              </w:rPr>
            </w:pPr>
            <w:r>
              <w:rPr>
                <w:rFonts w:ascii="Arial" w:cs="Arial" w:eastAsia="Arial" w:hAnsi="Arial"/>
                <w:sz w:val="13"/>
                <w:szCs w:val="13"/>
                <w:color w:val="auto"/>
              </w:rPr>
              <w:t>Alabama</w:t>
            </w:r>
          </w:p>
        </w:tc>
        <w:tc>
          <w:tcPr>
            <w:tcW w:w="7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w:t>
            </w:r>
          </w:p>
        </w:tc>
        <w:tc>
          <w:tcPr>
            <w:tcW w:w="960" w:type="dxa"/>
            <w:vAlign w:val="bottom"/>
          </w:tcPr>
          <w:p>
            <w:pPr>
              <w:spacing w:after="0"/>
              <w:rPr>
                <w:sz w:val="11"/>
                <w:szCs w:val="11"/>
                <w:color w:val="auto"/>
              </w:rPr>
            </w:pPr>
          </w:p>
        </w:tc>
        <w:tc>
          <w:tcPr>
            <w:tcW w:w="7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tcPr>
          <w:p>
            <w:pPr>
              <w:spacing w:after="0"/>
              <w:rPr>
                <w:sz w:val="11"/>
                <w:szCs w:val="11"/>
                <w:color w:val="auto"/>
              </w:rPr>
            </w:pPr>
          </w:p>
        </w:tc>
        <w:tc>
          <w:tcPr>
            <w:tcW w:w="80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color w:val="auto"/>
              </w:rPr>
              <w:t>Minnesota</w:t>
            </w:r>
          </w:p>
        </w:tc>
        <w:tc>
          <w:tcPr>
            <w:tcW w:w="900" w:type="dxa"/>
            <w:vAlign w:val="bottom"/>
          </w:tcPr>
          <w:p>
            <w:pPr>
              <w:spacing w:after="0"/>
              <w:rPr>
                <w:sz w:val="11"/>
                <w:szCs w:val="11"/>
                <w:color w:val="auto"/>
              </w:rPr>
            </w:pPr>
          </w:p>
        </w:tc>
        <w:tc>
          <w:tcPr>
            <w:tcW w:w="740" w:type="dxa"/>
            <w:vAlign w:val="bottom"/>
            <w:tcBorders>
              <w:top w:val="single" w:sz="8" w:color="auto"/>
            </w:tcBorders>
          </w:tcPr>
          <w:p>
            <w:pPr>
              <w:ind w:left="680"/>
              <w:spacing w:after="0"/>
              <w:rPr>
                <w:sz w:val="20"/>
                <w:szCs w:val="20"/>
                <w:color w:val="auto"/>
              </w:rPr>
            </w:pPr>
            <w:r>
              <w:rPr>
                <w:rFonts w:ascii="Arial" w:cs="Arial" w:eastAsia="Arial" w:hAnsi="Arial"/>
                <w:sz w:val="10"/>
                <w:szCs w:val="10"/>
                <w:color w:val="auto"/>
                <w:w w:val="71"/>
              </w:rPr>
              <w:t>1</w:t>
            </w:r>
          </w:p>
        </w:tc>
        <w:tc>
          <w:tcPr>
            <w:tcW w:w="980" w:type="dxa"/>
            <w:vAlign w:val="bottom"/>
          </w:tcPr>
          <w:p>
            <w:pPr>
              <w:spacing w:after="0"/>
              <w:rPr>
                <w:sz w:val="11"/>
                <w:szCs w:val="11"/>
                <w:color w:val="auto"/>
              </w:rPr>
            </w:pPr>
          </w:p>
        </w:tc>
        <w:tc>
          <w:tcPr>
            <w:tcW w:w="7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California</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4</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Missouri</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Colorado</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1</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New Jersey</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2</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Connecticut</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1</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New York</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2</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Delaware</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1</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North Carolina</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Florida</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2</w:t>
            </w: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9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3"/>
                <w:szCs w:val="13"/>
                <w:color w:val="auto"/>
              </w:rPr>
              <w:t>Ohio</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2</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Georgia</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1</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Pennsylvania</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Hawaii</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1</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Rhode Island</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Illinois</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4</w:t>
            </w: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9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3"/>
                <w:szCs w:val="13"/>
                <w:color w:val="auto"/>
              </w:rPr>
              <w:t>Tennessee</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Indiana</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1</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Texas</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7</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Kansas</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1</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Virginia</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Maryland</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2</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1700" w:type="dxa"/>
            <w:vAlign w:val="bottom"/>
            <w:gridSpan w:val="2"/>
          </w:tcPr>
          <w:p>
            <w:pPr>
              <w:spacing w:after="0"/>
              <w:rPr>
                <w:sz w:val="20"/>
                <w:szCs w:val="20"/>
                <w:color w:val="auto"/>
              </w:rPr>
            </w:pPr>
            <w:r>
              <w:rPr>
                <w:rFonts w:ascii="Arial" w:cs="Arial" w:eastAsia="Arial" w:hAnsi="Arial"/>
                <w:sz w:val="13"/>
                <w:szCs w:val="13"/>
                <w:color w:val="auto"/>
              </w:rPr>
              <w:t>Washington</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Massachusetts</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4</w:t>
            </w: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9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3"/>
                <w:szCs w:val="13"/>
                <w:color w:val="auto"/>
              </w:rPr>
              <w:t>Wisconsin</w:t>
            </w:r>
          </w:p>
        </w:tc>
        <w:tc>
          <w:tcPr>
            <w:tcW w:w="1720" w:type="dxa"/>
            <w:vAlign w:val="bottom"/>
            <w:gridSpan w:val="2"/>
          </w:tcPr>
          <w:p>
            <w:pPr>
              <w:ind w:left="680"/>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3"/>
                <w:szCs w:val="13"/>
                <w:color w:val="auto"/>
              </w:rPr>
              <w:t>Michigan</w:t>
            </w:r>
          </w:p>
        </w:tc>
        <w:tc>
          <w:tcPr>
            <w:tcW w:w="1700" w:type="dxa"/>
            <w:vAlign w:val="bottom"/>
            <w:gridSpan w:val="2"/>
          </w:tcPr>
          <w:p>
            <w:pPr>
              <w:jc w:val="right"/>
              <w:ind w:right="960"/>
              <w:spacing w:after="0"/>
              <w:rPr>
                <w:sz w:val="20"/>
                <w:szCs w:val="20"/>
                <w:color w:val="auto"/>
              </w:rPr>
            </w:pPr>
            <w:r>
              <w:rPr>
                <w:rFonts w:ascii="Arial" w:cs="Arial" w:eastAsia="Arial" w:hAnsi="Arial"/>
                <w:sz w:val="13"/>
                <w:szCs w:val="13"/>
                <w:color w:val="auto"/>
              </w:rPr>
              <w:t>2</w:t>
            </w:r>
          </w:p>
        </w:tc>
        <w:tc>
          <w:tcPr>
            <w:tcW w:w="1720" w:type="dxa"/>
            <w:vAlign w:val="bottom"/>
            <w:gridSpan w:val="2"/>
          </w:tcPr>
          <w:p>
            <w:pPr>
              <w:jc w:val="right"/>
              <w:ind w:right="9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Store Operations</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The focus of our store operations is providing consumers with a comfortable shopping experience. We strive to make the 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 Our district and store managers are our primary link to the consumer, and we continually invest in their development.</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20"/>
          </w:cols>
          <w:pgMar w:left="220" w:top="384"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Store Economics</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3"/>
          <w:szCs w:val="13"/>
          <w:color w:val="auto"/>
        </w:rPr>
        <w:t>We believe that our innovative retail concept and distinctive retail experience contribute to the success of our stores, most of which generate strong productivity and returns. We expect our full-price stores to average approximately 1,800 square feet per store, and we expect to invest approximately $0.4 million per new store, consisting of inventory costs, pre-opening costs, and build-out costs less tenant-improvement allowances. New full-price stores generate on average between $1.1 million and $1.3 million in net revenues during the first twelve months, and the payback on our investment is expected to occur in less than 18 months.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Manufacturing and Supply Chain Model</w:t>
      </w:r>
    </w:p>
    <w:p>
      <w:pPr>
        <w:spacing w:after="0" w:line="78" w:lineRule="exact"/>
        <w:rPr>
          <w:sz w:val="20"/>
          <w:szCs w:val="20"/>
          <w:color w:val="auto"/>
        </w:rPr>
      </w:pPr>
    </w:p>
    <w:p>
      <w:pPr>
        <w:jc w:val="both"/>
        <w:ind w:right="400"/>
        <w:spacing w:after="0" w:line="281" w:lineRule="auto"/>
        <w:rPr>
          <w:sz w:val="20"/>
          <w:szCs w:val="20"/>
          <w:color w:val="auto"/>
        </w:rPr>
      </w:pPr>
      <w:r>
        <w:rPr>
          <w:rFonts w:ascii="Arial" w:cs="Arial" w:eastAsia="Arial" w:hAnsi="Arial"/>
          <w:sz w:val="13"/>
          <w:szCs w:val="13"/>
          <w:color w:val="auto"/>
        </w:rPr>
        <w:t>Our manufacturing and supply chain model is designed to maximize flexibility in order to meet shifting demands in the market. Our model utilizes offshore raw material suppliers and a blend of offshore and domestic manufacturing. We place a strong emphasis on continuous improvement and have employed lean manufacturing concepts. Our broad-based, multi-country manufacturing and supply chain model is designed to achieve efficient, timely, and accurate order fulfillment while maintaining appropriate levels of inventory.</w:t>
      </w:r>
    </w:p>
    <w:p>
      <w:pPr>
        <w:spacing w:after="0" w:line="9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Our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w:t>
      </w:r>
    </w:p>
    <w:p>
      <w:pPr>
        <w:spacing w:after="0" w:line="91" w:lineRule="exact"/>
        <w:rPr>
          <w:sz w:val="20"/>
          <w:szCs w:val="20"/>
          <w:color w:val="auto"/>
        </w:rPr>
      </w:pPr>
    </w:p>
    <w:p>
      <w:pPr>
        <w:ind w:right="220"/>
        <w:spacing w:after="0" w:line="275" w:lineRule="auto"/>
        <w:rPr>
          <w:sz w:val="20"/>
          <w:szCs w:val="20"/>
          <w:color w:val="auto"/>
        </w:rPr>
      </w:pPr>
      <w:r>
        <w:rPr>
          <w:rFonts w:ascii="Arial" w:cs="Arial" w:eastAsia="Arial" w:hAnsi="Arial"/>
          <w:sz w:val="13"/>
          <w:szCs w:val="13"/>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Inventory Planning and Deployment. This integrated function along with the creation of a Merchant function, has allowed for further improvements to our inventory management processes.</w:t>
      </w:r>
    </w:p>
    <w:p>
      <w:pPr>
        <w:spacing w:after="0" w:line="95"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auto"/>
        </w:rPr>
        <w:t>The majority of our products are cotton-based. Our other products are made from specialty fabrics (including nylon and microfiber) and paper. We source our materials from various suppliers in Asia, with the majority coming from China and South Korea. Our global supply chain and purchasing teams work together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A significant majority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95"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The remainder of our products are manufactured in the United States to provide flexibility in our supply chain. This production, almost all of which is internal to Vera Bradley, enables us to manufacture a finished product in</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40"/>
          </w:cols>
          <w:pgMar w:left="220" w:top="384"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two weeks. This capability allows us to manufacture finished product to respond quickly to shifts in marketplace demand and changes in consumer preferences. In fiscal 2012, approximately 10% of our units were produced in our domestic manufacturing facility.</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 Center</w:t>
      </w:r>
    </w:p>
    <w:p>
      <w:pPr>
        <w:spacing w:after="0" w:line="78" w:lineRule="exact"/>
        <w:rPr>
          <w:sz w:val="20"/>
          <w:szCs w:val="20"/>
          <w:color w:val="auto"/>
        </w:rPr>
      </w:pPr>
    </w:p>
    <w:p>
      <w:pPr>
        <w:ind w:right="100"/>
        <w:spacing w:after="0" w:line="300" w:lineRule="auto"/>
        <w:rPr>
          <w:sz w:val="20"/>
          <w:szCs w:val="20"/>
          <w:color w:val="auto"/>
        </w:rPr>
      </w:pPr>
      <w:r>
        <w:rPr>
          <w:rFonts w:ascii="Arial" w:cs="Arial" w:eastAsia="Arial" w:hAnsi="Arial"/>
          <w:sz w:val="12"/>
          <w:szCs w:val="12"/>
          <w:color w:val="auto"/>
        </w:rPr>
        <w:t>In 2007, we consolidated our warehousing and shipping functions into one, 217,320 square-foot distribution center, located in Roanoke, Indiana. This highly automated, computerized facility allows Vera Bradley employees to receive information directly from the order-collection center and quickly identify the products and quantity necessary for a particular order. In addition, we employ a warehouse-control system that controls the flow of our products through 5,000 feet of automated conveyer.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During fiscal 2012, we began a 200,000 square-foot expansion of the distribution facility, which we expect to complete in fiscal 2013.</w:t>
      </w:r>
    </w:p>
    <w:p>
      <w:pPr>
        <w:spacing w:after="0" w:line="83" w:lineRule="exact"/>
        <w:rPr>
          <w:sz w:val="20"/>
          <w:szCs w:val="20"/>
          <w:color w:val="auto"/>
        </w:rPr>
      </w:pPr>
    </w:p>
    <w:p>
      <w:pPr>
        <w:ind w:right="360"/>
        <w:spacing w:after="0" w:line="343" w:lineRule="auto"/>
        <w:rPr>
          <w:sz w:val="20"/>
          <w:szCs w:val="20"/>
          <w:color w:val="auto"/>
        </w:rPr>
      </w:pPr>
      <w:r>
        <w:rPr>
          <w:rFonts w:ascii="Arial" w:cs="Arial" w:eastAsia="Arial" w:hAnsi="Arial"/>
          <w:sz w:val="12"/>
          <w:szCs w:val="12"/>
          <w:color w:val="auto"/>
        </w:rPr>
        <w:t>We strive to maintain the appropriate balance of inventory to enable us to provide a high level of service to our customers, including prompt and accurate delivery of our products. We have an active Inventory Planning and Deployment function that helps us balance the supply and demand issues that we encounter in our business, optimize our inventory levels, and anticipate inventory needs.</w:t>
      </w:r>
    </w:p>
    <w:p>
      <w:pPr>
        <w:spacing w:after="0" w:line="5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Our products are shipped primarily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 Information Systems</w:t>
      </w:r>
    </w:p>
    <w:p>
      <w:pPr>
        <w:spacing w:after="0" w:line="78" w:lineRule="exact"/>
        <w:rPr>
          <w:sz w:val="20"/>
          <w:szCs w:val="20"/>
          <w:color w:val="auto"/>
        </w:rPr>
      </w:pPr>
    </w:p>
    <w:p>
      <w:pPr>
        <w:ind w:right="140"/>
        <w:spacing w:after="0" w:line="304" w:lineRule="auto"/>
        <w:rPr>
          <w:sz w:val="20"/>
          <w:szCs w:val="20"/>
          <w:color w:val="auto"/>
        </w:rPr>
      </w:pPr>
      <w:r>
        <w:rPr>
          <w:rFonts w:ascii="Arial" w:cs="Arial" w:eastAsia="Arial" w:hAnsi="Arial"/>
          <w:sz w:val="12"/>
          <w:szCs w:val="12"/>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specialized systems, including MICROS-Retail, SAP, and SCALE, for our information technology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specialty retailers, department stores, catalog retailers, gift retailers, and Internet businesses that engage in the retail sale of similar products.</w:t>
      </w:r>
    </w:p>
    <w:p>
      <w:pPr>
        <w:spacing w:after="0" w:line="100" w:lineRule="exact"/>
        <w:rPr>
          <w:sz w:val="20"/>
          <w:szCs w:val="20"/>
          <w:color w:val="auto"/>
        </w:rPr>
      </w:pPr>
    </w:p>
    <w:p>
      <w:pPr>
        <w:ind w:right="80"/>
        <w:spacing w:after="0" w:line="343" w:lineRule="auto"/>
        <w:rPr>
          <w:sz w:val="20"/>
          <w:szCs w:val="20"/>
          <w:color w:val="auto"/>
        </w:rPr>
      </w:pPr>
      <w:r>
        <w:rPr>
          <w:rFonts w:ascii="Arial" w:cs="Arial" w:eastAsia="Arial" w:hAnsi="Arial"/>
          <w:sz w:val="12"/>
          <w:szCs w:val="12"/>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 such as Coach, Nine West, Liz Claiborne, Dooney &amp; Bourke, and Michael Kors.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60"/>
          </w:cols>
          <w:pgMar w:left="220" w:top="384" w:right="2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Copyrights and Trademarks</w:t>
      </w:r>
    </w:p>
    <w:p>
      <w:pPr>
        <w:spacing w:after="0" w:line="78"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The development of each new pattern includes the design of an overall print, a complementary fabric backing, and coordinating trim materials. Once developed, we generally copyright each pattern, including the print, fabric backing, and coordinating trim. We currently have in excess of 400 copyrights.</w:t>
      </w:r>
    </w:p>
    <w:p>
      <w:pPr>
        <w:spacing w:after="0" w:line="81"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We also own all of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both domestically and internationally. We also pursue counterfeiters domestically and internationally through leads generated internally, as well as through external sources monitoring use in the market. Our trademarks will remain in existence for as long as we continue to use and renew them on their expiration dates. We have no material patents.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78"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As of January 28, 2012, we had 2,078 employees. Of the total, 1,046 were engaged in retail selling positions, 327 were engaged in manufacturing functions, 32 were engaged in product design, and 460 were engaged in corporate support and administrative functions. The remaining employees were engaged in other aspects of our business. None of our employees is represented by a union. We believe that our relations with our employees are good, and we have never encountered a significant work stoppage.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Regulation</w:t>
      </w:r>
    </w:p>
    <w:p>
      <w:pPr>
        <w:spacing w:after="0" w:line="78"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75"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78" w:lineRule="exact"/>
        <w:rPr>
          <w:sz w:val="20"/>
          <w:szCs w:val="20"/>
          <w:color w:val="auto"/>
        </w:rPr>
      </w:pPr>
    </w:p>
    <w:p>
      <w:pPr>
        <w:jc w:val="both"/>
        <w:ind w:right="440"/>
        <w:spacing w:after="0" w:line="314" w:lineRule="auto"/>
        <w:rPr>
          <w:sz w:val="20"/>
          <w:szCs w:val="20"/>
          <w:color w:val="auto"/>
        </w:rPr>
      </w:pPr>
      <w:r>
        <w:rPr>
          <w:rFonts w:ascii="Arial" w:cs="Arial" w:eastAsia="Arial" w:hAnsi="Arial"/>
          <w:sz w:val="12"/>
          <w:szCs w:val="12"/>
          <w:color w:val="auto"/>
        </w:rPr>
        <w:t>Our Annual Report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40"/>
          </w:cols>
          <w:pgMar w:left="220" w:top="384"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78"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i w:val="1"/>
          <w:iCs w:val="1"/>
          <w:color w:val="auto"/>
        </w:rPr>
        <w:t>You should carefully consider all of the information in this report, particularly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general economic conditions, and their impact on consumer confidence and consumer spending, could adversely impact our results of operations.</w:t>
      </w:r>
    </w:p>
    <w:p>
      <w:pPr>
        <w:spacing w:after="0" w:line="76"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and general uncertainty regarding the overall future economic environment.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inability to predict and respond in a timely manner to changes in consumer demand could adversely affect our net revenues and results of operations.</w:t>
      </w:r>
    </w:p>
    <w:p>
      <w:pPr>
        <w:spacing w:after="0" w:line="76" w:lineRule="exact"/>
        <w:rPr>
          <w:sz w:val="20"/>
          <w:szCs w:val="20"/>
          <w:color w:val="auto"/>
        </w:rPr>
      </w:pPr>
    </w:p>
    <w:p>
      <w:pPr>
        <w:ind w:right="260"/>
        <w:spacing w:after="0" w:line="275" w:lineRule="auto"/>
        <w:rPr>
          <w:sz w:val="20"/>
          <w:szCs w:val="20"/>
          <w:color w:val="auto"/>
        </w:rPr>
      </w:pPr>
      <w:r>
        <w:rPr>
          <w:rFonts w:ascii="Arial" w:cs="Arial" w:eastAsia="Arial" w:hAnsi="Arial"/>
          <w:sz w:val="13"/>
          <w:szCs w:val="13"/>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we may be faced with significant excess inventories for some products and missed opportunities for other products. Merchandise misjudgments could adversely impact our net revenues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could suffer if we lose key management or design associates or are unable to attract and retain the talent required for our business.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We do not have employment agreements with any of our key executives or design associates. The unexpected loss of services of certain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depends on a strong brand. If we are unable to maintain and enhance our brand, then we may be unable to sell our products, which could adversely impact our results of operations.</w:t>
      </w:r>
    </w:p>
    <w:p>
      <w:pPr>
        <w:spacing w:after="0" w:line="88"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We believe that the brand image that we have developed has contributed significantly to the success of our business. We also believe that maintaining and enhancing the Vera Bradley brand is critical to maintaining and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60"/>
          </w:cols>
          <w:pgMar w:left="220" w:top="384" w:right="2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180"/>
        <w:spacing w:after="0" w:line="298" w:lineRule="auto"/>
        <w:rPr>
          <w:sz w:val="20"/>
          <w:szCs w:val="20"/>
          <w:color w:val="auto"/>
        </w:rPr>
      </w:pPr>
      <w:r>
        <w:rPr>
          <w:rFonts w:ascii="Arial" w:cs="Arial" w:eastAsia="Arial" w:hAnsi="Arial"/>
          <w:sz w:val="13"/>
          <w:szCs w:val="13"/>
          <w:color w:val="auto"/>
        </w:rPr>
        <w:t>expanding our customer base. Maintaining and enhancing our brand may require us to make substantial investments in areas such as product design, store operations, and community relations. These investments might not succeed. If we are unable to maintain or enhance our brand image, our results of operations could be adversely impacted.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successfully implement our growth strategies or manage our growing business, our future operating results could suffer.</w:t>
      </w:r>
    </w:p>
    <w:p>
      <w:pPr>
        <w:spacing w:after="0" w:line="76" w:lineRule="exact"/>
        <w:rPr>
          <w:sz w:val="20"/>
          <w:szCs w:val="20"/>
          <w:color w:val="auto"/>
        </w:rPr>
      </w:pPr>
    </w:p>
    <w:p>
      <w:pPr>
        <w:ind w:right="400"/>
        <w:spacing w:after="0" w:line="298" w:lineRule="auto"/>
        <w:rPr>
          <w:sz w:val="20"/>
          <w:szCs w:val="20"/>
          <w:color w:val="auto"/>
        </w:rPr>
      </w:pPr>
      <w:r>
        <w:rPr>
          <w:rFonts w:ascii="Arial" w:cs="Arial" w:eastAsia="Arial" w:hAnsi="Arial"/>
          <w:sz w:val="13"/>
          <w:szCs w:val="13"/>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81"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91"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We are continuing to invest in our specialty retailers to support them in growing along with Vera Bradley. This channel will continue to evolve over time as we balance the channel dynamics between the specialty retailer, our Direct stores, and e-commerce.</w:t>
      </w:r>
    </w:p>
    <w:p>
      <w:pPr>
        <w:spacing w:after="0" w:line="81" w:lineRule="exact"/>
        <w:rPr>
          <w:sz w:val="20"/>
          <w:szCs w:val="20"/>
          <w:color w:val="auto"/>
        </w:rPr>
      </w:pPr>
    </w:p>
    <w:p>
      <w:pPr>
        <w:ind w:right="100"/>
        <w:spacing w:after="0" w:line="304" w:lineRule="auto"/>
        <w:rPr>
          <w:sz w:val="20"/>
          <w:szCs w:val="20"/>
          <w:color w:val="auto"/>
        </w:rPr>
      </w:pPr>
      <w:r>
        <w:rPr>
          <w:rFonts w:ascii="Arial" w:cs="Arial" w:eastAsia="Arial" w:hAnsi="Arial"/>
          <w:sz w:val="12"/>
          <w:szCs w:val="12"/>
          <w:color w:val="auto"/>
        </w:rPr>
        <w:t>Additionally, our current growth strategy includes plans to expand internationally. We currently plan to open additional “shop-in-shop” stores within Japanese department stores. We do not yet have significant experience operating in Japan, and we face established competitors. Furthermore, Japan has different operational characteristics, including but not limited to employment and labor, transportation, logistics, real estate, and local reporting or legal requirements. In addition, consumer demand and behavior, as well as tastes and purchasing trends may differ in Japan, and as a result, sales of our product may not be successful, or the margins on those sales may not be in line with those we currently anticipate. If our international expansion plans are unsuccessful, our financial results could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successfully open and operate new stores as planned, which could adversely impact our results of operations.</w:t>
      </w:r>
    </w:p>
    <w:p>
      <w:pPr>
        <w:spacing w:after="0" w:line="76" w:lineRule="exact"/>
        <w:rPr>
          <w:sz w:val="20"/>
          <w:szCs w:val="20"/>
          <w:color w:val="auto"/>
        </w:rPr>
      </w:pPr>
    </w:p>
    <w:p>
      <w:pPr>
        <w:ind w:right="340"/>
        <w:spacing w:after="0" w:line="298" w:lineRule="auto"/>
        <w:rPr>
          <w:sz w:val="20"/>
          <w:szCs w:val="20"/>
          <w:color w:val="auto"/>
        </w:rPr>
      </w:pPr>
      <w:r>
        <w:rPr>
          <w:rFonts w:ascii="Arial" w:cs="Arial" w:eastAsia="Arial" w:hAnsi="Arial"/>
          <w:sz w:val="13"/>
          <w:szCs w:val="13"/>
          <w:color w:val="auto"/>
        </w:rPr>
        <w:t>Our continued growth will depend on our ability to successfully open and operate new stores. We plan to open 14 to 20 new stores during each of the next five fiscal years. Our ability to successfully open and operate new stores depends on many factors, including our ability to:</w:t>
      </w:r>
    </w:p>
    <w:p>
      <w:pPr>
        <w:spacing w:after="0" w:line="19" w:lineRule="exact"/>
        <w:rPr>
          <w:sz w:val="20"/>
          <w:szCs w:val="20"/>
          <w:color w:val="auto"/>
        </w:rPr>
      </w:pPr>
    </w:p>
    <w:p>
      <w:pPr>
        <w:ind w:left="900" w:hanging="333"/>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identify suitable store locations, the availability of which is outside our control;</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negotiate acceptable lease terms, including desired tenant improvement allowances;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hire, train, and retain store personnel and management;</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assimilate new store personnel and management into our corporate culture;</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and manufacture inventory;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successfully integrate new stores into our existing operations and information technology systems.</w:t>
      </w:r>
    </w:p>
    <w:p>
      <w:pPr>
        <w:spacing w:after="0" w:line="138"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40"/>
          </w:cols>
          <w:pgMar w:left="220" w:top="384"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inability to sustain levels of comparable-store sales could cause our stock price to decline.</w:t>
      </w:r>
    </w:p>
    <w:p>
      <w:pPr>
        <w:spacing w:after="0" w:line="76" w:lineRule="exact"/>
        <w:rPr>
          <w:sz w:val="20"/>
          <w:szCs w:val="20"/>
          <w:color w:val="auto"/>
        </w:rPr>
      </w:pPr>
    </w:p>
    <w:p>
      <w:pPr>
        <w:ind w:right="100"/>
        <w:spacing w:after="0" w:line="300" w:lineRule="auto"/>
        <w:rPr>
          <w:sz w:val="20"/>
          <w:szCs w:val="20"/>
          <w:color w:val="auto"/>
        </w:rPr>
      </w:pPr>
      <w:r>
        <w:rPr>
          <w:rFonts w:ascii="Arial" w:cs="Arial" w:eastAsia="Arial" w:hAnsi="Arial"/>
          <w:sz w:val="12"/>
          <w:szCs w:val="12"/>
          <w:color w:val="auto"/>
        </w:rPr>
        <w:t>We may not be able to sustain the levels of comparable-store sales that we have experienced in the recent past. If our future comparable-store sales decline or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risks associated with leasing substantial amounts of space, including future increases in occupancy costs.</w:t>
      </w:r>
    </w:p>
    <w:p>
      <w:pPr>
        <w:spacing w:after="0" w:line="76"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We do not own any real estate other than our warehouse and distribution facility. We lease our corporate headquarters, our other offices, and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23" w:lineRule="exact"/>
        <w:rPr>
          <w:sz w:val="20"/>
          <w:szCs w:val="20"/>
          <w:color w:val="auto"/>
        </w:rPr>
      </w:pPr>
    </w:p>
    <w:p>
      <w:pPr>
        <w:ind w:left="900" w:hanging="333"/>
        <w:spacing w:after="0"/>
        <w:tabs>
          <w:tab w:leader="none" w:pos="9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requiring that a substantial portion of our available cash be applied to pay our rental obligations, thus reducing cash available for other purposes;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increasing our vulnerability to general adverse economic and industry conditions;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6"/>
        </w:numPr>
        <w:rPr>
          <w:rFonts w:ascii="Arial" w:cs="Arial" w:eastAsia="Arial" w:hAnsi="Arial"/>
          <w:sz w:val="13"/>
          <w:szCs w:val="13"/>
          <w:color w:val="auto"/>
        </w:rPr>
      </w:pPr>
      <w:r>
        <w:rPr>
          <w:rFonts w:ascii="Arial" w:cs="Arial" w:eastAsia="Arial" w:hAnsi="Arial"/>
          <w:sz w:val="13"/>
          <w:szCs w:val="13"/>
          <w:color w:val="auto"/>
        </w:rPr>
        <w:t>limiting our flexibility in planning for or reacting to changes in our business or industry;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6"/>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91"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0"/>
          </w:cols>
          <w:pgMar w:left="220" w:top="384" w:right="2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competitive market. Our competitors might develop products more popular with consumers than our products.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market for handbags, accessories, and travel and leisure items is competitive. Our competitive challenges include:</w:t>
      </w:r>
    </w:p>
    <w:p>
      <w:pPr>
        <w:spacing w:after="0" w:line="76" w:lineRule="exact"/>
        <w:rPr>
          <w:sz w:val="20"/>
          <w:szCs w:val="20"/>
          <w:color w:val="auto"/>
        </w:rPr>
      </w:pPr>
    </w:p>
    <w:p>
      <w:pPr>
        <w:ind w:left="900" w:hanging="333"/>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attracting consumer traffic;</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sourcing and manufacturing merchandise efficiently;</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competitively pricing our products and achieving customer perception of value;</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maintaining favorable brand recognition and effectively marketing our products to consumers in diverse market segments;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developing designs that appeal to a broad range of demographic and age segments;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developing high-quality products;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establishing and maintaining good working relationships with our Indirect retailers.</w:t>
      </w:r>
    </w:p>
    <w:p>
      <w:pPr>
        <w:spacing w:after="0" w:line="138"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57" w:lineRule="exact"/>
        <w:rPr>
          <w:sz w:val="20"/>
          <w:szCs w:val="20"/>
          <w:color w:val="auto"/>
        </w:rPr>
      </w:pPr>
    </w:p>
    <w:p>
      <w:pPr>
        <w:spacing w:after="0" w:line="281" w:lineRule="auto"/>
        <w:rPr>
          <w:sz w:val="20"/>
          <w:szCs w:val="20"/>
          <w:color w:val="auto"/>
        </w:rPr>
      </w:pPr>
      <w:r>
        <w:rPr>
          <w:rFonts w:ascii="Arial" w:cs="Arial" w:eastAsia="Arial" w:hAnsi="Arial"/>
          <w:sz w:val="13"/>
          <w:szCs w:val="13"/>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30" w:lineRule="exact"/>
        <w:rPr>
          <w:sz w:val="20"/>
          <w:szCs w:val="20"/>
          <w:color w:val="auto"/>
        </w:rPr>
      </w:pPr>
    </w:p>
    <w:p>
      <w:pPr>
        <w:ind w:right="60"/>
        <w:spacing w:after="0" w:line="297" w:lineRule="auto"/>
        <w:rPr>
          <w:sz w:val="20"/>
          <w:szCs w:val="20"/>
          <w:color w:val="auto"/>
        </w:rPr>
      </w:pPr>
      <w:r>
        <w:rPr>
          <w:rFonts w:ascii="Arial" w:cs="Arial" w:eastAsia="Arial" w:hAnsi="Arial"/>
          <w:sz w:val="12"/>
          <w:szCs w:val="12"/>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88"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We generally do not enter into long-term formal written agreements with our suppliers and typically transact business with each of them on an order-by-order basis. As a result, we cannot assure that there will be no 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60"/>
          </w:cols>
          <w:pgMar w:left="220" w:top="384" w:right="2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340"/>
        <w:spacing w:after="0" w:line="298" w:lineRule="auto"/>
        <w:rPr>
          <w:sz w:val="20"/>
          <w:szCs w:val="20"/>
          <w:color w:val="auto"/>
        </w:rPr>
      </w:pPr>
      <w:r>
        <w:rPr>
          <w:rFonts w:ascii="Arial" w:cs="Arial" w:eastAsia="Arial" w:hAnsi="Arial"/>
          <w:sz w:val="13"/>
          <w:szCs w:val="13"/>
          <w:b w:val="1"/>
          <w:bCs w:val="1"/>
          <w:i w:val="1"/>
          <w:iCs w:val="1"/>
          <w:color w:val="auto"/>
        </w:rPr>
        <w:t>We rely on a single warehouse and distribution facility for all of the products we sell. Disruption to that facility could adversely impact our results of operations, and expansion of that facility could have unpredictable adverse effects.</w:t>
      </w:r>
    </w:p>
    <w:p>
      <w:pPr>
        <w:spacing w:after="0" w:line="19"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Our warehouse and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our growth could require us to further expand our current facility, which could affect us adversely in ways that we cannot predict.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cost of raw materials could increase our cost of sales and cause our results of operations to suffer.</w:t>
      </w:r>
    </w:p>
    <w:p>
      <w:pPr>
        <w:spacing w:after="0" w:line="76" w:lineRule="exact"/>
        <w:rPr>
          <w:sz w:val="20"/>
          <w:szCs w:val="20"/>
          <w:color w:val="auto"/>
        </w:rPr>
      </w:pPr>
    </w:p>
    <w:p>
      <w:pPr>
        <w:jc w:val="both"/>
        <w:ind w:right="20"/>
        <w:spacing w:after="0" w:line="275" w:lineRule="auto"/>
        <w:rPr>
          <w:sz w:val="20"/>
          <w:szCs w:val="20"/>
          <w:color w:val="auto"/>
        </w:rPr>
      </w:pPr>
      <w:r>
        <w:rPr>
          <w:rFonts w:ascii="Arial" w:cs="Arial" w:eastAsia="Arial" w:hAnsi="Arial"/>
          <w:sz w:val="13"/>
          <w:szCs w:val="13"/>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subject to the risks inherent in global sourcing and manufacturing activities.</w:t>
      </w:r>
    </w:p>
    <w:p>
      <w:pPr>
        <w:spacing w:after="0" w:line="76"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19" w:lineRule="exact"/>
        <w:rPr>
          <w:sz w:val="20"/>
          <w:szCs w:val="20"/>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exchange rate fluctuations and trends;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availability of raw materials;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compliance with labor laws and other foreign governmental regulations;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compliance with U.S. import and export laws and regulations;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disruption or delays in shipments;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loss or impairment of key manufacturing sites;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product quality issues;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political unrest;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natural disasters, acts of war and terrorism, changing macroeconomic trends, and other external factors over which we have no control.</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00"/>
          </w:cols>
          <w:pgMar w:left="220" w:top="384" w:right="2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19"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subject to unionization, work stoppages, slowdowns or increased labor costs, especially if the Employee Free Choice Act is adopted.</w:t>
      </w:r>
    </w:p>
    <w:p>
      <w:pPr>
        <w:spacing w:after="0" w:line="76" w:lineRule="exact"/>
        <w:rPr>
          <w:sz w:val="20"/>
          <w:szCs w:val="20"/>
          <w:color w:val="auto"/>
        </w:rPr>
      </w:pPr>
    </w:p>
    <w:p>
      <w:pPr>
        <w:jc w:val="both"/>
        <w:ind w:right="100"/>
        <w:spacing w:after="0" w:line="281" w:lineRule="auto"/>
        <w:rPr>
          <w:sz w:val="20"/>
          <w:szCs w:val="20"/>
          <w:color w:val="auto"/>
        </w:rPr>
      </w:pPr>
      <w:r>
        <w:rPr>
          <w:rFonts w:ascii="Arial" w:cs="Arial" w:eastAsia="Arial" w:hAnsi="Arial"/>
          <w:sz w:val="13"/>
          <w:szCs w:val="13"/>
          <w:color w:val="auto"/>
        </w:rPr>
        <w:t>Currently, none of our employees is represented by a union. Nevertheless, our employees have the right at any time under the National Labor Relations Act to organize or affiliate with a union. If some or all of our workforce were to become unionized, our business would be exposed to work stoppages and slowdowns as a unionized business. If, in addition, the terms of the collective bargaining agreement were significantly more favorable to union workers than our current pay-and-benefits arrangements, our costs would increase and our results of operations would suffer.</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are subject to quarterly fluctuations, which could adversely affect the market price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Our quarterly results of operations may fluctuate significantly as a result of a variety of factors, including, among other things:</w:t>
      </w:r>
    </w:p>
    <w:p>
      <w:pPr>
        <w:spacing w:after="0" w:line="76" w:lineRule="exact"/>
        <w:rPr>
          <w:sz w:val="20"/>
          <w:szCs w:val="20"/>
          <w:color w:val="auto"/>
        </w:rPr>
      </w:pPr>
    </w:p>
    <w:p>
      <w:pPr>
        <w:ind w:left="900" w:hanging="33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timing of new store openings;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net revenues and profits contributed by new stores;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increases or decreases in comparable-store sales;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shifts in the timing of holidays, particularly in the United States and China;</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our merchandise mix;</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timing of sales to Indirect retailers;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timing of new pattern releases and new product introductions.</w:t>
      </w:r>
    </w:p>
    <w:p>
      <w:pPr>
        <w:spacing w:after="0" w:line="138"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independent transportation providers for substantially all of our product shipments.</w:t>
      </w:r>
    </w:p>
    <w:p>
      <w:pPr>
        <w:spacing w:after="0" w:line="76"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and employee strikes and inclement weather, which may impact the shipping company’s ability to provide delivery services sufficient to meet our shipping needs.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60"/>
          </w:cols>
          <w:pgMar w:left="220" w:top="384" w:right="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60"/>
        <w:spacing w:after="0" w:line="281" w:lineRule="auto"/>
        <w:rPr>
          <w:sz w:val="20"/>
          <w:szCs w:val="20"/>
          <w:color w:val="auto"/>
        </w:rPr>
      </w:pPr>
      <w:r>
        <w:rPr>
          <w:rFonts w:ascii="Arial" w:cs="Arial" w:eastAsia="Arial" w:hAnsi="Arial"/>
          <w:sz w:val="13"/>
          <w:szCs w:val="13"/>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warehouse and distribution facility and related systems.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88"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Our business relies on cash provided by operating activities as our primary source of liquidity. To support our growing business and execute our growth strategies, we will need significant amounts of cash from that source, including funds to pay our lease obligations, build out new store space, purchase inventory, pay personnel, invest further in our infrastructure and facilities, and pay for the costs associated with operating as a public company. If our business does not generate cash flow from operating activities sufficient to fund these activities, and if sufficient funds are not otherwise available to us from our existing revolving credit facility, we will need to seek additional capital, through debt or equity financings, to fund our growth. If new sources of financing are required, but are insufficient or unavailable, then we will be required to modify our growth and operating plans based on available funding, if any, which would inhibit our growth and could harm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various risks as an e-commerce retailer.</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3"/>
          <w:szCs w:val="13"/>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157" w:lineRule="exact"/>
        <w:rPr>
          <w:sz w:val="20"/>
          <w:szCs w:val="20"/>
          <w:color w:val="auto"/>
        </w:rPr>
      </w:pPr>
    </w:p>
    <w:p>
      <w:pPr>
        <w:spacing w:after="0" w:line="298" w:lineRule="auto"/>
        <w:rPr>
          <w:sz w:val="20"/>
          <w:szCs w:val="20"/>
          <w:color w:val="auto"/>
        </w:rPr>
      </w:pPr>
      <w:r>
        <w:rPr>
          <w:rFonts w:ascii="Arial" w:cs="Arial" w:eastAsia="Arial" w:hAnsi="Arial"/>
          <w:sz w:val="13"/>
          <w:szCs w:val="13"/>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others may sell imitation brand products.</w:t>
      </w:r>
    </w:p>
    <w:p>
      <w:pPr>
        <w:spacing w:after="0" w:line="19"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162"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b w:val="1"/>
          <w:bCs w:val="1"/>
          <w:i w:val="1"/>
          <w:iCs w:val="1"/>
          <w:color w:val="auto"/>
        </w:rPr>
        <w:t>Prior to the completion of the Reorganization, we were treated as an “S” Corporation under Subchapter S of the Internal Revenue Code, and claims of taxing authorities related to our prior status as an “S” Corporation could harm us.</w:t>
      </w:r>
    </w:p>
    <w:p>
      <w:pPr>
        <w:spacing w:after="0" w:line="1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Upon the completion of the Reorganization in fiscal 2011, our “S” Corporation status terminated automatically and we became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20"/>
          </w:cols>
          <w:pgMar w:left="220" w:top="384"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Fluctuations in our tax obligations and effective tax rate may result in volatility of our operating results and stock price.</w:t>
      </w:r>
    </w:p>
    <w:p>
      <w:pPr>
        <w:spacing w:after="0" w:line="76" w:lineRule="exact"/>
        <w:rPr>
          <w:sz w:val="20"/>
          <w:szCs w:val="20"/>
          <w:color w:val="auto"/>
        </w:rPr>
      </w:pPr>
    </w:p>
    <w:p>
      <w:pPr>
        <w:ind w:right="180"/>
        <w:spacing w:after="0" w:line="314" w:lineRule="auto"/>
        <w:rPr>
          <w:sz w:val="20"/>
          <w:szCs w:val="20"/>
          <w:color w:val="auto"/>
        </w:rPr>
      </w:pPr>
      <w:r>
        <w:rPr>
          <w:rFonts w:ascii="Arial" w:cs="Arial" w:eastAsia="Arial" w:hAnsi="Arial"/>
          <w:sz w:val="12"/>
          <w:szCs w:val="12"/>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Additional indebtedness incurred in connection with the Reorganization may decrease business flexibility and increase borrowing costs.</w:t>
      </w:r>
    </w:p>
    <w:p>
      <w:pPr>
        <w:spacing w:after="0" w:line="76" w:lineRule="exact"/>
        <w:rPr>
          <w:sz w:val="20"/>
          <w:szCs w:val="20"/>
          <w:color w:val="auto"/>
        </w:rPr>
      </w:pPr>
    </w:p>
    <w:p>
      <w:pPr>
        <w:ind w:right="40"/>
        <w:spacing w:after="0" w:line="275" w:lineRule="auto"/>
        <w:rPr>
          <w:sz w:val="20"/>
          <w:szCs w:val="20"/>
          <w:color w:val="auto"/>
        </w:rPr>
      </w:pPr>
      <w:r>
        <w:rPr>
          <w:rFonts w:ascii="Arial" w:cs="Arial" w:eastAsia="Arial" w:hAnsi="Arial"/>
          <w:sz w:val="13"/>
          <w:szCs w:val="13"/>
          <w:color w:val="auto"/>
        </w:rPr>
        <w:t>On October 4, 2010, we entered into an amended and restated credit agreement that increased our available credit from $75 million to $125 million. Also in October 2010, in connection with the Reorganization, we increased the outstanding borrowings under our amended and restated credit agreement to fund a final “S” Corporation distribution to our then-shareholders. As of January 28, 2012, we had outstanding borrowings of $25.0 million under our amended and restated credit agreement, compared to $66.8 million outstanding under our former credit facility as of January 29, 2011. Our indebtedness could have the effect, among other things, of:</w:t>
      </w:r>
    </w:p>
    <w:p>
      <w:pPr>
        <w:spacing w:after="0" w:line="34" w:lineRule="exact"/>
        <w:rPr>
          <w:sz w:val="20"/>
          <w:szCs w:val="20"/>
          <w:color w:val="auto"/>
        </w:rPr>
      </w:pPr>
    </w:p>
    <w:p>
      <w:pPr>
        <w:ind w:left="900" w:hanging="333"/>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reducing the availability of cash flow from operations to fund working capital, capital expenditures and other general corporate purposes;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increasing our vulnerability to adverse general economic and industry conditions;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limiting our ability to adapt to changes in our business and the industry in which we operate;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placing us at a competitive disadvantage compared to companies that have less debt.</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Indirect business could suffer as a result of bankruptcies or operational or financial difficulties of our Indirect retailers.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98" w:lineRule="exact"/>
        <w:rPr>
          <w:sz w:val="20"/>
          <w:szCs w:val="20"/>
          <w:color w:val="auto"/>
        </w:rPr>
      </w:pPr>
    </w:p>
    <w:p>
      <w:pPr>
        <w:ind w:right="220"/>
        <w:spacing w:after="0" w:line="275" w:lineRule="auto"/>
        <w:rPr>
          <w:sz w:val="20"/>
          <w:szCs w:val="20"/>
          <w:color w:val="auto"/>
        </w:rPr>
      </w:pPr>
      <w:r>
        <w:rPr>
          <w:rFonts w:ascii="Arial" w:cs="Arial" w:eastAsia="Arial" w:hAnsi="Arial"/>
          <w:sz w:val="13"/>
          <w:szCs w:val="13"/>
          <w:color w:val="auto"/>
        </w:rPr>
        <w:t>We sell our Indirect merchandise primarily to specialty retail stores across the United States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60"/>
          </w:cols>
          <w:pgMar w:left="220" w:top="384" w:right="2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60"/>
        <w:spacing w:after="0" w:line="298" w:lineRule="auto"/>
        <w:rPr>
          <w:sz w:val="20"/>
          <w:szCs w:val="20"/>
          <w:color w:val="auto"/>
        </w:rPr>
      </w:pPr>
      <w:r>
        <w:rPr>
          <w:rFonts w:ascii="Arial" w:cs="Arial" w:eastAsia="Arial" w:hAnsi="Arial"/>
          <w:sz w:val="13"/>
          <w:szCs w:val="13"/>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19"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As a growing company with expanding operations, 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Securities Markets and Ownership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stock price may be volatile or may decline regardless of our operating performance, and you may not be able to resell shares at or above the price at which you purchase them.</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The market price of our common stock may fluctuate significantly in response to a number of factors, most of which we cannot control, including:</w:t>
      </w:r>
    </w:p>
    <w:p>
      <w:pPr>
        <w:spacing w:after="0" w:line="76" w:lineRule="exact"/>
        <w:rPr>
          <w:sz w:val="20"/>
          <w:szCs w:val="20"/>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actions by other shopping mall or lifestyle center tenants;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weather conditions, particularly during the holiday shopping period;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financial projections that we may choose to provide to the public, any changes in these projections or our failure for any reason to meet these projections;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public’s response to press releases or other public announcements by us or others, including our filings with the SEC and announcements relating to litigation;</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speculation about our business in the press or the investment community;</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future sales of our common stock by our significant shareholders, officers and directors;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entry into new markets;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strategic actions by us or our competitors, such as acquisitions or restructurings;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accounting principles.</w:t>
      </w:r>
    </w:p>
    <w:p>
      <w:pPr>
        <w:spacing w:after="0" w:line="138"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These and other factors may result in a lower market price of our common stock, regardless of our actual operating performance. As a result, our common stock may trade at prices significantly below the offering price.</w:t>
      </w:r>
    </w:p>
    <w:p>
      <w:pPr>
        <w:spacing w:after="0" w:line="81"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a limited number of shareholders control a large percentage of the voting power of our common stock, investors may have limited ability to determine the outcome of shareholder votes.</w:t>
      </w:r>
    </w:p>
    <w:p>
      <w:pPr>
        <w:spacing w:after="0" w:line="88"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Barbara Bradley Baekgaard, Patricia R. Miller and P. Michael Miller, directly or indirectly, beneficially own and have the ability to exercise voting control over, in the aggregate, 39.7% of our outstanding shares of common stock.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60"/>
          </w:cols>
          <w:pgMar w:left="220" w:top="384" w:right="2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actual operating results may differ significantly from our guidance.</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From time to time, we release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these data is to provide a basis for our management to discuss our business outlook with analysts and investors. We do not accept any responsibility for any projections or reports published by any such persons.</w:t>
      </w:r>
    </w:p>
    <w:p>
      <w:pPr>
        <w:spacing w:after="0" w:line="98"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farther in the future that the data are forecast. In light of the foregoing, investors are urged to put the guidance in context and not to place undue reliance on it.</w:t>
      </w:r>
    </w:p>
    <w:p>
      <w:pPr>
        <w:spacing w:after="0" w:line="157"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19"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19" w:lineRule="exact"/>
        <w:rPr>
          <w:sz w:val="20"/>
          <w:szCs w:val="20"/>
          <w:color w:val="auto"/>
        </w:rPr>
      </w:pPr>
    </w:p>
    <w:p>
      <w:pPr>
        <w:ind w:left="900" w:hanging="33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dividing our board of directors into three classes serving staggered three-year terms;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authorizing our board of directors to issue preferred stock and additional shares of our common stock without shareholder approval;</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prohibiting shareholder action by written consent</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prohibiting our shareholders from calling a special meeting of shareholders;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prohibiting our shareholders from amending our amended and restated bylaws;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requiring advance notice for raising business matters or nominating directors at shareholders’ meetings.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60"/>
          </w:cols>
          <w:pgMar w:left="220" w:top="384" w:right="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20"/>
        <w:spacing w:after="0" w:line="275" w:lineRule="auto"/>
        <w:rPr>
          <w:sz w:val="20"/>
          <w:szCs w:val="20"/>
          <w:color w:val="auto"/>
        </w:rPr>
      </w:pPr>
      <w:r>
        <w:rPr>
          <w:rFonts w:ascii="Arial" w:cs="Arial" w:eastAsia="Arial" w:hAnsi="Arial"/>
          <w:sz w:val="13"/>
          <w:szCs w:val="13"/>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95" w:lineRule="exact"/>
        <w:rPr>
          <w:sz w:val="20"/>
          <w:szCs w:val="20"/>
          <w:color w:val="auto"/>
        </w:rPr>
      </w:pPr>
    </w:p>
    <w:p>
      <w:pPr>
        <w:jc w:val="both"/>
        <w:ind w:firstLine="458"/>
        <w:spacing w:after="0" w:line="314" w:lineRule="auto"/>
        <w:rPr>
          <w:sz w:val="20"/>
          <w:szCs w:val="20"/>
          <w:color w:val="auto"/>
        </w:rPr>
      </w:pPr>
      <w:r>
        <w:rPr>
          <w:rFonts w:ascii="Arial" w:cs="Arial" w:eastAsia="Arial" w:hAnsi="Arial"/>
          <w:sz w:val="12"/>
          <w:szCs w:val="12"/>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65"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78" w:lineRule="exact"/>
        <w:rPr>
          <w:sz w:val="20"/>
          <w:szCs w:val="20"/>
          <w:color w:val="auto"/>
        </w:rPr>
      </w:pPr>
    </w:p>
    <w:p>
      <w:pPr>
        <w:ind w:right="120"/>
        <w:spacing w:after="0" w:line="298" w:lineRule="auto"/>
        <w:rPr>
          <w:sz w:val="20"/>
          <w:szCs w:val="20"/>
          <w:color w:val="auto"/>
        </w:rPr>
      </w:pPr>
      <w:r>
        <w:rPr>
          <w:rFonts w:ascii="Arial" w:cs="Arial" w:eastAsia="Arial" w:hAnsi="Arial"/>
          <w:sz w:val="13"/>
          <w:szCs w:val="13"/>
          <w:color w:val="auto"/>
        </w:rPr>
        <w:t>The following table sets forth the location, use, and size of our manufacturing, distribution, and corporate facilities as of January 28, 2012. The leases on the leased properties expire at various times through 2015, subject to renewal options.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Location</w:t>
            </w:r>
          </w:p>
        </w:tc>
        <w:tc>
          <w:tcPr>
            <w:tcW w:w="55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9"/>
              </w:rPr>
              <w:t>Primary Use</w:t>
            </w:r>
          </w:p>
        </w:tc>
        <w:tc>
          <w:tcPr>
            <w:tcW w:w="2140" w:type="dxa"/>
            <w:vAlign w:val="bottom"/>
          </w:tcPr>
          <w:p>
            <w:pPr>
              <w:spacing w:after="0"/>
              <w:rPr>
                <w:sz w:val="12"/>
                <w:szCs w:val="12"/>
                <w:color w:val="auto"/>
              </w:rPr>
            </w:pPr>
          </w:p>
        </w:tc>
        <w:tc>
          <w:tcPr>
            <w:tcW w:w="1620" w:type="dxa"/>
            <w:vAlign w:val="bottom"/>
            <w:gridSpan w:val="2"/>
          </w:tcPr>
          <w:p>
            <w:pPr>
              <w:ind w:left="80"/>
              <w:spacing w:after="0"/>
              <w:rPr>
                <w:sz w:val="20"/>
                <w:szCs w:val="20"/>
                <w:color w:val="auto"/>
              </w:rPr>
            </w:pPr>
            <w:r>
              <w:rPr>
                <w:rFonts w:ascii="Arial" w:cs="Arial" w:eastAsia="Arial" w:hAnsi="Arial"/>
                <w:sz w:val="10"/>
                <w:szCs w:val="10"/>
                <w:b w:val="1"/>
                <w:bCs w:val="1"/>
                <w:color w:val="auto"/>
              </w:rPr>
              <w:t>Square Footage</w:t>
            </w:r>
          </w:p>
        </w:tc>
        <w:tc>
          <w:tcPr>
            <w:tcW w:w="1060" w:type="dxa"/>
            <w:vAlign w:val="bottom"/>
            <w:gridSpan w:val="2"/>
          </w:tcPr>
          <w:p>
            <w:pPr>
              <w:ind w:left="80"/>
              <w:spacing w:after="0"/>
              <w:rPr>
                <w:sz w:val="20"/>
                <w:szCs w:val="20"/>
                <w:color w:val="auto"/>
              </w:rPr>
            </w:pPr>
            <w:r>
              <w:rPr>
                <w:rFonts w:ascii="Arial" w:cs="Arial" w:eastAsia="Arial" w:hAnsi="Arial"/>
                <w:sz w:val="10"/>
                <w:szCs w:val="10"/>
                <w:b w:val="1"/>
                <w:bCs w:val="1"/>
                <w:color w:val="auto"/>
              </w:rPr>
              <w:t>Leased /Owned</w:t>
            </w:r>
          </w:p>
        </w:tc>
      </w:tr>
      <w:tr>
        <w:trPr>
          <w:trHeight w:val="137"/>
        </w:trPr>
        <w:tc>
          <w:tcPr>
            <w:tcW w:w="5940" w:type="dxa"/>
            <w:vAlign w:val="bottom"/>
            <w:gridSpan w:val="2"/>
          </w:tcPr>
          <w:p>
            <w:pPr>
              <w:spacing w:after="0" w:line="138" w:lineRule="exact"/>
              <w:rPr>
                <w:sz w:val="20"/>
                <w:szCs w:val="20"/>
                <w:color w:val="auto"/>
              </w:rPr>
            </w:pPr>
            <w:r>
              <w:rPr>
                <w:rFonts w:ascii="Arial" w:cs="Arial" w:eastAsia="Arial" w:hAnsi="Arial"/>
                <w:sz w:val="13"/>
                <w:szCs w:val="13"/>
                <w:color w:val="auto"/>
              </w:rPr>
              <w:t>Fort Wayne, Indiana</w:t>
            </w:r>
          </w:p>
        </w:tc>
        <w:tc>
          <w:tcPr>
            <w:tcW w:w="2740" w:type="dxa"/>
            <w:vAlign w:val="bottom"/>
            <w:gridSpan w:val="2"/>
          </w:tcPr>
          <w:p>
            <w:pPr>
              <w:spacing w:after="0" w:line="138" w:lineRule="exact"/>
              <w:rPr>
                <w:sz w:val="20"/>
                <w:szCs w:val="20"/>
                <w:color w:val="auto"/>
              </w:rPr>
            </w:pPr>
            <w:r>
              <w:rPr>
                <w:rFonts w:ascii="Arial" w:cs="Arial" w:eastAsia="Arial" w:hAnsi="Arial"/>
                <w:sz w:val="13"/>
                <w:szCs w:val="13"/>
                <w:color w:val="auto"/>
              </w:rPr>
              <w:t>Corporate headquarters</w:t>
            </w:r>
          </w:p>
        </w:tc>
        <w:tc>
          <w:tcPr>
            <w:tcW w:w="8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27,287</w:t>
            </w:r>
          </w:p>
        </w:tc>
        <w:tc>
          <w:tcPr>
            <w:tcW w:w="760" w:type="dxa"/>
            <w:vAlign w:val="bottom"/>
          </w:tcPr>
          <w:p>
            <w:pPr>
              <w:spacing w:after="0"/>
              <w:rPr>
                <w:sz w:val="11"/>
                <w:szCs w:val="11"/>
                <w:color w:val="auto"/>
              </w:rPr>
            </w:pPr>
          </w:p>
        </w:tc>
        <w:tc>
          <w:tcPr>
            <w:tcW w:w="860" w:type="dxa"/>
            <w:vAlign w:val="bottom"/>
            <w:tcBorders>
              <w:top w:val="single" w:sz="8" w:color="auto"/>
            </w:tcBorders>
          </w:tcPr>
          <w:p>
            <w:pPr>
              <w:ind w:left="480"/>
              <w:spacing w:after="0" w:line="138" w:lineRule="exact"/>
              <w:rPr>
                <w:sz w:val="20"/>
                <w:szCs w:val="20"/>
                <w:color w:val="auto"/>
              </w:rPr>
            </w:pPr>
            <w:r>
              <w:rPr>
                <w:rFonts w:ascii="Arial" w:cs="Arial" w:eastAsia="Arial" w:hAnsi="Arial"/>
                <w:sz w:val="13"/>
                <w:szCs w:val="13"/>
                <w:color w:val="auto"/>
                <w:w w:val="75"/>
              </w:rPr>
              <w:t>Leased*</w:t>
            </w:r>
          </w:p>
        </w:tc>
        <w:tc>
          <w:tcPr>
            <w:tcW w:w="200" w:type="dxa"/>
            <w:vAlign w:val="bottom"/>
          </w:tcPr>
          <w:p>
            <w:pPr>
              <w:spacing w:after="0"/>
              <w:rPr>
                <w:sz w:val="11"/>
                <w:szCs w:val="11"/>
                <w:color w:val="auto"/>
              </w:rPr>
            </w:pPr>
          </w:p>
        </w:tc>
      </w:tr>
      <w:tr>
        <w:trPr>
          <w:trHeight w:val="164"/>
        </w:trPr>
        <w:tc>
          <w:tcPr>
            <w:tcW w:w="5940" w:type="dxa"/>
            <w:vAlign w:val="bottom"/>
            <w:gridSpan w:val="2"/>
          </w:tcPr>
          <w:p>
            <w:pPr>
              <w:spacing w:after="0"/>
              <w:rPr>
                <w:sz w:val="20"/>
                <w:szCs w:val="20"/>
                <w:color w:val="auto"/>
              </w:rPr>
            </w:pPr>
            <w:r>
              <w:rPr>
                <w:rFonts w:ascii="Arial" w:cs="Arial" w:eastAsia="Arial" w:hAnsi="Arial"/>
                <w:sz w:val="13"/>
                <w:szCs w:val="13"/>
                <w:color w:val="auto"/>
              </w:rPr>
              <w:t>Roanoke, Indiana</w:t>
            </w:r>
          </w:p>
        </w:tc>
        <w:tc>
          <w:tcPr>
            <w:tcW w:w="2740" w:type="dxa"/>
            <w:vAlign w:val="bottom"/>
            <w:gridSpan w:val="2"/>
          </w:tcPr>
          <w:p>
            <w:pPr>
              <w:spacing w:after="0"/>
              <w:rPr>
                <w:sz w:val="20"/>
                <w:szCs w:val="20"/>
                <w:color w:val="auto"/>
              </w:rPr>
            </w:pPr>
            <w:r>
              <w:rPr>
                <w:rFonts w:ascii="Arial" w:cs="Arial" w:eastAsia="Arial" w:hAnsi="Arial"/>
                <w:sz w:val="13"/>
                <w:szCs w:val="13"/>
                <w:color w:val="auto"/>
              </w:rPr>
              <w:t>Design center and showroom</w:t>
            </w:r>
          </w:p>
        </w:tc>
        <w:tc>
          <w:tcPr>
            <w:tcW w:w="860" w:type="dxa"/>
            <w:vAlign w:val="bottom"/>
          </w:tcPr>
          <w:p>
            <w:pPr>
              <w:jc w:val="right"/>
              <w:spacing w:after="0"/>
              <w:rPr>
                <w:sz w:val="20"/>
                <w:szCs w:val="20"/>
                <w:color w:val="auto"/>
              </w:rPr>
            </w:pPr>
            <w:r>
              <w:rPr>
                <w:rFonts w:ascii="Arial" w:cs="Arial" w:eastAsia="Arial" w:hAnsi="Arial"/>
                <w:sz w:val="13"/>
                <w:szCs w:val="13"/>
                <w:color w:val="auto"/>
              </w:rPr>
              <w:t>39,247</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rPr>
              <w:t>Leased**</w:t>
            </w:r>
          </w:p>
        </w:tc>
      </w:tr>
      <w:tr>
        <w:trPr>
          <w:trHeight w:val="164"/>
        </w:trPr>
        <w:tc>
          <w:tcPr>
            <w:tcW w:w="5940" w:type="dxa"/>
            <w:vAlign w:val="bottom"/>
            <w:gridSpan w:val="2"/>
          </w:tcPr>
          <w:p>
            <w:pPr>
              <w:spacing w:after="0"/>
              <w:rPr>
                <w:sz w:val="20"/>
                <w:szCs w:val="20"/>
                <w:color w:val="auto"/>
              </w:rPr>
            </w:pPr>
            <w:r>
              <w:rPr>
                <w:rFonts w:ascii="Arial" w:cs="Arial" w:eastAsia="Arial" w:hAnsi="Arial"/>
                <w:sz w:val="13"/>
                <w:szCs w:val="13"/>
                <w:color w:val="auto"/>
              </w:rPr>
              <w:t>Roanoke, Indiana</w:t>
            </w:r>
          </w:p>
        </w:tc>
        <w:tc>
          <w:tcPr>
            <w:tcW w:w="2740" w:type="dxa"/>
            <w:vAlign w:val="bottom"/>
            <w:gridSpan w:val="2"/>
          </w:tcPr>
          <w:p>
            <w:pPr>
              <w:spacing w:after="0"/>
              <w:rPr>
                <w:sz w:val="20"/>
                <w:szCs w:val="20"/>
                <w:color w:val="auto"/>
              </w:rPr>
            </w:pPr>
            <w:r>
              <w:rPr>
                <w:rFonts w:ascii="Arial" w:cs="Arial" w:eastAsia="Arial" w:hAnsi="Arial"/>
                <w:sz w:val="13"/>
                <w:szCs w:val="13"/>
                <w:color w:val="auto"/>
              </w:rPr>
              <w:t>Warehouse and distribution</w:t>
            </w:r>
          </w:p>
        </w:tc>
        <w:tc>
          <w:tcPr>
            <w:tcW w:w="860" w:type="dxa"/>
            <w:vAlign w:val="bottom"/>
          </w:tcPr>
          <w:p>
            <w:pPr>
              <w:jc w:val="right"/>
              <w:spacing w:after="0"/>
              <w:rPr>
                <w:sz w:val="20"/>
                <w:szCs w:val="20"/>
                <w:color w:val="auto"/>
              </w:rPr>
            </w:pPr>
            <w:r>
              <w:rPr>
                <w:rFonts w:ascii="Arial" w:cs="Arial" w:eastAsia="Arial" w:hAnsi="Arial"/>
                <w:sz w:val="13"/>
                <w:szCs w:val="13"/>
                <w:color w:val="auto"/>
              </w:rPr>
              <w:t>217,320</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w w:val="99"/>
              </w:rPr>
              <w:t>Owned***</w:t>
            </w:r>
          </w:p>
        </w:tc>
      </w:tr>
      <w:tr>
        <w:trPr>
          <w:trHeight w:val="164"/>
        </w:trPr>
        <w:tc>
          <w:tcPr>
            <w:tcW w:w="5940" w:type="dxa"/>
            <w:vAlign w:val="bottom"/>
            <w:gridSpan w:val="2"/>
          </w:tcPr>
          <w:p>
            <w:pPr>
              <w:spacing w:after="0"/>
              <w:rPr>
                <w:sz w:val="20"/>
                <w:szCs w:val="20"/>
                <w:color w:val="auto"/>
              </w:rPr>
            </w:pPr>
            <w:r>
              <w:rPr>
                <w:rFonts w:ascii="Arial" w:cs="Arial" w:eastAsia="Arial" w:hAnsi="Arial"/>
                <w:sz w:val="13"/>
                <w:szCs w:val="13"/>
                <w:color w:val="auto"/>
              </w:rPr>
              <w:t>Fort Wayne, Indiana</w:t>
            </w:r>
          </w:p>
        </w:tc>
        <w:tc>
          <w:tcPr>
            <w:tcW w:w="2740" w:type="dxa"/>
            <w:vAlign w:val="bottom"/>
            <w:gridSpan w:val="2"/>
          </w:tcPr>
          <w:p>
            <w:pPr>
              <w:spacing w:after="0"/>
              <w:rPr>
                <w:sz w:val="20"/>
                <w:szCs w:val="20"/>
                <w:color w:val="auto"/>
              </w:rPr>
            </w:pPr>
            <w:r>
              <w:rPr>
                <w:rFonts w:ascii="Arial" w:cs="Arial" w:eastAsia="Arial" w:hAnsi="Arial"/>
                <w:sz w:val="13"/>
                <w:szCs w:val="13"/>
                <w:color w:val="auto"/>
              </w:rPr>
              <w:t>Support staff</w:t>
            </w:r>
          </w:p>
        </w:tc>
        <w:tc>
          <w:tcPr>
            <w:tcW w:w="860" w:type="dxa"/>
            <w:vAlign w:val="bottom"/>
          </w:tcPr>
          <w:p>
            <w:pPr>
              <w:jc w:val="right"/>
              <w:spacing w:after="0"/>
              <w:rPr>
                <w:sz w:val="20"/>
                <w:szCs w:val="20"/>
                <w:color w:val="auto"/>
              </w:rPr>
            </w:pPr>
            <w:r>
              <w:rPr>
                <w:rFonts w:ascii="Arial" w:cs="Arial" w:eastAsia="Arial" w:hAnsi="Arial"/>
                <w:sz w:val="13"/>
                <w:szCs w:val="13"/>
                <w:color w:val="auto"/>
              </w:rPr>
              <w:t>66,886</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rPr>
              <w:t>Leased</w:t>
            </w:r>
          </w:p>
        </w:tc>
      </w:tr>
      <w:tr>
        <w:trPr>
          <w:trHeight w:val="164"/>
        </w:trPr>
        <w:tc>
          <w:tcPr>
            <w:tcW w:w="5940" w:type="dxa"/>
            <w:vAlign w:val="bottom"/>
            <w:gridSpan w:val="2"/>
          </w:tcPr>
          <w:p>
            <w:pPr>
              <w:spacing w:after="0"/>
              <w:rPr>
                <w:sz w:val="20"/>
                <w:szCs w:val="20"/>
                <w:color w:val="auto"/>
              </w:rPr>
            </w:pPr>
            <w:r>
              <w:rPr>
                <w:rFonts w:ascii="Arial" w:cs="Arial" w:eastAsia="Arial" w:hAnsi="Arial"/>
                <w:sz w:val="13"/>
                <w:szCs w:val="13"/>
                <w:color w:val="auto"/>
              </w:rPr>
              <w:t>Fort Wayne, Indiana</w:t>
            </w:r>
          </w:p>
        </w:tc>
        <w:tc>
          <w:tcPr>
            <w:tcW w:w="2740" w:type="dxa"/>
            <w:vAlign w:val="bottom"/>
            <w:gridSpan w:val="2"/>
          </w:tcPr>
          <w:p>
            <w:pPr>
              <w:spacing w:after="0"/>
              <w:rPr>
                <w:sz w:val="20"/>
                <w:szCs w:val="20"/>
                <w:color w:val="auto"/>
              </w:rPr>
            </w:pPr>
            <w:r>
              <w:rPr>
                <w:rFonts w:ascii="Arial" w:cs="Arial" w:eastAsia="Arial" w:hAnsi="Arial"/>
                <w:sz w:val="13"/>
                <w:szCs w:val="13"/>
                <w:color w:val="auto"/>
              </w:rPr>
              <w:t>Sewing and quilting</w:t>
            </w:r>
          </w:p>
        </w:tc>
        <w:tc>
          <w:tcPr>
            <w:tcW w:w="860" w:type="dxa"/>
            <w:vAlign w:val="bottom"/>
          </w:tcPr>
          <w:p>
            <w:pPr>
              <w:jc w:val="right"/>
              <w:spacing w:after="0"/>
              <w:rPr>
                <w:sz w:val="20"/>
                <w:szCs w:val="20"/>
                <w:color w:val="auto"/>
              </w:rPr>
            </w:pPr>
            <w:r>
              <w:rPr>
                <w:rFonts w:ascii="Arial" w:cs="Arial" w:eastAsia="Arial" w:hAnsi="Arial"/>
                <w:sz w:val="13"/>
                <w:szCs w:val="13"/>
                <w:color w:val="auto"/>
              </w:rPr>
              <w:t>125,356</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rPr>
              <w:t>Leased</w:t>
            </w:r>
          </w:p>
        </w:tc>
      </w:tr>
      <w:tr>
        <w:trPr>
          <w:trHeight w:val="164"/>
        </w:trPr>
        <w:tc>
          <w:tcPr>
            <w:tcW w:w="5940" w:type="dxa"/>
            <w:vAlign w:val="bottom"/>
            <w:gridSpan w:val="2"/>
          </w:tcPr>
          <w:p>
            <w:pPr>
              <w:spacing w:after="0"/>
              <w:rPr>
                <w:sz w:val="20"/>
                <w:szCs w:val="20"/>
                <w:color w:val="auto"/>
              </w:rPr>
            </w:pPr>
            <w:r>
              <w:rPr>
                <w:rFonts w:ascii="Arial" w:cs="Arial" w:eastAsia="Arial" w:hAnsi="Arial"/>
                <w:sz w:val="13"/>
                <w:szCs w:val="13"/>
                <w:color w:val="auto"/>
              </w:rPr>
              <w:t>New York, New York</w:t>
            </w:r>
          </w:p>
        </w:tc>
        <w:tc>
          <w:tcPr>
            <w:tcW w:w="2740" w:type="dxa"/>
            <w:vAlign w:val="bottom"/>
            <w:gridSpan w:val="2"/>
          </w:tcPr>
          <w:p>
            <w:pPr>
              <w:spacing w:after="0"/>
              <w:rPr>
                <w:sz w:val="20"/>
                <w:szCs w:val="20"/>
                <w:color w:val="auto"/>
              </w:rPr>
            </w:pPr>
            <w:r>
              <w:rPr>
                <w:rFonts w:ascii="Arial" w:cs="Arial" w:eastAsia="Arial" w:hAnsi="Arial"/>
                <w:sz w:val="13"/>
                <w:szCs w:val="13"/>
                <w:color w:val="auto"/>
              </w:rPr>
              <w:t>Product design and showroom</w:t>
            </w:r>
          </w:p>
        </w:tc>
        <w:tc>
          <w:tcPr>
            <w:tcW w:w="860" w:type="dxa"/>
            <w:vAlign w:val="bottom"/>
          </w:tcPr>
          <w:p>
            <w:pPr>
              <w:jc w:val="right"/>
              <w:spacing w:after="0"/>
              <w:rPr>
                <w:sz w:val="20"/>
                <w:szCs w:val="20"/>
                <w:color w:val="auto"/>
              </w:rPr>
            </w:pPr>
            <w:r>
              <w:rPr>
                <w:rFonts w:ascii="Arial" w:cs="Arial" w:eastAsia="Arial" w:hAnsi="Arial"/>
                <w:sz w:val="13"/>
                <w:szCs w:val="13"/>
                <w:color w:val="auto"/>
              </w:rPr>
              <w:t>2,505</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rPr>
              <w:t>Leased</w:t>
            </w:r>
          </w:p>
        </w:tc>
      </w:tr>
      <w:tr>
        <w:trPr>
          <w:trHeight w:val="164"/>
        </w:trPr>
        <w:tc>
          <w:tcPr>
            <w:tcW w:w="5940" w:type="dxa"/>
            <w:vAlign w:val="bottom"/>
            <w:gridSpan w:val="2"/>
          </w:tcPr>
          <w:p>
            <w:pPr>
              <w:spacing w:after="0"/>
              <w:rPr>
                <w:sz w:val="20"/>
                <w:szCs w:val="20"/>
                <w:color w:val="auto"/>
              </w:rPr>
            </w:pPr>
            <w:r>
              <w:rPr>
                <w:rFonts w:ascii="Arial" w:cs="Arial" w:eastAsia="Arial" w:hAnsi="Arial"/>
                <w:sz w:val="13"/>
                <w:szCs w:val="13"/>
                <w:color w:val="auto"/>
              </w:rPr>
              <w:t>Dongguan City, China</w:t>
            </w:r>
          </w:p>
        </w:tc>
        <w:tc>
          <w:tcPr>
            <w:tcW w:w="2740" w:type="dxa"/>
            <w:vAlign w:val="bottom"/>
            <w:gridSpan w:val="2"/>
          </w:tcPr>
          <w:p>
            <w:pPr>
              <w:spacing w:after="0"/>
              <w:rPr>
                <w:sz w:val="20"/>
                <w:szCs w:val="20"/>
                <w:color w:val="auto"/>
              </w:rPr>
            </w:pPr>
            <w:r>
              <w:rPr>
                <w:rFonts w:ascii="Arial" w:cs="Arial" w:eastAsia="Arial" w:hAnsi="Arial"/>
                <w:sz w:val="13"/>
                <w:szCs w:val="13"/>
                <w:color w:val="auto"/>
              </w:rPr>
              <w:t>China office</w:t>
            </w:r>
          </w:p>
        </w:tc>
        <w:tc>
          <w:tcPr>
            <w:tcW w:w="860" w:type="dxa"/>
            <w:vAlign w:val="bottom"/>
          </w:tcPr>
          <w:p>
            <w:pPr>
              <w:jc w:val="right"/>
              <w:spacing w:after="0"/>
              <w:rPr>
                <w:sz w:val="20"/>
                <w:szCs w:val="20"/>
                <w:color w:val="auto"/>
              </w:rPr>
            </w:pPr>
            <w:r>
              <w:rPr>
                <w:rFonts w:ascii="Arial" w:cs="Arial" w:eastAsia="Arial" w:hAnsi="Arial"/>
                <w:sz w:val="13"/>
                <w:szCs w:val="13"/>
                <w:color w:val="auto"/>
              </w:rPr>
              <w:t>6,962</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rPr>
              <w:t>Leased</w:t>
            </w:r>
          </w:p>
        </w:tc>
      </w:tr>
      <w:tr>
        <w:trPr>
          <w:trHeight w:val="164"/>
        </w:trPr>
        <w:tc>
          <w:tcPr>
            <w:tcW w:w="5940" w:type="dxa"/>
            <w:vAlign w:val="bottom"/>
            <w:gridSpan w:val="2"/>
          </w:tcPr>
          <w:p>
            <w:pPr>
              <w:spacing w:after="0"/>
              <w:rPr>
                <w:sz w:val="20"/>
                <w:szCs w:val="20"/>
                <w:color w:val="auto"/>
              </w:rPr>
            </w:pPr>
            <w:r>
              <w:rPr>
                <w:rFonts w:ascii="Arial" w:cs="Arial" w:eastAsia="Arial" w:hAnsi="Arial"/>
                <w:sz w:val="13"/>
                <w:szCs w:val="13"/>
                <w:color w:val="auto"/>
              </w:rPr>
              <w:t>Atlanta, Georgia</w:t>
            </w:r>
          </w:p>
        </w:tc>
        <w:tc>
          <w:tcPr>
            <w:tcW w:w="2740" w:type="dxa"/>
            <w:vAlign w:val="bottom"/>
            <w:gridSpan w:val="2"/>
          </w:tcPr>
          <w:p>
            <w:pPr>
              <w:spacing w:after="0"/>
              <w:rPr>
                <w:sz w:val="20"/>
                <w:szCs w:val="20"/>
                <w:color w:val="auto"/>
              </w:rPr>
            </w:pPr>
            <w:r>
              <w:rPr>
                <w:rFonts w:ascii="Arial" w:cs="Arial" w:eastAsia="Arial" w:hAnsi="Arial"/>
                <w:sz w:val="13"/>
                <w:szCs w:val="13"/>
                <w:color w:val="auto"/>
              </w:rPr>
              <w:t>Showroom</w:t>
            </w:r>
          </w:p>
        </w:tc>
        <w:tc>
          <w:tcPr>
            <w:tcW w:w="860" w:type="dxa"/>
            <w:vAlign w:val="bottom"/>
          </w:tcPr>
          <w:p>
            <w:pPr>
              <w:jc w:val="right"/>
              <w:spacing w:after="0"/>
              <w:rPr>
                <w:sz w:val="20"/>
                <w:szCs w:val="20"/>
                <w:color w:val="auto"/>
              </w:rPr>
            </w:pPr>
            <w:r>
              <w:rPr>
                <w:rFonts w:ascii="Arial" w:cs="Arial" w:eastAsia="Arial" w:hAnsi="Arial"/>
                <w:sz w:val="13"/>
                <w:szCs w:val="13"/>
                <w:color w:val="auto"/>
              </w:rPr>
              <w:t>5,172</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rPr>
              <w:t>Leased</w:t>
            </w:r>
          </w:p>
        </w:tc>
      </w:tr>
      <w:tr>
        <w:trPr>
          <w:trHeight w:val="171"/>
        </w:trPr>
        <w:tc>
          <w:tcPr>
            <w:tcW w:w="5940" w:type="dxa"/>
            <w:vAlign w:val="bottom"/>
            <w:gridSpan w:val="2"/>
          </w:tcPr>
          <w:p>
            <w:pPr>
              <w:spacing w:after="0"/>
              <w:rPr>
                <w:sz w:val="20"/>
                <w:szCs w:val="20"/>
                <w:color w:val="auto"/>
              </w:rPr>
            </w:pPr>
            <w:r>
              <w:rPr>
                <w:rFonts w:ascii="Arial" w:cs="Arial" w:eastAsia="Arial" w:hAnsi="Arial"/>
                <w:sz w:val="13"/>
                <w:szCs w:val="13"/>
                <w:color w:val="auto"/>
              </w:rPr>
              <w:t>Dallas, Texas</w:t>
            </w:r>
          </w:p>
        </w:tc>
        <w:tc>
          <w:tcPr>
            <w:tcW w:w="2740" w:type="dxa"/>
            <w:vAlign w:val="bottom"/>
            <w:gridSpan w:val="2"/>
          </w:tcPr>
          <w:p>
            <w:pPr>
              <w:spacing w:after="0"/>
              <w:rPr>
                <w:sz w:val="20"/>
                <w:szCs w:val="20"/>
                <w:color w:val="auto"/>
              </w:rPr>
            </w:pPr>
            <w:r>
              <w:rPr>
                <w:rFonts w:ascii="Arial" w:cs="Arial" w:eastAsia="Arial" w:hAnsi="Arial"/>
                <w:sz w:val="13"/>
                <w:szCs w:val="13"/>
                <w:color w:val="auto"/>
              </w:rPr>
              <w:t>Showroom</w:t>
            </w:r>
          </w:p>
        </w:tc>
        <w:tc>
          <w:tcPr>
            <w:tcW w:w="860" w:type="dxa"/>
            <w:vAlign w:val="bottom"/>
          </w:tcPr>
          <w:p>
            <w:pPr>
              <w:jc w:val="right"/>
              <w:spacing w:after="0"/>
              <w:rPr>
                <w:sz w:val="20"/>
                <w:szCs w:val="20"/>
                <w:color w:val="auto"/>
              </w:rPr>
            </w:pPr>
            <w:r>
              <w:rPr>
                <w:rFonts w:ascii="Arial" w:cs="Arial" w:eastAsia="Arial" w:hAnsi="Arial"/>
                <w:sz w:val="13"/>
                <w:szCs w:val="13"/>
                <w:color w:val="auto"/>
              </w:rPr>
              <w:t>1,782</w:t>
            </w:r>
          </w:p>
        </w:tc>
        <w:tc>
          <w:tcPr>
            <w:tcW w:w="76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Arial" w:cs="Arial" w:eastAsia="Arial" w:hAnsi="Arial"/>
                <w:sz w:val="13"/>
                <w:szCs w:val="13"/>
                <w:color w:val="auto"/>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52705</wp:posOffset>
            </wp:positionV>
            <wp:extent cx="7302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250" cy="6350"/>
                    </a:xfrm>
                    <a:prstGeom prst="rect">
                      <a:avLst/>
                    </a:prstGeom>
                    <a:noFill/>
                  </pic:spPr>
                </pic:pic>
              </a:graphicData>
            </a:graphic>
          </wp:anchor>
        </w:drawing>
      </w:r>
    </w:p>
    <w:p>
      <w:pPr>
        <w:spacing w:after="0" w:line="86" w:lineRule="exact"/>
        <w:rPr>
          <w:sz w:val="20"/>
          <w:szCs w:val="20"/>
          <w:color w:val="auto"/>
        </w:rPr>
      </w:pPr>
    </w:p>
    <w:p>
      <w:pPr>
        <w:ind w:left="460" w:hanging="458"/>
        <w:spacing w:after="0"/>
        <w:tabs>
          <w:tab w:leader="none" w:pos="4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This property is owned by Milburn, LLC, a leasing company in which Barbara Bradley Baekgaard owns a 50% interest and Patricia R. Miller and P. Michael Miller each own a 25% interest. See Item 13,</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“Certain Relationships and Related Transactions, and Director Independence,” of this report for additional information regarding this property.</w:t>
      </w:r>
    </w:p>
    <w:p>
      <w:pPr>
        <w:spacing w:after="0" w:line="15" w:lineRule="exact"/>
        <w:rPr>
          <w:sz w:val="20"/>
          <w:szCs w:val="20"/>
          <w:color w:val="auto"/>
        </w:rPr>
      </w:pPr>
    </w:p>
    <w:p>
      <w:pPr>
        <w:ind w:left="460" w:right="480" w:hanging="458"/>
        <w:spacing w:after="0" w:line="263" w:lineRule="auto"/>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March 2011, we entered into a lease with Great Dane Realty, LLC, a company owned by Barbara Bradley Baekgaard. See Item 13, “Certain Relationships and Related Transactions, and Director Independence,” of this report for additional information regarding this property.</w:t>
      </w:r>
    </w:p>
    <w:p>
      <w:pPr>
        <w:spacing w:after="0" w:line="1" w:lineRule="exact"/>
        <w:rPr>
          <w:rFonts w:ascii="Arial" w:cs="Arial" w:eastAsia="Arial" w:hAnsi="Arial"/>
          <w:sz w:val="13"/>
          <w:szCs w:val="13"/>
          <w:color w:val="auto"/>
        </w:rPr>
      </w:pPr>
    </w:p>
    <w:p>
      <w:pPr>
        <w:ind w:left="460" w:hanging="458"/>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200,000 square-foot expansion of the distribution facility will be complete in fiscal 2013.</w:t>
      </w:r>
    </w:p>
    <w:p>
      <w:pPr>
        <w:spacing w:after="0" w:line="131" w:lineRule="exact"/>
        <w:rPr>
          <w:sz w:val="20"/>
          <w:szCs w:val="20"/>
          <w:color w:val="auto"/>
        </w:rPr>
      </w:pPr>
    </w:p>
    <w:p>
      <w:pPr>
        <w:ind w:right="620"/>
        <w:spacing w:after="0" w:line="298" w:lineRule="auto"/>
        <w:rPr>
          <w:sz w:val="20"/>
          <w:szCs w:val="20"/>
          <w:color w:val="auto"/>
        </w:rPr>
      </w:pPr>
      <w:r>
        <w:rPr>
          <w:rFonts w:ascii="Arial" w:cs="Arial" w:eastAsia="Arial" w:hAnsi="Arial"/>
          <w:sz w:val="13"/>
          <w:szCs w:val="13"/>
          <w:color w:val="auto"/>
        </w:rPr>
        <w:t>As of January 28, 2012, we also leased 62 store locations in the United States, including six store locations opened or to be opened in fiscal 2013. See “Business – Our Stores – Store Locations” for more information regarding the locations of our open stores as of January 28, 2012.</w:t>
      </w:r>
    </w:p>
    <w:p>
      <w:pPr>
        <w:spacing w:after="0" w:line="81" w:lineRule="exact"/>
        <w:rPr>
          <w:sz w:val="20"/>
          <w:szCs w:val="20"/>
          <w:color w:val="auto"/>
        </w:rPr>
      </w:pPr>
    </w:p>
    <w:p>
      <w:pPr>
        <w:ind w:right="400"/>
        <w:spacing w:after="0" w:line="298" w:lineRule="auto"/>
        <w:rPr>
          <w:sz w:val="20"/>
          <w:szCs w:val="20"/>
          <w:color w:val="auto"/>
        </w:rPr>
      </w:pPr>
      <w:r>
        <w:rPr>
          <w:rFonts w:ascii="Arial" w:cs="Arial" w:eastAsia="Arial" w:hAnsi="Arial"/>
          <w:sz w:val="13"/>
          <w:szCs w:val="13"/>
          <w:color w:val="auto"/>
        </w:rPr>
        <w:t>We consider these properties to be in good condition generally and believe that our facilities, including the above-mentioned property under negotiation, are adequate for our operations and provide sufficient capacity to meet our anticipated requirements.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40"/>
          </w:cols>
          <w:pgMar w:left="220" w:top="38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The properties in the above table are used by both the Direct segment and Indirect segment, excluding the two showrooms which are used exclusively by the Indirect segment.</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78"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We may be involved form time to time,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color w:val="auto"/>
        </w:rPr>
        <w:t>Mine Safety Disclosure</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40"/>
          </w:cols>
          <w:pgMar w:left="220" w:top="38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78"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Our common stock has been listed on the NASDAQ Global Select Market under the symbol “VRA” since our initial public offering on October 21, 2010. The following table sets forth the high and low sales prices of our common stock, as reported by the NASDAQ Global Select Market, during each fiscal quarter since our initial public offering:</w:t>
      </w:r>
    </w:p>
    <w:p>
      <w:pPr>
        <w:spacing w:after="0" w:line="108" w:lineRule="exact"/>
        <w:rPr>
          <w:sz w:val="20"/>
          <w:szCs w:val="20"/>
          <w:color w:val="auto"/>
        </w:rPr>
      </w:pPr>
    </w:p>
    <w:tbl>
      <w:tblPr>
        <w:tblLayout w:type="fixed"/>
        <w:tblInd w:w="1380" w:type="dxa"/>
        <w:tblCellMar>
          <w:top w:w="0" w:type="dxa"/>
          <w:left w:w="0" w:type="dxa"/>
          <w:bottom w:w="0" w:type="dxa"/>
          <w:right w:w="0" w:type="dxa"/>
        </w:tblCellMar>
      </w:tblPr>
      <w:tr>
        <w:trPr>
          <w:trHeight w:val="124"/>
        </w:trPr>
        <w:tc>
          <w:tcPr>
            <w:tcW w:w="4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w w:val="98"/>
              </w:rPr>
              <w:t>High</w:t>
            </w:r>
          </w:p>
        </w:tc>
        <w:tc>
          <w:tcPr>
            <w:tcW w:w="100" w:type="dxa"/>
            <w:vAlign w:val="bottom"/>
          </w:tcPr>
          <w:p>
            <w:pPr>
              <w:spacing w:after="0"/>
              <w:rPr>
                <w:sz w:val="10"/>
                <w:szCs w:val="10"/>
                <w:color w:val="auto"/>
              </w:rPr>
            </w:pPr>
          </w:p>
        </w:tc>
        <w:tc>
          <w:tcPr>
            <w:tcW w:w="440" w:type="dxa"/>
            <w:vAlign w:val="bottom"/>
            <w:gridSpan w:val="2"/>
          </w:tcPr>
          <w:p>
            <w:pPr>
              <w:ind w:left="40"/>
              <w:spacing w:after="0"/>
              <w:rPr>
                <w:sz w:val="20"/>
                <w:szCs w:val="20"/>
                <w:color w:val="auto"/>
              </w:rPr>
            </w:pPr>
            <w:r>
              <w:rPr>
                <w:rFonts w:ascii="Arial" w:cs="Arial" w:eastAsia="Arial" w:hAnsi="Arial"/>
                <w:sz w:val="10"/>
                <w:szCs w:val="10"/>
                <w:b w:val="1"/>
                <w:bCs w:val="1"/>
                <w:color w:val="auto"/>
              </w:rPr>
              <w:t>Low</w:t>
            </w:r>
          </w:p>
        </w:tc>
      </w:tr>
      <w:tr>
        <w:trPr>
          <w:trHeight w:val="144"/>
        </w:trPr>
        <w:tc>
          <w:tcPr>
            <w:tcW w:w="492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Fiscal 2012 Quarter ended:</w:t>
            </w:r>
          </w:p>
        </w:tc>
        <w:tc>
          <w:tcPr>
            <w:tcW w:w="2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4"/>
        </w:trPr>
        <w:tc>
          <w:tcPr>
            <w:tcW w:w="4920" w:type="dxa"/>
            <w:vAlign w:val="bottom"/>
          </w:tcPr>
          <w:p>
            <w:pPr>
              <w:spacing w:after="0"/>
              <w:rPr>
                <w:sz w:val="20"/>
                <w:szCs w:val="20"/>
                <w:color w:val="auto"/>
              </w:rPr>
            </w:pPr>
            <w:r>
              <w:rPr>
                <w:rFonts w:ascii="Arial" w:cs="Arial" w:eastAsia="Arial" w:hAnsi="Arial"/>
                <w:sz w:val="13"/>
                <w:szCs w:val="13"/>
                <w:color w:val="auto"/>
              </w:rPr>
              <w:t>January 28, 2012</w:t>
            </w:r>
          </w:p>
        </w:tc>
        <w:tc>
          <w:tcPr>
            <w:tcW w:w="2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600"/>
              <w:spacing w:after="0"/>
              <w:rPr>
                <w:sz w:val="20"/>
                <w:szCs w:val="20"/>
                <w:color w:val="auto"/>
              </w:rPr>
            </w:pPr>
            <w:r>
              <w:rPr>
                <w:rFonts w:ascii="Arial" w:cs="Arial" w:eastAsia="Arial" w:hAnsi="Arial"/>
                <w:sz w:val="13"/>
                <w:szCs w:val="13"/>
                <w:color w:val="auto"/>
                <w:w w:val="98"/>
              </w:rPr>
              <w:t>45.78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28.43</w:t>
            </w:r>
          </w:p>
        </w:tc>
      </w:tr>
      <w:tr>
        <w:trPr>
          <w:trHeight w:val="164"/>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October 29, 2011</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98"/>
              </w:rPr>
              <w:t>45.91</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24.83</w:t>
            </w:r>
          </w:p>
        </w:tc>
      </w:tr>
      <w:tr>
        <w:trPr>
          <w:trHeight w:val="164"/>
        </w:trPr>
        <w:tc>
          <w:tcPr>
            <w:tcW w:w="4920" w:type="dxa"/>
            <w:vAlign w:val="bottom"/>
          </w:tcPr>
          <w:p>
            <w:pPr>
              <w:spacing w:after="0"/>
              <w:rPr>
                <w:sz w:val="20"/>
                <w:szCs w:val="20"/>
                <w:color w:val="auto"/>
              </w:rPr>
            </w:pPr>
            <w:r>
              <w:rPr>
                <w:rFonts w:ascii="Arial" w:cs="Arial" w:eastAsia="Arial" w:hAnsi="Arial"/>
                <w:sz w:val="13"/>
                <w:szCs w:val="13"/>
                <w:color w:val="auto"/>
              </w:rPr>
              <w:t>July 30, 2011</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3"/>
                <w:szCs w:val="13"/>
                <w:color w:val="auto"/>
                <w:w w:val="98"/>
              </w:rPr>
              <w:t>52.36</w:t>
            </w:r>
          </w:p>
        </w:tc>
        <w:tc>
          <w:tcPr>
            <w:tcW w:w="10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35.66</w:t>
            </w:r>
          </w:p>
        </w:tc>
      </w:tr>
      <w:tr>
        <w:trPr>
          <w:trHeight w:val="164"/>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April 30, 2011</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98"/>
              </w:rPr>
              <w:t>49.75</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32.30</w:t>
            </w:r>
          </w:p>
        </w:tc>
      </w:tr>
      <w:tr>
        <w:trPr>
          <w:trHeight w:val="164"/>
        </w:trPr>
        <w:tc>
          <w:tcPr>
            <w:tcW w:w="4920" w:type="dxa"/>
            <w:vAlign w:val="bottom"/>
          </w:tcPr>
          <w:p>
            <w:pPr>
              <w:spacing w:after="0"/>
              <w:rPr>
                <w:sz w:val="20"/>
                <w:szCs w:val="20"/>
                <w:color w:val="auto"/>
              </w:rPr>
            </w:pPr>
            <w:r>
              <w:rPr>
                <w:rFonts w:ascii="Arial" w:cs="Arial" w:eastAsia="Arial" w:hAnsi="Arial"/>
                <w:sz w:val="13"/>
                <w:szCs w:val="13"/>
                <w:b w:val="1"/>
                <w:bCs w:val="1"/>
                <w:color w:val="auto"/>
              </w:rPr>
              <w:t>Fiscal 2011 Quarter ended:</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January 29, 2011</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98"/>
              </w:rPr>
              <w:t>41.01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26.77</w:t>
            </w:r>
          </w:p>
        </w:tc>
      </w:tr>
      <w:tr>
        <w:trPr>
          <w:trHeight w:val="171"/>
        </w:trPr>
        <w:tc>
          <w:tcPr>
            <w:tcW w:w="4920" w:type="dxa"/>
            <w:vAlign w:val="bottom"/>
          </w:tcPr>
          <w:p>
            <w:pPr>
              <w:spacing w:after="0"/>
              <w:rPr>
                <w:sz w:val="20"/>
                <w:szCs w:val="20"/>
                <w:color w:val="auto"/>
              </w:rPr>
            </w:pPr>
            <w:r>
              <w:rPr>
                <w:rFonts w:ascii="Arial" w:cs="Arial" w:eastAsia="Arial" w:hAnsi="Arial"/>
                <w:sz w:val="13"/>
                <w:szCs w:val="13"/>
                <w:color w:val="auto"/>
              </w:rPr>
              <w:t>October 30, 2010 (commencing October 21, 2010)</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3"/>
                <w:szCs w:val="13"/>
                <w:color w:val="auto"/>
                <w:w w:val="98"/>
              </w:rPr>
              <w:t>29.74</w:t>
            </w:r>
          </w:p>
        </w:tc>
        <w:tc>
          <w:tcPr>
            <w:tcW w:w="10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22.00</w:t>
            </w:r>
          </w:p>
        </w:tc>
      </w:tr>
    </w:tbl>
    <w:p>
      <w:pPr>
        <w:spacing w:after="0" w:line="109"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As of March 16, 2012, we had approximately 31 registered shareholders of record. The number of shareholders of record is based upon the actual number of shareholders registered at such date and does not include holders of shares in “street names” or persons, partnerships, associations, corporations, or other entities identified in security position listings maintained by depositories.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78"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81" w:lineRule="exact"/>
        <w:rPr>
          <w:sz w:val="20"/>
          <w:szCs w:val="20"/>
          <w:color w:val="auto"/>
        </w:rPr>
      </w:pPr>
    </w:p>
    <w:p>
      <w:pPr>
        <w:ind w:right="160"/>
        <w:spacing w:after="0" w:line="314" w:lineRule="auto"/>
        <w:rPr>
          <w:sz w:val="20"/>
          <w:szCs w:val="20"/>
          <w:color w:val="auto"/>
        </w:rPr>
      </w:pPr>
      <w:r>
        <w:rPr>
          <w:rFonts w:ascii="Arial" w:cs="Arial" w:eastAsia="Arial" w:hAnsi="Arial"/>
          <w:sz w:val="12"/>
          <w:szCs w:val="12"/>
          <w:color w:val="auto"/>
        </w:rPr>
        <w:t>Prior to our initial public offering, as an “S” Corporation, we distributed annually to our shareholders amounts sufficient to cover their tax liabilities, due to the income that flowed through the shareholders’ tax returns. Additional amounts were distributed from time to time to our shareholders at the discretion of the board of directors. During fiscal 2011, we paid distributions of $132.8 million to our shareholders, which included a final distribution (resulting from the termination of our “S” Corporation status) of 100% of our undistributed taxable income from the date of our formation through October 2, 2010.</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information regarding equity securities authorized for issuance under our equity compensation plans as of January 28,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1"/>
              </w:rPr>
              <w:t>Number of Securities</w:t>
            </w: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40" w:type="dxa"/>
            <w:vAlign w:val="bottom"/>
            <w:gridSpan w:val="2"/>
          </w:tcPr>
          <w:p>
            <w:pPr>
              <w:jc w:val="center"/>
              <w:ind w:right="1220"/>
              <w:spacing w:after="0" w:line="113" w:lineRule="exact"/>
              <w:rPr>
                <w:sz w:val="20"/>
                <w:szCs w:val="20"/>
                <w:color w:val="auto"/>
              </w:rPr>
            </w:pPr>
            <w:r>
              <w:rPr>
                <w:rFonts w:ascii="Arial" w:cs="Arial" w:eastAsia="Arial" w:hAnsi="Arial"/>
                <w:sz w:val="10"/>
                <w:szCs w:val="10"/>
                <w:b w:val="1"/>
                <w:bCs w:val="1"/>
                <w:color w:val="auto"/>
                <w:w w:val="91"/>
              </w:rPr>
              <w:t>Number of</w:t>
            </w:r>
          </w:p>
        </w:tc>
        <w:tc>
          <w:tcPr>
            <w:tcW w:w="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40" w:type="dxa"/>
            <w:vAlign w:val="bottom"/>
            <w:gridSpan w:val="2"/>
          </w:tcPr>
          <w:p>
            <w:pPr>
              <w:jc w:val="center"/>
              <w:ind w:right="60"/>
              <w:spacing w:after="0" w:line="113" w:lineRule="exact"/>
              <w:rPr>
                <w:sz w:val="20"/>
                <w:szCs w:val="20"/>
                <w:color w:val="auto"/>
              </w:rPr>
            </w:pPr>
            <w:r>
              <w:rPr>
                <w:rFonts w:ascii="Arial" w:cs="Arial" w:eastAsia="Arial" w:hAnsi="Arial"/>
                <w:sz w:val="10"/>
                <w:szCs w:val="10"/>
                <w:b w:val="1"/>
                <w:bCs w:val="1"/>
                <w:color w:val="auto"/>
                <w:w w:val="94"/>
              </w:rPr>
              <w:t>Remaining Available for</w:t>
            </w: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40" w:type="dxa"/>
            <w:vAlign w:val="bottom"/>
            <w:gridSpan w:val="2"/>
          </w:tcPr>
          <w:p>
            <w:pPr>
              <w:jc w:val="center"/>
              <w:ind w:right="1240"/>
              <w:spacing w:after="0" w:line="113" w:lineRule="exact"/>
              <w:rPr>
                <w:sz w:val="20"/>
                <w:szCs w:val="20"/>
                <w:color w:val="auto"/>
              </w:rPr>
            </w:pPr>
            <w:r>
              <w:rPr>
                <w:rFonts w:ascii="Arial" w:cs="Arial" w:eastAsia="Arial" w:hAnsi="Arial"/>
                <w:sz w:val="10"/>
                <w:szCs w:val="10"/>
                <w:b w:val="1"/>
                <w:bCs w:val="1"/>
                <w:color w:val="auto"/>
                <w:w w:val="89"/>
              </w:rPr>
              <w:t>Securities to Be</w:t>
            </w:r>
          </w:p>
        </w:tc>
        <w:tc>
          <w:tcPr>
            <w:tcW w:w="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40" w:type="dxa"/>
            <w:vAlign w:val="bottom"/>
            <w:gridSpan w:val="2"/>
          </w:tcPr>
          <w:p>
            <w:pPr>
              <w:jc w:val="center"/>
              <w:ind w:right="60"/>
              <w:spacing w:after="0" w:line="113" w:lineRule="exact"/>
              <w:rPr>
                <w:sz w:val="20"/>
                <w:szCs w:val="20"/>
                <w:color w:val="auto"/>
              </w:rPr>
            </w:pPr>
            <w:r>
              <w:rPr>
                <w:rFonts w:ascii="Arial" w:cs="Arial" w:eastAsia="Arial" w:hAnsi="Arial"/>
                <w:sz w:val="10"/>
                <w:szCs w:val="10"/>
                <w:b w:val="1"/>
                <w:bCs w:val="1"/>
                <w:color w:val="auto"/>
                <w:w w:val="92"/>
              </w:rPr>
              <w:t>Future Issuance Under</w:t>
            </w: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40" w:type="dxa"/>
            <w:vAlign w:val="bottom"/>
            <w:gridSpan w:val="2"/>
          </w:tcPr>
          <w:p>
            <w:pPr>
              <w:jc w:val="center"/>
              <w:ind w:right="1220"/>
              <w:spacing w:after="0" w:line="113" w:lineRule="exact"/>
              <w:rPr>
                <w:sz w:val="20"/>
                <w:szCs w:val="20"/>
                <w:color w:val="auto"/>
              </w:rPr>
            </w:pPr>
            <w:r>
              <w:rPr>
                <w:rFonts w:ascii="Arial" w:cs="Arial" w:eastAsia="Arial" w:hAnsi="Arial"/>
                <w:sz w:val="10"/>
                <w:szCs w:val="10"/>
                <w:b w:val="1"/>
                <w:bCs w:val="1"/>
                <w:color w:val="auto"/>
                <w:w w:val="91"/>
              </w:rPr>
              <w:t>Issued upon</w:t>
            </w:r>
          </w:p>
        </w:tc>
        <w:tc>
          <w:tcPr>
            <w:tcW w:w="2020" w:type="dxa"/>
            <w:vAlign w:val="bottom"/>
            <w:gridSpan w:val="2"/>
          </w:tcPr>
          <w:p>
            <w:pPr>
              <w:jc w:val="center"/>
              <w:ind w:right="1220"/>
              <w:spacing w:after="0" w:line="113" w:lineRule="exact"/>
              <w:rPr>
                <w:sz w:val="20"/>
                <w:szCs w:val="20"/>
                <w:color w:val="auto"/>
              </w:rPr>
            </w:pPr>
            <w:r>
              <w:rPr>
                <w:rFonts w:ascii="Arial" w:cs="Arial" w:eastAsia="Arial" w:hAnsi="Arial"/>
                <w:sz w:val="10"/>
                <w:szCs w:val="10"/>
                <w:b w:val="1"/>
                <w:bCs w:val="1"/>
                <w:color w:val="auto"/>
                <w:w w:val="91"/>
              </w:rPr>
              <w:t>Weighted-Average</w:t>
            </w:r>
          </w:p>
        </w:tc>
        <w:tc>
          <w:tcPr>
            <w:tcW w:w="1140" w:type="dxa"/>
            <w:vAlign w:val="bottom"/>
            <w:gridSpan w:val="2"/>
          </w:tcPr>
          <w:p>
            <w:pPr>
              <w:jc w:val="center"/>
              <w:ind w:right="60"/>
              <w:spacing w:after="0" w:line="113" w:lineRule="exact"/>
              <w:rPr>
                <w:sz w:val="20"/>
                <w:szCs w:val="20"/>
                <w:color w:val="auto"/>
              </w:rPr>
            </w:pPr>
            <w:r>
              <w:rPr>
                <w:rFonts w:ascii="Arial" w:cs="Arial" w:eastAsia="Arial" w:hAnsi="Arial"/>
                <w:sz w:val="10"/>
                <w:szCs w:val="10"/>
                <w:b w:val="1"/>
                <w:bCs w:val="1"/>
                <w:color w:val="auto"/>
                <w:w w:val="90"/>
              </w:rPr>
              <w:t>the Equity</w:t>
            </w: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40" w:type="dxa"/>
            <w:vAlign w:val="bottom"/>
            <w:gridSpan w:val="2"/>
          </w:tcPr>
          <w:p>
            <w:pPr>
              <w:jc w:val="center"/>
              <w:ind w:right="1240"/>
              <w:spacing w:after="0" w:line="113" w:lineRule="exact"/>
              <w:rPr>
                <w:sz w:val="20"/>
                <w:szCs w:val="20"/>
                <w:color w:val="auto"/>
              </w:rPr>
            </w:pPr>
            <w:r>
              <w:rPr>
                <w:rFonts w:ascii="Arial" w:cs="Arial" w:eastAsia="Arial" w:hAnsi="Arial"/>
                <w:sz w:val="10"/>
                <w:szCs w:val="10"/>
                <w:b w:val="1"/>
                <w:bCs w:val="1"/>
                <w:color w:val="auto"/>
                <w:w w:val="89"/>
              </w:rPr>
              <w:t>Exercise of</w:t>
            </w:r>
          </w:p>
        </w:tc>
        <w:tc>
          <w:tcPr>
            <w:tcW w:w="2020" w:type="dxa"/>
            <w:vAlign w:val="bottom"/>
            <w:gridSpan w:val="2"/>
          </w:tcPr>
          <w:p>
            <w:pPr>
              <w:jc w:val="center"/>
              <w:ind w:right="1220"/>
              <w:spacing w:after="0" w:line="113" w:lineRule="exact"/>
              <w:rPr>
                <w:sz w:val="20"/>
                <w:szCs w:val="20"/>
                <w:color w:val="auto"/>
              </w:rPr>
            </w:pPr>
            <w:r>
              <w:rPr>
                <w:rFonts w:ascii="Arial" w:cs="Arial" w:eastAsia="Arial" w:hAnsi="Arial"/>
                <w:sz w:val="10"/>
                <w:szCs w:val="10"/>
                <w:b w:val="1"/>
                <w:bCs w:val="1"/>
                <w:color w:val="auto"/>
                <w:w w:val="89"/>
              </w:rPr>
              <w:t>Exercise Price of</w:t>
            </w:r>
          </w:p>
        </w:tc>
        <w:tc>
          <w:tcPr>
            <w:tcW w:w="1140" w:type="dxa"/>
            <w:vAlign w:val="bottom"/>
            <w:gridSpan w:val="2"/>
          </w:tcPr>
          <w:p>
            <w:pPr>
              <w:jc w:val="center"/>
              <w:ind w:right="60"/>
              <w:spacing w:after="0" w:line="113" w:lineRule="exact"/>
              <w:rPr>
                <w:sz w:val="20"/>
                <w:szCs w:val="20"/>
                <w:color w:val="auto"/>
              </w:rPr>
            </w:pPr>
            <w:r>
              <w:rPr>
                <w:rFonts w:ascii="Arial" w:cs="Arial" w:eastAsia="Arial" w:hAnsi="Arial"/>
                <w:sz w:val="10"/>
                <w:szCs w:val="10"/>
                <w:b w:val="1"/>
                <w:bCs w:val="1"/>
                <w:color w:val="auto"/>
                <w:w w:val="88"/>
              </w:rPr>
              <w:t>Compensation Plans</w:t>
            </w: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40" w:type="dxa"/>
            <w:vAlign w:val="bottom"/>
            <w:gridSpan w:val="2"/>
          </w:tcPr>
          <w:p>
            <w:pPr>
              <w:jc w:val="center"/>
              <w:ind w:right="1220"/>
              <w:spacing w:after="0" w:line="113" w:lineRule="exact"/>
              <w:rPr>
                <w:sz w:val="20"/>
                <w:szCs w:val="20"/>
                <w:color w:val="auto"/>
              </w:rPr>
            </w:pPr>
            <w:r>
              <w:rPr>
                <w:rFonts w:ascii="Arial" w:cs="Arial" w:eastAsia="Arial" w:hAnsi="Arial"/>
                <w:sz w:val="10"/>
                <w:szCs w:val="10"/>
                <w:b w:val="1"/>
                <w:bCs w:val="1"/>
                <w:color w:val="auto"/>
                <w:w w:val="91"/>
              </w:rPr>
              <w:t>Outstanding</w:t>
            </w:r>
          </w:p>
        </w:tc>
        <w:tc>
          <w:tcPr>
            <w:tcW w:w="2020" w:type="dxa"/>
            <w:vAlign w:val="bottom"/>
            <w:gridSpan w:val="2"/>
          </w:tcPr>
          <w:p>
            <w:pPr>
              <w:jc w:val="center"/>
              <w:ind w:right="1220"/>
              <w:spacing w:after="0" w:line="113" w:lineRule="exact"/>
              <w:rPr>
                <w:sz w:val="20"/>
                <w:szCs w:val="20"/>
                <w:color w:val="auto"/>
              </w:rPr>
            </w:pPr>
            <w:r>
              <w:rPr>
                <w:rFonts w:ascii="Arial" w:cs="Arial" w:eastAsia="Arial" w:hAnsi="Arial"/>
                <w:sz w:val="10"/>
                <w:szCs w:val="10"/>
                <w:b w:val="1"/>
                <w:bCs w:val="1"/>
                <w:color w:val="auto"/>
                <w:w w:val="95"/>
              </w:rPr>
              <w:t>Outstanding</w:t>
            </w:r>
          </w:p>
        </w:tc>
        <w:tc>
          <w:tcPr>
            <w:tcW w:w="1140" w:type="dxa"/>
            <w:vAlign w:val="bottom"/>
            <w:gridSpan w:val="2"/>
          </w:tcPr>
          <w:p>
            <w:pPr>
              <w:jc w:val="center"/>
              <w:ind w:right="60"/>
              <w:spacing w:after="0" w:line="113" w:lineRule="exact"/>
              <w:rPr>
                <w:sz w:val="20"/>
                <w:szCs w:val="20"/>
                <w:color w:val="auto"/>
              </w:rPr>
            </w:pPr>
            <w:r>
              <w:rPr>
                <w:rFonts w:ascii="Arial" w:cs="Arial" w:eastAsia="Arial" w:hAnsi="Arial"/>
                <w:sz w:val="10"/>
                <w:szCs w:val="10"/>
                <w:b w:val="1"/>
                <w:bCs w:val="1"/>
                <w:color w:val="auto"/>
                <w:w w:val="90"/>
              </w:rPr>
              <w:t>(Excluding Securities</w:t>
            </w:r>
          </w:p>
        </w:tc>
        <w:tc>
          <w:tcPr>
            <w:tcW w:w="0" w:type="dxa"/>
            <w:vAlign w:val="bottom"/>
          </w:tcPr>
          <w:p>
            <w:pPr>
              <w:spacing w:after="0"/>
              <w:rPr>
                <w:sz w:val="1"/>
                <w:szCs w:val="1"/>
                <w:color w:val="auto"/>
              </w:rPr>
            </w:pPr>
          </w:p>
        </w:tc>
      </w:tr>
      <w:tr>
        <w:trPr>
          <w:trHeight w:val="113"/>
        </w:trPr>
        <w:tc>
          <w:tcPr>
            <w:tcW w:w="66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5"/>
              </w:rPr>
              <w:t>Plan Category</w:t>
            </w:r>
          </w:p>
        </w:tc>
        <w:tc>
          <w:tcPr>
            <w:tcW w:w="3800" w:type="dxa"/>
            <w:vAlign w:val="bottom"/>
            <w:gridSpan w:val="2"/>
            <w:vMerge w:val="restart"/>
          </w:tcPr>
          <w:p>
            <w:pPr>
              <w:spacing w:after="0"/>
              <w:rPr>
                <w:sz w:val="9"/>
                <w:szCs w:val="9"/>
                <w:color w:val="auto"/>
              </w:rPr>
            </w:pPr>
          </w:p>
        </w:tc>
        <w:tc>
          <w:tcPr>
            <w:tcW w:w="1800" w:type="dxa"/>
            <w:vAlign w:val="bottom"/>
          </w:tcPr>
          <w:p>
            <w:pPr>
              <w:spacing w:after="0"/>
              <w:rPr>
                <w:sz w:val="9"/>
                <w:szCs w:val="9"/>
                <w:color w:val="auto"/>
              </w:rPr>
            </w:pPr>
          </w:p>
        </w:tc>
        <w:tc>
          <w:tcPr>
            <w:tcW w:w="2040" w:type="dxa"/>
            <w:vAlign w:val="bottom"/>
            <w:gridSpan w:val="2"/>
          </w:tcPr>
          <w:p>
            <w:pPr>
              <w:jc w:val="center"/>
              <w:ind w:right="1220"/>
              <w:spacing w:after="0" w:line="113" w:lineRule="exact"/>
              <w:rPr>
                <w:sz w:val="20"/>
                <w:szCs w:val="20"/>
                <w:color w:val="auto"/>
              </w:rPr>
            </w:pPr>
            <w:r>
              <w:rPr>
                <w:rFonts w:ascii="Arial" w:cs="Arial" w:eastAsia="Arial" w:hAnsi="Arial"/>
                <w:sz w:val="10"/>
                <w:szCs w:val="10"/>
                <w:b w:val="1"/>
                <w:bCs w:val="1"/>
                <w:color w:val="auto"/>
                <w:w w:val="94"/>
              </w:rPr>
              <w:t>Options, Warrants</w:t>
            </w:r>
          </w:p>
        </w:tc>
        <w:tc>
          <w:tcPr>
            <w:tcW w:w="2020" w:type="dxa"/>
            <w:vAlign w:val="bottom"/>
            <w:gridSpan w:val="2"/>
          </w:tcPr>
          <w:p>
            <w:pPr>
              <w:jc w:val="center"/>
              <w:ind w:right="1200"/>
              <w:spacing w:after="0" w:line="113" w:lineRule="exact"/>
              <w:rPr>
                <w:sz w:val="20"/>
                <w:szCs w:val="20"/>
                <w:color w:val="auto"/>
              </w:rPr>
            </w:pPr>
            <w:r>
              <w:rPr>
                <w:rFonts w:ascii="Arial" w:cs="Arial" w:eastAsia="Arial" w:hAnsi="Arial"/>
                <w:sz w:val="10"/>
                <w:szCs w:val="10"/>
                <w:b w:val="1"/>
                <w:bCs w:val="1"/>
                <w:color w:val="auto"/>
                <w:w w:val="94"/>
              </w:rPr>
              <w:t>Options, Warrants</w:t>
            </w:r>
          </w:p>
        </w:tc>
        <w:tc>
          <w:tcPr>
            <w:tcW w:w="1140" w:type="dxa"/>
            <w:vAlign w:val="bottom"/>
            <w:gridSpan w:val="2"/>
          </w:tcPr>
          <w:p>
            <w:pPr>
              <w:jc w:val="center"/>
              <w:ind w:right="60"/>
              <w:spacing w:after="0" w:line="113" w:lineRule="exact"/>
              <w:rPr>
                <w:sz w:val="20"/>
                <w:szCs w:val="20"/>
                <w:color w:val="auto"/>
              </w:rPr>
            </w:pPr>
            <w:r>
              <w:rPr>
                <w:rFonts w:ascii="Arial" w:cs="Arial" w:eastAsia="Arial" w:hAnsi="Arial"/>
                <w:sz w:val="10"/>
                <w:szCs w:val="10"/>
                <w:b w:val="1"/>
                <w:bCs w:val="1"/>
                <w:color w:val="auto"/>
                <w:w w:val="95"/>
              </w:rPr>
              <w:t>Reflected in Column</w:t>
            </w:r>
          </w:p>
        </w:tc>
        <w:tc>
          <w:tcPr>
            <w:tcW w:w="0" w:type="dxa"/>
            <w:vAlign w:val="bottom"/>
          </w:tcPr>
          <w:p>
            <w:pPr>
              <w:spacing w:after="0"/>
              <w:rPr>
                <w:sz w:val="1"/>
                <w:szCs w:val="1"/>
                <w:color w:val="auto"/>
              </w:rPr>
            </w:pPr>
          </w:p>
        </w:tc>
      </w:tr>
      <w:tr>
        <w:trPr>
          <w:trHeight w:val="134"/>
        </w:trPr>
        <w:tc>
          <w:tcPr>
            <w:tcW w:w="660" w:type="dxa"/>
            <w:vAlign w:val="bottom"/>
            <w:tcBorders>
              <w:bottom w:val="single" w:sz="8" w:color="auto"/>
            </w:tcBorders>
            <w:gridSpan w:val="2"/>
            <w:vMerge w:val="continue"/>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1800" w:type="dxa"/>
            <w:vAlign w:val="bottom"/>
          </w:tcPr>
          <w:p>
            <w:pPr>
              <w:spacing w:after="0"/>
              <w:rPr>
                <w:sz w:val="11"/>
                <w:szCs w:val="11"/>
                <w:color w:val="auto"/>
              </w:rPr>
            </w:pPr>
          </w:p>
        </w:tc>
        <w:tc>
          <w:tcPr>
            <w:tcW w:w="2040" w:type="dxa"/>
            <w:vAlign w:val="bottom"/>
            <w:gridSpan w:val="2"/>
          </w:tcPr>
          <w:p>
            <w:pPr>
              <w:jc w:val="center"/>
              <w:ind w:right="1220"/>
              <w:spacing w:after="0" w:line="114" w:lineRule="exact"/>
              <w:rPr>
                <w:sz w:val="20"/>
                <w:szCs w:val="20"/>
                <w:color w:val="auto"/>
              </w:rPr>
            </w:pPr>
            <w:r>
              <w:rPr>
                <w:rFonts w:ascii="Arial" w:cs="Arial" w:eastAsia="Arial" w:hAnsi="Arial"/>
                <w:sz w:val="10"/>
                <w:szCs w:val="10"/>
                <w:b w:val="1"/>
                <w:bCs w:val="1"/>
                <w:color w:val="auto"/>
                <w:w w:val="92"/>
              </w:rPr>
              <w:t>and Rights (a)</w:t>
            </w:r>
          </w:p>
        </w:tc>
        <w:tc>
          <w:tcPr>
            <w:tcW w:w="2020" w:type="dxa"/>
            <w:vAlign w:val="bottom"/>
            <w:gridSpan w:val="2"/>
          </w:tcPr>
          <w:p>
            <w:pPr>
              <w:jc w:val="center"/>
              <w:ind w:right="1220"/>
              <w:spacing w:after="0" w:line="114" w:lineRule="exact"/>
              <w:rPr>
                <w:sz w:val="20"/>
                <w:szCs w:val="20"/>
                <w:color w:val="auto"/>
              </w:rPr>
            </w:pPr>
            <w:r>
              <w:rPr>
                <w:rFonts w:ascii="Arial" w:cs="Arial" w:eastAsia="Arial" w:hAnsi="Arial"/>
                <w:sz w:val="10"/>
                <w:szCs w:val="10"/>
                <w:b w:val="1"/>
                <w:bCs w:val="1"/>
                <w:color w:val="auto"/>
                <w:w w:val="92"/>
              </w:rPr>
              <w:t xml:space="preserve">and Rights (b) </w:t>
            </w:r>
            <w:r>
              <w:rPr>
                <w:rFonts w:ascii="Arial" w:cs="Arial" w:eastAsia="Arial" w:hAnsi="Arial"/>
                <w:sz w:val="10"/>
                <w:szCs w:val="10"/>
                <w:b w:val="1"/>
                <w:bCs w:val="1"/>
                <w:u w:val="single" w:color="auto"/>
                <w:color w:val="auto"/>
                <w:w w:val="92"/>
              </w:rPr>
              <w:t>($</w:t>
            </w:r>
            <w:r>
              <w:rPr>
                <w:rFonts w:ascii="Arial" w:cs="Arial" w:eastAsia="Arial" w:hAnsi="Arial"/>
                <w:sz w:val="10"/>
                <w:szCs w:val="10"/>
                <w:b w:val="1"/>
                <w:bCs w:val="1"/>
                <w:color w:val="auto"/>
                <w:w w:val="92"/>
              </w:rPr>
              <w:t>)</w:t>
            </w:r>
          </w:p>
        </w:tc>
        <w:tc>
          <w:tcPr>
            <w:tcW w:w="1140" w:type="dxa"/>
            <w:vAlign w:val="bottom"/>
            <w:gridSpan w:val="2"/>
          </w:tcPr>
          <w:p>
            <w:pPr>
              <w:jc w:val="center"/>
              <w:ind w:right="60"/>
              <w:spacing w:after="0" w:line="114" w:lineRule="exact"/>
              <w:rPr>
                <w:sz w:val="20"/>
                <w:szCs w:val="20"/>
                <w:color w:val="auto"/>
              </w:rPr>
            </w:pPr>
            <w:r>
              <w:rPr>
                <w:rFonts w:ascii="Arial" w:cs="Arial" w:eastAsia="Arial" w:hAnsi="Arial"/>
                <w:sz w:val="10"/>
                <w:szCs w:val="10"/>
                <w:b w:val="1"/>
                <w:bCs w:val="1"/>
                <w:color w:val="auto"/>
                <w:w w:val="91"/>
              </w:rPr>
              <w:t>(a)) (c)</w:t>
            </w:r>
          </w:p>
        </w:tc>
        <w:tc>
          <w:tcPr>
            <w:tcW w:w="0" w:type="dxa"/>
            <w:vAlign w:val="bottom"/>
          </w:tcPr>
          <w:p>
            <w:pPr>
              <w:spacing w:after="0"/>
              <w:rPr>
                <w:sz w:val="1"/>
                <w:szCs w:val="1"/>
                <w:color w:val="auto"/>
              </w:rPr>
            </w:pPr>
          </w:p>
        </w:tc>
      </w:tr>
      <w:tr>
        <w:trPr>
          <w:trHeight w:val="145"/>
        </w:trPr>
        <w:tc>
          <w:tcPr>
            <w:tcW w:w="4460" w:type="dxa"/>
            <w:vAlign w:val="bottom"/>
            <w:tcBorders>
              <w:top w:val="single" w:sz="8" w:color="CCEEFF"/>
            </w:tcBorders>
            <w:gridSpan w:val="4"/>
            <w:shd w:val="clear" w:color="auto" w:fill="CCEEFF"/>
          </w:tcPr>
          <w:p>
            <w:pPr>
              <w:spacing w:after="0" w:line="145" w:lineRule="exact"/>
              <w:rPr>
                <w:sz w:val="20"/>
                <w:szCs w:val="20"/>
                <w:color w:val="auto"/>
              </w:rPr>
            </w:pPr>
            <w:r>
              <w:rPr>
                <w:rFonts w:ascii="Arial" w:cs="Arial" w:eastAsia="Arial" w:hAnsi="Arial"/>
                <w:sz w:val="13"/>
                <w:szCs w:val="13"/>
                <w:color w:val="auto"/>
              </w:rPr>
              <w:t>Equity compensation plans approved by security holders (1)</w:t>
            </w:r>
          </w:p>
        </w:tc>
        <w:tc>
          <w:tcPr>
            <w:tcW w:w="18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160,463</w:t>
            </w:r>
          </w:p>
        </w:tc>
        <w:tc>
          <w:tcPr>
            <w:tcW w:w="1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ind w:left="620"/>
              <w:spacing w:after="0" w:line="145" w:lineRule="exact"/>
              <w:rPr>
                <w:sz w:val="20"/>
                <w:szCs w:val="20"/>
                <w:color w:val="auto"/>
              </w:rPr>
            </w:pPr>
            <w:r>
              <w:rPr>
                <w:rFonts w:ascii="Arial" w:cs="Arial" w:eastAsia="Arial" w:hAnsi="Arial"/>
                <w:sz w:val="13"/>
                <w:szCs w:val="13"/>
                <w:color w:val="auto"/>
              </w:rPr>
              <w:t>—</w:t>
            </w:r>
          </w:p>
        </w:tc>
        <w:tc>
          <w:tcPr>
            <w:tcW w:w="12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5,915,538</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60" w:type="dxa"/>
            <w:vAlign w:val="bottom"/>
            <w:gridSpan w:val="4"/>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800" w:type="dxa"/>
            <w:vAlign w:val="bottom"/>
          </w:tcPr>
          <w:p>
            <w:pPr>
              <w:spacing w:after="0"/>
              <w:rPr>
                <w:sz w:val="14"/>
                <w:szCs w:val="14"/>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3"/>
                <w:szCs w:val="13"/>
                <w:color w:val="auto"/>
              </w:rPr>
              <w:t>—</w:t>
            </w:r>
          </w:p>
        </w:tc>
        <w:tc>
          <w:tcPr>
            <w:tcW w:w="2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160,463</w:t>
            </w:r>
          </w:p>
        </w:tc>
        <w:tc>
          <w:tcPr>
            <w:tcW w:w="12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ind w:left="620"/>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5,915,538</w:t>
            </w:r>
          </w:p>
        </w:tc>
        <w:tc>
          <w:tcPr>
            <w:tcW w:w="0" w:type="dxa"/>
            <w:vAlign w:val="bottom"/>
          </w:tcPr>
          <w:p>
            <w:pPr>
              <w:spacing w:after="0"/>
              <w:rPr>
                <w:sz w:val="1"/>
                <w:szCs w:val="1"/>
                <w:color w:val="auto"/>
              </w:rPr>
            </w:pPr>
          </w:p>
        </w:tc>
      </w:tr>
      <w:tr>
        <w:trPr>
          <w:trHeight w:val="82"/>
        </w:trPr>
        <w:tc>
          <w:tcPr>
            <w:tcW w:w="3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3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20"/>
                <w:szCs w:val="20"/>
                <w:color w:val="auto"/>
              </w:rPr>
            </w:pPr>
            <w:r>
              <w:rPr>
                <w:rFonts w:ascii="Arial" w:cs="Arial" w:eastAsia="Arial" w:hAnsi="Arial"/>
                <w:sz w:val="13"/>
                <w:szCs w:val="13"/>
                <w:color w:val="auto"/>
              </w:rPr>
              <w:t>(1)</w:t>
            </w:r>
          </w:p>
        </w:tc>
        <w:tc>
          <w:tcPr>
            <w:tcW w:w="4080" w:type="dxa"/>
            <w:vAlign w:val="bottom"/>
            <w:gridSpan w:val="3"/>
          </w:tcPr>
          <w:p>
            <w:pPr>
              <w:ind w:left="80"/>
              <w:spacing w:after="0"/>
              <w:rPr>
                <w:sz w:val="20"/>
                <w:szCs w:val="20"/>
                <w:color w:val="auto"/>
              </w:rPr>
            </w:pPr>
            <w:r>
              <w:rPr>
                <w:rFonts w:ascii="Arial" w:cs="Arial" w:eastAsia="Arial" w:hAnsi="Arial"/>
                <w:sz w:val="13"/>
                <w:szCs w:val="13"/>
                <w:color w:val="auto"/>
              </w:rPr>
              <w:t>Approved before our initial public offering.</w:t>
            </w:r>
          </w:p>
        </w:tc>
        <w:tc>
          <w:tcPr>
            <w:tcW w:w="1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0" w:type="dxa"/>
            <w:vAlign w:val="bottom"/>
          </w:tcPr>
          <w:p>
            <w:pPr>
              <w:jc w:val="right"/>
              <w:ind w:right="393"/>
              <w:spacing w:after="0"/>
              <w:rPr>
                <w:sz w:val="20"/>
                <w:szCs w:val="20"/>
                <w:color w:val="auto"/>
              </w:rPr>
            </w:pPr>
            <w:r>
              <w:rPr>
                <w:rFonts w:ascii="Arial" w:cs="Arial" w:eastAsia="Arial" w:hAnsi="Arial"/>
                <w:sz w:val="13"/>
                <w:szCs w:val="13"/>
                <w:color w:val="auto"/>
              </w:rPr>
              <w:t>28</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4" w:right="2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Performance Graph</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graph set forth below compares the cumulative shareholder return on our common stock between October 21, 2010 (the date of our initial public offering), and January 28, 2012, to the cumulative return of</w:t>
      </w:r>
    </w:p>
    <w:p>
      <w:pPr>
        <w:spacing w:after="0" w:line="33" w:lineRule="exact"/>
        <w:rPr>
          <w:sz w:val="20"/>
          <w:szCs w:val="20"/>
          <w:color w:val="auto"/>
        </w:rPr>
      </w:pPr>
    </w:p>
    <w:p>
      <w:pPr>
        <w:ind w:right="160" w:firstLine="2"/>
        <w:spacing w:after="0" w:line="271" w:lineRule="auto"/>
        <w:tabs>
          <w:tab w:leader="none" w:pos="159"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S&amp;P 500 Index and (ii) the S&amp;P 500 Apparel, Accessories, and Luxury Goods Index over the same period. This graph assumes an initial investment of $100 on October 21, 2010, in our common stock, the S&amp;P 500 Index, and the S&amp;P 500 Apparel, Accessories, and Luxury Goods Index and assumes the reinvestment of dividends, if any. The graph also assumes that the initial price of our common stock on October 21, 2010, was the initial public offering price of $16.00 per share and that the initial prices of the S&amp;P 500 Index and the S&amp;P 500 Apparel, Accessories, and Luxury Goods Index on October 21, 2010, were the closing prices on the previous trading day.</w:t>
      </w:r>
    </w:p>
    <w:p>
      <w:pPr>
        <w:spacing w:after="0" w:line="99"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The comparisons shown in the graph below are based on historical data. We caution that the stock price performance presented in the graph below is not necessarily indicative of, or is it intended to forecast, the potential future performance of our common stock. Information used in the graph was obtained from The NASDAQ Stock Market website, but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160655</wp:posOffset>
            </wp:positionV>
            <wp:extent cx="3926840" cy="1963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2684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Company/Market/Peer Group</w:t>
            </w:r>
          </w:p>
        </w:tc>
        <w:tc>
          <w:tcPr>
            <w:tcW w:w="3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w w:val="91"/>
              </w:rPr>
              <w:t>10/21/2010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7"/>
              <w:spacing w:after="0"/>
              <w:rPr>
                <w:sz w:val="20"/>
                <w:szCs w:val="20"/>
                <w:color w:val="auto"/>
              </w:rPr>
            </w:pPr>
            <w:r>
              <w:rPr>
                <w:rFonts w:ascii="Arial" w:cs="Arial" w:eastAsia="Arial" w:hAnsi="Arial"/>
                <w:sz w:val="10"/>
                <w:szCs w:val="10"/>
                <w:b w:val="1"/>
                <w:bCs w:val="1"/>
                <w:color w:val="auto"/>
                <w:w w:val="87"/>
              </w:rPr>
              <w:t>10/30/2010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7"/>
              <w:spacing w:after="0"/>
              <w:rPr>
                <w:sz w:val="20"/>
                <w:szCs w:val="20"/>
                <w:color w:val="auto"/>
              </w:rPr>
            </w:pPr>
            <w:r>
              <w:rPr>
                <w:rFonts w:ascii="Arial" w:cs="Arial" w:eastAsia="Arial" w:hAnsi="Arial"/>
                <w:sz w:val="10"/>
                <w:szCs w:val="10"/>
                <w:b w:val="1"/>
                <w:bCs w:val="1"/>
                <w:color w:val="auto"/>
                <w:w w:val="89"/>
              </w:rPr>
              <w:t>1/29/2011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37"/>
              <w:spacing w:after="0"/>
              <w:rPr>
                <w:sz w:val="20"/>
                <w:szCs w:val="20"/>
                <w:color w:val="auto"/>
              </w:rPr>
            </w:pPr>
            <w:r>
              <w:rPr>
                <w:rFonts w:ascii="Arial" w:cs="Arial" w:eastAsia="Arial" w:hAnsi="Arial"/>
                <w:sz w:val="10"/>
                <w:szCs w:val="10"/>
                <w:b w:val="1"/>
                <w:bCs w:val="1"/>
                <w:color w:val="auto"/>
                <w:w w:val="89"/>
              </w:rPr>
              <w:t>4/30/2011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7"/>
              <w:spacing w:after="0"/>
              <w:rPr>
                <w:sz w:val="20"/>
                <w:szCs w:val="20"/>
                <w:color w:val="auto"/>
              </w:rPr>
            </w:pPr>
            <w:r>
              <w:rPr>
                <w:rFonts w:ascii="Arial" w:cs="Arial" w:eastAsia="Arial" w:hAnsi="Arial"/>
                <w:sz w:val="10"/>
                <w:szCs w:val="10"/>
                <w:b w:val="1"/>
                <w:bCs w:val="1"/>
                <w:color w:val="auto"/>
                <w:w w:val="89"/>
              </w:rPr>
              <w:t>7/30/2011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7"/>
              <w:spacing w:after="0"/>
              <w:rPr>
                <w:sz w:val="20"/>
                <w:szCs w:val="20"/>
                <w:color w:val="auto"/>
              </w:rPr>
            </w:pPr>
            <w:r>
              <w:rPr>
                <w:rFonts w:ascii="Arial" w:cs="Arial" w:eastAsia="Arial" w:hAnsi="Arial"/>
                <w:sz w:val="10"/>
                <w:szCs w:val="10"/>
                <w:b w:val="1"/>
                <w:bCs w:val="1"/>
                <w:color w:val="auto"/>
                <w:w w:val="87"/>
              </w:rPr>
              <w:t>10/29/2011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7"/>
              <w:spacing w:after="0"/>
              <w:rPr>
                <w:sz w:val="20"/>
                <w:szCs w:val="20"/>
                <w:color w:val="auto"/>
              </w:rPr>
            </w:pPr>
            <w:r>
              <w:rPr>
                <w:rFonts w:ascii="Arial" w:cs="Arial" w:eastAsia="Arial" w:hAnsi="Arial"/>
                <w:sz w:val="10"/>
                <w:szCs w:val="10"/>
                <w:b w:val="1"/>
                <w:bCs w:val="1"/>
                <w:color w:val="auto"/>
                <w:w w:val="94"/>
              </w:rPr>
              <w:t>1/28/2012</w:t>
            </w:r>
          </w:p>
        </w:tc>
        <w:tc>
          <w:tcPr>
            <w:tcW w:w="100" w:type="dxa"/>
            <w:vAlign w:val="bottom"/>
          </w:tcPr>
          <w:p>
            <w:pPr>
              <w:spacing w:after="0"/>
              <w:rPr>
                <w:sz w:val="12"/>
                <w:szCs w:val="12"/>
                <w:color w:val="auto"/>
              </w:rPr>
            </w:pPr>
          </w:p>
        </w:tc>
      </w:tr>
      <w:tr>
        <w:trPr>
          <w:trHeight w:val="145"/>
        </w:trPr>
        <w:tc>
          <w:tcPr>
            <w:tcW w:w="5280" w:type="dxa"/>
            <w:vAlign w:val="bottom"/>
            <w:tcBorders>
              <w:top w:val="single" w:sz="8" w:color="CCEEFF"/>
            </w:tcBorders>
            <w:gridSpan w:val="3"/>
            <w:shd w:val="clear" w:color="auto" w:fill="CCEEFF"/>
          </w:tcPr>
          <w:p>
            <w:pPr>
              <w:spacing w:after="0" w:line="145" w:lineRule="exact"/>
              <w:rPr>
                <w:sz w:val="20"/>
                <w:szCs w:val="20"/>
                <w:color w:val="auto"/>
              </w:rPr>
            </w:pPr>
            <w:r>
              <w:rPr>
                <w:rFonts w:ascii="Arial" w:cs="Arial" w:eastAsia="Arial" w:hAnsi="Arial"/>
                <w:sz w:val="13"/>
                <w:szCs w:val="13"/>
                <w:color w:val="auto"/>
              </w:rPr>
              <w:t>Vera Bradley, Inc.</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100.00</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170.94</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211.56</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304.00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226.69</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278.75</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214.56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64"/>
        </w:trPr>
        <w:tc>
          <w:tcPr>
            <w:tcW w:w="500" w:type="dxa"/>
            <w:vAlign w:val="bottom"/>
          </w:tcPr>
          <w:p>
            <w:pPr>
              <w:spacing w:after="0"/>
              <w:rPr>
                <w:sz w:val="20"/>
                <w:szCs w:val="20"/>
                <w:color w:val="auto"/>
              </w:rPr>
            </w:pPr>
            <w:r>
              <w:rPr>
                <w:rFonts w:ascii="Arial" w:cs="Arial" w:eastAsia="Arial" w:hAnsi="Arial"/>
                <w:sz w:val="13"/>
                <w:szCs w:val="13"/>
                <w:color w:val="auto"/>
                <w:w w:val="93"/>
              </w:rPr>
              <w:t>S&amp;P 500</w:t>
            </w:r>
          </w:p>
        </w:tc>
        <w:tc>
          <w:tcPr>
            <w:tcW w:w="4780" w:type="dxa"/>
            <w:vAlign w:val="bottom"/>
            <w:gridSpan w:val="2"/>
          </w:tcPr>
          <w:p>
            <w:pPr>
              <w:ind w:left="20"/>
              <w:spacing w:after="0"/>
              <w:rPr>
                <w:sz w:val="20"/>
                <w:szCs w:val="20"/>
                <w:color w:val="auto"/>
              </w:rPr>
            </w:pPr>
            <w:r>
              <w:rPr>
                <w:rFonts w:ascii="Arial" w:cs="Arial" w:eastAsia="Arial" w:hAnsi="Arial"/>
                <w:sz w:val="13"/>
                <w:szCs w:val="13"/>
                <w:color w:val="auto"/>
              </w:rPr>
              <w:t>Index</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100.00</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100.46</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108.89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116.89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111.33</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111.34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114.69</w:t>
            </w:r>
          </w:p>
        </w:tc>
      </w:tr>
      <w:tr>
        <w:trPr>
          <w:trHeight w:val="164"/>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93"/>
              </w:rPr>
              <w:t>S&amp;P 500</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Apparel, Accessories, and Luxury Goods Index</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110.58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157.90</w:t>
            </w:r>
          </w:p>
        </w:tc>
      </w:tr>
      <w:tr>
        <w:trPr>
          <w:trHeight w:val="276"/>
        </w:trPr>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60"/>
          </w:cols>
          <w:pgMar w:left="220" w:top="384" w:right="21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78"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following tables present selected consolidated financial and other data as of and for the years indicated. The selected income statement data for each of the three fiscal years presented and the selected balance sheet data as of January 28, 2012, and January 29, 2011, are derived from our audited consolidated financial statements included in Item 8 of this report. The selected balance sheet data as of January 30, 2010, and January 31, 2009, and the selected income statement and balance sheet data as of and for the calendar year ended December 31, 2007, are derived from our audited consolidated financial statements that are not included elsewhere in this report.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gridSpan w:val="5"/>
            <w:vMerge w:val="restart"/>
          </w:tcPr>
          <w:p>
            <w:pPr>
              <w:jc w:val="right"/>
              <w:ind w:right="1340"/>
              <w:spacing w:after="0"/>
              <w:rPr>
                <w:sz w:val="20"/>
                <w:szCs w:val="20"/>
                <w:color w:val="auto"/>
              </w:rPr>
            </w:pPr>
            <w:r>
              <w:rPr>
                <w:rFonts w:ascii="Arial" w:cs="Arial" w:eastAsia="Arial" w:hAnsi="Arial"/>
                <w:sz w:val="10"/>
                <w:szCs w:val="10"/>
                <w:b w:val="1"/>
                <w:bCs w:val="1"/>
                <w:color w:val="auto"/>
              </w:rPr>
              <w:t xml:space="preserve">Fiscal Year Ended </w:t>
            </w:r>
            <w:r>
              <w:rPr>
                <w:rFonts w:ascii="Arial" w:cs="Arial" w:eastAsia="Arial" w:hAnsi="Arial"/>
                <w:sz w:val="17"/>
                <w:szCs w:val="17"/>
                <w:b w:val="1"/>
                <w:bCs w:val="1"/>
                <w:color w:val="auto"/>
                <w:vertAlign w:val="subscript"/>
              </w:rPr>
              <w:t>(1)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Calendar</w:t>
            </w:r>
          </w:p>
        </w:tc>
        <w:tc>
          <w:tcPr>
            <w:tcW w:w="0" w:type="dxa"/>
            <w:vAlign w:val="bottom"/>
          </w:tcPr>
          <w:p>
            <w:pPr>
              <w:spacing w:after="0"/>
              <w:rPr>
                <w:sz w:val="1"/>
                <w:szCs w:val="1"/>
                <w:color w:val="auto"/>
              </w:rPr>
            </w:pPr>
          </w:p>
        </w:tc>
      </w:tr>
      <w:tr>
        <w:trPr>
          <w:trHeight w:val="73"/>
        </w:trPr>
        <w:tc>
          <w:tcPr>
            <w:tcW w:w="3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gridSpan w:val="5"/>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91"/>
              </w:rPr>
              <w:t>Ended</w:t>
            </w:r>
          </w:p>
        </w:tc>
        <w:tc>
          <w:tcPr>
            <w:tcW w:w="0" w:type="dxa"/>
            <w:vAlign w:val="bottom"/>
          </w:tcPr>
          <w:p>
            <w:pPr>
              <w:spacing w:after="0"/>
              <w:rPr>
                <w:sz w:val="1"/>
                <w:szCs w:val="1"/>
                <w:color w:val="auto"/>
              </w:rPr>
            </w:pPr>
          </w:p>
        </w:tc>
      </w:tr>
      <w:tr>
        <w:trPr>
          <w:trHeight w:val="113"/>
        </w:trPr>
        <w:tc>
          <w:tcPr>
            <w:tcW w:w="3780" w:type="dxa"/>
            <w:vAlign w:val="bottom"/>
          </w:tcPr>
          <w:p>
            <w:pPr>
              <w:spacing w:after="0" w:line="113" w:lineRule="exact"/>
              <w:rPr>
                <w:sz w:val="20"/>
                <w:szCs w:val="20"/>
                <w:color w:val="auto"/>
              </w:rPr>
            </w:pPr>
            <w:r>
              <w:rPr>
                <w:rFonts w:ascii="Arial" w:cs="Arial" w:eastAsia="Arial" w:hAnsi="Arial"/>
                <w:sz w:val="10"/>
                <w:szCs w:val="10"/>
                <w:i w:val="1"/>
                <w:iCs w:val="1"/>
                <w:color w:val="auto"/>
              </w:rPr>
              <w:t>($ in thousands, except per share data and as</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tcPr>
          <w:p>
            <w:pPr>
              <w:jc w:val="right"/>
              <w:ind w:right="840"/>
              <w:spacing w:after="0" w:line="113" w:lineRule="exact"/>
              <w:rPr>
                <w:sz w:val="20"/>
                <w:szCs w:val="20"/>
                <w:color w:val="auto"/>
              </w:rPr>
            </w:pPr>
            <w:r>
              <w:rPr>
                <w:rFonts w:ascii="Arial" w:cs="Arial" w:eastAsia="Arial" w:hAnsi="Arial"/>
                <w:sz w:val="10"/>
                <w:szCs w:val="10"/>
                <w:b w:val="1"/>
                <w:bCs w:val="1"/>
                <w:color w:val="auto"/>
                <w:w w:val="90"/>
              </w:rPr>
              <w:t>January 28,</w:t>
            </w:r>
          </w:p>
        </w:tc>
        <w:tc>
          <w:tcPr>
            <w:tcW w:w="60" w:type="dxa"/>
            <w:vAlign w:val="bottom"/>
          </w:tcPr>
          <w:p>
            <w:pPr>
              <w:spacing w:after="0"/>
              <w:rPr>
                <w:sz w:val="9"/>
                <w:szCs w:val="9"/>
                <w:color w:val="auto"/>
              </w:rPr>
            </w:pPr>
          </w:p>
        </w:tc>
        <w:tc>
          <w:tcPr>
            <w:tcW w:w="1360" w:type="dxa"/>
            <w:vAlign w:val="bottom"/>
            <w:gridSpan w:val="2"/>
          </w:tcPr>
          <w:p>
            <w:pPr>
              <w:jc w:val="right"/>
              <w:ind w:right="820"/>
              <w:spacing w:after="0" w:line="113" w:lineRule="exact"/>
              <w:rPr>
                <w:sz w:val="20"/>
                <w:szCs w:val="20"/>
                <w:color w:val="auto"/>
              </w:rPr>
            </w:pPr>
            <w:r>
              <w:rPr>
                <w:rFonts w:ascii="Arial" w:cs="Arial" w:eastAsia="Arial" w:hAnsi="Arial"/>
                <w:sz w:val="10"/>
                <w:szCs w:val="10"/>
                <w:b w:val="1"/>
                <w:bCs w:val="1"/>
                <w:color w:val="auto"/>
                <w:w w:val="94"/>
              </w:rPr>
              <w:t>January 29,</w:t>
            </w:r>
          </w:p>
        </w:tc>
        <w:tc>
          <w:tcPr>
            <w:tcW w:w="80" w:type="dxa"/>
            <w:vAlign w:val="bottom"/>
          </w:tcPr>
          <w:p>
            <w:pPr>
              <w:spacing w:after="0"/>
              <w:rPr>
                <w:sz w:val="9"/>
                <w:szCs w:val="9"/>
                <w:color w:val="auto"/>
              </w:rPr>
            </w:pPr>
          </w:p>
        </w:tc>
        <w:tc>
          <w:tcPr>
            <w:tcW w:w="1340" w:type="dxa"/>
            <w:vAlign w:val="bottom"/>
            <w:gridSpan w:val="2"/>
          </w:tcPr>
          <w:p>
            <w:pPr>
              <w:jc w:val="right"/>
              <w:ind w:right="820"/>
              <w:spacing w:after="0" w:line="113" w:lineRule="exact"/>
              <w:rPr>
                <w:sz w:val="20"/>
                <w:szCs w:val="20"/>
                <w:color w:val="auto"/>
              </w:rPr>
            </w:pPr>
            <w:r>
              <w:rPr>
                <w:rFonts w:ascii="Arial" w:cs="Arial" w:eastAsia="Arial" w:hAnsi="Arial"/>
                <w:sz w:val="10"/>
                <w:szCs w:val="10"/>
                <w:b w:val="1"/>
                <w:bCs w:val="1"/>
                <w:color w:val="auto"/>
                <w:w w:val="90"/>
              </w:rPr>
              <w:t>January 30,</w:t>
            </w:r>
          </w:p>
        </w:tc>
        <w:tc>
          <w:tcPr>
            <w:tcW w:w="80" w:type="dxa"/>
            <w:vAlign w:val="bottom"/>
          </w:tcPr>
          <w:p>
            <w:pPr>
              <w:spacing w:after="0"/>
              <w:rPr>
                <w:sz w:val="9"/>
                <w:szCs w:val="9"/>
                <w:color w:val="auto"/>
              </w:rPr>
            </w:pPr>
          </w:p>
        </w:tc>
        <w:tc>
          <w:tcPr>
            <w:tcW w:w="1360" w:type="dxa"/>
            <w:vAlign w:val="bottom"/>
            <w:gridSpan w:val="2"/>
          </w:tcPr>
          <w:p>
            <w:pPr>
              <w:jc w:val="right"/>
              <w:ind w:right="840"/>
              <w:spacing w:after="0" w:line="113" w:lineRule="exact"/>
              <w:rPr>
                <w:sz w:val="20"/>
                <w:szCs w:val="20"/>
                <w:color w:val="auto"/>
              </w:rPr>
            </w:pPr>
            <w:r>
              <w:rPr>
                <w:rFonts w:ascii="Arial" w:cs="Arial" w:eastAsia="Arial" w:hAnsi="Arial"/>
                <w:sz w:val="10"/>
                <w:szCs w:val="10"/>
                <w:b w:val="1"/>
                <w:bCs w:val="1"/>
                <w:color w:val="auto"/>
                <w:w w:val="90"/>
              </w:rPr>
              <w:t>January 31,</w:t>
            </w:r>
          </w:p>
        </w:tc>
        <w:tc>
          <w:tcPr>
            <w:tcW w:w="740" w:type="dxa"/>
            <w:vAlign w:val="bottom"/>
            <w:gridSpan w:val="3"/>
          </w:tcPr>
          <w:p>
            <w:pPr>
              <w:jc w:val="center"/>
              <w:ind w:right="100"/>
              <w:spacing w:after="0" w:line="113" w:lineRule="exact"/>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4"/>
        </w:trPr>
        <w:tc>
          <w:tcPr>
            <w:tcW w:w="3780" w:type="dxa"/>
            <w:vAlign w:val="bottom"/>
            <w:tcBorders>
              <w:bottom w:val="single" w:sz="8" w:color="CCEEFF"/>
            </w:tcBorders>
          </w:tcPr>
          <w:p>
            <w:pPr>
              <w:spacing w:after="0" w:line="104" w:lineRule="exact"/>
              <w:rPr>
                <w:sz w:val="20"/>
                <w:szCs w:val="20"/>
                <w:color w:val="auto"/>
              </w:rPr>
            </w:pPr>
            <w:r>
              <w:rPr>
                <w:rFonts w:ascii="Arial" w:cs="Arial" w:eastAsia="Arial" w:hAnsi="Arial"/>
                <w:sz w:val="10"/>
                <w:szCs w:val="10"/>
                <w:i w:val="1"/>
                <w:iCs w:val="1"/>
                <w:color w:val="auto"/>
              </w:rPr>
              <w:t>otherwise indicated)</w:t>
            </w:r>
          </w:p>
        </w:tc>
        <w:tc>
          <w:tcPr>
            <w:tcW w:w="12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5"/>
              <w:spacing w:after="0" w:line="104" w:lineRule="exact"/>
              <w:rPr>
                <w:sz w:val="20"/>
                <w:szCs w:val="20"/>
                <w:color w:val="auto"/>
              </w:rPr>
            </w:pPr>
            <w:r>
              <w:rPr>
                <w:rFonts w:ascii="Arial" w:cs="Arial" w:eastAsia="Arial" w:hAnsi="Arial"/>
                <w:sz w:val="10"/>
                <w:szCs w:val="10"/>
                <w:b w:val="1"/>
                <w:bCs w:val="1"/>
                <w:color w:val="auto"/>
              </w:rPr>
              <w:t>2012</w:t>
            </w:r>
          </w:p>
        </w:tc>
        <w:tc>
          <w:tcPr>
            <w:tcW w:w="7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16"/>
              <w:spacing w:after="0" w:line="105" w:lineRule="exact"/>
              <w:rPr>
                <w:sz w:val="20"/>
                <w:szCs w:val="20"/>
                <w:color w:val="auto"/>
              </w:rPr>
            </w:pPr>
            <w:r>
              <w:rPr>
                <w:rFonts w:ascii="Arial" w:cs="Arial" w:eastAsia="Arial" w:hAnsi="Arial"/>
                <w:sz w:val="8"/>
                <w:szCs w:val="8"/>
                <w:b w:val="1"/>
                <w:bCs w:val="1"/>
                <w:color w:val="auto"/>
              </w:rPr>
              <w:t xml:space="preserve">2011 </w:t>
            </w:r>
            <w:r>
              <w:rPr>
                <w:rFonts w:ascii="Arial" w:cs="Arial" w:eastAsia="Arial" w:hAnsi="Arial"/>
                <w:sz w:val="12"/>
                <w:szCs w:val="12"/>
                <w:b w:val="1"/>
                <w:bCs w:val="1"/>
                <w:color w:val="auto"/>
                <w:vertAlign w:val="subscript"/>
              </w:rPr>
              <w:t>(2)</w:t>
            </w: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5"/>
              <w:spacing w:after="0" w:line="104" w:lineRule="exact"/>
              <w:rPr>
                <w:sz w:val="20"/>
                <w:szCs w:val="20"/>
                <w:color w:val="auto"/>
              </w:rPr>
            </w:pPr>
            <w:r>
              <w:rPr>
                <w:rFonts w:ascii="Arial" w:cs="Arial" w:eastAsia="Arial" w:hAnsi="Arial"/>
                <w:sz w:val="10"/>
                <w:szCs w:val="10"/>
                <w:b w:val="1"/>
                <w:bCs w:val="1"/>
                <w:color w:val="auto"/>
              </w:rPr>
              <w:t>2010</w:t>
            </w: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5"/>
              <w:spacing w:after="0" w:line="104" w:lineRule="exact"/>
              <w:rPr>
                <w:sz w:val="20"/>
                <w:szCs w:val="20"/>
                <w:color w:val="auto"/>
              </w:rPr>
            </w:pPr>
            <w:r>
              <w:rPr>
                <w:rFonts w:ascii="Arial" w:cs="Arial" w:eastAsia="Arial" w:hAnsi="Arial"/>
                <w:sz w:val="10"/>
                <w:szCs w:val="10"/>
                <w:b w:val="1"/>
                <w:bCs w:val="1"/>
                <w:color w:val="auto"/>
              </w:rPr>
              <w:t>2009</w:t>
            </w:r>
          </w:p>
        </w:tc>
        <w:tc>
          <w:tcPr>
            <w:tcW w:w="7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9"/>
              </w:rPr>
              <w:t>2007</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Statement of Income Data:</w:t>
            </w: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20"/>
                <w:szCs w:val="20"/>
                <w:color w:val="auto"/>
              </w:rPr>
            </w:pPr>
            <w:r>
              <w:rPr>
                <w:rFonts w:ascii="Arial" w:cs="Arial" w:eastAsia="Arial" w:hAnsi="Arial"/>
                <w:sz w:val="13"/>
                <w:szCs w:val="13"/>
                <w:color w:val="auto"/>
              </w:rPr>
              <w:t>Net revenues</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460,843</w:t>
            </w:r>
          </w:p>
        </w:tc>
        <w:tc>
          <w:tcPr>
            <w:tcW w:w="7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366,057</w:t>
            </w: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288,940</w:t>
            </w: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238,577</w:t>
            </w:r>
          </w:p>
        </w:tc>
        <w:tc>
          <w:tcPr>
            <w:tcW w:w="7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281,085</w:t>
            </w: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Cost of sales</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203,220</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156,910</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137,803</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115,473</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133,522</w:t>
            </w:r>
          </w:p>
        </w:tc>
        <w:tc>
          <w:tcPr>
            <w:tcW w:w="0" w:type="dxa"/>
            <w:vAlign w:val="bottom"/>
          </w:tcPr>
          <w:p>
            <w:pPr>
              <w:spacing w:after="0"/>
              <w:rPr>
                <w:sz w:val="1"/>
                <w:szCs w:val="1"/>
                <w:color w:val="auto"/>
              </w:rPr>
            </w:pPr>
          </w:p>
        </w:tc>
      </w:tr>
      <w:tr>
        <w:trPr>
          <w:trHeight w:val="164"/>
        </w:trPr>
        <w:tc>
          <w:tcPr>
            <w:tcW w:w="3780" w:type="dxa"/>
            <w:vAlign w:val="bottom"/>
          </w:tcPr>
          <w:p>
            <w:pPr>
              <w:ind w:left="340"/>
              <w:spacing w:after="0"/>
              <w:rPr>
                <w:sz w:val="20"/>
                <w:szCs w:val="20"/>
                <w:color w:val="auto"/>
              </w:rPr>
            </w:pPr>
            <w:r>
              <w:rPr>
                <w:rFonts w:ascii="Arial" w:cs="Arial" w:eastAsia="Arial" w:hAnsi="Arial"/>
                <w:sz w:val="13"/>
                <w:szCs w:val="13"/>
                <w:color w:val="auto"/>
              </w:rPr>
              <w:t>Gross profit</w:t>
            </w:r>
          </w:p>
        </w:tc>
        <w:tc>
          <w:tcPr>
            <w:tcW w:w="1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257,623</w:t>
            </w:r>
          </w:p>
        </w:tc>
        <w:tc>
          <w:tcPr>
            <w:tcW w:w="7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209,147</w:t>
            </w:r>
          </w:p>
        </w:tc>
        <w:tc>
          <w:tcPr>
            <w:tcW w:w="7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151,137</w:t>
            </w:r>
          </w:p>
        </w:tc>
        <w:tc>
          <w:tcPr>
            <w:tcW w:w="7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123,104</w:t>
            </w:r>
          </w:p>
        </w:tc>
        <w:tc>
          <w:tcPr>
            <w:tcW w:w="7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147,563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spacing w:after="0" w:line="165" w:lineRule="exact"/>
              <w:rPr>
                <w:sz w:val="20"/>
                <w:szCs w:val="20"/>
                <w:color w:val="auto"/>
              </w:rPr>
            </w:pPr>
            <w:r>
              <w:rPr>
                <w:rFonts w:ascii="Arial" w:cs="Arial" w:eastAsia="Arial" w:hAnsi="Arial"/>
                <w:sz w:val="13"/>
                <w:szCs w:val="13"/>
                <w:color w:val="auto"/>
              </w:rPr>
              <w:t xml:space="preserve">Selling, general, and administrative expenses </w:t>
            </w:r>
            <w:r>
              <w:rPr>
                <w:rFonts w:ascii="Arial" w:cs="Arial" w:eastAsia="Arial" w:hAnsi="Arial"/>
                <w:sz w:val="17"/>
                <w:szCs w:val="17"/>
                <w:color w:val="auto"/>
                <w:vertAlign w:val="subscript"/>
              </w:rPr>
              <w:t>(2)</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169,427</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163,053</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116,168</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109,195</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101,022</w:t>
            </w:r>
          </w:p>
        </w:tc>
        <w:tc>
          <w:tcPr>
            <w:tcW w:w="0" w:type="dxa"/>
            <w:vAlign w:val="bottom"/>
          </w:tcPr>
          <w:p>
            <w:pPr>
              <w:spacing w:after="0"/>
              <w:rPr>
                <w:sz w:val="1"/>
                <w:szCs w:val="1"/>
                <w:color w:val="auto"/>
              </w:rPr>
            </w:pPr>
          </w:p>
        </w:tc>
      </w:tr>
      <w:tr>
        <w:trPr>
          <w:trHeight w:val="165"/>
        </w:trPr>
        <w:tc>
          <w:tcPr>
            <w:tcW w:w="3780" w:type="dxa"/>
            <w:vAlign w:val="bottom"/>
          </w:tcPr>
          <w:p>
            <w:pPr>
              <w:spacing w:after="0"/>
              <w:rPr>
                <w:sz w:val="20"/>
                <w:szCs w:val="20"/>
                <w:color w:val="auto"/>
              </w:rPr>
            </w:pPr>
            <w:r>
              <w:rPr>
                <w:rFonts w:ascii="Arial" w:cs="Arial" w:eastAsia="Arial" w:hAnsi="Arial"/>
                <w:sz w:val="13"/>
                <w:szCs w:val="13"/>
                <w:color w:val="auto"/>
              </w:rPr>
              <w:t>Other income</w:t>
            </w: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7,975</w:t>
            </w: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7,225</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10,743</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13,282</w:t>
            </w: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Operating income</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96,171</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53,319</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45,712</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27,191</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54,340</w:t>
            </w:r>
          </w:p>
        </w:tc>
        <w:tc>
          <w:tcPr>
            <w:tcW w:w="0" w:type="dxa"/>
            <w:vAlign w:val="bottom"/>
          </w:tcPr>
          <w:p>
            <w:pPr>
              <w:spacing w:after="0"/>
              <w:rPr>
                <w:sz w:val="1"/>
                <w:szCs w:val="1"/>
                <w:color w:val="auto"/>
              </w:rPr>
            </w:pPr>
          </w:p>
        </w:tc>
      </w:tr>
      <w:tr>
        <w:trPr>
          <w:trHeight w:val="165"/>
        </w:trPr>
        <w:tc>
          <w:tcPr>
            <w:tcW w:w="3780" w:type="dxa"/>
            <w:vAlign w:val="bottom"/>
          </w:tcPr>
          <w:p>
            <w:pPr>
              <w:spacing w:after="0"/>
              <w:rPr>
                <w:sz w:val="20"/>
                <w:szCs w:val="20"/>
                <w:color w:val="auto"/>
              </w:rPr>
            </w:pPr>
            <w:r>
              <w:rPr>
                <w:rFonts w:ascii="Arial" w:cs="Arial" w:eastAsia="Arial" w:hAnsi="Arial"/>
                <w:sz w:val="13"/>
                <w:szCs w:val="13"/>
                <w:color w:val="auto"/>
              </w:rPr>
              <w:t>Interest expense (income), net</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1,147</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1,625</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1,604</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3"/>
                <w:szCs w:val="13"/>
                <w:color w:val="auto"/>
              </w:rPr>
              <w:t>2,511</w:t>
            </w: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2,924</w:t>
            </w: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Income before income taxes</w:t>
            </w:r>
          </w:p>
        </w:tc>
        <w:tc>
          <w:tcPr>
            <w:tcW w:w="1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95,024</w:t>
            </w:r>
          </w:p>
        </w:tc>
        <w:tc>
          <w:tcPr>
            <w:tcW w:w="76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51,694</w:t>
            </w:r>
          </w:p>
        </w:tc>
        <w:tc>
          <w:tcPr>
            <w:tcW w:w="7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44,108</w:t>
            </w:r>
          </w:p>
        </w:tc>
        <w:tc>
          <w:tcPr>
            <w:tcW w:w="7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24,680</w:t>
            </w:r>
          </w:p>
        </w:tc>
        <w:tc>
          <w:tcPr>
            <w:tcW w:w="76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51,416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80" w:type="dxa"/>
            <w:vAlign w:val="bottom"/>
          </w:tcPr>
          <w:p>
            <w:pPr>
              <w:spacing w:after="0" w:line="164" w:lineRule="exact"/>
              <w:rPr>
                <w:sz w:val="20"/>
                <w:szCs w:val="20"/>
                <w:color w:val="auto"/>
              </w:rPr>
            </w:pPr>
            <w:r>
              <w:rPr>
                <w:rFonts w:ascii="Arial" w:cs="Arial" w:eastAsia="Arial" w:hAnsi="Arial"/>
                <w:sz w:val="13"/>
                <w:szCs w:val="13"/>
                <w:color w:val="auto"/>
              </w:rPr>
              <w:t xml:space="preserve">Income tax expense </w:t>
            </w:r>
            <w:r>
              <w:rPr>
                <w:rFonts w:ascii="Arial" w:cs="Arial" w:eastAsia="Arial" w:hAnsi="Arial"/>
                <w:sz w:val="17"/>
                <w:szCs w:val="17"/>
                <w:color w:val="auto"/>
                <w:vertAlign w:val="subscript"/>
              </w:rPr>
              <w:t>(3)</w:t>
            </w: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37,103</w:t>
            </w: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5,496</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w:t>
            </w: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income</w:t>
            </w:r>
          </w:p>
        </w:tc>
        <w:tc>
          <w:tcPr>
            <w:tcW w:w="1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57,921</w:t>
            </w:r>
          </w:p>
        </w:tc>
        <w:tc>
          <w:tcPr>
            <w:tcW w:w="7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46,198</w:t>
            </w:r>
          </w:p>
        </w:tc>
        <w:tc>
          <w:tcPr>
            <w:tcW w:w="7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43,219</w:t>
            </w:r>
          </w:p>
        </w:tc>
        <w:tc>
          <w:tcPr>
            <w:tcW w:w="7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23,671</w:t>
            </w:r>
          </w:p>
        </w:tc>
        <w:tc>
          <w:tcPr>
            <w:tcW w:w="7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50,231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780" w:type="dxa"/>
            <w:vAlign w:val="bottom"/>
          </w:tcPr>
          <w:p>
            <w:pPr>
              <w:spacing w:after="0" w:line="145" w:lineRule="exact"/>
              <w:rPr>
                <w:sz w:val="20"/>
                <w:szCs w:val="20"/>
                <w:color w:val="auto"/>
              </w:rPr>
            </w:pPr>
            <w:r>
              <w:rPr>
                <w:rFonts w:ascii="Arial" w:cs="Arial" w:eastAsia="Arial" w:hAnsi="Arial"/>
                <w:sz w:val="13"/>
                <w:szCs w:val="13"/>
                <w:color w:val="auto"/>
              </w:rPr>
              <w:t xml:space="preserve">Basic weighted-average shares outstanding </w:t>
            </w:r>
            <w:r>
              <w:rPr>
                <w:rFonts w:ascii="Arial" w:cs="Arial" w:eastAsia="Arial" w:hAnsi="Arial"/>
                <w:sz w:val="16"/>
                <w:szCs w:val="16"/>
                <w:color w:val="auto"/>
                <w:vertAlign w:val="subscript"/>
              </w:rPr>
              <w:t>(4)</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w w:val="89"/>
              </w:rPr>
              <w:t>40,506,672</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w w:val="92"/>
              </w:rPr>
              <w:t>36,812,570</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w w:val="89"/>
              </w:rPr>
              <w:t>35,440,547</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w w:val="89"/>
              </w:rPr>
              <w:t>35,440,547</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w w:val="92"/>
              </w:rPr>
              <w:t>35,440,547</w:t>
            </w: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spacing w:after="0" w:line="164" w:lineRule="exact"/>
              <w:rPr>
                <w:sz w:val="20"/>
                <w:szCs w:val="20"/>
                <w:color w:val="auto"/>
              </w:rPr>
            </w:pPr>
            <w:r>
              <w:rPr>
                <w:rFonts w:ascii="Arial" w:cs="Arial" w:eastAsia="Arial" w:hAnsi="Arial"/>
                <w:sz w:val="13"/>
                <w:szCs w:val="13"/>
                <w:color w:val="auto"/>
              </w:rPr>
              <w:t xml:space="preserve">Diluted weighted-average shares outstanding </w:t>
            </w:r>
            <w:r>
              <w:rPr>
                <w:rFonts w:ascii="Arial" w:cs="Arial" w:eastAsia="Arial" w:hAnsi="Arial"/>
                <w:sz w:val="17"/>
                <w:szCs w:val="17"/>
                <w:color w:val="auto"/>
                <w:vertAlign w:val="subscript"/>
              </w:rPr>
              <w:t>(4)</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40,542,302</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36,850,915</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35,440,547</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35,440,547</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35,440,547</w:t>
            </w:r>
          </w:p>
        </w:tc>
        <w:tc>
          <w:tcPr>
            <w:tcW w:w="0" w:type="dxa"/>
            <w:vAlign w:val="bottom"/>
          </w:tcPr>
          <w:p>
            <w:pPr>
              <w:spacing w:after="0"/>
              <w:rPr>
                <w:sz w:val="1"/>
                <w:szCs w:val="1"/>
                <w:color w:val="auto"/>
              </w:rPr>
            </w:pPr>
          </w:p>
        </w:tc>
      </w:tr>
      <w:tr>
        <w:trPr>
          <w:trHeight w:val="164"/>
        </w:trPr>
        <w:tc>
          <w:tcPr>
            <w:tcW w:w="3780" w:type="dxa"/>
            <w:vAlign w:val="bottom"/>
          </w:tcPr>
          <w:p>
            <w:pPr>
              <w:spacing w:after="0" w:line="164" w:lineRule="exact"/>
              <w:rPr>
                <w:sz w:val="20"/>
                <w:szCs w:val="20"/>
                <w:color w:val="auto"/>
              </w:rPr>
            </w:pPr>
            <w:r>
              <w:rPr>
                <w:rFonts w:ascii="Arial" w:cs="Arial" w:eastAsia="Arial" w:hAnsi="Arial"/>
                <w:sz w:val="13"/>
                <w:szCs w:val="13"/>
                <w:color w:val="auto"/>
              </w:rPr>
              <w:t xml:space="preserve">Basic net income per share </w:t>
            </w:r>
            <w:r>
              <w:rPr>
                <w:rFonts w:ascii="Arial" w:cs="Arial" w:eastAsia="Arial" w:hAnsi="Arial"/>
                <w:sz w:val="17"/>
                <w:szCs w:val="17"/>
                <w:color w:val="auto"/>
                <w:vertAlign w:val="subscript"/>
              </w:rPr>
              <w:t>(4)</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1.43</w:t>
            </w:r>
          </w:p>
        </w:tc>
        <w:tc>
          <w:tcPr>
            <w:tcW w:w="7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1.25</w:t>
            </w: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1.22</w:t>
            </w:r>
          </w:p>
        </w:tc>
        <w:tc>
          <w:tcPr>
            <w:tcW w:w="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0.67</w:t>
            </w:r>
          </w:p>
        </w:tc>
        <w:tc>
          <w:tcPr>
            <w:tcW w:w="7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spacing w:after="0" w:line="164" w:lineRule="exact"/>
              <w:rPr>
                <w:sz w:val="20"/>
                <w:szCs w:val="20"/>
                <w:color w:val="auto"/>
              </w:rPr>
            </w:pPr>
            <w:r>
              <w:rPr>
                <w:rFonts w:ascii="Arial" w:cs="Arial" w:eastAsia="Arial" w:hAnsi="Arial"/>
                <w:sz w:val="13"/>
                <w:szCs w:val="13"/>
                <w:color w:val="auto"/>
              </w:rPr>
              <w:t xml:space="preserve">Diluted net income per share </w:t>
            </w:r>
            <w:r>
              <w:rPr>
                <w:rFonts w:ascii="Arial" w:cs="Arial" w:eastAsia="Arial" w:hAnsi="Arial"/>
                <w:sz w:val="17"/>
                <w:szCs w:val="17"/>
                <w:color w:val="auto"/>
                <w:vertAlign w:val="subscript"/>
              </w:rPr>
              <w:t>(4)</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0"/>
                <w:szCs w:val="20"/>
                <w:color w:val="auto"/>
              </w:rPr>
            </w:pPr>
            <w:r>
              <w:rPr>
                <w:rFonts w:ascii="Arial" w:cs="Arial" w:eastAsia="Arial" w:hAnsi="Arial"/>
                <w:sz w:val="13"/>
                <w:szCs w:val="13"/>
                <w:b w:val="1"/>
                <w:bCs w:val="1"/>
                <w:color w:val="auto"/>
              </w:rPr>
              <w:t>Net Revenues by Segment: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Direct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225,287</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151,118</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96,111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71,123</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37,697</w:t>
            </w:r>
          </w:p>
        </w:tc>
        <w:tc>
          <w:tcPr>
            <w:tcW w:w="0" w:type="dxa"/>
            <w:vAlign w:val="bottom"/>
          </w:tcPr>
          <w:p>
            <w:pPr>
              <w:spacing w:after="0"/>
              <w:rPr>
                <w:sz w:val="1"/>
                <w:szCs w:val="1"/>
                <w:color w:val="auto"/>
              </w:rPr>
            </w:pPr>
          </w:p>
        </w:tc>
      </w:tr>
      <w:tr>
        <w:trPr>
          <w:trHeight w:val="165"/>
        </w:trPr>
        <w:tc>
          <w:tcPr>
            <w:tcW w:w="3780" w:type="dxa"/>
            <w:vAlign w:val="bottom"/>
          </w:tcPr>
          <w:p>
            <w:pPr>
              <w:spacing w:after="0"/>
              <w:rPr>
                <w:sz w:val="20"/>
                <w:szCs w:val="20"/>
                <w:color w:val="auto"/>
              </w:rPr>
            </w:pPr>
            <w:r>
              <w:rPr>
                <w:rFonts w:ascii="Arial" w:cs="Arial" w:eastAsia="Arial" w:hAnsi="Arial"/>
                <w:sz w:val="13"/>
                <w:szCs w:val="13"/>
                <w:color w:val="auto"/>
              </w:rPr>
              <w:t>Indirect</w:t>
            </w: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235,556</w:t>
            </w: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214,939</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192,829</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167,454</w:t>
            </w: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243,388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460,843</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366,057</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288,940</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238,577</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281,085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line="185" w:lineRule="exact"/>
              <w:rPr>
                <w:sz w:val="20"/>
                <w:szCs w:val="20"/>
                <w:color w:val="auto"/>
              </w:rPr>
            </w:pPr>
            <w:r>
              <w:rPr>
                <w:rFonts w:ascii="Arial" w:cs="Arial" w:eastAsia="Arial" w:hAnsi="Arial"/>
                <w:sz w:val="13"/>
                <w:szCs w:val="13"/>
                <w:b w:val="1"/>
                <w:bCs w:val="1"/>
                <w:color w:val="auto"/>
              </w:rPr>
              <w:t xml:space="preserve">Store Data </w:t>
            </w:r>
            <w:r>
              <w:rPr>
                <w:rFonts w:ascii="Arial" w:cs="Arial" w:eastAsia="Arial" w:hAnsi="Arial"/>
                <w:sz w:val="17"/>
                <w:szCs w:val="17"/>
                <w:b w:val="1"/>
                <w:bCs w:val="1"/>
                <w:color w:val="auto"/>
                <w:vertAlign w:val="subscript"/>
              </w:rPr>
              <w:t>(5)</w:t>
            </w:r>
            <w:r>
              <w:rPr>
                <w:rFonts w:ascii="Arial" w:cs="Arial" w:eastAsia="Arial" w:hAnsi="Arial"/>
                <w:sz w:val="13"/>
                <w:szCs w:val="13"/>
                <w:b w:val="1"/>
                <w:bCs w:val="1"/>
                <w:color w:val="auto"/>
              </w:rPr>
              <w:t>:</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78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Total stores open at end of year</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4"/>
        </w:trPr>
        <w:tc>
          <w:tcPr>
            <w:tcW w:w="3780" w:type="dxa"/>
            <w:vAlign w:val="bottom"/>
          </w:tcPr>
          <w:p>
            <w:pPr>
              <w:spacing w:after="0" w:line="164" w:lineRule="exact"/>
              <w:rPr>
                <w:sz w:val="20"/>
                <w:szCs w:val="20"/>
                <w:color w:val="auto"/>
              </w:rPr>
            </w:pPr>
            <w:r>
              <w:rPr>
                <w:rFonts w:ascii="Arial" w:cs="Arial" w:eastAsia="Arial" w:hAnsi="Arial"/>
                <w:sz w:val="13"/>
                <w:szCs w:val="13"/>
                <w:color w:val="auto"/>
              </w:rPr>
              <w:t xml:space="preserve">Comparable-store sales increase </w:t>
            </w:r>
            <w:r>
              <w:rPr>
                <w:rFonts w:ascii="Arial" w:cs="Arial" w:eastAsia="Arial" w:hAnsi="Arial"/>
                <w:sz w:val="17"/>
                <w:szCs w:val="17"/>
                <w:color w:val="auto"/>
                <w:vertAlign w:val="subscript"/>
              </w:rPr>
              <w:t>(6)</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3"/>
                <w:szCs w:val="13"/>
                <w:color w:val="auto"/>
              </w:rPr>
              <w:t>10.9%</w:t>
            </w:r>
          </w:p>
        </w:tc>
        <w:tc>
          <w:tcPr>
            <w:tcW w:w="6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3"/>
                <w:szCs w:val="13"/>
                <w:color w:val="auto"/>
              </w:rPr>
              <w:t>36.4%</w:t>
            </w:r>
          </w:p>
        </w:tc>
        <w:tc>
          <w:tcPr>
            <w:tcW w:w="8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3"/>
                <w:szCs w:val="13"/>
                <w:color w:val="auto"/>
              </w:rPr>
              <w:t>8.0%</w:t>
            </w:r>
          </w:p>
        </w:tc>
        <w:tc>
          <w:tcPr>
            <w:tcW w:w="6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Total gross square footage at end of year</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113,504</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74,426</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50,506</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39,285</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11,927</w:t>
            </w:r>
          </w:p>
        </w:tc>
        <w:tc>
          <w:tcPr>
            <w:tcW w:w="0" w:type="dxa"/>
            <w:vAlign w:val="bottom"/>
          </w:tcPr>
          <w:p>
            <w:pPr>
              <w:spacing w:after="0"/>
              <w:rPr>
                <w:sz w:val="1"/>
                <w:szCs w:val="1"/>
                <w:color w:val="auto"/>
              </w:rPr>
            </w:pPr>
          </w:p>
        </w:tc>
      </w:tr>
      <w:tr>
        <w:trPr>
          <w:trHeight w:val="221"/>
        </w:trPr>
        <w:tc>
          <w:tcPr>
            <w:tcW w:w="3780" w:type="dxa"/>
            <w:vAlign w:val="bottom"/>
          </w:tcPr>
          <w:p>
            <w:pPr>
              <w:spacing w:after="0"/>
              <w:rPr>
                <w:sz w:val="20"/>
                <w:szCs w:val="20"/>
                <w:color w:val="auto"/>
              </w:rPr>
            </w:pPr>
            <w:r>
              <w:rPr>
                <w:rFonts w:ascii="Arial" w:cs="Arial" w:eastAsia="Arial" w:hAnsi="Arial"/>
                <w:sz w:val="13"/>
                <w:szCs w:val="13"/>
                <w:color w:val="auto"/>
              </w:rPr>
              <w:t xml:space="preserve">Average net revenues per gross square foot </w:t>
            </w:r>
            <w:r>
              <w:rPr>
                <w:rFonts w:ascii="Arial" w:cs="Arial" w:eastAsia="Arial" w:hAnsi="Arial"/>
                <w:sz w:val="17"/>
                <w:szCs w:val="17"/>
                <w:color w:val="auto"/>
                <w:vertAlign w:val="subscript"/>
              </w:rPr>
              <w:t>(7)</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1,042</w:t>
            </w:r>
          </w:p>
        </w:tc>
        <w:tc>
          <w:tcPr>
            <w:tcW w:w="7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851</w:t>
            </w:r>
          </w:p>
        </w:tc>
        <w:tc>
          <w:tcPr>
            <w:tcW w:w="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615</w:t>
            </w:r>
          </w:p>
        </w:tc>
        <w:tc>
          <w:tcPr>
            <w:tcW w:w="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578</w:t>
            </w:r>
          </w:p>
        </w:tc>
        <w:tc>
          <w:tcPr>
            <w:tcW w:w="7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3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4" w:right="2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0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0"/>
                <w:szCs w:val="10"/>
                <w:b w:val="1"/>
                <w:bCs w:val="1"/>
                <w:color w:val="auto"/>
              </w:rPr>
              <w:t>As of</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2"/>
        </w:trPr>
        <w:tc>
          <w:tcPr>
            <w:tcW w:w="4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20" w:type="dxa"/>
            <w:vAlign w:val="bottom"/>
            <w:gridSpan w:val="2"/>
          </w:tcPr>
          <w:p>
            <w:pPr>
              <w:jc w:val="center"/>
              <w:ind w:right="700"/>
              <w:spacing w:after="0" w:line="92" w:lineRule="exact"/>
              <w:rPr>
                <w:sz w:val="20"/>
                <w:szCs w:val="20"/>
                <w:color w:val="auto"/>
              </w:rPr>
            </w:pPr>
            <w:r>
              <w:rPr>
                <w:rFonts w:ascii="Arial" w:cs="Arial" w:eastAsia="Arial" w:hAnsi="Arial"/>
                <w:sz w:val="10"/>
                <w:szCs w:val="10"/>
                <w:b w:val="1"/>
                <w:bCs w:val="1"/>
                <w:color w:val="auto"/>
                <w:w w:val="94"/>
              </w:rPr>
              <w:t>January 28,</w:t>
            </w:r>
          </w:p>
        </w:tc>
        <w:tc>
          <w:tcPr>
            <w:tcW w:w="520" w:type="dxa"/>
            <w:vAlign w:val="bottom"/>
          </w:tcPr>
          <w:p>
            <w:pPr>
              <w:jc w:val="right"/>
              <w:spacing w:after="0" w:line="92" w:lineRule="exact"/>
              <w:rPr>
                <w:sz w:val="20"/>
                <w:szCs w:val="20"/>
                <w:color w:val="auto"/>
              </w:rPr>
            </w:pPr>
            <w:r>
              <w:rPr>
                <w:rFonts w:ascii="Arial" w:cs="Arial" w:eastAsia="Arial" w:hAnsi="Arial"/>
                <w:sz w:val="10"/>
                <w:szCs w:val="10"/>
                <w:b w:val="1"/>
                <w:bCs w:val="1"/>
                <w:color w:val="auto"/>
                <w:w w:val="90"/>
              </w:rPr>
              <w:t>January 29,</w:t>
            </w:r>
          </w:p>
        </w:tc>
        <w:tc>
          <w:tcPr>
            <w:tcW w:w="680" w:type="dxa"/>
            <w:vAlign w:val="bottom"/>
          </w:tcPr>
          <w:p>
            <w:pPr>
              <w:spacing w:after="0"/>
              <w:rPr>
                <w:sz w:val="8"/>
                <w:szCs w:val="8"/>
                <w:color w:val="auto"/>
              </w:rPr>
            </w:pPr>
          </w:p>
        </w:tc>
        <w:tc>
          <w:tcPr>
            <w:tcW w:w="1220" w:type="dxa"/>
            <w:vAlign w:val="bottom"/>
            <w:gridSpan w:val="2"/>
          </w:tcPr>
          <w:p>
            <w:pPr>
              <w:jc w:val="right"/>
              <w:ind w:right="700"/>
              <w:spacing w:after="0" w:line="92" w:lineRule="exact"/>
              <w:rPr>
                <w:sz w:val="20"/>
                <w:szCs w:val="20"/>
                <w:color w:val="auto"/>
              </w:rPr>
            </w:pPr>
            <w:r>
              <w:rPr>
                <w:rFonts w:ascii="Arial" w:cs="Arial" w:eastAsia="Arial" w:hAnsi="Arial"/>
                <w:sz w:val="10"/>
                <w:szCs w:val="10"/>
                <w:b w:val="1"/>
                <w:bCs w:val="1"/>
                <w:color w:val="auto"/>
                <w:w w:val="90"/>
              </w:rPr>
              <w:t>January 30,</w:t>
            </w:r>
          </w:p>
        </w:tc>
        <w:tc>
          <w:tcPr>
            <w:tcW w:w="52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w w:val="90"/>
              </w:rPr>
              <w:t>January 31,</w:t>
            </w:r>
          </w:p>
        </w:tc>
        <w:tc>
          <w:tcPr>
            <w:tcW w:w="680" w:type="dxa"/>
            <w:vAlign w:val="bottom"/>
          </w:tcPr>
          <w:p>
            <w:pPr>
              <w:spacing w:after="0"/>
              <w:rPr>
                <w:sz w:val="8"/>
                <w:szCs w:val="8"/>
                <w:color w:val="auto"/>
              </w:rPr>
            </w:pPr>
          </w:p>
        </w:tc>
        <w:tc>
          <w:tcPr>
            <w:tcW w:w="620" w:type="dxa"/>
            <w:vAlign w:val="bottom"/>
            <w:gridSpan w:val="2"/>
          </w:tcPr>
          <w:p>
            <w:pPr>
              <w:ind w:left="20"/>
              <w:spacing w:after="0" w:line="92" w:lineRule="exact"/>
              <w:rPr>
                <w:sz w:val="20"/>
                <w:szCs w:val="20"/>
                <w:color w:val="auto"/>
              </w:rPr>
            </w:pPr>
            <w:r>
              <w:rPr>
                <w:rFonts w:ascii="Arial" w:cs="Arial" w:eastAsia="Arial" w:hAnsi="Arial"/>
                <w:sz w:val="10"/>
                <w:szCs w:val="10"/>
                <w:b w:val="1"/>
                <w:bCs w:val="1"/>
                <w:color w:val="auto"/>
                <w:w w:val="89"/>
              </w:rPr>
              <w:t>December 31,</w:t>
            </w:r>
          </w:p>
        </w:tc>
        <w:tc>
          <w:tcPr>
            <w:tcW w:w="60" w:type="dxa"/>
            <w:vAlign w:val="bottom"/>
          </w:tcPr>
          <w:p>
            <w:pPr>
              <w:spacing w:after="0"/>
              <w:rPr>
                <w:sz w:val="8"/>
                <w:szCs w:val="8"/>
                <w:color w:val="auto"/>
              </w:rPr>
            </w:pPr>
          </w:p>
        </w:tc>
      </w:tr>
      <w:tr>
        <w:trPr>
          <w:trHeight w:val="124"/>
        </w:trPr>
        <w:tc>
          <w:tcPr>
            <w:tcW w:w="4080" w:type="dxa"/>
            <w:vAlign w:val="bottom"/>
          </w:tcPr>
          <w:p>
            <w:pPr>
              <w:spacing w:after="0"/>
              <w:rPr>
                <w:sz w:val="20"/>
                <w:szCs w:val="20"/>
                <w:color w:val="auto"/>
              </w:rPr>
            </w:pPr>
            <w:r>
              <w:rPr>
                <w:rFonts w:ascii="Arial" w:cs="Arial" w:eastAsia="Arial" w:hAnsi="Arial"/>
                <w:sz w:val="10"/>
                <w:szCs w:val="10"/>
                <w:i w:val="1"/>
                <w:iCs w:val="1"/>
                <w:color w:val="auto"/>
              </w:rPr>
              <w:t>($ in thousands)</w:t>
            </w:r>
          </w:p>
        </w:tc>
        <w:tc>
          <w:tcPr>
            <w:tcW w:w="2380" w:type="dxa"/>
            <w:vAlign w:val="bottom"/>
            <w:gridSpan w:val="2"/>
          </w:tcPr>
          <w:p>
            <w:pPr>
              <w:jc w:val="right"/>
              <w:ind w:right="109"/>
              <w:spacing w:after="0"/>
              <w:rPr>
                <w:sz w:val="20"/>
                <w:szCs w:val="20"/>
                <w:color w:val="auto"/>
              </w:rPr>
            </w:pPr>
            <w:r>
              <w:rPr>
                <w:rFonts w:ascii="Arial" w:cs="Arial" w:eastAsia="Arial" w:hAnsi="Arial"/>
                <w:sz w:val="10"/>
                <w:szCs w:val="10"/>
                <w:b w:val="1"/>
                <w:bCs w:val="1"/>
                <w:color w:val="auto"/>
              </w:rPr>
              <w:t>2012</w:t>
            </w:r>
          </w:p>
        </w:tc>
        <w:tc>
          <w:tcPr>
            <w:tcW w:w="700" w:type="dxa"/>
            <w:vAlign w:val="bottom"/>
          </w:tcPr>
          <w:p>
            <w:pPr>
              <w:spacing w:after="0"/>
              <w:rPr>
                <w:sz w:val="10"/>
                <w:szCs w:val="10"/>
                <w:color w:val="auto"/>
              </w:rPr>
            </w:pPr>
          </w:p>
        </w:tc>
        <w:tc>
          <w:tcPr>
            <w:tcW w:w="520" w:type="dxa"/>
            <w:vAlign w:val="bottom"/>
          </w:tcPr>
          <w:p>
            <w:pPr>
              <w:jc w:val="right"/>
              <w:ind w:right="98"/>
              <w:spacing w:after="0"/>
              <w:rPr>
                <w:sz w:val="20"/>
                <w:szCs w:val="20"/>
                <w:color w:val="auto"/>
              </w:rPr>
            </w:pPr>
            <w:r>
              <w:rPr>
                <w:rFonts w:ascii="Arial" w:cs="Arial" w:eastAsia="Arial" w:hAnsi="Arial"/>
                <w:sz w:val="10"/>
                <w:szCs w:val="10"/>
                <w:b w:val="1"/>
                <w:bCs w:val="1"/>
                <w:color w:val="auto"/>
              </w:rPr>
              <w:t>2011</w:t>
            </w:r>
          </w:p>
        </w:tc>
        <w:tc>
          <w:tcPr>
            <w:tcW w:w="1200" w:type="dxa"/>
            <w:vAlign w:val="bottom"/>
            <w:gridSpan w:val="2"/>
          </w:tcPr>
          <w:p>
            <w:pPr>
              <w:jc w:val="right"/>
              <w:ind w:right="109"/>
              <w:spacing w:after="0"/>
              <w:rPr>
                <w:sz w:val="20"/>
                <w:szCs w:val="20"/>
                <w:color w:val="auto"/>
              </w:rPr>
            </w:pPr>
            <w:r>
              <w:rPr>
                <w:rFonts w:ascii="Arial" w:cs="Arial" w:eastAsia="Arial" w:hAnsi="Arial"/>
                <w:sz w:val="10"/>
                <w:szCs w:val="10"/>
                <w:b w:val="1"/>
                <w:bCs w:val="1"/>
                <w:color w:val="auto"/>
              </w:rPr>
              <w:t>2010</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96"/>
              <w:spacing w:after="0"/>
              <w:rPr>
                <w:sz w:val="20"/>
                <w:szCs w:val="20"/>
                <w:color w:val="auto"/>
              </w:rPr>
            </w:pPr>
            <w:r>
              <w:rPr>
                <w:rFonts w:ascii="Arial" w:cs="Arial" w:eastAsia="Arial" w:hAnsi="Arial"/>
                <w:sz w:val="10"/>
                <w:szCs w:val="10"/>
                <w:b w:val="1"/>
                <w:bCs w:val="1"/>
                <w:color w:val="auto"/>
              </w:rPr>
              <w:t>2009</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r>
      <w:tr>
        <w:trPr>
          <w:trHeight w:val="144"/>
        </w:trPr>
        <w:tc>
          <w:tcPr>
            <w:tcW w:w="408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Balance Sheet Data:</w:t>
            </w:r>
          </w:p>
        </w:tc>
        <w:tc>
          <w:tcPr>
            <w:tcW w:w="18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4"/>
        </w:trPr>
        <w:tc>
          <w:tcPr>
            <w:tcW w:w="408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3080" w:type="dxa"/>
            <w:vAlign w:val="bottom"/>
            <w:gridSpan w:val="3"/>
          </w:tcPr>
          <w:p>
            <w:pPr>
              <w:jc w:val="right"/>
              <w:ind w:right="700"/>
              <w:spacing w:after="0"/>
              <w:rPr>
                <w:sz w:val="20"/>
                <w:szCs w:val="20"/>
                <w:color w:val="auto"/>
              </w:rPr>
            </w:pPr>
            <w:r>
              <w:rPr>
                <w:rFonts w:ascii="Arial" w:cs="Arial" w:eastAsia="Arial" w:hAnsi="Arial"/>
                <w:sz w:val="13"/>
                <w:szCs w:val="13"/>
                <w:color w:val="auto"/>
              </w:rPr>
              <w:t>$   4,922</w:t>
            </w:r>
          </w:p>
        </w:tc>
        <w:tc>
          <w:tcPr>
            <w:tcW w:w="520" w:type="dxa"/>
            <w:vAlign w:val="bottom"/>
          </w:tcPr>
          <w:p>
            <w:pPr>
              <w:jc w:val="right"/>
              <w:spacing w:after="0"/>
              <w:rPr>
                <w:sz w:val="20"/>
                <w:szCs w:val="20"/>
                <w:color w:val="auto"/>
              </w:rPr>
            </w:pPr>
            <w:r>
              <w:rPr>
                <w:rFonts w:ascii="Arial" w:cs="Arial" w:eastAsia="Arial" w:hAnsi="Arial"/>
                <w:sz w:val="13"/>
                <w:szCs w:val="13"/>
                <w:color w:val="auto"/>
                <w:w w:val="92"/>
              </w:rPr>
              <w:t>$  13,953</w:t>
            </w:r>
          </w:p>
        </w:tc>
        <w:tc>
          <w:tcPr>
            <w:tcW w:w="1900" w:type="dxa"/>
            <w:vAlign w:val="bottom"/>
            <w:gridSpan w:val="3"/>
          </w:tcPr>
          <w:p>
            <w:pPr>
              <w:jc w:val="right"/>
              <w:ind w:right="700"/>
              <w:spacing w:after="0"/>
              <w:rPr>
                <w:sz w:val="20"/>
                <w:szCs w:val="20"/>
                <w:color w:val="auto"/>
              </w:rPr>
            </w:pPr>
            <w:r>
              <w:rPr>
                <w:rFonts w:ascii="Arial" w:cs="Arial" w:eastAsia="Arial" w:hAnsi="Arial"/>
                <w:sz w:val="13"/>
                <w:szCs w:val="13"/>
                <w:color w:val="auto"/>
              </w:rPr>
              <w:t>$   6,509</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776</w:t>
            </w:r>
          </w:p>
        </w:tc>
        <w:tc>
          <w:tcPr>
            <w:tcW w:w="8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111</w:t>
            </w:r>
          </w:p>
        </w:tc>
      </w:tr>
      <w:tr>
        <w:trPr>
          <w:trHeight w:val="164"/>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308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106,234</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91,919</w:t>
            </w: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61,238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62,498</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15,774</w:t>
            </w:r>
          </w:p>
        </w:tc>
      </w:tr>
      <w:tr>
        <w:trPr>
          <w:trHeight w:val="164"/>
        </w:trPr>
        <w:tc>
          <w:tcPr>
            <w:tcW w:w="4080" w:type="dxa"/>
            <w:vAlign w:val="bottom"/>
          </w:tcPr>
          <w:p>
            <w:pPr>
              <w:spacing w:after="0"/>
              <w:rPr>
                <w:sz w:val="20"/>
                <w:szCs w:val="20"/>
                <w:color w:val="auto"/>
              </w:rPr>
            </w:pPr>
            <w:r>
              <w:rPr>
                <w:rFonts w:ascii="Arial" w:cs="Arial" w:eastAsia="Arial" w:hAnsi="Arial"/>
                <w:sz w:val="13"/>
                <w:szCs w:val="13"/>
                <w:color w:val="auto"/>
              </w:rPr>
              <w:t>Total assets</w:t>
            </w:r>
          </w:p>
        </w:tc>
        <w:tc>
          <w:tcPr>
            <w:tcW w:w="3080" w:type="dxa"/>
            <w:vAlign w:val="bottom"/>
            <w:gridSpan w:val="3"/>
          </w:tcPr>
          <w:p>
            <w:pPr>
              <w:jc w:val="right"/>
              <w:ind w:right="700"/>
              <w:spacing w:after="0"/>
              <w:rPr>
                <w:sz w:val="20"/>
                <w:szCs w:val="20"/>
                <w:color w:val="auto"/>
              </w:rPr>
            </w:pPr>
            <w:r>
              <w:rPr>
                <w:rFonts w:ascii="Arial" w:cs="Arial" w:eastAsia="Arial" w:hAnsi="Arial"/>
                <w:sz w:val="13"/>
                <w:szCs w:val="13"/>
                <w:color w:val="auto"/>
              </w:rPr>
              <w:t>219,513</w:t>
            </w:r>
          </w:p>
        </w:tc>
        <w:tc>
          <w:tcPr>
            <w:tcW w:w="520" w:type="dxa"/>
            <w:vAlign w:val="bottom"/>
          </w:tcPr>
          <w:p>
            <w:pPr>
              <w:jc w:val="right"/>
              <w:spacing w:after="0"/>
              <w:rPr>
                <w:sz w:val="20"/>
                <w:szCs w:val="20"/>
                <w:color w:val="auto"/>
              </w:rPr>
            </w:pPr>
            <w:r>
              <w:rPr>
                <w:rFonts w:ascii="Arial" w:cs="Arial" w:eastAsia="Arial" w:hAnsi="Arial"/>
                <w:sz w:val="13"/>
                <w:szCs w:val="13"/>
                <w:color w:val="auto"/>
              </w:rPr>
              <w:t>206,039</w:t>
            </w:r>
          </w:p>
        </w:tc>
        <w:tc>
          <w:tcPr>
            <w:tcW w:w="1900" w:type="dxa"/>
            <w:vAlign w:val="bottom"/>
            <w:gridSpan w:val="3"/>
          </w:tcPr>
          <w:p>
            <w:pPr>
              <w:jc w:val="right"/>
              <w:ind w:right="700"/>
              <w:spacing w:after="0"/>
              <w:rPr>
                <w:sz w:val="20"/>
                <w:szCs w:val="20"/>
                <w:color w:val="auto"/>
              </w:rPr>
            </w:pPr>
            <w:r>
              <w:rPr>
                <w:rFonts w:ascii="Arial" w:cs="Arial" w:eastAsia="Arial" w:hAnsi="Arial"/>
                <w:sz w:val="13"/>
                <w:szCs w:val="13"/>
                <w:color w:val="auto"/>
              </w:rPr>
              <w:t>153,752</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149,931</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133,482</w:t>
            </w:r>
          </w:p>
        </w:tc>
      </w:tr>
      <w:tr>
        <w:trPr>
          <w:trHeight w:val="164"/>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including current portion</w:t>
            </w:r>
          </w:p>
        </w:tc>
        <w:tc>
          <w:tcPr>
            <w:tcW w:w="308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25,184</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67,017</w:t>
            </w: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3"/>
                <w:szCs w:val="13"/>
                <w:color w:val="auto"/>
              </w:rPr>
              <w:t>30,136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58,825</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54,901</w:t>
            </w:r>
          </w:p>
        </w:tc>
      </w:tr>
      <w:tr>
        <w:trPr>
          <w:trHeight w:val="171"/>
        </w:trPr>
        <w:tc>
          <w:tcPr>
            <w:tcW w:w="4080" w:type="dxa"/>
            <w:vAlign w:val="bottom"/>
          </w:tcPr>
          <w:p>
            <w:pPr>
              <w:spacing w:after="0"/>
              <w:rPr>
                <w:sz w:val="20"/>
                <w:szCs w:val="20"/>
                <w:color w:val="auto"/>
              </w:rPr>
            </w:pPr>
            <w:r>
              <w:rPr>
                <w:rFonts w:ascii="Arial" w:cs="Arial" w:eastAsia="Arial" w:hAnsi="Arial"/>
                <w:sz w:val="13"/>
                <w:szCs w:val="13"/>
                <w:color w:val="auto"/>
              </w:rPr>
              <w:t>Shareholders’ equity</w:t>
            </w:r>
          </w:p>
        </w:tc>
        <w:tc>
          <w:tcPr>
            <w:tcW w:w="3080" w:type="dxa"/>
            <w:vAlign w:val="bottom"/>
            <w:gridSpan w:val="3"/>
          </w:tcPr>
          <w:p>
            <w:pPr>
              <w:jc w:val="right"/>
              <w:ind w:right="700"/>
              <w:spacing w:after="0"/>
              <w:rPr>
                <w:sz w:val="20"/>
                <w:szCs w:val="20"/>
                <w:color w:val="auto"/>
              </w:rPr>
            </w:pPr>
            <w:r>
              <w:rPr>
                <w:rFonts w:ascii="Arial" w:cs="Arial" w:eastAsia="Arial" w:hAnsi="Arial"/>
                <w:sz w:val="13"/>
                <w:szCs w:val="13"/>
                <w:color w:val="auto"/>
              </w:rPr>
              <w:t>124,007</w:t>
            </w:r>
          </w:p>
        </w:tc>
        <w:tc>
          <w:tcPr>
            <w:tcW w:w="520" w:type="dxa"/>
            <w:vAlign w:val="bottom"/>
          </w:tcPr>
          <w:p>
            <w:pPr>
              <w:jc w:val="right"/>
              <w:spacing w:after="0"/>
              <w:rPr>
                <w:sz w:val="20"/>
                <w:szCs w:val="20"/>
                <w:color w:val="auto"/>
              </w:rPr>
            </w:pPr>
            <w:r>
              <w:rPr>
                <w:rFonts w:ascii="Arial" w:cs="Arial" w:eastAsia="Arial" w:hAnsi="Arial"/>
                <w:sz w:val="13"/>
                <w:szCs w:val="13"/>
                <w:color w:val="auto"/>
              </w:rPr>
              <w:t>64,322</w:t>
            </w:r>
          </w:p>
        </w:tc>
        <w:tc>
          <w:tcPr>
            <w:tcW w:w="1900" w:type="dxa"/>
            <w:vAlign w:val="bottom"/>
            <w:gridSpan w:val="3"/>
          </w:tcPr>
          <w:p>
            <w:pPr>
              <w:jc w:val="right"/>
              <w:ind w:right="700"/>
              <w:spacing w:after="0"/>
              <w:rPr>
                <w:sz w:val="20"/>
                <w:szCs w:val="20"/>
                <w:color w:val="auto"/>
              </w:rPr>
            </w:pPr>
            <w:r>
              <w:rPr>
                <w:rFonts w:ascii="Arial" w:cs="Arial" w:eastAsia="Arial" w:hAnsi="Arial"/>
                <w:sz w:val="13"/>
                <w:szCs w:val="13"/>
                <w:color w:val="auto"/>
              </w:rPr>
              <w:t>77,893</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57,947</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49,563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73025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0" cy="6350"/>
                    </a:xfrm>
                    <a:prstGeom prst="rect">
                      <a:avLst/>
                    </a:prstGeom>
                    <a:noFill/>
                  </pic:spPr>
                </pic:pic>
              </a:graphicData>
            </a:graphic>
          </wp:anchor>
        </w:drawing>
      </w:r>
    </w:p>
    <w:p>
      <w:pPr>
        <w:spacing w:after="0" w:line="79" w:lineRule="exact"/>
        <w:rPr>
          <w:sz w:val="20"/>
          <w:szCs w:val="20"/>
          <w:color w:val="auto"/>
        </w:rPr>
      </w:pPr>
    </w:p>
    <w:p>
      <w:pPr>
        <w:ind w:left="460" w:right="140" w:hanging="458"/>
        <w:spacing w:after="0" w:line="275"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As a result of this change, fiscal 2009 included activity for more than 52 weeks. This was a one-time occurrence and did not have a material effect on our results of operations. The table below presents selected consolidated financial data as of and for the calendar months ended January 31, 2008, and January 31, 2007. The selected data as of and for the month ended January 31, 2008, are derived from our audited consolidated financial statements, and the selected data as of and for the month ended January 31, 2007, are derived from our unaudited consolidated financial statements.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6"/>
          </w:tcPr>
          <w:p>
            <w:pPr>
              <w:ind w:left="280"/>
              <w:spacing w:after="0"/>
              <w:rPr>
                <w:sz w:val="20"/>
                <w:szCs w:val="20"/>
                <w:color w:val="auto"/>
              </w:rPr>
            </w:pPr>
            <w:r>
              <w:rPr>
                <w:rFonts w:ascii="Arial" w:cs="Arial" w:eastAsia="Arial" w:hAnsi="Arial"/>
                <w:sz w:val="10"/>
                <w:szCs w:val="10"/>
                <w:b w:val="1"/>
                <w:bCs w:val="1"/>
                <w:color w:val="auto"/>
              </w:rPr>
              <w:t>Calendar Month Ended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940" w:type="dxa"/>
            <w:vAlign w:val="bottom"/>
            <w:tcBorders>
              <w:top w:val="single" w:sz="8" w:color="auto"/>
            </w:tcBorders>
            <w:gridSpan w:val="3"/>
          </w:tcPr>
          <w:p>
            <w:pPr>
              <w:ind w:left="60"/>
              <w:spacing w:after="0" w:line="92" w:lineRule="exact"/>
              <w:rPr>
                <w:sz w:val="20"/>
                <w:szCs w:val="20"/>
                <w:color w:val="auto"/>
              </w:rPr>
            </w:pPr>
            <w:r>
              <w:rPr>
                <w:rFonts w:ascii="Arial" w:cs="Arial" w:eastAsia="Arial" w:hAnsi="Arial"/>
                <w:sz w:val="10"/>
                <w:szCs w:val="10"/>
                <w:b w:val="1"/>
                <w:bCs w:val="1"/>
                <w:color w:val="auto"/>
              </w:rPr>
              <w:t>January 31,</w:t>
            </w: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4"/>
              </w:rPr>
              <w:t>January 31,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5560" w:type="dxa"/>
            <w:vAlign w:val="bottom"/>
            <w:gridSpan w:val="2"/>
          </w:tcPr>
          <w:p>
            <w:pPr>
              <w:spacing w:after="0"/>
              <w:rPr>
                <w:sz w:val="20"/>
                <w:szCs w:val="20"/>
                <w:color w:val="auto"/>
              </w:rPr>
            </w:pPr>
            <w:r>
              <w:rPr>
                <w:rFonts w:ascii="Arial" w:cs="Arial" w:eastAsia="Arial" w:hAnsi="Arial"/>
                <w:sz w:val="10"/>
                <w:szCs w:val="10"/>
                <w:i w:val="1"/>
                <w:iCs w:val="1"/>
                <w:color w:val="auto"/>
              </w:rPr>
              <w:t>($ in thousands, except per share data)</w:t>
            </w:r>
          </w:p>
        </w:tc>
        <w:tc>
          <w:tcPr>
            <w:tcW w:w="2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ind w:right="19"/>
              <w:spacing w:after="0" w:line="104" w:lineRule="exact"/>
              <w:rPr>
                <w:sz w:val="20"/>
                <w:szCs w:val="20"/>
                <w:color w:val="auto"/>
              </w:rPr>
            </w:pPr>
            <w:r>
              <w:rPr>
                <w:rFonts w:ascii="Arial" w:cs="Arial" w:eastAsia="Arial" w:hAnsi="Arial"/>
                <w:sz w:val="10"/>
                <w:szCs w:val="10"/>
                <w:b w:val="1"/>
                <w:bCs w:val="1"/>
                <w:color w:val="auto"/>
                <w:w w:val="91"/>
              </w:rPr>
              <w:t>(unaudited)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 of Income Data:</w:t>
            </w:r>
          </w:p>
        </w:tc>
        <w:tc>
          <w:tcPr>
            <w:tcW w:w="2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Net revenues</w:t>
            </w:r>
          </w:p>
        </w:tc>
        <w:tc>
          <w:tcPr>
            <w:tcW w:w="31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39,621</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34,554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13,607</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Net income per basic and diluted common share</w:t>
            </w: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0.38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5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2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3"/>
                <w:szCs w:val="13"/>
                <w:color w:val="auto"/>
              </w:rPr>
              <w:t>Total assets</w:t>
            </w:r>
          </w:p>
        </w:tc>
        <w:tc>
          <w:tcPr>
            <w:tcW w:w="31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152,420</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120,290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including current portion</w:t>
            </w:r>
          </w:p>
        </w:tc>
        <w:tc>
          <w:tcPr>
            <w:tcW w:w="2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63,565</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37,830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60" w:right="180" w:hanging="458"/>
        <w:spacing w:after="0" w:line="269"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Selling, general, and administrative expenses for fiscal 2011 include $21.9 million of compensation expense related to restricted-stock awards. For additional information, see Note 10 to the Consolidated Financial Statements included in this report.</w:t>
      </w:r>
    </w:p>
    <w:p>
      <w:pPr>
        <w:ind w:left="460" w:right="140" w:hanging="458"/>
        <w:spacing w:after="0" w:line="263"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October 3, 2010, we converted from an “S” Corporation to a “C” Corporation for income-tax purposes. For additional information, see Note 6 to the Consolidated Financial Statements included in this report.</w:t>
      </w:r>
    </w:p>
    <w:p>
      <w:pPr>
        <w:spacing w:after="0" w:line="1" w:lineRule="exact"/>
        <w:rPr>
          <w:rFonts w:ascii="Arial" w:cs="Arial" w:eastAsia="Arial" w:hAnsi="Arial"/>
          <w:sz w:val="13"/>
          <w:szCs w:val="13"/>
          <w:color w:val="auto"/>
        </w:rPr>
      </w:pPr>
    </w:p>
    <w:p>
      <w:pPr>
        <w:ind w:left="460" w:hanging="458"/>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On October 18, 2010, we effectuated a 35.437-for-1 stock split of all outstanding shares of our common stock. We have changed all historical share and per share information to reflect this stock split.</w:t>
      </w:r>
    </w:p>
    <w:p>
      <w:pPr>
        <w:spacing w:after="0" w:line="26" w:lineRule="exact"/>
        <w:rPr>
          <w:rFonts w:ascii="Arial" w:cs="Arial" w:eastAsia="Arial" w:hAnsi="Arial"/>
          <w:sz w:val="12"/>
          <w:szCs w:val="12"/>
          <w:color w:val="auto"/>
        </w:rPr>
      </w:pPr>
    </w:p>
    <w:p>
      <w:pPr>
        <w:ind w:left="460" w:hanging="458"/>
        <w:spacing w:after="0"/>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full-price and outlet stores. Our first full-price store opened in mid-September 2007 and our first outlet store opened in November 2009.</w:t>
      </w:r>
    </w:p>
    <w:p>
      <w:pPr>
        <w:spacing w:after="0" w:line="14" w:lineRule="exact"/>
        <w:rPr>
          <w:rFonts w:ascii="Arial" w:cs="Arial" w:eastAsia="Arial" w:hAnsi="Arial"/>
          <w:sz w:val="13"/>
          <w:szCs w:val="13"/>
          <w:color w:val="auto"/>
        </w:rPr>
      </w:pPr>
    </w:p>
    <w:p>
      <w:pPr>
        <w:ind w:left="460" w:right="240" w:hanging="458"/>
        <w:spacing w:after="0" w:line="263"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3"/>
          <w:szCs w:val="13"/>
          <w:color w:val="auto"/>
        </w:rPr>
      </w:pPr>
    </w:p>
    <w:p>
      <w:pPr>
        <w:ind w:left="460" w:right="140" w:hanging="458"/>
        <w:spacing w:after="0" w:line="287"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60"/>
          </w:cols>
          <w:pgMar w:left="220" w:top="384" w:right="2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78" w:lineRule="exact"/>
        <w:rPr>
          <w:sz w:val="20"/>
          <w:szCs w:val="20"/>
          <w:color w:val="auto"/>
        </w:rPr>
      </w:pPr>
    </w:p>
    <w:p>
      <w:pPr>
        <w:ind w:right="80"/>
        <w:spacing w:after="0" w:line="272" w:lineRule="auto"/>
        <w:rPr>
          <w:sz w:val="20"/>
          <w:szCs w:val="20"/>
          <w:color w:val="auto"/>
        </w:rPr>
      </w:pPr>
      <w:r>
        <w:rPr>
          <w:rFonts w:ascii="Arial" w:cs="Arial" w:eastAsia="Arial" w:hAnsi="Arial"/>
          <w:sz w:val="13"/>
          <w:szCs w:val="13"/>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78" w:lineRule="exact"/>
        <w:rPr>
          <w:sz w:val="20"/>
          <w:szCs w:val="20"/>
          <w:color w:val="auto"/>
        </w:rPr>
      </w:pPr>
    </w:p>
    <w:p>
      <w:pPr>
        <w:ind w:right="320"/>
        <w:spacing w:after="0" w:line="275" w:lineRule="auto"/>
        <w:rPr>
          <w:sz w:val="20"/>
          <w:szCs w:val="20"/>
          <w:color w:val="auto"/>
        </w:rPr>
      </w:pPr>
      <w:r>
        <w:rPr>
          <w:rFonts w:ascii="Arial" w:cs="Arial" w:eastAsia="Arial" w:hAnsi="Arial"/>
          <w:sz w:val="13"/>
          <w:szCs w:val="13"/>
          <w:color w:val="auto"/>
        </w:rPr>
        <w:t>Vera Bradley is a leading designer, producer, marketer, and retailer of stylish and highly functional accessories for women. Our products include a wide offering of handbags, accessories, and travel and leisure items. Over our 30-year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We generate revenues by selling products through two reportable segments: Direct and Indirect. As of January 28, 2012, our Direct business consisted of sales of Vera Bradley products through our 48 full-price stores and eight outlet stores in the United States, seven temporary, pop-up stores in Japan, our websites, verabradley.com and verabradley.co.jp, and our annual outlet sale in Fort Wayne, Indiana. We began selling directly to consumers through verabradley.com in calendar year 2006, opened our first retail stores in calendar year 2007, and entered the Japanese market in calendar year 2011. As of January 28, 2012, our Indirect business consisted of sales of Vera Bradley products to approximately 3,300 specialty retailers, substantially all of which are located in the United States, as well as to select national retailers and independent e-commerce retailers.</w:t>
      </w:r>
    </w:p>
    <w:p>
      <w:pPr>
        <w:spacing w:after="0" w:line="98"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In recent years, we have grown rapidly as a result of the successful implementation of strategic initiatives. These initiatives included enhancing our merchandising strategy, establishing a multi-channel distribution sales model, expanding our supply chain capabilities, product development processes, and information systems to improve operational flexibility and profitability.</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In fiscal 2012, we continued to experience strong demand for our brand across all of our sales channels, as reflected in our net revenue growth of 26.0%. In our Direct segment, net revenues increased 49.1%, including an increase of $39.4 million in revenues related to the opening of new stores, a $28.6 million, or 35.3%, increase in e-commerce revenues, and a comparable-store sales increase of 10.9%. In our Indirect segment, net revenues increased 9.6%, driven primarily by the strength of product offerings, improved productivity through our retail partners, and the sale of certain retired inventory. Additionally, we achieved operating income of $96.2 million for the fiscal year ended January 28, 2012, compared to an operating income of $53.3 million in the fiscal year ended January 29, 2011. Operating income for fiscal 2011, included $21.9 million of compensation expense related to restricted-stock awards.</w:t>
      </w:r>
    </w:p>
    <w:p>
      <w:pPr>
        <w:spacing w:after="0" w:line="98" w:lineRule="exact"/>
        <w:rPr>
          <w:sz w:val="20"/>
          <w:szCs w:val="20"/>
          <w:color w:val="auto"/>
        </w:rPr>
      </w:pPr>
    </w:p>
    <w:p>
      <w:pPr>
        <w:ind w:right="100"/>
        <w:spacing w:after="0" w:line="272" w:lineRule="auto"/>
        <w:rPr>
          <w:sz w:val="20"/>
          <w:szCs w:val="20"/>
          <w:color w:val="auto"/>
        </w:rPr>
      </w:pPr>
      <w:r>
        <w:rPr>
          <w:rFonts w:ascii="Arial" w:cs="Arial" w:eastAsia="Arial" w:hAnsi="Arial"/>
          <w:sz w:val="13"/>
          <w:szCs w:val="13"/>
          <w:color w:val="auto"/>
        </w:rPr>
        <w:t>We remain focused on executing our growth strategies, which includes growing in underpenetrated markets and expanding our store base and product offering. We believe there is a significant opportunity to grow our store base, as we believe the market in the United States can support at least 300 Vera Bradley full-price stores. To that end, in fiscal 2012 we opened 13 full-price stores and four outlet stores and began retail operations in three new states. We partnered with Dillard’s to launch our products in 65 locations. We also introduced our brand in Japan through a combination of pop-up stores and the launch of a Japanese-language website. We also began an expansion of approximately 200,000 square-feet of our distribution facility in Roanoke, Indiana. We believe the combination of our expanding product offerings and continued growth in underpenetrated markets will lead to meaningful growth opportunities in the coming years.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40"/>
          </w:cols>
          <w:pgMar w:left="220" w:top="38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We expect our full-price stores to average approximately 1,800 square feet per store, and we expect to invest approximately $0.4 million per new store, consisting of inventory costs, pre-opening costs and build-out costs less tenant-improvement allowances. New full-price stores are expected to generate on average between $1.1 million and $1.3 million in net revenues during the first twelve months, and the payback on our investment is expected to occur in less than 18 months. Typically, we have found that, as a new store becomes better integrated into its community and brand awareness grows, the store’s productivity tends to improve as measured by comparable-store sales.</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We believe our business strategy will continue to offer significant opportunity, but it also presents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our focus on brand identity, customer loyalty, a distinctive shopping experience, product development expertise, and company culture will contribute positively to our results.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We Assess the Performance of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In assessing the performance of our business, we consider a variety of performance and financial measures.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Revenues</w:t>
      </w:r>
    </w:p>
    <w:p>
      <w:pPr>
        <w:spacing w:after="0" w:line="76" w:lineRule="exact"/>
        <w:rPr>
          <w:sz w:val="20"/>
          <w:szCs w:val="20"/>
          <w:color w:val="auto"/>
        </w:rPr>
      </w:pPr>
    </w:p>
    <w:p>
      <w:pPr>
        <w:jc w:val="both"/>
        <w:ind w:right="40"/>
        <w:spacing w:after="0" w:line="281" w:lineRule="auto"/>
        <w:rPr>
          <w:sz w:val="20"/>
          <w:szCs w:val="20"/>
          <w:color w:val="auto"/>
        </w:rPr>
      </w:pPr>
      <w:r>
        <w:rPr>
          <w:rFonts w:ascii="Arial" w:cs="Arial" w:eastAsia="Arial" w:hAnsi="Arial"/>
          <w:sz w:val="13"/>
          <w:szCs w:val="13"/>
          <w:color w:val="auto"/>
        </w:rPr>
        <w:t>Net revenues reflect revenues from the sale of our merchandise and from distribution and shipping and handling fees, less returns and discounts. Revenues for the Direct segment reflect sales through our full-price and outlet stores, pop-up stores in Japan, our websites, verabradley.com and verabradley.co.jp, and our annual outlet sale in Fort Wayne, Indiana. Revenues for the Indirect segment reflect sales to Indirect specialty retailers and department stores.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Comparable-Store Sales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Measuring the change in year-over-year comparable-store sales allows us to evaluate how our store base is performing. Various factors affect our comparable-store sales, including:</w:t>
      </w:r>
    </w:p>
    <w:p>
      <w:pPr>
        <w:spacing w:after="0" w:line="76" w:lineRule="exact"/>
        <w:rPr>
          <w:sz w:val="20"/>
          <w:szCs w:val="20"/>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Overall economic trends;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Consumer preferences and fashion trends;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Competition;</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timing of our releases of new patterns and collections;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our product mix;</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Pricing;</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level of customer service that we provide in stores;</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source and distribute products efficiently;</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400"/>
          </w:cols>
          <w:pgMar w:left="220" w:top="384" w:right="2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left="900" w:hanging="33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number of stores we open and close in any period; and</w:t>
      </w:r>
    </w:p>
    <w:p>
      <w:pPr>
        <w:spacing w:after="0" w:line="76" w:lineRule="exact"/>
        <w:rPr>
          <w:rFonts w:ascii="Arial" w:cs="Arial" w:eastAsia="Arial" w:hAnsi="Arial"/>
          <w:sz w:val="13"/>
          <w:szCs w:val="13"/>
          <w:color w:val="auto"/>
        </w:rPr>
      </w:pPr>
    </w:p>
    <w:p>
      <w:pPr>
        <w:ind w:left="900" w:hanging="33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timing and success of promotional and advertising efforts.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Gross Profit</w:t>
      </w:r>
    </w:p>
    <w:p>
      <w:pPr>
        <w:spacing w:after="0" w:line="76"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8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Gross profit can be impacted by changes in volume, operational efficiencies, such as leveraging of fixed costs, promotional activities, such as free shipping, commodity prices such as cotton, and fluctuations in pricing structures.</w:t>
      </w:r>
    </w:p>
    <w:p>
      <w:pPr>
        <w:spacing w:after="0" w:line="81" w:lineRule="exact"/>
        <w:rPr>
          <w:sz w:val="20"/>
          <w:szCs w:val="20"/>
          <w:color w:val="auto"/>
        </w:rPr>
      </w:pPr>
    </w:p>
    <w:p>
      <w:pPr>
        <w:jc w:val="both"/>
        <w:ind w:right="320"/>
        <w:spacing w:after="0" w:line="281" w:lineRule="auto"/>
        <w:rPr>
          <w:sz w:val="20"/>
          <w:szCs w:val="20"/>
          <w:color w:val="auto"/>
        </w:rPr>
      </w:pPr>
      <w:r>
        <w:rPr>
          <w:rFonts w:ascii="Arial" w:cs="Arial" w:eastAsia="Arial" w:hAnsi="Arial"/>
          <w:sz w:val="13"/>
          <w:szCs w:val="13"/>
          <w:color w:val="auto"/>
        </w:rPr>
        <w:t>Prior to calendar year 2006, we sourced the majority of our finished products domestically. Today, the significant majority of our products are sourced internationally. During this same period, we began direct sourcing of our raw materials and brought management of logistics in-house. These sourcing changes, along with better cost management, contributed to improvements in gross margin over this period. Gross margin measures gross profit as a percentage of our net revenues.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 (SG&amp;A)</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increases, but not in the same proportion as the associated increase in revenues.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w:t>
      </w:r>
    </w:p>
    <w:p>
      <w:pPr>
        <w:spacing w:after="0" w:line="76"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Income</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Operating income equals gross profit less SG&amp;A expenses plus other income. Operating income excludes interest income, interest expense, and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Prior to October 3, 2010, we were taxed as an “S” Corporation for federal income tax purposes under Section 1362 of the Internal Revenue Code, and therefore were not subject to federal and state income taxes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20"/>
          </w:cols>
          <w:pgMar w:left="220" w:top="384"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(subject to exception in a limited number of state and local jurisdictions that do not recognize the “S” Corporation status). On October 3, 2010, our “S” Corporation status automatically terminated and we became subject to corporate-level federal and state income taxes at prevailing corporate rates.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summarize key components of our consolidated results of operations for the last three fiscal years, both in dollars and as a percentage of our net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0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0"/>
                <w:szCs w:val="10"/>
                <w:b w:val="1"/>
                <w:bCs w:val="1"/>
                <w:color w:val="auto"/>
                <w:w w:val="92"/>
              </w:rPr>
              <w:t>Fiscal Year Ended</w:t>
            </w: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40" w:type="dxa"/>
            <w:vAlign w:val="bottom"/>
            <w:gridSpan w:val="2"/>
          </w:tcPr>
          <w:p>
            <w:pPr>
              <w:jc w:val="center"/>
              <w:ind w:right="520"/>
              <w:spacing w:after="0" w:line="92" w:lineRule="exact"/>
              <w:rPr>
                <w:sz w:val="20"/>
                <w:szCs w:val="20"/>
                <w:color w:val="auto"/>
              </w:rPr>
            </w:pPr>
            <w:r>
              <w:rPr>
                <w:rFonts w:ascii="Arial" w:cs="Arial" w:eastAsia="Arial" w:hAnsi="Arial"/>
                <w:sz w:val="10"/>
                <w:szCs w:val="10"/>
                <w:b w:val="1"/>
                <w:bCs w:val="1"/>
                <w:color w:val="auto"/>
                <w:w w:val="94"/>
              </w:rPr>
              <w:t>January 28,</w:t>
            </w:r>
          </w:p>
        </w:tc>
        <w:tc>
          <w:tcPr>
            <w:tcW w:w="200" w:type="dxa"/>
            <w:vAlign w:val="bottom"/>
          </w:tcPr>
          <w:p>
            <w:pPr>
              <w:spacing w:after="0"/>
              <w:rPr>
                <w:sz w:val="8"/>
                <w:szCs w:val="8"/>
                <w:color w:val="auto"/>
              </w:rPr>
            </w:pPr>
          </w:p>
        </w:tc>
        <w:tc>
          <w:tcPr>
            <w:tcW w:w="940" w:type="dxa"/>
            <w:vAlign w:val="bottom"/>
            <w:gridSpan w:val="2"/>
          </w:tcPr>
          <w:p>
            <w:pPr>
              <w:jc w:val="center"/>
              <w:ind w:right="420"/>
              <w:spacing w:after="0" w:line="92" w:lineRule="exact"/>
              <w:rPr>
                <w:sz w:val="20"/>
                <w:szCs w:val="20"/>
                <w:color w:val="auto"/>
              </w:rPr>
            </w:pPr>
            <w:r>
              <w:rPr>
                <w:rFonts w:ascii="Arial" w:cs="Arial" w:eastAsia="Arial" w:hAnsi="Arial"/>
                <w:sz w:val="10"/>
                <w:szCs w:val="10"/>
                <w:b w:val="1"/>
                <w:bCs w:val="1"/>
                <w:color w:val="auto"/>
                <w:w w:val="94"/>
              </w:rPr>
              <w:t>January 29,</w:t>
            </w:r>
          </w:p>
        </w:tc>
        <w:tc>
          <w:tcPr>
            <w:tcW w:w="280" w:type="dxa"/>
            <w:vAlign w:val="bottom"/>
          </w:tcPr>
          <w:p>
            <w:pPr>
              <w:spacing w:after="0"/>
              <w:rPr>
                <w:sz w:val="8"/>
                <w:szCs w:val="8"/>
                <w:color w:val="auto"/>
              </w:rPr>
            </w:pPr>
          </w:p>
        </w:tc>
        <w:tc>
          <w:tcPr>
            <w:tcW w:w="54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0"/>
              </w:rPr>
              <w:t>January 30,</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20"/>
                <w:szCs w:val="20"/>
                <w:color w:val="auto"/>
              </w:rPr>
            </w:pPr>
            <w:r>
              <w:rPr>
                <w:rFonts w:ascii="Arial" w:cs="Arial" w:eastAsia="Arial" w:hAnsi="Arial"/>
                <w:sz w:val="10"/>
                <w:szCs w:val="10"/>
                <w:i w:val="1"/>
                <w:iCs w:val="1"/>
                <w:color w:val="auto"/>
              </w:rPr>
              <w:t>($ in thousands)</w:t>
            </w:r>
          </w:p>
        </w:tc>
        <w:tc>
          <w:tcPr>
            <w:tcW w:w="4800" w:type="dxa"/>
            <w:vAlign w:val="bottom"/>
            <w:gridSpan w:val="2"/>
          </w:tcPr>
          <w:p>
            <w:pPr>
              <w:jc w:val="center"/>
              <w:ind w:left="4216"/>
              <w:spacing w:after="0"/>
              <w:rPr>
                <w:sz w:val="20"/>
                <w:szCs w:val="20"/>
                <w:color w:val="auto"/>
              </w:rPr>
            </w:pPr>
            <w:r>
              <w:rPr>
                <w:rFonts w:ascii="Arial" w:cs="Arial" w:eastAsia="Arial" w:hAnsi="Arial"/>
                <w:sz w:val="10"/>
                <w:szCs w:val="10"/>
                <w:b w:val="1"/>
                <w:bCs w:val="1"/>
                <w:color w:val="auto"/>
                <w:w w:val="89"/>
              </w:rPr>
              <w:t>2012</w:t>
            </w:r>
          </w:p>
        </w:tc>
        <w:tc>
          <w:tcPr>
            <w:tcW w:w="520" w:type="dxa"/>
            <w:vAlign w:val="bottom"/>
          </w:tcPr>
          <w:p>
            <w:pPr>
              <w:spacing w:after="0"/>
              <w:rPr>
                <w:sz w:val="10"/>
                <w:szCs w:val="10"/>
                <w:color w:val="auto"/>
              </w:rPr>
            </w:pPr>
          </w:p>
        </w:tc>
        <w:tc>
          <w:tcPr>
            <w:tcW w:w="720" w:type="dxa"/>
            <w:vAlign w:val="bottom"/>
            <w:gridSpan w:val="2"/>
          </w:tcPr>
          <w:p>
            <w:pPr>
              <w:jc w:val="center"/>
              <w:ind w:left="136"/>
              <w:spacing w:after="0"/>
              <w:rPr>
                <w:sz w:val="20"/>
                <w:szCs w:val="20"/>
                <w:color w:val="auto"/>
              </w:rPr>
            </w:pPr>
            <w:r>
              <w:rPr>
                <w:rFonts w:ascii="Arial" w:cs="Arial" w:eastAsia="Arial" w:hAnsi="Arial"/>
                <w:sz w:val="10"/>
                <w:szCs w:val="10"/>
                <w:b w:val="1"/>
                <w:bCs w:val="1"/>
                <w:color w:val="auto"/>
                <w:w w:val="89"/>
              </w:rPr>
              <w:t>2011</w:t>
            </w:r>
          </w:p>
        </w:tc>
        <w:tc>
          <w:tcPr>
            <w:tcW w:w="420" w:type="dxa"/>
            <w:vAlign w:val="bottom"/>
          </w:tcPr>
          <w:p>
            <w:pPr>
              <w:spacing w:after="0"/>
              <w:rPr>
                <w:sz w:val="10"/>
                <w:szCs w:val="10"/>
                <w:color w:val="auto"/>
              </w:rPr>
            </w:pPr>
          </w:p>
        </w:tc>
        <w:tc>
          <w:tcPr>
            <w:tcW w:w="820" w:type="dxa"/>
            <w:vAlign w:val="bottom"/>
            <w:gridSpan w:val="2"/>
          </w:tcPr>
          <w:p>
            <w:pPr>
              <w:jc w:val="center"/>
              <w:ind w:left="215"/>
              <w:spacing w:after="0"/>
              <w:rPr>
                <w:sz w:val="20"/>
                <w:szCs w:val="20"/>
                <w:color w:val="auto"/>
              </w:rPr>
            </w:pPr>
            <w:r>
              <w:rPr>
                <w:rFonts w:ascii="Arial" w:cs="Arial" w:eastAsia="Arial" w:hAnsi="Arial"/>
                <w:sz w:val="10"/>
                <w:szCs w:val="10"/>
                <w:b w:val="1"/>
                <w:bCs w:val="1"/>
                <w:color w:val="auto"/>
                <w:w w:val="98"/>
              </w:rPr>
              <w:t>2010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Statement of Income Data:</w:t>
            </w:r>
          </w:p>
        </w:tc>
        <w:tc>
          <w:tcPr>
            <w:tcW w:w="4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40" w:type="dxa"/>
            <w:vAlign w:val="bottom"/>
          </w:tcPr>
          <w:p>
            <w:pPr>
              <w:spacing w:after="0"/>
              <w:rPr>
                <w:sz w:val="20"/>
                <w:szCs w:val="20"/>
                <w:color w:val="auto"/>
              </w:rPr>
            </w:pPr>
            <w:r>
              <w:rPr>
                <w:rFonts w:ascii="Arial" w:cs="Arial" w:eastAsia="Arial" w:hAnsi="Arial"/>
                <w:sz w:val="13"/>
                <w:szCs w:val="13"/>
                <w:color w:val="auto"/>
              </w:rPr>
              <w:t>Net revenues</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$ 460,843</w:t>
            </w:r>
          </w:p>
        </w:tc>
        <w:tc>
          <w:tcPr>
            <w:tcW w:w="5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$ 366,057</w:t>
            </w:r>
          </w:p>
        </w:tc>
        <w:tc>
          <w:tcPr>
            <w:tcW w:w="42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$ 288,940</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Cost of sales</w:t>
            </w:r>
          </w:p>
        </w:tc>
        <w:tc>
          <w:tcPr>
            <w:tcW w:w="42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203,220</w:t>
            </w: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156,910</w:t>
            </w: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137,803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40" w:type="dxa"/>
            <w:vAlign w:val="bottom"/>
          </w:tcPr>
          <w:p>
            <w:pPr>
              <w:spacing w:after="0"/>
              <w:rPr>
                <w:sz w:val="20"/>
                <w:szCs w:val="20"/>
                <w:color w:val="auto"/>
              </w:rPr>
            </w:pPr>
            <w:r>
              <w:rPr>
                <w:rFonts w:ascii="Arial" w:cs="Arial" w:eastAsia="Arial" w:hAnsi="Arial"/>
                <w:sz w:val="13"/>
                <w:szCs w:val="13"/>
                <w:color w:val="auto"/>
              </w:rPr>
              <w:t>Gross profit</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257,623</w:t>
            </w:r>
          </w:p>
        </w:tc>
        <w:tc>
          <w:tcPr>
            <w:tcW w:w="5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209,147</w:t>
            </w:r>
          </w:p>
        </w:tc>
        <w:tc>
          <w:tcPr>
            <w:tcW w:w="42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151,137</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169,427</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163,053</w:t>
            </w:r>
          </w:p>
        </w:tc>
        <w:tc>
          <w:tcPr>
            <w:tcW w:w="4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116,168</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20"/>
                <w:szCs w:val="20"/>
                <w:color w:val="auto"/>
              </w:rPr>
            </w:pPr>
            <w:r>
              <w:rPr>
                <w:rFonts w:ascii="Arial" w:cs="Arial" w:eastAsia="Arial" w:hAnsi="Arial"/>
                <w:sz w:val="13"/>
                <w:szCs w:val="13"/>
                <w:color w:val="auto"/>
              </w:rPr>
              <w:t>Other income</w:t>
            </w:r>
          </w:p>
        </w:tc>
        <w:tc>
          <w:tcPr>
            <w:tcW w:w="42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7,975</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96,171</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53,319</w:t>
            </w:r>
          </w:p>
        </w:tc>
        <w:tc>
          <w:tcPr>
            <w:tcW w:w="4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45,712</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20"/>
                <w:szCs w:val="20"/>
                <w:color w:val="auto"/>
              </w:rPr>
            </w:pPr>
            <w:r>
              <w:rPr>
                <w:rFonts w:ascii="Arial" w:cs="Arial" w:eastAsia="Arial" w:hAnsi="Arial"/>
                <w:sz w:val="13"/>
                <w:szCs w:val="13"/>
                <w:color w:val="auto"/>
              </w:rPr>
              <w:t>Interest expense, net</w:t>
            </w:r>
          </w:p>
        </w:tc>
        <w:tc>
          <w:tcPr>
            <w:tcW w:w="42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95,024</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51,694</w:t>
            </w:r>
          </w:p>
        </w:tc>
        <w:tc>
          <w:tcPr>
            <w:tcW w:w="4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44,108</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20"/>
                <w:szCs w:val="20"/>
                <w:color w:val="auto"/>
              </w:rPr>
            </w:pPr>
            <w:r>
              <w:rPr>
                <w:rFonts w:ascii="Arial" w:cs="Arial" w:eastAsia="Arial" w:hAnsi="Arial"/>
                <w:sz w:val="13"/>
                <w:szCs w:val="13"/>
                <w:color w:val="auto"/>
              </w:rPr>
              <w:t>Income tax expense</w:t>
            </w:r>
          </w:p>
        </w:tc>
        <w:tc>
          <w:tcPr>
            <w:tcW w:w="42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37,103</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5,496</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57,921</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46,198</w:t>
            </w:r>
          </w:p>
        </w:tc>
        <w:tc>
          <w:tcPr>
            <w:tcW w:w="4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43,219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Percentage of Net Revenues:</w:t>
            </w:r>
          </w:p>
        </w:tc>
        <w:tc>
          <w:tcPr>
            <w:tcW w:w="4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40" w:type="dxa"/>
            <w:vAlign w:val="bottom"/>
            <w:vMerge w:val="continue"/>
          </w:tcPr>
          <w:p>
            <w:pPr>
              <w:spacing w:after="0"/>
              <w:rPr>
                <w:sz w:val="12"/>
                <w:szCs w:val="12"/>
                <w:color w:val="auto"/>
              </w:rPr>
            </w:pPr>
          </w:p>
        </w:tc>
        <w:tc>
          <w:tcPr>
            <w:tcW w:w="4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5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20"/>
                <w:szCs w:val="20"/>
                <w:color w:val="auto"/>
              </w:rPr>
            </w:pPr>
            <w:r>
              <w:rPr>
                <w:rFonts w:ascii="Arial" w:cs="Arial" w:eastAsia="Arial" w:hAnsi="Arial"/>
                <w:sz w:val="13"/>
                <w:szCs w:val="13"/>
                <w:color w:val="auto"/>
              </w:rPr>
              <w:t>Cost of sales</w:t>
            </w:r>
          </w:p>
        </w:tc>
        <w:tc>
          <w:tcPr>
            <w:tcW w:w="42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44.1%</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42.9%</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4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55.9%</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57.1%</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64"/>
        </w:trPr>
        <w:tc>
          <w:tcPr>
            <w:tcW w:w="404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5320" w:type="dxa"/>
            <w:vAlign w:val="bottom"/>
            <w:gridSpan w:val="3"/>
          </w:tcPr>
          <w:p>
            <w:pPr>
              <w:jc w:val="right"/>
              <w:ind w:right="400"/>
              <w:spacing w:after="0"/>
              <w:rPr>
                <w:sz w:val="20"/>
                <w:szCs w:val="20"/>
                <w:color w:val="auto"/>
              </w:rPr>
            </w:pPr>
            <w:r>
              <w:rPr>
                <w:rFonts w:ascii="Arial" w:cs="Arial" w:eastAsia="Arial" w:hAnsi="Arial"/>
                <w:sz w:val="13"/>
                <w:szCs w:val="13"/>
                <w:color w:val="auto"/>
              </w:rPr>
              <w:t>36.8%</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44.5%</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income</w:t>
            </w:r>
          </w:p>
        </w:tc>
        <w:tc>
          <w:tcPr>
            <w:tcW w:w="4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4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4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14.6%</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4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0.4%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4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4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20.6%</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14.1%</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4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4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4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12.6%</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12.6%</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360" w:type="dxa"/>
            <w:vAlign w:val="bottom"/>
            <w:gridSpan w:val="4"/>
          </w:tcPr>
          <w:p>
            <w:pPr>
              <w:spacing w:after="0"/>
              <w:rPr>
                <w:sz w:val="20"/>
                <w:szCs w:val="20"/>
                <w:color w:val="auto"/>
              </w:rPr>
            </w:pPr>
            <w:r>
              <w:rPr>
                <w:rFonts w:ascii="Arial" w:cs="Arial" w:eastAsia="Arial" w:hAnsi="Arial"/>
                <w:sz w:val="13"/>
                <w:szCs w:val="13"/>
                <w:color w:val="auto"/>
                <w:w w:val="92"/>
              </w:rPr>
              <w:t>The following tables present net revenues by operating segment, both in dollars and as a percentage of our net revenues, and full-price store data for the last three fiscal years:</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0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0"/>
                <w:szCs w:val="10"/>
                <w:b w:val="1"/>
                <w:bCs w:val="1"/>
                <w:color w:val="auto"/>
                <w:w w:val="92"/>
              </w:rPr>
              <w:t>Fiscal Year Ended</w:t>
            </w:r>
          </w:p>
        </w:tc>
        <w:tc>
          <w:tcPr>
            <w:tcW w:w="2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40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40" w:type="dxa"/>
            <w:vAlign w:val="bottom"/>
            <w:gridSpan w:val="2"/>
          </w:tcPr>
          <w:p>
            <w:pPr>
              <w:jc w:val="center"/>
              <w:ind w:right="520"/>
              <w:spacing w:after="0" w:line="92" w:lineRule="exact"/>
              <w:rPr>
                <w:sz w:val="20"/>
                <w:szCs w:val="20"/>
                <w:color w:val="auto"/>
              </w:rPr>
            </w:pPr>
            <w:r>
              <w:rPr>
                <w:rFonts w:ascii="Arial" w:cs="Arial" w:eastAsia="Arial" w:hAnsi="Arial"/>
                <w:sz w:val="10"/>
                <w:szCs w:val="10"/>
                <w:b w:val="1"/>
                <w:bCs w:val="1"/>
                <w:color w:val="auto"/>
                <w:w w:val="94"/>
              </w:rPr>
              <w:t>January 28,</w:t>
            </w:r>
          </w:p>
        </w:tc>
        <w:tc>
          <w:tcPr>
            <w:tcW w:w="200" w:type="dxa"/>
            <w:vAlign w:val="bottom"/>
          </w:tcPr>
          <w:p>
            <w:pPr>
              <w:spacing w:after="0"/>
              <w:rPr>
                <w:sz w:val="8"/>
                <w:szCs w:val="8"/>
                <w:color w:val="auto"/>
              </w:rPr>
            </w:pPr>
          </w:p>
        </w:tc>
        <w:tc>
          <w:tcPr>
            <w:tcW w:w="940" w:type="dxa"/>
            <w:vAlign w:val="bottom"/>
            <w:gridSpan w:val="2"/>
          </w:tcPr>
          <w:p>
            <w:pPr>
              <w:jc w:val="center"/>
              <w:ind w:right="420"/>
              <w:spacing w:after="0" w:line="92" w:lineRule="exact"/>
              <w:rPr>
                <w:sz w:val="20"/>
                <w:szCs w:val="20"/>
                <w:color w:val="auto"/>
              </w:rPr>
            </w:pPr>
            <w:r>
              <w:rPr>
                <w:rFonts w:ascii="Arial" w:cs="Arial" w:eastAsia="Arial" w:hAnsi="Arial"/>
                <w:sz w:val="10"/>
                <w:szCs w:val="10"/>
                <w:b w:val="1"/>
                <w:bCs w:val="1"/>
                <w:color w:val="auto"/>
                <w:w w:val="94"/>
              </w:rPr>
              <w:t>January 29,</w:t>
            </w:r>
          </w:p>
        </w:tc>
        <w:tc>
          <w:tcPr>
            <w:tcW w:w="280" w:type="dxa"/>
            <w:vAlign w:val="bottom"/>
          </w:tcPr>
          <w:p>
            <w:pPr>
              <w:spacing w:after="0"/>
              <w:rPr>
                <w:sz w:val="8"/>
                <w:szCs w:val="8"/>
                <w:color w:val="auto"/>
              </w:rPr>
            </w:pPr>
          </w:p>
        </w:tc>
        <w:tc>
          <w:tcPr>
            <w:tcW w:w="54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0"/>
              </w:rPr>
              <w:t>January 30,</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20"/>
                <w:szCs w:val="20"/>
                <w:color w:val="auto"/>
              </w:rPr>
            </w:pPr>
            <w:r>
              <w:rPr>
                <w:rFonts w:ascii="Arial" w:cs="Arial" w:eastAsia="Arial" w:hAnsi="Arial"/>
                <w:sz w:val="10"/>
                <w:szCs w:val="10"/>
                <w:i w:val="1"/>
                <w:iCs w:val="1"/>
                <w:color w:val="auto"/>
              </w:rPr>
              <w:t>($ in thousands, except as otherwise indicated)</w:t>
            </w:r>
          </w:p>
        </w:tc>
        <w:tc>
          <w:tcPr>
            <w:tcW w:w="4800" w:type="dxa"/>
            <w:vAlign w:val="bottom"/>
            <w:gridSpan w:val="2"/>
          </w:tcPr>
          <w:p>
            <w:pPr>
              <w:jc w:val="center"/>
              <w:ind w:left="4216"/>
              <w:spacing w:after="0"/>
              <w:rPr>
                <w:sz w:val="20"/>
                <w:szCs w:val="20"/>
                <w:color w:val="auto"/>
              </w:rPr>
            </w:pPr>
            <w:r>
              <w:rPr>
                <w:rFonts w:ascii="Arial" w:cs="Arial" w:eastAsia="Arial" w:hAnsi="Arial"/>
                <w:sz w:val="10"/>
                <w:szCs w:val="10"/>
                <w:b w:val="1"/>
                <w:bCs w:val="1"/>
                <w:color w:val="auto"/>
                <w:w w:val="89"/>
              </w:rPr>
              <w:t>2012</w:t>
            </w:r>
          </w:p>
        </w:tc>
        <w:tc>
          <w:tcPr>
            <w:tcW w:w="520" w:type="dxa"/>
            <w:vAlign w:val="bottom"/>
          </w:tcPr>
          <w:p>
            <w:pPr>
              <w:spacing w:after="0"/>
              <w:rPr>
                <w:sz w:val="10"/>
                <w:szCs w:val="10"/>
                <w:color w:val="auto"/>
              </w:rPr>
            </w:pPr>
          </w:p>
        </w:tc>
        <w:tc>
          <w:tcPr>
            <w:tcW w:w="720" w:type="dxa"/>
            <w:vAlign w:val="bottom"/>
            <w:gridSpan w:val="2"/>
          </w:tcPr>
          <w:p>
            <w:pPr>
              <w:jc w:val="center"/>
              <w:ind w:left="136"/>
              <w:spacing w:after="0"/>
              <w:rPr>
                <w:sz w:val="20"/>
                <w:szCs w:val="20"/>
                <w:color w:val="auto"/>
              </w:rPr>
            </w:pPr>
            <w:r>
              <w:rPr>
                <w:rFonts w:ascii="Arial" w:cs="Arial" w:eastAsia="Arial" w:hAnsi="Arial"/>
                <w:sz w:val="10"/>
                <w:szCs w:val="10"/>
                <w:b w:val="1"/>
                <w:bCs w:val="1"/>
                <w:color w:val="auto"/>
                <w:w w:val="89"/>
              </w:rPr>
              <w:t>2011</w:t>
            </w:r>
          </w:p>
        </w:tc>
        <w:tc>
          <w:tcPr>
            <w:tcW w:w="420" w:type="dxa"/>
            <w:vAlign w:val="bottom"/>
          </w:tcPr>
          <w:p>
            <w:pPr>
              <w:spacing w:after="0"/>
              <w:rPr>
                <w:sz w:val="10"/>
                <w:szCs w:val="10"/>
                <w:color w:val="auto"/>
              </w:rPr>
            </w:pPr>
          </w:p>
        </w:tc>
        <w:tc>
          <w:tcPr>
            <w:tcW w:w="820" w:type="dxa"/>
            <w:vAlign w:val="bottom"/>
            <w:gridSpan w:val="2"/>
          </w:tcPr>
          <w:p>
            <w:pPr>
              <w:jc w:val="center"/>
              <w:ind w:left="215"/>
              <w:spacing w:after="0"/>
              <w:rPr>
                <w:sz w:val="20"/>
                <w:szCs w:val="20"/>
                <w:color w:val="auto"/>
              </w:rPr>
            </w:pPr>
            <w:r>
              <w:rPr>
                <w:rFonts w:ascii="Arial" w:cs="Arial" w:eastAsia="Arial" w:hAnsi="Arial"/>
                <w:sz w:val="10"/>
                <w:szCs w:val="10"/>
                <w:b w:val="1"/>
                <w:bCs w:val="1"/>
                <w:color w:val="auto"/>
                <w:w w:val="98"/>
              </w:rPr>
              <w:t>2010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4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Net Revenues by Segment:</w:t>
            </w:r>
          </w:p>
        </w:tc>
        <w:tc>
          <w:tcPr>
            <w:tcW w:w="4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40" w:type="dxa"/>
            <w:vAlign w:val="bottom"/>
          </w:tcPr>
          <w:p>
            <w:pPr>
              <w:spacing w:after="0"/>
              <w:rPr>
                <w:sz w:val="20"/>
                <w:szCs w:val="20"/>
                <w:color w:val="auto"/>
              </w:rPr>
            </w:pPr>
            <w:r>
              <w:rPr>
                <w:rFonts w:ascii="Arial" w:cs="Arial" w:eastAsia="Arial" w:hAnsi="Arial"/>
                <w:sz w:val="13"/>
                <w:szCs w:val="13"/>
                <w:color w:val="auto"/>
              </w:rPr>
              <w:t>Direct</w:t>
            </w:r>
          </w:p>
        </w:tc>
        <w:tc>
          <w:tcPr>
            <w:tcW w:w="4800" w:type="dxa"/>
            <w:vAlign w:val="bottom"/>
            <w:gridSpan w:val="2"/>
          </w:tcPr>
          <w:p>
            <w:pPr>
              <w:jc w:val="right"/>
              <w:spacing w:after="0"/>
              <w:rPr>
                <w:sz w:val="20"/>
                <w:szCs w:val="20"/>
                <w:color w:val="auto"/>
              </w:rPr>
            </w:pPr>
            <w:r>
              <w:rPr>
                <w:rFonts w:ascii="Arial" w:cs="Arial" w:eastAsia="Arial" w:hAnsi="Arial"/>
                <w:sz w:val="13"/>
                <w:szCs w:val="13"/>
                <w:color w:val="auto"/>
              </w:rPr>
              <w:t>225,287</w:t>
            </w:r>
          </w:p>
        </w:tc>
        <w:tc>
          <w:tcPr>
            <w:tcW w:w="52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151,118</w:t>
            </w: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96,111</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Indirect</w:t>
            </w:r>
          </w:p>
        </w:tc>
        <w:tc>
          <w:tcPr>
            <w:tcW w:w="4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$ 235,556</w:t>
            </w: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$ 214,939</w:t>
            </w:r>
          </w:p>
        </w:tc>
        <w:tc>
          <w:tcPr>
            <w:tcW w:w="42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$ 192,829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4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$ 460,843</w:t>
            </w:r>
          </w:p>
        </w:tc>
        <w:tc>
          <w:tcPr>
            <w:tcW w:w="5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$ 366,057</w:t>
            </w:r>
          </w:p>
        </w:tc>
        <w:tc>
          <w:tcPr>
            <w:tcW w:w="42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$ 288,940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04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Percentage of Net Revenues by Segment:</w:t>
            </w:r>
          </w:p>
        </w:tc>
        <w:tc>
          <w:tcPr>
            <w:tcW w:w="4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40" w:type="dxa"/>
            <w:vAlign w:val="bottom"/>
          </w:tcPr>
          <w:p>
            <w:pPr>
              <w:spacing w:after="0"/>
              <w:rPr>
                <w:sz w:val="20"/>
                <w:szCs w:val="20"/>
                <w:color w:val="auto"/>
              </w:rPr>
            </w:pPr>
            <w:r>
              <w:rPr>
                <w:rFonts w:ascii="Arial" w:cs="Arial" w:eastAsia="Arial" w:hAnsi="Arial"/>
                <w:sz w:val="13"/>
                <w:szCs w:val="13"/>
                <w:color w:val="auto"/>
              </w:rPr>
              <w:t>Direct</w:t>
            </w:r>
          </w:p>
        </w:tc>
        <w:tc>
          <w:tcPr>
            <w:tcW w:w="5320" w:type="dxa"/>
            <w:vAlign w:val="bottom"/>
            <w:gridSpan w:val="3"/>
          </w:tcPr>
          <w:p>
            <w:pPr>
              <w:jc w:val="right"/>
              <w:ind w:right="400"/>
              <w:spacing w:after="0"/>
              <w:rPr>
                <w:sz w:val="20"/>
                <w:szCs w:val="20"/>
                <w:color w:val="auto"/>
              </w:rPr>
            </w:pPr>
            <w:r>
              <w:rPr>
                <w:rFonts w:ascii="Arial" w:cs="Arial" w:eastAsia="Arial" w:hAnsi="Arial"/>
                <w:sz w:val="13"/>
                <w:szCs w:val="13"/>
                <w:color w:val="auto"/>
              </w:rPr>
              <w:t>48.9%</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41.3%</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Indirect</w:t>
            </w:r>
          </w:p>
        </w:tc>
        <w:tc>
          <w:tcPr>
            <w:tcW w:w="4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58.7%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4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100.0%</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100.0%</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280" w:type="dxa"/>
            <w:vAlign w:val="bottom"/>
            <w:vMerge w:val="restart"/>
          </w:tcPr>
          <w:p>
            <w:pPr>
              <w:jc w:val="right"/>
              <w:ind w:right="2456"/>
              <w:spacing w:after="0"/>
              <w:rPr>
                <w:sz w:val="20"/>
                <w:szCs w:val="20"/>
                <w:color w:val="auto"/>
              </w:rPr>
            </w:pPr>
            <w:r>
              <w:rPr>
                <w:rFonts w:ascii="Arial" w:cs="Arial" w:eastAsia="Arial" w:hAnsi="Arial"/>
                <w:sz w:val="13"/>
                <w:szCs w:val="13"/>
                <w:color w:val="auto"/>
              </w:rPr>
              <w:t>35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40" w:type="dxa"/>
            <w:vAlign w:val="bottom"/>
          </w:tcPr>
          <w:p>
            <w:pPr>
              <w:spacing w:after="0"/>
              <w:rPr>
                <w:sz w:val="22"/>
                <w:szCs w:val="22"/>
                <w:color w:val="auto"/>
              </w:rPr>
            </w:pPr>
          </w:p>
        </w:tc>
        <w:tc>
          <w:tcPr>
            <w:tcW w:w="428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4" w:right="2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24"/>
        </w:trPr>
        <w:tc>
          <w:tcPr>
            <w:tcW w:w="4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2"/>
              </w:rPr>
              <w:t>Fiscal Year Ended</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92"/>
        </w:trPr>
        <w:tc>
          <w:tcPr>
            <w:tcW w:w="4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20" w:type="dxa"/>
            <w:vAlign w:val="bottom"/>
            <w:gridSpan w:val="2"/>
          </w:tcPr>
          <w:p>
            <w:pPr>
              <w:jc w:val="right"/>
              <w:ind w:right="500"/>
              <w:spacing w:after="0" w:line="92" w:lineRule="exact"/>
              <w:rPr>
                <w:sz w:val="20"/>
                <w:szCs w:val="20"/>
                <w:color w:val="auto"/>
              </w:rPr>
            </w:pPr>
            <w:r>
              <w:rPr>
                <w:rFonts w:ascii="Arial" w:cs="Arial" w:eastAsia="Arial" w:hAnsi="Arial"/>
                <w:sz w:val="10"/>
                <w:szCs w:val="10"/>
                <w:b w:val="1"/>
                <w:bCs w:val="1"/>
                <w:color w:val="auto"/>
                <w:w w:val="90"/>
              </w:rPr>
              <w:t>January 28,</w:t>
            </w:r>
          </w:p>
        </w:tc>
        <w:tc>
          <w:tcPr>
            <w:tcW w:w="1660" w:type="dxa"/>
            <w:vAlign w:val="bottom"/>
            <w:gridSpan w:val="4"/>
          </w:tcPr>
          <w:p>
            <w:pPr>
              <w:jc w:val="center"/>
              <w:ind w:right="60"/>
              <w:spacing w:after="0" w:line="92" w:lineRule="exact"/>
              <w:rPr>
                <w:sz w:val="20"/>
                <w:szCs w:val="20"/>
                <w:color w:val="auto"/>
              </w:rPr>
            </w:pPr>
            <w:r>
              <w:rPr>
                <w:rFonts w:ascii="Arial" w:cs="Arial" w:eastAsia="Arial" w:hAnsi="Arial"/>
                <w:sz w:val="10"/>
                <w:szCs w:val="10"/>
                <w:b w:val="1"/>
                <w:bCs w:val="1"/>
                <w:color w:val="auto"/>
                <w:w w:val="94"/>
              </w:rPr>
              <w:t>January 29,</w:t>
            </w:r>
          </w:p>
        </w:tc>
        <w:tc>
          <w:tcPr>
            <w:tcW w:w="980" w:type="dxa"/>
            <w:vAlign w:val="bottom"/>
            <w:gridSpan w:val="3"/>
          </w:tcPr>
          <w:p>
            <w:pPr>
              <w:ind w:left="460"/>
              <w:spacing w:after="0" w:line="92" w:lineRule="exact"/>
              <w:rPr>
                <w:sz w:val="20"/>
                <w:szCs w:val="20"/>
                <w:color w:val="auto"/>
              </w:rPr>
            </w:pPr>
            <w:r>
              <w:rPr>
                <w:rFonts w:ascii="Arial" w:cs="Arial" w:eastAsia="Arial" w:hAnsi="Arial"/>
                <w:sz w:val="10"/>
                <w:szCs w:val="10"/>
                <w:b w:val="1"/>
                <w:bCs w:val="1"/>
                <w:color w:val="auto"/>
                <w:w w:val="90"/>
              </w:rPr>
              <w:t>January 30,</w:t>
            </w:r>
          </w:p>
        </w:tc>
        <w:tc>
          <w:tcPr>
            <w:tcW w:w="160" w:type="dxa"/>
            <w:vAlign w:val="bottom"/>
          </w:tcPr>
          <w:p>
            <w:pPr>
              <w:spacing w:after="0"/>
              <w:rPr>
                <w:sz w:val="8"/>
                <w:szCs w:val="8"/>
                <w:color w:val="auto"/>
              </w:rPr>
            </w:pPr>
          </w:p>
        </w:tc>
      </w:tr>
      <w:tr>
        <w:trPr>
          <w:trHeight w:val="124"/>
        </w:trPr>
        <w:tc>
          <w:tcPr>
            <w:tcW w:w="4120" w:type="dxa"/>
            <w:vAlign w:val="bottom"/>
          </w:tcPr>
          <w:p>
            <w:pPr>
              <w:spacing w:after="0"/>
              <w:rPr>
                <w:sz w:val="10"/>
                <w:szCs w:val="10"/>
                <w:color w:val="auto"/>
              </w:rPr>
            </w:pPr>
          </w:p>
        </w:tc>
        <w:tc>
          <w:tcPr>
            <w:tcW w:w="2220" w:type="dxa"/>
            <w:vAlign w:val="bottom"/>
            <w:gridSpan w:val="2"/>
          </w:tcPr>
          <w:p>
            <w:pPr>
              <w:jc w:val="right"/>
              <w:ind w:right="109"/>
              <w:spacing w:after="0"/>
              <w:rPr>
                <w:sz w:val="20"/>
                <w:szCs w:val="20"/>
                <w:color w:val="auto"/>
              </w:rPr>
            </w:pPr>
            <w:r>
              <w:rPr>
                <w:rFonts w:ascii="Arial" w:cs="Arial" w:eastAsia="Arial" w:hAnsi="Arial"/>
                <w:sz w:val="10"/>
                <w:szCs w:val="10"/>
                <w:b w:val="1"/>
                <w:bCs w:val="1"/>
                <w:color w:val="auto"/>
              </w:rPr>
              <w:t>2012</w:t>
            </w: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center"/>
              <w:ind w:right="36"/>
              <w:spacing w:after="0"/>
              <w:rPr>
                <w:sz w:val="20"/>
                <w:szCs w:val="20"/>
                <w:color w:val="auto"/>
              </w:rPr>
            </w:pPr>
            <w:r>
              <w:rPr>
                <w:rFonts w:ascii="Arial" w:cs="Arial" w:eastAsia="Arial" w:hAnsi="Arial"/>
                <w:sz w:val="10"/>
                <w:szCs w:val="10"/>
                <w:b w:val="1"/>
                <w:bCs w:val="1"/>
                <w:color w:val="auto"/>
                <w:w w:val="89"/>
              </w:rPr>
              <w:t>2011</w:t>
            </w: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96"/>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10"/>
                <w:szCs w:val="10"/>
                <w:color w:val="auto"/>
              </w:rPr>
            </w:pPr>
          </w:p>
        </w:tc>
      </w:tr>
      <w:tr>
        <w:trPr>
          <w:trHeight w:val="144"/>
        </w:trPr>
        <w:tc>
          <w:tcPr>
            <w:tcW w:w="412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 xml:space="preserve">Store Data </w:t>
            </w:r>
            <w:r>
              <w:rPr>
                <w:rFonts w:ascii="Arial" w:cs="Arial" w:eastAsia="Arial" w:hAnsi="Arial"/>
                <w:sz w:val="16"/>
                <w:szCs w:val="16"/>
                <w:b w:val="1"/>
                <w:bCs w:val="1"/>
                <w:color w:val="auto"/>
                <w:vertAlign w:val="subscript"/>
              </w:rPr>
              <w:t>(1)</w:t>
            </w:r>
            <w:r>
              <w:rPr>
                <w:rFonts w:ascii="Arial" w:cs="Arial" w:eastAsia="Arial" w:hAnsi="Arial"/>
                <w:sz w:val="13"/>
                <w:szCs w:val="13"/>
                <w:b w:val="1"/>
                <w:bCs w:val="1"/>
                <w:color w:val="auto"/>
              </w:rPr>
              <w:t>:</w:t>
            </w:r>
          </w:p>
        </w:tc>
        <w:tc>
          <w:tcPr>
            <w:tcW w:w="17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64"/>
        </w:trPr>
        <w:tc>
          <w:tcPr>
            <w:tcW w:w="4120" w:type="dxa"/>
            <w:vAlign w:val="bottom"/>
          </w:tcPr>
          <w:p>
            <w:pPr>
              <w:spacing w:after="0"/>
              <w:rPr>
                <w:sz w:val="20"/>
                <w:szCs w:val="20"/>
                <w:color w:val="auto"/>
              </w:rPr>
            </w:pPr>
            <w:r>
              <w:rPr>
                <w:rFonts w:ascii="Arial" w:cs="Arial" w:eastAsia="Arial" w:hAnsi="Arial"/>
                <w:sz w:val="13"/>
                <w:szCs w:val="13"/>
                <w:color w:val="auto"/>
              </w:rPr>
              <w:t>Total stores open at end of period</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56</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4"/>
                <w:szCs w:val="14"/>
                <w:color w:val="auto"/>
              </w:rPr>
            </w:pPr>
          </w:p>
        </w:tc>
      </w:tr>
      <w:tr>
        <w:trPr>
          <w:trHeight w:val="164"/>
        </w:trPr>
        <w:tc>
          <w:tcPr>
            <w:tcW w:w="4120" w:type="dxa"/>
            <w:vAlign w:val="bottom"/>
            <w:shd w:val="clear" w:color="auto" w:fill="CCEEFF"/>
          </w:tcPr>
          <w:p>
            <w:pPr>
              <w:spacing w:after="0" w:line="164" w:lineRule="exact"/>
              <w:rPr>
                <w:sz w:val="20"/>
                <w:szCs w:val="20"/>
                <w:color w:val="auto"/>
              </w:rPr>
            </w:pPr>
            <w:r>
              <w:rPr>
                <w:rFonts w:ascii="Arial" w:cs="Arial" w:eastAsia="Arial" w:hAnsi="Arial"/>
                <w:sz w:val="13"/>
                <w:szCs w:val="13"/>
                <w:color w:val="auto"/>
              </w:rPr>
              <w:t xml:space="preserve">Comparable-store sales increase </w:t>
            </w:r>
            <w:r>
              <w:rPr>
                <w:rFonts w:ascii="Arial" w:cs="Arial" w:eastAsia="Arial" w:hAnsi="Arial"/>
                <w:sz w:val="17"/>
                <w:szCs w:val="17"/>
                <w:color w:val="auto"/>
                <w:vertAlign w:val="subscript"/>
              </w:rPr>
              <w:t>(2)</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10.9%</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25.8%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36.4%</w:t>
            </w:r>
          </w:p>
        </w:tc>
      </w:tr>
      <w:tr>
        <w:trPr>
          <w:trHeight w:val="164"/>
        </w:trPr>
        <w:tc>
          <w:tcPr>
            <w:tcW w:w="4120" w:type="dxa"/>
            <w:vAlign w:val="bottom"/>
          </w:tcPr>
          <w:p>
            <w:pPr>
              <w:spacing w:after="0"/>
              <w:rPr>
                <w:sz w:val="20"/>
                <w:szCs w:val="20"/>
                <w:color w:val="auto"/>
              </w:rPr>
            </w:pPr>
            <w:r>
              <w:rPr>
                <w:rFonts w:ascii="Arial" w:cs="Arial" w:eastAsia="Arial" w:hAnsi="Arial"/>
                <w:sz w:val="13"/>
                <w:szCs w:val="13"/>
                <w:color w:val="auto"/>
              </w:rPr>
              <w:t>Total gross square footage at end of period</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113,504</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74,426</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50,506</w:t>
            </w:r>
          </w:p>
        </w:tc>
        <w:tc>
          <w:tcPr>
            <w:tcW w:w="160" w:type="dxa"/>
            <w:vAlign w:val="bottom"/>
          </w:tcPr>
          <w:p>
            <w:pPr>
              <w:spacing w:after="0"/>
              <w:rPr>
                <w:sz w:val="14"/>
                <w:szCs w:val="14"/>
                <w:color w:val="auto"/>
              </w:rPr>
            </w:pPr>
          </w:p>
        </w:tc>
      </w:tr>
      <w:tr>
        <w:trPr>
          <w:trHeight w:val="164"/>
        </w:trPr>
        <w:tc>
          <w:tcPr>
            <w:tcW w:w="4120" w:type="dxa"/>
            <w:vAlign w:val="bottom"/>
            <w:shd w:val="clear" w:color="auto" w:fill="CCEEFF"/>
          </w:tcPr>
          <w:p>
            <w:pPr>
              <w:spacing w:after="0" w:line="164" w:lineRule="exact"/>
              <w:rPr>
                <w:sz w:val="20"/>
                <w:szCs w:val="20"/>
                <w:color w:val="auto"/>
              </w:rPr>
            </w:pPr>
            <w:r>
              <w:rPr>
                <w:rFonts w:ascii="Arial" w:cs="Arial" w:eastAsia="Arial" w:hAnsi="Arial"/>
                <w:sz w:val="13"/>
                <w:szCs w:val="13"/>
                <w:color w:val="auto"/>
              </w:rPr>
              <w:t xml:space="preserve">Average net revenues per gross square foot </w:t>
            </w:r>
            <w:r>
              <w:rPr>
                <w:rFonts w:ascii="Arial" w:cs="Arial" w:eastAsia="Arial" w:hAnsi="Arial"/>
                <w:sz w:val="17"/>
                <w:szCs w:val="17"/>
                <w:color w:val="auto"/>
                <w:vertAlign w:val="subscript"/>
              </w:rPr>
              <w:t>(3)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1,042</w:t>
            </w:r>
          </w:p>
        </w:tc>
        <w:tc>
          <w:tcPr>
            <w:tcW w:w="5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6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52070</wp:posOffset>
            </wp:positionV>
            <wp:extent cx="7302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250" cy="6350"/>
                    </a:xfrm>
                    <a:prstGeom prst="rect">
                      <a:avLst/>
                    </a:prstGeom>
                    <a:noFill/>
                  </pic:spPr>
                </pic:pic>
              </a:graphicData>
            </a:graphic>
          </wp:anchor>
        </w:drawing>
      </w:r>
    </w:p>
    <w:p>
      <w:pPr>
        <w:spacing w:after="0" w:line="85" w:lineRule="exact"/>
        <w:rPr>
          <w:sz w:val="20"/>
          <w:szCs w:val="20"/>
          <w:color w:val="auto"/>
        </w:rPr>
      </w:pPr>
    </w:p>
    <w:p>
      <w:pPr>
        <w:ind w:left="460" w:hanging="458"/>
        <w:spacing w:after="0"/>
        <w:tabs>
          <w:tab w:leader="none" w:pos="4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only our full-price and outlet stores. Our first full-price store opened in mid-September 2007 and our first outlet store opened in November 2009.</w:t>
      </w:r>
    </w:p>
    <w:p>
      <w:pPr>
        <w:spacing w:after="0" w:line="21" w:lineRule="exact"/>
        <w:rPr>
          <w:rFonts w:ascii="Arial" w:cs="Arial" w:eastAsia="Arial" w:hAnsi="Arial"/>
          <w:sz w:val="13"/>
          <w:szCs w:val="13"/>
          <w:color w:val="auto"/>
        </w:rPr>
      </w:pPr>
    </w:p>
    <w:p>
      <w:pPr>
        <w:ind w:left="460" w:right="240" w:hanging="458"/>
        <w:spacing w:after="0" w:line="263" w:lineRule="auto"/>
        <w:tabs>
          <w:tab w:leader="none" w:pos="4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3"/>
          <w:szCs w:val="13"/>
          <w:color w:val="auto"/>
        </w:rPr>
      </w:pPr>
    </w:p>
    <w:p>
      <w:pPr>
        <w:ind w:left="460" w:right="140" w:hanging="458"/>
        <w:spacing w:after="0" w:line="287" w:lineRule="auto"/>
        <w:tabs>
          <w:tab w:leader="none" w:pos="4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2012 Compared to Fiscal 2011</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Revenues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For fiscal 2012, net revenues increased $94.8 million, or 26.0%, to $460.8 million, from $366.1 million for fiscal 2011, primarily due to increased volume.</w:t>
      </w:r>
    </w:p>
    <w:p>
      <w:pPr>
        <w:spacing w:after="0" w:line="138" w:lineRule="exact"/>
        <w:rPr>
          <w:sz w:val="20"/>
          <w:szCs w:val="20"/>
          <w:color w:val="auto"/>
        </w:rPr>
      </w:pPr>
    </w:p>
    <w:p>
      <w:pPr>
        <w:ind w:right="260"/>
        <w:spacing w:after="0" w:line="281" w:lineRule="auto"/>
        <w:rPr>
          <w:sz w:val="20"/>
          <w:szCs w:val="20"/>
          <w:color w:val="auto"/>
        </w:rPr>
      </w:pPr>
      <w:r>
        <w:rPr>
          <w:rFonts w:ascii="Arial" w:cs="Arial" w:eastAsia="Arial" w:hAnsi="Arial"/>
          <w:sz w:val="13"/>
          <w:szCs w:val="13"/>
          <w:i w:val="1"/>
          <w:iCs w:val="1"/>
          <w:color w:val="auto"/>
        </w:rPr>
        <w:t>Direct</w:t>
      </w:r>
      <w:r>
        <w:rPr>
          <w:rFonts w:ascii="Arial" w:cs="Arial" w:eastAsia="Arial" w:hAnsi="Arial"/>
          <w:sz w:val="13"/>
          <w:szCs w:val="13"/>
          <w:color w:val="auto"/>
        </w:rPr>
        <w:t>. For fiscal 2012, net revenues increased $74.2 million, or 49.1%, to $225.3 million, from $151.1 million for fiscal 2011. This growth resulted from a $28.6 million increase in e-commerce revenues due</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to greater traffic resulting from marketing initiatives, a $39.4 million increase in non-comparable store sales, and a $6.2 million, or 10.9%, increase in comparable-store sales. The number of our stores grew from 39 at the end of fiscal 2011 to 56 at the end of fiscal 2012.</w:t>
      </w:r>
    </w:p>
    <w:p>
      <w:pPr>
        <w:spacing w:after="0" w:line="91"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i w:val="1"/>
          <w:iCs w:val="1"/>
          <w:color w:val="auto"/>
        </w:rPr>
        <w:t>Indirect</w:t>
      </w:r>
      <w:r>
        <w:rPr>
          <w:rFonts w:ascii="Arial" w:cs="Arial" w:eastAsia="Arial" w:hAnsi="Arial"/>
          <w:sz w:val="13"/>
          <w:szCs w:val="13"/>
          <w:color w:val="auto"/>
        </w:rPr>
        <w:t>. For fiscal 2012, net revenues increased $20.6 million, or 9.6%, to $235.6 million, from $214.9 million for fiscal 2011, due to increased sales volume to our specialty retailers, driven by strong demand for</w:t>
      </w:r>
      <w:r>
        <w:rPr>
          <w:rFonts w:ascii="Arial" w:cs="Arial" w:eastAsia="Arial" w:hAnsi="Arial"/>
          <w:sz w:val="13"/>
          <w:szCs w:val="13"/>
          <w:i w:val="1"/>
          <w:iCs w:val="1"/>
          <w:color w:val="auto"/>
        </w:rPr>
        <w:t xml:space="preserve"> </w:t>
      </w:r>
      <w:r>
        <w:rPr>
          <w:rFonts w:ascii="Arial" w:cs="Arial" w:eastAsia="Arial" w:hAnsi="Arial"/>
          <w:sz w:val="13"/>
          <w:szCs w:val="13"/>
          <w:color w:val="auto"/>
        </w:rPr>
        <w:t>carryover patterns, fall product assortment, and the launch of rolling luggage.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Gross Profit</w:t>
      </w:r>
    </w:p>
    <w:p>
      <w:pPr>
        <w:spacing w:after="0" w:line="76"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For fiscal 2012, gross profit increased $48.5 million, or 23.2%, to $257.6 million, from $209.1 million for fiscal 2011. As a percentage of net revenues, gross profit decreased to 55.9% for fiscal 2012, from 57.1% for fiscal 2011. The decrease in gross margin was due primarily to higher cotton and labor costs and higher sales of certain retired inventory sold at lower than normal gross margins, partially offset by an overall revenue mix shift toward higher margin, retail-store sales and e-commerce.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 (SG&amp;A)</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For fiscal 2012, SG&amp;A expenses increased $6.3 million, or 3.9%, to $169.4 million, from $163.1 million for fiscal 2011. As a percentage of net revenues, SG&amp;A expenses were 36.8% and 44.5% for fiscal 2012 and fiscal 2011, respectively. The decrease as a percentage of net revenues in SG&amp;A expenses was due primarily to $21.9 million of compensation expense related to restricted-stock awards and a decline in professional fees related to our transition from a private to a public company both of which were included in fiscal 2011. In addition, SG&amp;A expenses declined as a percentage of net revenues due to leverage of our relatively fixed cost structure of the Indirect segment, partially offset by our investment into the Japanese market.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460"/>
          </w:cols>
          <w:pgMar w:left="220" w:top="384" w:right="2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w:t>
      </w:r>
    </w:p>
    <w:p>
      <w:pPr>
        <w:spacing w:after="0" w:line="76"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For fiscal 2012, other income increased $0.8 million, or 10.4%, to $8.0 million, from $7.2 million for fiscal 2011, due primarily to increased reimbursement of our advertising expenses by our specialty retailers. The increase was due in part to sales of tickets to our annual outlet sale and the gain on the sale of certain life insurance policies.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Income</w:t>
      </w:r>
    </w:p>
    <w:p>
      <w:pPr>
        <w:spacing w:after="0" w:line="76" w:lineRule="exact"/>
        <w:rPr>
          <w:sz w:val="20"/>
          <w:szCs w:val="20"/>
          <w:color w:val="auto"/>
        </w:rPr>
      </w:pPr>
    </w:p>
    <w:p>
      <w:pPr>
        <w:ind w:right="200"/>
        <w:spacing w:after="0" w:line="275" w:lineRule="auto"/>
        <w:rPr>
          <w:sz w:val="20"/>
          <w:szCs w:val="20"/>
          <w:color w:val="auto"/>
        </w:rPr>
      </w:pPr>
      <w:r>
        <w:rPr>
          <w:rFonts w:ascii="Arial" w:cs="Arial" w:eastAsia="Arial" w:hAnsi="Arial"/>
          <w:sz w:val="13"/>
          <w:szCs w:val="13"/>
          <w:color w:val="auto"/>
        </w:rPr>
        <w:t>For fiscal 2012, operating income increased $42.9 million, or 80.4%, to $96.2 million, from $53.3 million for fiscal 2011. As a percentage of net revenues, operating income was 20.9% and 14.6% for fiscal 2012 and fiscal 2011, respectively. This increase as a percentage of net revenues was due primarily to the $21.9 million of compensation expense related to restricted-stock awards in the prior year. Excluding this compensation expense in the prior year, operating income as a percentage of sales increased due to sales-driven leverage of SG&amp;A on our high growth of net revenues, partially offset by higher cotton and labor prices and our investment into the Japanese market (in thousands):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24"/>
        </w:trPr>
        <w:tc>
          <w:tcPr>
            <w:tcW w:w="6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5"/>
          </w:tcPr>
          <w:p>
            <w:pPr>
              <w:jc w:val="right"/>
              <w:ind w:right="1040"/>
              <w:spacing w:after="0"/>
              <w:rPr>
                <w:sz w:val="20"/>
                <w:szCs w:val="20"/>
                <w:color w:val="auto"/>
              </w:rPr>
            </w:pPr>
            <w:r>
              <w:rPr>
                <w:rFonts w:ascii="Arial" w:cs="Arial" w:eastAsia="Arial" w:hAnsi="Arial"/>
                <w:sz w:val="10"/>
                <w:szCs w:val="10"/>
                <w:b w:val="1"/>
                <w:bCs w:val="1"/>
                <w:color w:val="auto"/>
              </w:rPr>
              <w:t>Fiscal Year Ended</w:t>
            </w:r>
          </w:p>
        </w:tc>
        <w:tc>
          <w:tcPr>
            <w:tcW w:w="44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w:t>
            </w:r>
          </w:p>
        </w:tc>
        <w:tc>
          <w:tcPr>
            <w:tcW w:w="1020" w:type="dxa"/>
            <w:vAlign w:val="bottom"/>
            <w:gridSpan w:val="2"/>
            <w:vMerge w:val="restart"/>
          </w:tcPr>
          <w:p>
            <w:pPr>
              <w:jc w:val="right"/>
              <w:ind w:right="49"/>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6660" w:type="dxa"/>
            <w:vAlign w:val="bottom"/>
          </w:tcPr>
          <w:p>
            <w:pPr>
              <w:spacing w:after="0"/>
              <w:rPr>
                <w:sz w:val="8"/>
                <w:szCs w:val="8"/>
                <w:color w:val="auto"/>
              </w:rPr>
            </w:pPr>
          </w:p>
        </w:tc>
        <w:tc>
          <w:tcPr>
            <w:tcW w:w="1120" w:type="dxa"/>
            <w:vAlign w:val="bottom"/>
            <w:tcBorders>
              <w:top w:val="single" w:sz="8" w:color="auto"/>
            </w:tcBorders>
            <w:gridSpan w:val="3"/>
          </w:tcPr>
          <w:p>
            <w:pPr>
              <w:spacing w:after="0" w:line="92" w:lineRule="exact"/>
              <w:rPr>
                <w:sz w:val="20"/>
                <w:szCs w:val="20"/>
                <w:color w:val="auto"/>
              </w:rPr>
            </w:pPr>
            <w:r>
              <w:rPr>
                <w:rFonts w:ascii="Arial" w:cs="Arial" w:eastAsia="Arial" w:hAnsi="Arial"/>
                <w:sz w:val="10"/>
                <w:szCs w:val="10"/>
                <w:b w:val="1"/>
                <w:bCs w:val="1"/>
                <w:color w:val="auto"/>
              </w:rPr>
              <w:t>January 28,</w:t>
            </w:r>
          </w:p>
        </w:tc>
        <w:tc>
          <w:tcPr>
            <w:tcW w:w="520" w:type="dxa"/>
            <w:vAlign w:val="bottom"/>
            <w:tcBorders>
              <w:top w:val="single" w:sz="8" w:color="auto"/>
            </w:tcBorders>
            <w:gridSpan w:val="2"/>
          </w:tcPr>
          <w:p>
            <w:pPr>
              <w:spacing w:after="0" w:line="92" w:lineRule="exact"/>
              <w:rPr>
                <w:sz w:val="20"/>
                <w:szCs w:val="20"/>
                <w:color w:val="auto"/>
              </w:rPr>
            </w:pPr>
            <w:r>
              <w:rPr>
                <w:rFonts w:ascii="Arial" w:cs="Arial" w:eastAsia="Arial" w:hAnsi="Arial"/>
                <w:sz w:val="10"/>
                <w:szCs w:val="10"/>
                <w:b w:val="1"/>
                <w:bCs w:val="1"/>
                <w:color w:val="auto"/>
                <w:w w:val="90"/>
              </w:rPr>
              <w:t>January 29,</w:t>
            </w:r>
          </w:p>
        </w:tc>
        <w:tc>
          <w:tcPr>
            <w:tcW w:w="6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660" w:type="dxa"/>
            <w:vAlign w:val="bottom"/>
          </w:tcPr>
          <w:p>
            <w:pPr>
              <w:spacing w:after="0"/>
              <w:rPr>
                <w:sz w:val="20"/>
                <w:szCs w:val="20"/>
                <w:color w:val="auto"/>
              </w:rPr>
            </w:pPr>
            <w:r>
              <w:rPr>
                <w:rFonts w:ascii="Arial" w:cs="Arial" w:eastAsia="Arial" w:hAnsi="Arial"/>
                <w:sz w:val="10"/>
                <w:szCs w:val="10"/>
                <w:i w:val="1"/>
                <w:iCs w:val="1"/>
                <w:color w:val="auto"/>
              </w:rPr>
              <w:t>($ in millions)</w:t>
            </w:r>
          </w:p>
        </w:tc>
        <w:tc>
          <w:tcPr>
            <w:tcW w:w="60" w:type="dxa"/>
            <w:vAlign w:val="bottom"/>
          </w:tcPr>
          <w:p>
            <w:pPr>
              <w:spacing w:after="0"/>
              <w:rPr>
                <w:sz w:val="10"/>
                <w:szCs w:val="10"/>
                <w:color w:val="auto"/>
              </w:rPr>
            </w:pPr>
          </w:p>
        </w:tc>
        <w:tc>
          <w:tcPr>
            <w:tcW w:w="460" w:type="dxa"/>
            <w:vAlign w:val="bottom"/>
          </w:tcPr>
          <w:p>
            <w:pPr>
              <w:jc w:val="right"/>
              <w:ind w:right="98"/>
              <w:spacing w:after="0"/>
              <w:rPr>
                <w:sz w:val="20"/>
                <w:szCs w:val="20"/>
                <w:color w:val="auto"/>
              </w:rPr>
            </w:pPr>
            <w:r>
              <w:rPr>
                <w:rFonts w:ascii="Arial" w:cs="Arial" w:eastAsia="Arial" w:hAnsi="Arial"/>
                <w:sz w:val="10"/>
                <w:szCs w:val="10"/>
                <w:b w:val="1"/>
                <w:bCs w:val="1"/>
                <w:color w:val="auto"/>
              </w:rPr>
              <w:t>2012</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96"/>
              <w:spacing w:after="0"/>
              <w:rPr>
                <w:sz w:val="20"/>
                <w:szCs w:val="20"/>
                <w:color w:val="auto"/>
              </w:rPr>
            </w:pPr>
            <w:r>
              <w:rPr>
                <w:rFonts w:ascii="Arial" w:cs="Arial" w:eastAsia="Arial" w:hAnsi="Arial"/>
                <w:sz w:val="10"/>
                <w:szCs w:val="10"/>
                <w:b w:val="1"/>
                <w:bCs w:val="1"/>
                <w:color w:val="auto"/>
              </w:rPr>
              <w:t>2011</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98"/>
              </w:rPr>
              <w:t>Change</w:t>
            </w:r>
          </w:p>
        </w:tc>
        <w:tc>
          <w:tcPr>
            <w:tcW w:w="700" w:type="dxa"/>
            <w:vAlign w:val="bottom"/>
          </w:tcPr>
          <w:p>
            <w:pPr>
              <w:spacing w:after="0"/>
              <w:rPr>
                <w:sz w:val="10"/>
                <w:szCs w:val="10"/>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Change</w:t>
            </w:r>
          </w:p>
        </w:tc>
        <w:tc>
          <w:tcPr>
            <w:tcW w:w="0" w:type="dxa"/>
            <w:vAlign w:val="bottom"/>
          </w:tcPr>
          <w:p>
            <w:pPr>
              <w:spacing w:after="0"/>
              <w:rPr>
                <w:sz w:val="1"/>
                <w:szCs w:val="1"/>
                <w:color w:val="auto"/>
              </w:rPr>
            </w:pPr>
          </w:p>
        </w:tc>
      </w:tr>
      <w:tr>
        <w:trPr>
          <w:trHeight w:val="144"/>
        </w:trPr>
        <w:tc>
          <w:tcPr>
            <w:tcW w:w="66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Operating Income:</w:t>
            </w: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60" w:type="dxa"/>
            <w:vAlign w:val="bottom"/>
          </w:tcPr>
          <w:p>
            <w:pPr>
              <w:spacing w:after="0"/>
              <w:rPr>
                <w:sz w:val="20"/>
                <w:szCs w:val="20"/>
                <w:color w:val="auto"/>
              </w:rPr>
            </w:pPr>
            <w:r>
              <w:rPr>
                <w:rFonts w:ascii="Arial" w:cs="Arial" w:eastAsia="Arial" w:hAnsi="Arial"/>
                <w:sz w:val="13"/>
                <w:szCs w:val="13"/>
                <w:color w:val="auto"/>
              </w:rPr>
              <w:t>Direct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68,097</w:t>
            </w:r>
          </w:p>
        </w:tc>
        <w:tc>
          <w:tcPr>
            <w:tcW w:w="6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46,443</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$21,654</w:t>
            </w:r>
          </w:p>
        </w:tc>
        <w:tc>
          <w:tcPr>
            <w:tcW w:w="1180" w:type="dxa"/>
            <w:vAlign w:val="bottom"/>
            <w:gridSpan w:val="3"/>
          </w:tcPr>
          <w:p>
            <w:pPr>
              <w:jc w:val="right"/>
              <w:ind w:right="40"/>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64"/>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Indirect</w:t>
            </w: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93,042</w:t>
            </w:r>
          </w:p>
        </w:tc>
        <w:tc>
          <w:tcPr>
            <w:tcW w:w="6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91,680</w:t>
            </w:r>
          </w:p>
        </w:tc>
        <w:tc>
          <w:tcPr>
            <w:tcW w:w="6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$ 1,362</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4"/>
        </w:trPr>
        <w:tc>
          <w:tcPr>
            <w:tcW w:w="6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161,139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138,123</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23,016</w:t>
            </w:r>
          </w:p>
        </w:tc>
        <w:tc>
          <w:tcPr>
            <w:tcW w:w="1180" w:type="dxa"/>
            <w:vAlign w:val="bottom"/>
            <w:gridSpan w:val="3"/>
          </w:tcPr>
          <w:p>
            <w:pPr>
              <w:jc w:val="right"/>
              <w:ind w:right="4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65"/>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Less: Unallocated corporate expenses</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99"/>
              </w:rPr>
              <w:t>(64,968)</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w w:val="94"/>
              </w:rPr>
              <w:t>(84,803)</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19,835</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4"/>
        </w:trPr>
        <w:tc>
          <w:tcPr>
            <w:tcW w:w="6660" w:type="dxa"/>
            <w:vAlign w:val="bottom"/>
          </w:tcPr>
          <w:p>
            <w:pPr>
              <w:spacing w:after="0"/>
              <w:rPr>
                <w:sz w:val="20"/>
                <w:szCs w:val="20"/>
                <w:color w:val="auto"/>
              </w:rPr>
            </w:pPr>
            <w:r>
              <w:rPr>
                <w:rFonts w:ascii="Arial" w:cs="Arial" w:eastAsia="Arial" w:hAnsi="Arial"/>
                <w:sz w:val="13"/>
                <w:szCs w:val="13"/>
                <w:color w:val="auto"/>
              </w:rPr>
              <w:t>Operating income</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96,171</w:t>
            </w:r>
          </w:p>
        </w:tc>
        <w:tc>
          <w:tcPr>
            <w:tcW w:w="6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53,320</w:t>
            </w:r>
          </w:p>
        </w:tc>
        <w:tc>
          <w:tcPr>
            <w:tcW w:w="6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42,851</w:t>
            </w:r>
          </w:p>
        </w:tc>
        <w:tc>
          <w:tcPr>
            <w:tcW w:w="1180" w:type="dxa"/>
            <w:vAlign w:val="bottom"/>
            <w:gridSpan w:val="3"/>
          </w:tcPr>
          <w:p>
            <w:pPr>
              <w:jc w:val="right"/>
              <w:ind w:right="40"/>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i w:val="1"/>
          <w:iCs w:val="1"/>
          <w:color w:val="auto"/>
        </w:rPr>
        <w:t>Direct</w:t>
      </w:r>
      <w:r>
        <w:rPr>
          <w:rFonts w:ascii="Arial" w:cs="Arial" w:eastAsia="Arial" w:hAnsi="Arial"/>
          <w:sz w:val="13"/>
          <w:szCs w:val="13"/>
          <w:color w:val="auto"/>
        </w:rPr>
        <w:t>. For fiscal 2012, operating income increased $21.7 million, or 46.6%, due to an increase in gross profit, offset in part by increased selling expenses related to store operational costs and costs associated with</w:t>
      </w:r>
      <w:r>
        <w:rPr>
          <w:rFonts w:ascii="Arial" w:cs="Arial" w:eastAsia="Arial" w:hAnsi="Arial"/>
          <w:sz w:val="13"/>
          <w:szCs w:val="13"/>
          <w:i w:val="1"/>
          <w:iCs w:val="1"/>
          <w:color w:val="auto"/>
        </w:rPr>
        <w:t xml:space="preserve"> </w:t>
      </w:r>
      <w:r>
        <w:rPr>
          <w:rFonts w:ascii="Arial" w:cs="Arial" w:eastAsia="Arial" w:hAnsi="Arial"/>
          <w:sz w:val="13"/>
          <w:szCs w:val="13"/>
          <w:color w:val="auto"/>
        </w:rPr>
        <w:t>our market entry into Japan.</w:t>
      </w:r>
    </w:p>
    <w:p>
      <w:pPr>
        <w:spacing w:after="0" w:line="81" w:lineRule="exact"/>
        <w:rPr>
          <w:sz w:val="20"/>
          <w:szCs w:val="20"/>
          <w:color w:val="auto"/>
        </w:rPr>
      </w:pPr>
    </w:p>
    <w:p>
      <w:pPr>
        <w:ind w:right="380"/>
        <w:spacing w:after="0" w:line="298" w:lineRule="auto"/>
        <w:rPr>
          <w:sz w:val="20"/>
          <w:szCs w:val="20"/>
          <w:color w:val="auto"/>
        </w:rPr>
      </w:pPr>
      <w:r>
        <w:rPr>
          <w:rFonts w:ascii="Arial" w:cs="Arial" w:eastAsia="Arial" w:hAnsi="Arial"/>
          <w:sz w:val="13"/>
          <w:szCs w:val="13"/>
          <w:i w:val="1"/>
          <w:iCs w:val="1"/>
          <w:color w:val="auto"/>
        </w:rPr>
        <w:t>Indirect</w:t>
      </w:r>
      <w:r>
        <w:rPr>
          <w:rFonts w:ascii="Arial" w:cs="Arial" w:eastAsia="Arial" w:hAnsi="Arial"/>
          <w:sz w:val="13"/>
          <w:szCs w:val="13"/>
          <w:color w:val="auto"/>
        </w:rPr>
        <w:t>. For fiscal 2012, operating income increased $1.4 million, or 1.5%, primarily from an increase in revenue and sales-driven leverage of SG&amp;A, offset in part by a decline in gross margin, as previously</w:t>
      </w:r>
      <w:r>
        <w:rPr>
          <w:rFonts w:ascii="Arial" w:cs="Arial" w:eastAsia="Arial" w:hAnsi="Arial"/>
          <w:sz w:val="13"/>
          <w:szCs w:val="13"/>
          <w:i w:val="1"/>
          <w:iCs w:val="1"/>
          <w:color w:val="auto"/>
        </w:rPr>
        <w:t xml:space="preserve"> </w:t>
      </w:r>
      <w:r>
        <w:rPr>
          <w:rFonts w:ascii="Arial" w:cs="Arial" w:eastAsia="Arial" w:hAnsi="Arial"/>
          <w:sz w:val="13"/>
          <w:szCs w:val="13"/>
          <w:color w:val="auto"/>
        </w:rPr>
        <w:t>discussed.</w:t>
      </w:r>
    </w:p>
    <w:p>
      <w:pPr>
        <w:spacing w:after="0" w:line="81"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i w:val="1"/>
          <w:iCs w:val="1"/>
          <w:color w:val="auto"/>
        </w:rPr>
        <w:t>Corporate Unallocated</w:t>
      </w:r>
      <w:r>
        <w:rPr>
          <w:rFonts w:ascii="Arial" w:cs="Arial" w:eastAsia="Arial" w:hAnsi="Arial"/>
          <w:sz w:val="13"/>
          <w:szCs w:val="13"/>
          <w:color w:val="auto"/>
        </w:rPr>
        <w:t>. For fiscal 2012, unallocated expenses decreased $19.8 million, or 23.4%, primarily as a result of stock-based compensation expense and bonuses paid to recipients of restricted-stock awards</w:t>
      </w:r>
      <w:r>
        <w:rPr>
          <w:rFonts w:ascii="Arial" w:cs="Arial" w:eastAsia="Arial" w:hAnsi="Arial"/>
          <w:sz w:val="13"/>
          <w:szCs w:val="13"/>
          <w:i w:val="1"/>
          <w:iCs w:val="1"/>
          <w:color w:val="auto"/>
        </w:rPr>
        <w:t xml:space="preserve"> </w:t>
      </w:r>
      <w:r>
        <w:rPr>
          <w:rFonts w:ascii="Arial" w:cs="Arial" w:eastAsia="Arial" w:hAnsi="Arial"/>
          <w:sz w:val="13"/>
          <w:szCs w:val="13"/>
          <w:color w:val="auto"/>
        </w:rPr>
        <w:t>in the prior-year period.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Expense, Net</w:t>
      </w:r>
    </w:p>
    <w:p>
      <w:pPr>
        <w:spacing w:after="0" w:line="76"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For the fiscal year ended January 28, 2012, net interest expense decreased $0.5 million, or 29.5%, to $1.1 million, from $1.6 million in the fiscal year ended January 29, 2011. The decrease of $0.5 million was due primarily to a write off in the same period of the prior-year of $0.2 million of unamortized debt-issuance costs in connection with the amendment and restatement of the credit agreement. The remaining $0.3 million was attributable to lower average borrowing rates in the fiscal year ended January 28, 2012.</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 Expense</w:t>
      </w:r>
    </w:p>
    <w:p>
      <w:pPr>
        <w:spacing w:after="0" w:line="76"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For fiscal 2012, we recorded income tax expense of $37.1 million at an effective tax rate of 39.0%, which is consistent with U.S. federal and state statutory rates. The change in our effective tax rate from fiscal 2011 reflects a more normalized rate due to being subject to corporate-level U.S. federal and state income taxes for the full fiscal year. The effective tax rate also reflects a loss for the Japanese operations for which a tax benefit was not recognized.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60"/>
          </w:cols>
          <w:pgMar w:left="220" w:top="384" w:right="2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For fiscal 2011, we recorded income tax expense of $5.5 million. This expense was comprised of (1) $6.8 million of expense related to activity during the portion of fiscal 2011 that we were a “C” Corporation (October 3, 2010, through January 29, 2011) at an effective tax rate of 51.2% and (2) $0.5 million of state taxes related to taxing jurisdictions that did not recognize our previous “S” Corporation status, offset in part by a one-time deferred tax benefit of $1.8 million recognized upon the termination of our “S” Corporation status. Included in tax expense for the portion of the fiscal year that we operated as a “C” Corporation was $1.2 million related to permanently non-deductible stock-based compensation expense associated with restricted-stock awards that vested in connection with our initial public offering.</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2011 Compared to Fiscal 2010</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Revenues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For fiscal 2011, net revenues increased $77.2 million, or 26.7%, to $366.1 million, from $288.9 million for fiscal 2010.</w:t>
      </w:r>
    </w:p>
    <w:p>
      <w:pPr>
        <w:spacing w:after="0" w:line="138" w:lineRule="exact"/>
        <w:rPr>
          <w:sz w:val="20"/>
          <w:szCs w:val="20"/>
          <w:color w:val="auto"/>
        </w:rPr>
      </w:pPr>
    </w:p>
    <w:p>
      <w:pPr>
        <w:jc w:val="both"/>
        <w:ind w:right="80"/>
        <w:spacing w:after="0" w:line="281" w:lineRule="auto"/>
        <w:rPr>
          <w:sz w:val="20"/>
          <w:szCs w:val="20"/>
          <w:color w:val="auto"/>
        </w:rPr>
      </w:pPr>
      <w:r>
        <w:rPr>
          <w:rFonts w:ascii="Arial" w:cs="Arial" w:eastAsia="Arial" w:hAnsi="Arial"/>
          <w:sz w:val="13"/>
          <w:szCs w:val="13"/>
          <w:i w:val="1"/>
          <w:iCs w:val="1"/>
          <w:color w:val="auto"/>
        </w:rPr>
        <w:t>Indirect</w:t>
      </w:r>
      <w:r>
        <w:rPr>
          <w:rFonts w:ascii="Arial" w:cs="Arial" w:eastAsia="Arial" w:hAnsi="Arial"/>
          <w:sz w:val="13"/>
          <w:szCs w:val="13"/>
          <w:color w:val="auto"/>
        </w:rPr>
        <w:t>. For fiscal 2011, net revenues increased $22.1 million, or 11.5%, to $214.9 million, from $192.8 million for fiscal 2010, due primarily to increased sales volume to our Indirect retailers. The increased sales</w:t>
      </w:r>
      <w:r>
        <w:rPr>
          <w:rFonts w:ascii="Arial" w:cs="Arial" w:eastAsia="Arial" w:hAnsi="Arial"/>
          <w:sz w:val="13"/>
          <w:szCs w:val="13"/>
          <w:i w:val="1"/>
          <w:iCs w:val="1"/>
          <w:color w:val="auto"/>
        </w:rPr>
        <w:t xml:space="preserve"> </w:t>
      </w:r>
      <w:r>
        <w:rPr>
          <w:rFonts w:ascii="Arial" w:cs="Arial" w:eastAsia="Arial" w:hAnsi="Arial"/>
          <w:sz w:val="13"/>
          <w:szCs w:val="13"/>
          <w:color w:val="auto"/>
        </w:rPr>
        <w:t>volume resulted primarily from greater demand for our Signature Collection releases that, in most cases, had more patterns and styles relative to fiscal 2010 releases, increased offerings and sales of non-Signature Collection products, and improved economic conditions.</w:t>
      </w:r>
    </w:p>
    <w:p>
      <w:pPr>
        <w:spacing w:after="0" w:line="91"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i w:val="1"/>
          <w:iCs w:val="1"/>
          <w:color w:val="auto"/>
        </w:rPr>
        <w:t>Direct</w:t>
      </w:r>
      <w:r>
        <w:rPr>
          <w:rFonts w:ascii="Arial" w:cs="Arial" w:eastAsia="Arial" w:hAnsi="Arial"/>
          <w:sz w:val="13"/>
          <w:szCs w:val="13"/>
          <w:color w:val="auto"/>
        </w:rPr>
        <w:t>. For fiscal 2011, net revenues increased $55.0 million, or 57.2%, to $151.1 million, from $96.1 million for fiscal 2010. This growth resulted from a $22.8 million increase in e-commerce revenues due</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to greater traffic resulting from marketing initiatives, a $22.6 million increase in non-comparable store sales, and a $7.3 million, or 25.8%, increase in comparable-store sales due primarily to increased store traffic. The number of our stores grew from 27 at the end of fiscal 2010 to 39 at the end of fiscal 2011. In addition, our annual outlet sale revenues increased by $2.3 million due to an increase in the number of shoppers that attended the sale and higher average product pricing at the sale.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Gross Profit</w:t>
      </w:r>
    </w:p>
    <w:p>
      <w:pPr>
        <w:spacing w:after="0" w:line="76" w:lineRule="exact"/>
        <w:rPr>
          <w:sz w:val="20"/>
          <w:szCs w:val="20"/>
          <w:color w:val="auto"/>
        </w:rPr>
      </w:pPr>
    </w:p>
    <w:p>
      <w:pPr>
        <w:ind w:right="160"/>
        <w:spacing w:after="0" w:line="281" w:lineRule="auto"/>
        <w:rPr>
          <w:sz w:val="20"/>
          <w:szCs w:val="20"/>
          <w:color w:val="auto"/>
        </w:rPr>
      </w:pPr>
      <w:r>
        <w:rPr>
          <w:rFonts w:ascii="Arial" w:cs="Arial" w:eastAsia="Arial" w:hAnsi="Arial"/>
          <w:sz w:val="13"/>
          <w:szCs w:val="13"/>
          <w:color w:val="auto"/>
        </w:rPr>
        <w:t>For fiscal 2011, gross profit increased $58.0 million, or 38.4%, to $209.1 million, from $151.1 million for fiscal 2010. As a percentage of net revenues, gross profit increased to 57.1% for fiscal 2011, from 52.3% for fiscal 2010. The increase in gross margin was due primarily to increased leverage of fixed costs as a result of the volume growth, improved efficiency in our utilization of raw materials as a result of our expanding outlet store channel, higher average product pricing at the annual outlet sale, and an overall revenue mix shift toward higher margin, retail-store sales.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 (SG&amp;A)</w:t>
      </w:r>
    </w:p>
    <w:p>
      <w:pPr>
        <w:spacing w:after="0" w:line="76"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For fiscal 2011, SG&amp;A expenses increased $46.9 million, or 40.4%, to $163.1 million, from $116.2 million for fiscal 2010. As a percentage of net revenues, SG&amp;A expenses were 44.5% and 40.2% for fiscal 2011 and fiscal 2010, respectively.</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For fiscal 2011, selling expenses increased $19.9 million, or 36.0%, to $75.3 million, from $55.4 million for fiscal 2010. As a percentage of net revenues, selling expenses were 20.6% and 19.2% for fiscal 2011 and fiscal 2010, respectively. The increase in selling expenses was due primarily to increased store operational costs attributable to new store openings as well as e-commerce and store marketing initiatives to drive increased traffic. The increase in selling expenses also resulted from the company holding two product introduction and educational events (or Premieres) for Indirect retailers during fiscal 2011, compared to only one event during fiscal 2010, and from other increased expenses as a result of the increase in net revenues. These increases were partially offset by a $1.3 million asset-impairment charge, as further described below, recorded in fiscal 2010. No such charge was recorded in fiscal 2011.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60"/>
          </w:cols>
          <w:pgMar w:left="220" w:top="384" w:right="2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jc w:val="both"/>
        <w:ind w:right="340"/>
        <w:spacing w:after="0" w:line="275" w:lineRule="auto"/>
        <w:rPr>
          <w:sz w:val="20"/>
          <w:szCs w:val="20"/>
          <w:color w:val="auto"/>
        </w:rPr>
      </w:pPr>
      <w:r>
        <w:rPr>
          <w:rFonts w:ascii="Arial" w:cs="Arial" w:eastAsia="Arial" w:hAnsi="Arial"/>
          <w:sz w:val="13"/>
          <w:szCs w:val="13"/>
          <w:color w:val="auto"/>
        </w:rPr>
        <w:t>For fiscal 2011, advertising, marketing, and product development expenses decreased $1.1 million, or 3.7%, to $28.7 million, from $29.8 million for fiscal 2010. As a percentage of net revenues, advertising, marketing, and product development expenses were 7.8% and 10.3% for fiscal 2011 and fiscal 2010, respectively. This decrease resulted primarily from reduced expenses associated with our co-op marketing programs as a result of refining the marketing support for our Indirect retailers. These reduced expenses were offset in part by increased spending on non-co-op advertising and marketing efforts and by higher employee and other costs associated with our expanded product design capabilities and with the increase in net revenues.</w:t>
      </w:r>
    </w:p>
    <w:p>
      <w:pPr>
        <w:spacing w:after="0" w:line="95" w:lineRule="exact"/>
        <w:rPr>
          <w:sz w:val="20"/>
          <w:szCs w:val="20"/>
          <w:color w:val="auto"/>
        </w:rPr>
      </w:pPr>
    </w:p>
    <w:p>
      <w:pPr>
        <w:ind w:right="40"/>
        <w:spacing w:after="0" w:line="304" w:lineRule="auto"/>
        <w:rPr>
          <w:sz w:val="20"/>
          <w:szCs w:val="20"/>
          <w:color w:val="auto"/>
        </w:rPr>
      </w:pPr>
      <w:r>
        <w:rPr>
          <w:rFonts w:ascii="Arial" w:cs="Arial" w:eastAsia="Arial" w:hAnsi="Arial"/>
          <w:sz w:val="12"/>
          <w:szCs w:val="12"/>
          <w:color w:val="auto"/>
        </w:rPr>
        <w:t>For fiscal 2011, administrative expenses increased $28.1 million, or 90.7%, to $59.0 million, from $30.9 million for fiscal 2010. As a percentage of net revenues, administrative expenses were 16.1% and 10.7% for fiscal 2011 and fiscal 2010, respectively. This increase was due primarily to $15.8 million of stock-based compensation expense associated with the vesting of restricted-stock awards in connection with our initial public offering as well as $6.1 million of expense associated with bonuses paid to recipients of the restricted-stock awards to satisfy tax obligations. In addition, we incurred higher corporate personnel and other costs necessary to support our growth as well as increased professional services fees related in part to our transition from a private to a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w:t>
      </w:r>
    </w:p>
    <w:p>
      <w:pPr>
        <w:spacing w:after="0" w:line="76"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For fiscal 2012, other income decreased $3.5 million, or 32.7%, to $7.2 million, from $10.7 million for fiscal 2010. This decrease was due to the above-discussed refinement of the marketing support for our Indirect retailers, which resulted in decreased reimbursement of our advertising expenses.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Income</w:t>
      </w:r>
    </w:p>
    <w:p>
      <w:pPr>
        <w:spacing w:after="0" w:line="76"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For fiscal 2011, operating income increased $7.6 million, or 16.6%, to $53.3 million, from $45.7 million for fiscal 2010. As a percentage of net revenues, operating income was 14.6% and 15.8% for fiscal 2011 and fiscal 2010, respectively. This decrease in operating income as a percentage of net revenues was due primarily to the previously discussed $15.8 million of stock-based compensation expense associated with the vesting of restricted-stock awards in connection with our initial public offering and the $6.1 million of expense associated with bonuses paid to recipients of the restricted-stock awards.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Operating income for our business segments is provided below.</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24"/>
        </w:trPr>
        <w:tc>
          <w:tcPr>
            <w:tcW w:w="6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ind w:left="380"/>
              <w:spacing w:after="0"/>
              <w:rPr>
                <w:sz w:val="20"/>
                <w:szCs w:val="20"/>
                <w:color w:val="auto"/>
              </w:rPr>
            </w:pPr>
            <w:r>
              <w:rPr>
                <w:rFonts w:ascii="Arial" w:cs="Arial" w:eastAsia="Arial" w:hAnsi="Arial"/>
                <w:sz w:val="10"/>
                <w:szCs w:val="10"/>
                <w:b w:val="1"/>
                <w:bCs w:val="1"/>
                <w:color w:val="auto"/>
                <w:w w:val="95"/>
              </w:rPr>
              <w:t>Fiscal Year Ended</w:t>
            </w:r>
          </w:p>
        </w:tc>
        <w:tc>
          <w:tcPr>
            <w:tcW w:w="44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vMerge w:val="restart"/>
          </w:tcPr>
          <w:p>
            <w:pPr>
              <w:jc w:val="right"/>
              <w:ind w:right="158"/>
              <w:spacing w:after="0"/>
              <w:rPr>
                <w:sz w:val="20"/>
                <w:szCs w:val="20"/>
                <w:color w:val="auto"/>
              </w:rPr>
            </w:pPr>
            <w:r>
              <w:rPr>
                <w:rFonts w:ascii="Arial" w:cs="Arial" w:eastAsia="Arial" w:hAnsi="Arial"/>
                <w:sz w:val="10"/>
                <w:szCs w:val="10"/>
                <w:b w:val="1"/>
                <w:bCs w:val="1"/>
                <w:color w:val="auto"/>
              </w:rPr>
              <w:t>$</w:t>
            </w:r>
          </w:p>
        </w:tc>
        <w:tc>
          <w:tcPr>
            <w:tcW w:w="700" w:type="dxa"/>
            <w:vAlign w:val="bottom"/>
          </w:tcPr>
          <w:p>
            <w:pPr>
              <w:spacing w:after="0"/>
              <w:rPr>
                <w:sz w:val="10"/>
                <w:szCs w:val="10"/>
                <w:color w:val="auto"/>
              </w:rPr>
            </w:pPr>
          </w:p>
        </w:tc>
        <w:tc>
          <w:tcPr>
            <w:tcW w:w="32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6420" w:type="dxa"/>
            <w:vAlign w:val="bottom"/>
          </w:tcPr>
          <w:p>
            <w:pPr>
              <w:spacing w:after="0"/>
              <w:rPr>
                <w:sz w:val="8"/>
                <w:szCs w:val="8"/>
                <w:color w:val="auto"/>
              </w:rPr>
            </w:pPr>
          </w:p>
        </w:tc>
        <w:tc>
          <w:tcPr>
            <w:tcW w:w="122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January 29,</w:t>
            </w:r>
          </w:p>
        </w:tc>
        <w:tc>
          <w:tcPr>
            <w:tcW w:w="52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w w:val="90"/>
              </w:rPr>
              <w:t>January 30,</w:t>
            </w: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420" w:type="dxa"/>
            <w:vAlign w:val="bottom"/>
          </w:tcPr>
          <w:p>
            <w:pPr>
              <w:spacing w:after="0"/>
              <w:rPr>
                <w:sz w:val="20"/>
                <w:szCs w:val="20"/>
                <w:color w:val="auto"/>
              </w:rPr>
            </w:pPr>
            <w:r>
              <w:rPr>
                <w:rFonts w:ascii="Arial" w:cs="Arial" w:eastAsia="Arial" w:hAnsi="Arial"/>
                <w:sz w:val="10"/>
                <w:szCs w:val="10"/>
                <w:i w:val="1"/>
                <w:iCs w:val="1"/>
                <w:color w:val="auto"/>
              </w:rPr>
              <w:t>($ in millions)</w:t>
            </w:r>
          </w:p>
        </w:tc>
        <w:tc>
          <w:tcPr>
            <w:tcW w:w="80" w:type="dxa"/>
            <w:vAlign w:val="bottom"/>
          </w:tcPr>
          <w:p>
            <w:pPr>
              <w:spacing w:after="0"/>
              <w:rPr>
                <w:sz w:val="10"/>
                <w:szCs w:val="10"/>
                <w:color w:val="auto"/>
              </w:rPr>
            </w:pPr>
          </w:p>
        </w:tc>
        <w:tc>
          <w:tcPr>
            <w:tcW w:w="440" w:type="dxa"/>
            <w:vAlign w:val="bottom"/>
          </w:tcPr>
          <w:p>
            <w:pPr>
              <w:jc w:val="right"/>
              <w:ind w:right="98"/>
              <w:spacing w:after="0"/>
              <w:rPr>
                <w:sz w:val="20"/>
                <w:szCs w:val="20"/>
                <w:color w:val="auto"/>
              </w:rPr>
            </w:pPr>
            <w:r>
              <w:rPr>
                <w:rFonts w:ascii="Arial" w:cs="Arial" w:eastAsia="Arial" w:hAnsi="Arial"/>
                <w:sz w:val="10"/>
                <w:szCs w:val="10"/>
                <w:b w:val="1"/>
                <w:bCs w:val="1"/>
                <w:color w:val="auto"/>
              </w:rPr>
              <w:t>2011</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96"/>
              <w:spacing w:after="0"/>
              <w:rPr>
                <w:sz w:val="20"/>
                <w:szCs w:val="20"/>
                <w:color w:val="auto"/>
              </w:rPr>
            </w:pPr>
            <w:r>
              <w:rPr>
                <w:rFonts w:ascii="Arial" w:cs="Arial" w:eastAsia="Arial" w:hAnsi="Arial"/>
                <w:sz w:val="10"/>
                <w:szCs w:val="10"/>
                <w:b w:val="1"/>
                <w:bCs w:val="1"/>
                <w:color w:val="auto"/>
              </w:rPr>
              <w:t>2010</w:t>
            </w:r>
          </w:p>
        </w:tc>
        <w:tc>
          <w:tcPr>
            <w:tcW w:w="700" w:type="dxa"/>
            <w:vAlign w:val="bottom"/>
          </w:tcPr>
          <w:p>
            <w:pPr>
              <w:spacing w:after="0"/>
              <w:rPr>
                <w:sz w:val="10"/>
                <w:szCs w:val="10"/>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Change</w:t>
            </w:r>
          </w:p>
        </w:tc>
        <w:tc>
          <w:tcPr>
            <w:tcW w:w="480" w:type="dxa"/>
            <w:vAlign w:val="bottom"/>
            <w:gridSpan w:val="2"/>
          </w:tcPr>
          <w:p>
            <w:pPr>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44"/>
        </w:trPr>
        <w:tc>
          <w:tcPr>
            <w:tcW w:w="642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Operating Income:</w:t>
            </w: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20" w:type="dxa"/>
            <w:vAlign w:val="bottom"/>
          </w:tcPr>
          <w:p>
            <w:pPr>
              <w:spacing w:after="0"/>
              <w:rPr>
                <w:sz w:val="20"/>
                <w:szCs w:val="20"/>
                <w:color w:val="auto"/>
              </w:rPr>
            </w:pPr>
            <w:r>
              <w:rPr>
                <w:rFonts w:ascii="Arial" w:cs="Arial" w:eastAsia="Arial" w:hAnsi="Arial"/>
                <w:sz w:val="13"/>
                <w:szCs w:val="13"/>
                <w:color w:val="auto"/>
              </w:rPr>
              <w:t>Direct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46,443</w:t>
            </w:r>
          </w:p>
        </w:tc>
        <w:tc>
          <w:tcPr>
            <w:tcW w:w="7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25,285</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$ 21,158</w:t>
            </w:r>
          </w:p>
        </w:tc>
        <w:tc>
          <w:tcPr>
            <w:tcW w:w="70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Arial" w:cs="Arial" w:eastAsia="Arial" w:hAnsi="Arial"/>
                <w:sz w:val="13"/>
                <w:szCs w:val="13"/>
                <w:color w:val="auto"/>
                <w:w w:val="97"/>
              </w:rPr>
              <w:t>83.7%</w:t>
            </w:r>
          </w:p>
        </w:tc>
        <w:tc>
          <w:tcPr>
            <w:tcW w:w="0" w:type="dxa"/>
            <w:vAlign w:val="bottom"/>
          </w:tcPr>
          <w:p>
            <w:pPr>
              <w:spacing w:after="0"/>
              <w:rPr>
                <w:sz w:val="1"/>
                <w:szCs w:val="1"/>
                <w:color w:val="auto"/>
              </w:rPr>
            </w:pPr>
          </w:p>
        </w:tc>
      </w:tr>
      <w:tr>
        <w:trPr>
          <w:trHeight w:val="164"/>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Indirect</w:t>
            </w: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91,680</w:t>
            </w:r>
          </w:p>
        </w:tc>
        <w:tc>
          <w:tcPr>
            <w:tcW w:w="7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72,649</w:t>
            </w:r>
          </w:p>
        </w:tc>
        <w:tc>
          <w:tcPr>
            <w:tcW w:w="7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19,031</w:t>
            </w:r>
          </w:p>
        </w:tc>
        <w:tc>
          <w:tcPr>
            <w:tcW w:w="7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7"/>
              </w:rPr>
              <w:t>26.2%</w:t>
            </w:r>
          </w:p>
        </w:tc>
        <w:tc>
          <w:tcPr>
            <w:tcW w:w="0" w:type="dxa"/>
            <w:vAlign w:val="bottom"/>
          </w:tcPr>
          <w:p>
            <w:pPr>
              <w:spacing w:after="0"/>
              <w:rPr>
                <w:sz w:val="1"/>
                <w:szCs w:val="1"/>
                <w:color w:val="auto"/>
              </w:rPr>
            </w:pPr>
          </w:p>
        </w:tc>
      </w:tr>
      <w:tr>
        <w:trPr>
          <w:trHeight w:val="164"/>
        </w:trPr>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138,123</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97,934</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40,189</w:t>
            </w:r>
          </w:p>
        </w:tc>
        <w:tc>
          <w:tcPr>
            <w:tcW w:w="70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Arial" w:cs="Arial" w:eastAsia="Arial" w:hAnsi="Arial"/>
                <w:sz w:val="13"/>
                <w:szCs w:val="13"/>
                <w:color w:val="auto"/>
                <w:w w:val="97"/>
              </w:rPr>
              <w:t>41.0%</w:t>
            </w:r>
          </w:p>
        </w:tc>
        <w:tc>
          <w:tcPr>
            <w:tcW w:w="0" w:type="dxa"/>
            <w:vAlign w:val="bottom"/>
          </w:tcPr>
          <w:p>
            <w:pPr>
              <w:spacing w:after="0"/>
              <w:rPr>
                <w:sz w:val="1"/>
                <w:szCs w:val="1"/>
                <w:color w:val="auto"/>
              </w:rPr>
            </w:pPr>
          </w:p>
        </w:tc>
      </w:tr>
      <w:tr>
        <w:trPr>
          <w:trHeight w:val="165"/>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Less: Unallocated corporate expenses</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4"/>
              </w:rPr>
              <w:t>(84,803)</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4"/>
              </w:rPr>
              <w:t>(52,222)</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(32,581)</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7"/>
              </w:rPr>
              <w:t>62.4%</w:t>
            </w:r>
          </w:p>
        </w:tc>
        <w:tc>
          <w:tcPr>
            <w:tcW w:w="0" w:type="dxa"/>
            <w:vAlign w:val="bottom"/>
          </w:tcPr>
          <w:p>
            <w:pPr>
              <w:spacing w:after="0"/>
              <w:rPr>
                <w:sz w:val="1"/>
                <w:szCs w:val="1"/>
                <w:color w:val="auto"/>
              </w:rPr>
            </w:pPr>
          </w:p>
        </w:tc>
      </w:tr>
      <w:tr>
        <w:trPr>
          <w:trHeight w:val="164"/>
        </w:trPr>
        <w:tc>
          <w:tcPr>
            <w:tcW w:w="6420" w:type="dxa"/>
            <w:vAlign w:val="bottom"/>
          </w:tcPr>
          <w:p>
            <w:pPr>
              <w:spacing w:after="0"/>
              <w:rPr>
                <w:sz w:val="20"/>
                <w:szCs w:val="20"/>
                <w:color w:val="auto"/>
              </w:rPr>
            </w:pPr>
            <w:r>
              <w:rPr>
                <w:rFonts w:ascii="Arial" w:cs="Arial" w:eastAsia="Arial" w:hAnsi="Arial"/>
                <w:sz w:val="13"/>
                <w:szCs w:val="13"/>
                <w:color w:val="auto"/>
              </w:rPr>
              <w:t>Operating income</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53,320</w:t>
            </w:r>
          </w:p>
        </w:tc>
        <w:tc>
          <w:tcPr>
            <w:tcW w:w="7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45,712</w:t>
            </w:r>
          </w:p>
        </w:tc>
        <w:tc>
          <w:tcPr>
            <w:tcW w:w="7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7,608</w:t>
            </w:r>
          </w:p>
        </w:tc>
        <w:tc>
          <w:tcPr>
            <w:tcW w:w="700" w:type="dxa"/>
            <w:vAlign w:val="bottom"/>
          </w:tcPr>
          <w:p>
            <w:pPr>
              <w:spacing w:after="0"/>
              <w:rPr>
                <w:sz w:val="14"/>
                <w:szCs w:val="14"/>
                <w:color w:val="auto"/>
              </w:rPr>
            </w:pPr>
          </w:p>
        </w:tc>
        <w:tc>
          <w:tcPr>
            <w:tcW w:w="480" w:type="dxa"/>
            <w:vAlign w:val="bottom"/>
            <w:gridSpan w:val="2"/>
          </w:tcPr>
          <w:p>
            <w:pPr>
              <w:ind w:left="100"/>
              <w:spacing w:after="0"/>
              <w:rPr>
                <w:sz w:val="20"/>
                <w:szCs w:val="20"/>
                <w:color w:val="auto"/>
              </w:rPr>
            </w:pPr>
            <w:r>
              <w:rPr>
                <w:rFonts w:ascii="Arial" w:cs="Arial" w:eastAsia="Arial" w:hAnsi="Arial"/>
                <w:sz w:val="13"/>
                <w:szCs w:val="13"/>
                <w:color w:val="auto"/>
                <w:w w:val="97"/>
              </w:rPr>
              <w:t>16.6%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3"/>
          <w:szCs w:val="13"/>
          <w:i w:val="1"/>
          <w:iCs w:val="1"/>
          <w:color w:val="auto"/>
        </w:rPr>
        <w:t xml:space="preserve">Indirect </w:t>
      </w:r>
      <w:r>
        <w:rPr>
          <w:rFonts w:ascii="Arial" w:cs="Arial" w:eastAsia="Arial" w:hAnsi="Arial"/>
          <w:sz w:val="13"/>
          <w:szCs w:val="13"/>
          <w:color w:val="auto"/>
        </w:rPr>
        <w:t>For fiscal 2011, operating income increased $19.1 million, or 26.2%, primarily as a result of the previously discussed increase in gross profit. This increase was partially offset by increased selling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as previously discussed.</w:t>
      </w:r>
    </w:p>
    <w:p>
      <w:pPr>
        <w:spacing w:after="0" w:line="81"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i w:val="1"/>
          <w:iCs w:val="1"/>
          <w:color w:val="auto"/>
        </w:rPr>
        <w:t>Direct</w:t>
      </w:r>
      <w:r>
        <w:rPr>
          <w:rFonts w:ascii="Arial" w:cs="Arial" w:eastAsia="Arial" w:hAnsi="Arial"/>
          <w:sz w:val="13"/>
          <w:szCs w:val="13"/>
          <w:color w:val="auto"/>
        </w:rPr>
        <w:t>. For fiscal 2011, operating income increased $21.1 million, or 83.7%, primarily as a result of the previously discussed increase in gross profit. This increase was partially offset by increased selling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as previously discussed.</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440"/>
          </w:cols>
          <w:pgMar w:left="220" w:top="38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i w:val="1"/>
          <w:iCs w:val="1"/>
          <w:color w:val="auto"/>
        </w:rPr>
        <w:t>Corporate Unallocated</w:t>
      </w:r>
      <w:r>
        <w:rPr>
          <w:rFonts w:ascii="Arial" w:cs="Arial" w:eastAsia="Arial" w:hAnsi="Arial"/>
          <w:sz w:val="13"/>
          <w:szCs w:val="13"/>
          <w:color w:val="auto"/>
        </w:rPr>
        <w:t>. For fiscal 2011, unallocated expenses increased $32.6 million, or 62.4%, primarily as a result of increased stock-based and bonus compensation expenses, higher corporate personnel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costs, and increased professional services fees, as previously discussed.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Expense, Net</w:t>
      </w:r>
    </w:p>
    <w:p>
      <w:pPr>
        <w:spacing w:after="0" w:line="76"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Net interest expense was consistent for fiscal 2011 and fiscal 2010; a $0.2 million write off of unamortized debt-issuance costs in connection with the amendment and restatement of our credit agreement was offset by lower average borrowing levels during fiscal 2011.</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 Expense</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For fiscal 2011, we recorded income tax expense of $5.5 million. This expense was comprised of (1) $6.8 million of expense related to activity during the portion of fiscal 2011 that we were a “C” Corporation (October 3, 2010, through January 29, 2011) at an effective tax rate of 51.2% and (2) $0.5 million of state taxes related to taxing jurisdictions that did not recognize our previous “S” Corporation status, offset in part by a one-time deferred tax benefit of $1.8 million recognized upon the termination of our “S” Corporation status. Included in tax expense for the portion of the fiscal year that we operated as a “C” Corporation was $1.2 million related to permanently non-deductible stock-based compensation expense associated with restricted-stock awards that vested in connection with our initial public offering. For fiscal 2010, our income tax expense of $0.9 million (calculated at an effective rate of 2.0%) was comprised solely of state taxes related to taxing jurisdictions that did not recognize our previous “S” Corporation status. The increase in our effective tax rate resulted from our change in tax status.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General</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opening new stores, debt repayments, operational equipment, and information technology.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amended and restated credit agreement, in the near term.</w:t>
      </w:r>
    </w:p>
    <w:p>
      <w:pPr>
        <w:spacing w:after="0" w:line="98"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and debt payments for the foreseeable future.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 Analysis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A summary of operating, investing, and financing activities is shown in the following table (in thousands):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24"/>
        </w:trPr>
        <w:tc>
          <w:tcPr>
            <w:tcW w:w="43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2"/>
              </w:rPr>
              <w:t>Fiscal Year Ended</w:t>
            </w:r>
          </w:p>
        </w:tc>
        <w:tc>
          <w:tcPr>
            <w:tcW w:w="3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43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40" w:type="dxa"/>
            <w:vAlign w:val="bottom"/>
            <w:gridSpan w:val="2"/>
          </w:tcPr>
          <w:p>
            <w:pPr>
              <w:jc w:val="right"/>
              <w:ind w:right="320"/>
              <w:spacing w:after="0" w:line="92" w:lineRule="exact"/>
              <w:rPr>
                <w:sz w:val="20"/>
                <w:szCs w:val="20"/>
                <w:color w:val="auto"/>
              </w:rPr>
            </w:pPr>
            <w:r>
              <w:rPr>
                <w:rFonts w:ascii="Arial" w:cs="Arial" w:eastAsia="Arial" w:hAnsi="Arial"/>
                <w:sz w:val="10"/>
                <w:szCs w:val="10"/>
                <w:b w:val="1"/>
                <w:bCs w:val="1"/>
                <w:color w:val="auto"/>
                <w:w w:val="90"/>
              </w:rPr>
              <w:t>January 28,</w:t>
            </w:r>
          </w:p>
        </w:tc>
        <w:tc>
          <w:tcPr>
            <w:tcW w:w="1400" w:type="dxa"/>
            <w:vAlign w:val="bottom"/>
            <w:gridSpan w:val="3"/>
          </w:tcPr>
          <w:p>
            <w:pPr>
              <w:jc w:val="center"/>
              <w:ind w:right="40"/>
              <w:spacing w:after="0" w:line="92" w:lineRule="exact"/>
              <w:rPr>
                <w:sz w:val="20"/>
                <w:szCs w:val="20"/>
                <w:color w:val="auto"/>
              </w:rPr>
            </w:pPr>
            <w:r>
              <w:rPr>
                <w:rFonts w:ascii="Arial" w:cs="Arial" w:eastAsia="Arial" w:hAnsi="Arial"/>
                <w:sz w:val="10"/>
                <w:szCs w:val="10"/>
                <w:b w:val="1"/>
                <w:bCs w:val="1"/>
                <w:color w:val="auto"/>
                <w:w w:val="94"/>
              </w:rPr>
              <w:t>January 29,</w:t>
            </w:r>
          </w:p>
        </w:tc>
        <w:tc>
          <w:tcPr>
            <w:tcW w:w="820" w:type="dxa"/>
            <w:vAlign w:val="bottom"/>
            <w:gridSpan w:val="2"/>
          </w:tcPr>
          <w:p>
            <w:pPr>
              <w:jc w:val="right"/>
              <w:spacing w:after="0" w:line="92" w:lineRule="exact"/>
              <w:rPr>
                <w:sz w:val="20"/>
                <w:szCs w:val="20"/>
                <w:color w:val="auto"/>
              </w:rPr>
            </w:pPr>
            <w:r>
              <w:rPr>
                <w:rFonts w:ascii="Arial" w:cs="Arial" w:eastAsia="Arial" w:hAnsi="Arial"/>
                <w:sz w:val="10"/>
                <w:szCs w:val="10"/>
                <w:b w:val="1"/>
                <w:bCs w:val="1"/>
                <w:color w:val="auto"/>
              </w:rPr>
              <w:t>January 30,</w:t>
            </w:r>
          </w:p>
        </w:tc>
        <w:tc>
          <w:tcPr>
            <w:tcW w:w="100" w:type="dxa"/>
            <w:vAlign w:val="bottom"/>
          </w:tcPr>
          <w:p>
            <w:pPr>
              <w:spacing w:after="0"/>
              <w:rPr>
                <w:sz w:val="8"/>
                <w:szCs w:val="8"/>
                <w:color w:val="auto"/>
              </w:rPr>
            </w:pPr>
          </w:p>
        </w:tc>
      </w:tr>
      <w:tr>
        <w:trPr>
          <w:trHeight w:val="124"/>
        </w:trPr>
        <w:tc>
          <w:tcPr>
            <w:tcW w:w="4340" w:type="dxa"/>
            <w:vAlign w:val="bottom"/>
          </w:tcPr>
          <w:p>
            <w:pPr>
              <w:spacing w:after="0"/>
              <w:rPr>
                <w:sz w:val="10"/>
                <w:szCs w:val="10"/>
                <w:color w:val="auto"/>
              </w:rPr>
            </w:pPr>
          </w:p>
        </w:tc>
        <w:tc>
          <w:tcPr>
            <w:tcW w:w="2660" w:type="dxa"/>
            <w:vAlign w:val="bottom"/>
            <w:gridSpan w:val="2"/>
          </w:tcPr>
          <w:p>
            <w:pPr>
              <w:jc w:val="right"/>
              <w:ind w:right="101"/>
              <w:spacing w:after="0"/>
              <w:rPr>
                <w:sz w:val="20"/>
                <w:szCs w:val="20"/>
                <w:color w:val="auto"/>
              </w:rPr>
            </w:pPr>
            <w:r>
              <w:rPr>
                <w:rFonts w:ascii="Arial" w:cs="Arial" w:eastAsia="Arial" w:hAnsi="Arial"/>
                <w:sz w:val="10"/>
                <w:szCs w:val="10"/>
                <w:b w:val="1"/>
                <w:bCs w:val="1"/>
                <w:color w:val="auto"/>
              </w:rPr>
              <w:t>2012</w:t>
            </w:r>
          </w:p>
        </w:tc>
        <w:tc>
          <w:tcPr>
            <w:tcW w:w="320" w:type="dxa"/>
            <w:vAlign w:val="bottom"/>
          </w:tcPr>
          <w:p>
            <w:pPr>
              <w:spacing w:after="0"/>
              <w:rPr>
                <w:sz w:val="10"/>
                <w:szCs w:val="10"/>
                <w:color w:val="auto"/>
              </w:rPr>
            </w:pPr>
          </w:p>
        </w:tc>
        <w:tc>
          <w:tcPr>
            <w:tcW w:w="960" w:type="dxa"/>
            <w:vAlign w:val="bottom"/>
            <w:gridSpan w:val="2"/>
          </w:tcPr>
          <w:p>
            <w:pPr>
              <w:jc w:val="center"/>
              <w:ind w:left="342"/>
              <w:spacing w:after="0"/>
              <w:rPr>
                <w:sz w:val="20"/>
                <w:szCs w:val="20"/>
                <w:color w:val="auto"/>
              </w:rPr>
            </w:pPr>
            <w:r>
              <w:rPr>
                <w:rFonts w:ascii="Arial" w:cs="Arial" w:eastAsia="Arial" w:hAnsi="Arial"/>
                <w:sz w:val="10"/>
                <w:szCs w:val="10"/>
                <w:b w:val="1"/>
                <w:bCs w:val="1"/>
                <w:color w:val="auto"/>
                <w:w w:val="89"/>
              </w:rPr>
              <w:t>2011</w:t>
            </w:r>
          </w:p>
        </w:tc>
        <w:tc>
          <w:tcPr>
            <w:tcW w:w="440" w:type="dxa"/>
            <w:vAlign w:val="bottom"/>
          </w:tcPr>
          <w:p>
            <w:pPr>
              <w:spacing w:after="0"/>
              <w:rPr>
                <w:sz w:val="10"/>
                <w:szCs w:val="10"/>
                <w:color w:val="auto"/>
              </w:rPr>
            </w:pPr>
          </w:p>
        </w:tc>
        <w:tc>
          <w:tcPr>
            <w:tcW w:w="820" w:type="dxa"/>
            <w:vAlign w:val="bottom"/>
            <w:gridSpan w:val="2"/>
          </w:tcPr>
          <w:p>
            <w:pPr>
              <w:jc w:val="right"/>
              <w:ind w:right="93"/>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155"/>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2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  51,516</w:t>
            </w:r>
          </w:p>
        </w:tc>
        <w:tc>
          <w:tcPr>
            <w:tcW w:w="3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  58,466</w:t>
            </w:r>
          </w:p>
        </w:tc>
        <w:tc>
          <w:tcPr>
            <w:tcW w:w="4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  66,006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4"/>
        </w:trPr>
        <w:tc>
          <w:tcPr>
            <w:tcW w:w="434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2980" w:type="dxa"/>
            <w:vAlign w:val="bottom"/>
            <w:gridSpan w:val="3"/>
          </w:tcPr>
          <w:p>
            <w:pPr>
              <w:jc w:val="right"/>
              <w:ind w:right="280"/>
              <w:spacing w:after="0"/>
              <w:rPr>
                <w:sz w:val="20"/>
                <w:szCs w:val="20"/>
                <w:color w:val="auto"/>
              </w:rPr>
            </w:pPr>
            <w:r>
              <w:rPr>
                <w:rFonts w:ascii="Arial" w:cs="Arial" w:eastAsia="Arial" w:hAnsi="Arial"/>
                <w:sz w:val="13"/>
                <w:szCs w:val="13"/>
                <w:color w:val="auto"/>
              </w:rPr>
              <w:t>(18,836)</w:t>
            </w:r>
          </w:p>
        </w:tc>
        <w:tc>
          <w:tcPr>
            <w:tcW w:w="1400" w:type="dxa"/>
            <w:vAlign w:val="bottom"/>
            <w:gridSpan w:val="3"/>
          </w:tcPr>
          <w:p>
            <w:pPr>
              <w:jc w:val="right"/>
              <w:ind w:right="400"/>
              <w:spacing w:after="0"/>
              <w:rPr>
                <w:sz w:val="20"/>
                <w:szCs w:val="20"/>
                <w:color w:val="auto"/>
              </w:rPr>
            </w:pPr>
            <w:r>
              <w:rPr>
                <w:rFonts w:ascii="Arial" w:cs="Arial" w:eastAsia="Arial" w:hAnsi="Arial"/>
                <w:sz w:val="13"/>
                <w:szCs w:val="13"/>
                <w:color w:val="auto"/>
              </w:rPr>
              <w:t>(9,865)</w:t>
            </w:r>
          </w:p>
        </w:tc>
        <w:tc>
          <w:tcPr>
            <w:tcW w:w="920" w:type="dxa"/>
            <w:vAlign w:val="bottom"/>
            <w:gridSpan w:val="3"/>
          </w:tcPr>
          <w:p>
            <w:pPr>
              <w:jc w:val="right"/>
              <w:ind w:right="60"/>
              <w:spacing w:after="0"/>
              <w:rPr>
                <w:sz w:val="20"/>
                <w:szCs w:val="20"/>
                <w:color w:val="auto"/>
              </w:rPr>
            </w:pPr>
            <w:r>
              <w:rPr>
                <w:rFonts w:ascii="Arial" w:cs="Arial" w:eastAsia="Arial" w:hAnsi="Arial"/>
                <w:sz w:val="13"/>
                <w:szCs w:val="13"/>
                <w:color w:val="auto"/>
              </w:rPr>
              <w:t>(5,844)</w:t>
            </w:r>
          </w:p>
        </w:tc>
      </w:tr>
      <w:tr>
        <w:trPr>
          <w:trHeight w:val="164"/>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(41,757)</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(41,157)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(54,429)</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Cash Provided by Operating Activities</w:t>
      </w:r>
    </w:p>
    <w:p>
      <w:pPr>
        <w:spacing w:after="0" w:line="76"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color w:val="auto"/>
        </w:rPr>
        <w:t>Net cash provided by operating activities consist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60"/>
          </w:cols>
          <w:pgMar w:left="220" w:top="384" w:right="2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Net cash provided by operating activities was $51.5 million for the fiscal year ended January 28, 2012 primarily driven by our net income in the current year. This is slightly down from $58.5 million for the fiscal year ended January 29, 2011, primarily due to additional income tax payments of $42.9 million in the current year because of the conversion from an “S” Corporation to a “C” Corporation in the prior year making us subject to corporate-level U.S. federal and state income taxes. In addition, cash flow decreased due to timing of payments to our vendors, which was more than offset by the improvements in our supply chain and inventory management processes which allowed inventory levels to grow much less than the prior year.</w:t>
      </w:r>
    </w:p>
    <w:p>
      <w:pPr>
        <w:spacing w:after="0" w:line="95" w:lineRule="exact"/>
        <w:rPr>
          <w:sz w:val="20"/>
          <w:szCs w:val="20"/>
          <w:color w:val="auto"/>
        </w:rPr>
      </w:pPr>
    </w:p>
    <w:p>
      <w:pPr>
        <w:ind w:right="260"/>
        <w:spacing w:after="0" w:line="275" w:lineRule="auto"/>
        <w:rPr>
          <w:sz w:val="20"/>
          <w:szCs w:val="20"/>
          <w:color w:val="auto"/>
        </w:rPr>
      </w:pPr>
      <w:r>
        <w:rPr>
          <w:rFonts w:ascii="Arial" w:cs="Arial" w:eastAsia="Arial" w:hAnsi="Arial"/>
          <w:sz w:val="13"/>
          <w:szCs w:val="13"/>
          <w:color w:val="auto"/>
        </w:rPr>
        <w:t>Net cash provided by operating activities declined to $58.5 million in fiscal 2011, from $66.0 million in fiscal 2010. This decrease was driven primarily by a $17.2 million increase in cash outflows related to changes in operating assets and liabilities and a $5.4 million increase in net deferred tax assets, offset in part by an increase of $15.9 million in stock-based compensation expense. The increase in cash outflows related to changes in operating assets and liabilities resulted primarily from a $30.2 million increase in inventories, partially offset by increased current liabilities related in part to inventory purchases and “C” Corporation tax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Cash Used in Investing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Investing activities consist primarily of capital expenditures for growth related to new store openings, operational equipment, and information technology investments.</w:t>
      </w:r>
    </w:p>
    <w:p>
      <w:pPr>
        <w:spacing w:after="0" w:line="138" w:lineRule="exact"/>
        <w:rPr>
          <w:sz w:val="20"/>
          <w:szCs w:val="20"/>
          <w:color w:val="auto"/>
        </w:rPr>
      </w:pPr>
    </w:p>
    <w:p>
      <w:pPr>
        <w:ind w:right="340"/>
        <w:spacing w:after="0" w:line="298" w:lineRule="auto"/>
        <w:rPr>
          <w:sz w:val="20"/>
          <w:szCs w:val="20"/>
          <w:color w:val="auto"/>
        </w:rPr>
      </w:pPr>
      <w:r>
        <w:rPr>
          <w:rFonts w:ascii="Arial" w:cs="Arial" w:eastAsia="Arial" w:hAnsi="Arial"/>
          <w:sz w:val="13"/>
          <w:szCs w:val="13"/>
          <w:color w:val="auto"/>
        </w:rPr>
        <w:t>Net cash used in investing activities was $18.8 million in fiscal 2012, compared to $9.9 million in fiscal 2011. The $8.9 million increase in capital expenditures was driven primarily by the investments in new stores, including the opening of 17 stores during fiscal 2012, expansion of the distribution facility, and information technology investments.</w:t>
      </w:r>
    </w:p>
    <w:p>
      <w:pPr>
        <w:spacing w:after="0" w:line="81" w:lineRule="exact"/>
        <w:rPr>
          <w:sz w:val="20"/>
          <w:szCs w:val="20"/>
          <w:color w:val="auto"/>
        </w:rPr>
      </w:pPr>
    </w:p>
    <w:p>
      <w:pPr>
        <w:ind w:right="160"/>
        <w:spacing w:after="0" w:line="275" w:lineRule="auto"/>
        <w:rPr>
          <w:sz w:val="20"/>
          <w:szCs w:val="20"/>
          <w:color w:val="auto"/>
        </w:rPr>
      </w:pPr>
      <w:r>
        <w:rPr>
          <w:rFonts w:ascii="Arial" w:cs="Arial" w:eastAsia="Arial" w:hAnsi="Arial"/>
          <w:sz w:val="13"/>
          <w:szCs w:val="13"/>
          <w:color w:val="auto"/>
        </w:rPr>
        <w:t>Net cash used in investing activities was $9.9 million in fiscal 2011, reflecting capital expenditures of $11.4 million offset in part by $1.5 million of cash provided as a result of the elimination of a compensating-balance requirement in connection with the amendment and restatement of our credit agreement. Capital expenditures of $11.4 million for fiscal 2011 were $5.5 million higher than capital expenditures in fiscal 2010, due primarily to increased investments in new stores, including the opening of twelve stores in fiscal 2011 compared to six stores during fiscal 2010, and incremental investments in information technology and distribution assets.</w:t>
      </w:r>
    </w:p>
    <w:p>
      <w:pPr>
        <w:spacing w:after="0" w:line="95" w:lineRule="exact"/>
        <w:rPr>
          <w:sz w:val="20"/>
          <w:szCs w:val="20"/>
          <w:color w:val="auto"/>
        </w:rPr>
      </w:pPr>
    </w:p>
    <w:p>
      <w:pPr>
        <w:ind w:right="580"/>
        <w:spacing w:after="0" w:line="298" w:lineRule="auto"/>
        <w:rPr>
          <w:sz w:val="20"/>
          <w:szCs w:val="20"/>
          <w:color w:val="auto"/>
        </w:rPr>
      </w:pPr>
      <w:r>
        <w:rPr>
          <w:rFonts w:ascii="Arial" w:cs="Arial" w:eastAsia="Arial" w:hAnsi="Arial"/>
          <w:sz w:val="13"/>
          <w:szCs w:val="13"/>
          <w:color w:val="auto"/>
        </w:rPr>
        <w:t>Net cash used in investing activities was $5.8 million in fiscal 2010. This was driven by $3.6 million in investments in six new stores along with improvements in e-commerce, $0.4 million in information technology investments, and $1.1 million in production and distribution equipment.</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Capital expenditures for fiscal 2013 are expected to be approximately $36.0 million, including the build-out of new stores and approximately $19.0 million of spending related to the distribution center expansion.</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Cash Used in Financing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Net cash used in financing activities was $41.8 million in fiscal 2012, resulting from the net payments under our amended and restated credit agreement.</w:t>
      </w:r>
    </w:p>
    <w:p>
      <w:pPr>
        <w:spacing w:after="0" w:line="138" w:lineRule="exact"/>
        <w:rPr>
          <w:sz w:val="20"/>
          <w:szCs w:val="20"/>
          <w:color w:val="auto"/>
        </w:rPr>
      </w:pPr>
    </w:p>
    <w:p>
      <w:pPr>
        <w:ind w:right="240"/>
        <w:spacing w:after="0" w:line="343" w:lineRule="auto"/>
        <w:rPr>
          <w:sz w:val="20"/>
          <w:szCs w:val="20"/>
          <w:color w:val="auto"/>
        </w:rPr>
      </w:pPr>
      <w:r>
        <w:rPr>
          <w:rFonts w:ascii="Arial" w:cs="Arial" w:eastAsia="Arial" w:hAnsi="Arial"/>
          <w:sz w:val="12"/>
          <w:szCs w:val="12"/>
          <w:color w:val="auto"/>
        </w:rPr>
        <w:t>Net cash used in financing activities was $41.2 million in fiscal 2011, driven primarily by $132.8 million of “S” Corporation distributions (including the final “S” Corporation distribution of $106.0 million) and $1.1 million of debt-issuance costs, offset in part by IPO net proceeds of $56.3 million and net borrowings of $36.8 million under the credit agreement or amended and restated credit agreement.</w:t>
      </w:r>
    </w:p>
    <w:p>
      <w:pPr>
        <w:spacing w:after="0" w:line="58"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Net cash used in financing activities was $54.4 million in fiscal 2010. This included $24.5 million in net repayments of borrowings under our credit agreement, $4.3 million in repayments of vendor and related-party debt, and $25.6 million in distributions to our shareholders to fund tax liabilities due to our “S” Corporation status.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440"/>
          </w:cols>
          <w:pgMar w:left="220" w:top="384"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Amended and Restated Credit Agreement</w:t>
      </w:r>
    </w:p>
    <w:p>
      <w:pPr>
        <w:spacing w:after="0" w:line="76"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color w:val="auto"/>
        </w:rPr>
        <w:t>On October 4, 2010, Vera Bradley Designs, Inc. entered into an agreement to amend and restate its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the Company.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January 28, 2012.</w:t>
      </w:r>
    </w:p>
    <w:p>
      <w:pPr>
        <w:spacing w:after="0" w:line="83"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January 28, 2012, the weighted-average interest rate on the $25.0 million of outstanding borrowings under the credit agreement was 1.68%. The Company had borrowing availability of $100.0 million under the agreement as of January 28, 2012.</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Contractual Obligations</w:t>
      </w:r>
    </w:p>
    <w:p>
      <w:pPr>
        <w:spacing w:after="0" w:line="76"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We enter into long-term contractual obligations and commitments in the normal course of business, primarily debt obligations and non-cancellable operating leases. As of January 28, 2012, our contractual cash obligations over the next several periods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61"/>
              <w:spacing w:after="0"/>
              <w:rPr>
                <w:sz w:val="20"/>
                <w:szCs w:val="20"/>
                <w:color w:val="auto"/>
              </w:rPr>
            </w:pPr>
            <w:r>
              <w:rPr>
                <w:rFonts w:ascii="Arial" w:cs="Arial" w:eastAsia="Arial" w:hAnsi="Arial"/>
                <w:sz w:val="10"/>
                <w:szCs w:val="10"/>
                <w:b w:val="1"/>
                <w:bCs w:val="1"/>
                <w:color w:val="auto"/>
                <w:w w:val="91"/>
              </w:rPr>
              <w:t xml:space="preserve">Payments Due by Period </w:t>
            </w:r>
            <w:r>
              <w:rPr>
                <w:rFonts w:ascii="Arial" w:cs="Arial" w:eastAsia="Arial" w:hAnsi="Arial"/>
                <w:sz w:val="17"/>
                <w:szCs w:val="17"/>
                <w:b w:val="1"/>
                <w:bCs w:val="1"/>
                <w:color w:val="auto"/>
                <w:w w:val="91"/>
                <w:vertAlign w:val="subscript"/>
              </w:rPr>
              <w:t>(5)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92"/>
        </w:trPr>
        <w:tc>
          <w:tcPr>
            <w:tcW w:w="116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gridSpan w:val="2"/>
          </w:tcPr>
          <w:p>
            <w:pPr>
              <w:jc w:val="right"/>
              <w:spacing w:after="0" w:line="92" w:lineRule="exact"/>
              <w:rPr>
                <w:sz w:val="20"/>
                <w:szCs w:val="20"/>
                <w:color w:val="auto"/>
              </w:rPr>
            </w:pPr>
            <w:r>
              <w:rPr>
                <w:rFonts w:ascii="Arial" w:cs="Arial" w:eastAsia="Arial" w:hAnsi="Arial"/>
                <w:sz w:val="10"/>
                <w:szCs w:val="10"/>
                <w:b w:val="1"/>
                <w:bCs w:val="1"/>
                <w:color w:val="auto"/>
                <w:w w:val="92"/>
              </w:rPr>
              <w:t>Less Than</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gridSpan w:val="2"/>
          </w:tcPr>
          <w:p>
            <w:pPr>
              <w:jc w:val="center"/>
              <w:spacing w:after="0" w:line="92" w:lineRule="exact"/>
              <w:rPr>
                <w:sz w:val="20"/>
                <w:szCs w:val="20"/>
                <w:color w:val="auto"/>
              </w:rPr>
            </w:pPr>
            <w:r>
              <w:rPr>
                <w:rFonts w:ascii="Arial" w:cs="Arial" w:eastAsia="Arial" w:hAnsi="Arial"/>
                <w:sz w:val="10"/>
                <w:szCs w:val="10"/>
                <w:b w:val="1"/>
                <w:bCs w:val="1"/>
                <w:color w:val="auto"/>
                <w:w w:val="98"/>
              </w:rPr>
              <w:t>More Than</w:t>
            </w:r>
          </w:p>
        </w:tc>
        <w:tc>
          <w:tcPr>
            <w:tcW w:w="80" w:type="dxa"/>
            <w:vAlign w:val="bottom"/>
          </w:tcPr>
          <w:p>
            <w:pPr>
              <w:spacing w:after="0"/>
              <w:rPr>
                <w:sz w:val="8"/>
                <w:szCs w:val="8"/>
                <w:color w:val="auto"/>
              </w:rPr>
            </w:pPr>
          </w:p>
        </w:tc>
      </w:tr>
      <w:tr>
        <w:trPr>
          <w:trHeight w:val="124"/>
        </w:trPr>
        <w:tc>
          <w:tcPr>
            <w:tcW w:w="6520" w:type="dxa"/>
            <w:vAlign w:val="bottom"/>
            <w:gridSpan w:val="2"/>
          </w:tcPr>
          <w:p>
            <w:pPr>
              <w:spacing w:after="0"/>
              <w:rPr>
                <w:sz w:val="20"/>
                <w:szCs w:val="20"/>
                <w:color w:val="auto"/>
              </w:rPr>
            </w:pPr>
            <w:r>
              <w:rPr>
                <w:rFonts w:ascii="Arial" w:cs="Arial" w:eastAsia="Arial" w:hAnsi="Arial"/>
                <w:sz w:val="10"/>
                <w:szCs w:val="10"/>
                <w:i w:val="1"/>
                <w:iCs w:val="1"/>
                <w:color w:val="auto"/>
              </w:rPr>
              <w:t>($ in thousands)</w:t>
            </w:r>
          </w:p>
        </w:tc>
        <w:tc>
          <w:tcPr>
            <w:tcW w:w="100" w:type="dxa"/>
            <w:vAlign w:val="bottom"/>
          </w:tcPr>
          <w:p>
            <w:pPr>
              <w:spacing w:after="0"/>
              <w:rPr>
                <w:sz w:val="10"/>
                <w:szCs w:val="10"/>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440" w:type="dxa"/>
            <w:vAlign w:val="bottom"/>
          </w:tcPr>
          <w:p>
            <w:pPr>
              <w:jc w:val="right"/>
              <w:ind w:right="56"/>
              <w:spacing w:after="0"/>
              <w:rPr>
                <w:sz w:val="20"/>
                <w:szCs w:val="20"/>
                <w:color w:val="auto"/>
              </w:rPr>
            </w:pPr>
            <w:r>
              <w:rPr>
                <w:rFonts w:ascii="Arial" w:cs="Arial" w:eastAsia="Arial" w:hAnsi="Arial"/>
                <w:sz w:val="10"/>
                <w:szCs w:val="10"/>
                <w:b w:val="1"/>
                <w:bCs w:val="1"/>
                <w:color w:val="auto"/>
                <w:w w:val="99"/>
              </w:rPr>
              <w:t>1 Year</w:t>
            </w:r>
          </w:p>
        </w:tc>
        <w:tc>
          <w:tcPr>
            <w:tcW w:w="540" w:type="dxa"/>
            <w:vAlign w:val="bottom"/>
          </w:tcPr>
          <w:p>
            <w:pPr>
              <w:spacing w:after="0"/>
              <w:rPr>
                <w:sz w:val="10"/>
                <w:szCs w:val="10"/>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91"/>
              </w:rPr>
              <w:t>1 - 3 Years</w:t>
            </w:r>
          </w:p>
        </w:tc>
        <w:tc>
          <w:tcPr>
            <w:tcW w:w="80" w:type="dxa"/>
            <w:vAlign w:val="bottom"/>
          </w:tcPr>
          <w:p>
            <w:pPr>
              <w:spacing w:after="0"/>
              <w:rPr>
                <w:sz w:val="10"/>
                <w:szCs w:val="10"/>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w w:val="95"/>
              </w:rPr>
              <w:t>3 - 5 Years</w:t>
            </w:r>
          </w:p>
        </w:tc>
        <w:tc>
          <w:tcPr>
            <w:tcW w:w="100" w:type="dxa"/>
            <w:vAlign w:val="bottom"/>
          </w:tcPr>
          <w:p>
            <w:pPr>
              <w:spacing w:after="0"/>
              <w:rPr>
                <w:sz w:val="10"/>
                <w:szCs w:val="10"/>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5 Years</w:t>
            </w:r>
          </w:p>
        </w:tc>
      </w:tr>
      <w:tr>
        <w:trPr>
          <w:trHeight w:val="155"/>
        </w:trPr>
        <w:tc>
          <w:tcPr>
            <w:tcW w:w="6520" w:type="dxa"/>
            <w:vAlign w:val="bottom"/>
            <w:tcBorders>
              <w:top w:val="single" w:sz="8" w:color="CCEEFF"/>
            </w:tcBorders>
            <w:gridSpan w:val="2"/>
            <w:shd w:val="clear" w:color="auto" w:fill="CCEEFF"/>
          </w:tcPr>
          <w:p>
            <w:pPr>
              <w:spacing w:after="0" w:line="154" w:lineRule="exact"/>
              <w:rPr>
                <w:sz w:val="20"/>
                <w:szCs w:val="20"/>
                <w:color w:val="auto"/>
              </w:rPr>
            </w:pPr>
            <w:r>
              <w:rPr>
                <w:rFonts w:ascii="Arial" w:cs="Arial" w:eastAsia="Arial" w:hAnsi="Arial"/>
                <w:sz w:val="13"/>
                <w:szCs w:val="13"/>
                <w:color w:val="auto"/>
              </w:rPr>
              <w:t xml:space="preserve">Debt to financial institutions </w:t>
            </w:r>
            <w:r>
              <w:rPr>
                <w:rFonts w:ascii="Arial" w:cs="Arial" w:eastAsia="Arial" w:hAnsi="Arial"/>
                <w:sz w:val="17"/>
                <w:szCs w:val="17"/>
                <w:color w:val="auto"/>
                <w:vertAlign w:val="sub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r>
      <w:tr>
        <w:trPr>
          <w:trHeight w:val="164"/>
        </w:trPr>
        <w:tc>
          <w:tcPr>
            <w:tcW w:w="6520" w:type="dxa"/>
            <w:vAlign w:val="bottom"/>
            <w:gridSpan w:val="2"/>
          </w:tcPr>
          <w:p>
            <w:pPr>
              <w:spacing w:after="0" w:line="164" w:lineRule="exact"/>
              <w:rPr>
                <w:sz w:val="20"/>
                <w:szCs w:val="20"/>
                <w:color w:val="auto"/>
              </w:rPr>
            </w:pPr>
            <w:r>
              <w:rPr>
                <w:rFonts w:ascii="Arial" w:cs="Arial" w:eastAsia="Arial" w:hAnsi="Arial"/>
                <w:sz w:val="13"/>
                <w:szCs w:val="13"/>
                <w:color w:val="auto"/>
              </w:rPr>
              <w:t xml:space="preserve">Debt to others </w:t>
            </w:r>
            <w:r>
              <w:rPr>
                <w:rFonts w:ascii="Arial" w:cs="Arial" w:eastAsia="Arial" w:hAnsi="Arial"/>
                <w:sz w:val="17"/>
                <w:szCs w:val="17"/>
                <w:color w:val="auto"/>
                <w:vertAlign w:val="subscript"/>
              </w:rPr>
              <w:t>(2)</w:t>
            </w:r>
          </w:p>
        </w:tc>
        <w:tc>
          <w:tcPr>
            <w:tcW w:w="1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r>
      <w:tr>
        <w:trPr>
          <w:trHeight w:val="164"/>
        </w:trPr>
        <w:tc>
          <w:tcPr>
            <w:tcW w:w="6520" w:type="dxa"/>
            <w:vAlign w:val="bottom"/>
            <w:gridSpan w:val="2"/>
            <w:shd w:val="clear" w:color="auto" w:fill="CCEEFF"/>
          </w:tcPr>
          <w:p>
            <w:pPr>
              <w:spacing w:after="0" w:line="164" w:lineRule="exact"/>
              <w:rPr>
                <w:sz w:val="20"/>
                <w:szCs w:val="20"/>
                <w:color w:val="auto"/>
              </w:rPr>
            </w:pPr>
            <w:r>
              <w:rPr>
                <w:rFonts w:ascii="Arial" w:cs="Arial" w:eastAsia="Arial" w:hAnsi="Arial"/>
                <w:sz w:val="13"/>
                <w:szCs w:val="13"/>
                <w:color w:val="auto"/>
              </w:rPr>
              <w:t xml:space="preserve">Operating leases </w:t>
            </w:r>
            <w:r>
              <w:rPr>
                <w:rFonts w:ascii="Arial" w:cs="Arial" w:eastAsia="Arial" w:hAnsi="Arial"/>
                <w:sz w:val="17"/>
                <w:szCs w:val="17"/>
                <w:color w:val="auto"/>
                <w:vertAlign w:val="subscript"/>
              </w:rPr>
              <w:t>(3)</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w w:val="97"/>
              </w:rPr>
              <w:t>118,737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14,826</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28,803</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28,017</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47,091</w:t>
            </w:r>
          </w:p>
        </w:tc>
      </w:tr>
      <w:tr>
        <w:trPr>
          <w:trHeight w:val="164"/>
        </w:trPr>
        <w:tc>
          <w:tcPr>
            <w:tcW w:w="6520" w:type="dxa"/>
            <w:vAlign w:val="bottom"/>
            <w:gridSpan w:val="2"/>
          </w:tcPr>
          <w:p>
            <w:pPr>
              <w:spacing w:after="0" w:line="164" w:lineRule="exact"/>
              <w:rPr>
                <w:sz w:val="20"/>
                <w:szCs w:val="20"/>
                <w:color w:val="auto"/>
              </w:rPr>
            </w:pPr>
            <w:r>
              <w:rPr>
                <w:rFonts w:ascii="Arial" w:cs="Arial" w:eastAsia="Arial" w:hAnsi="Arial"/>
                <w:sz w:val="13"/>
                <w:szCs w:val="13"/>
                <w:color w:val="auto"/>
              </w:rPr>
              <w:t xml:space="preserve">Purchase obligations </w:t>
            </w:r>
            <w:r>
              <w:rPr>
                <w:rFonts w:ascii="Arial" w:cs="Arial" w:eastAsia="Arial" w:hAnsi="Arial"/>
                <w:sz w:val="17"/>
                <w:szCs w:val="17"/>
                <w:color w:val="auto"/>
                <w:vertAlign w:val="subscript"/>
              </w:rPr>
              <w:t>(4)</w:t>
            </w:r>
          </w:p>
        </w:tc>
        <w:tc>
          <w:tcPr>
            <w:tcW w:w="1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41,985</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41,967</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r>
      <w:tr>
        <w:trPr>
          <w:trHeight w:val="21"/>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4"/>
        </w:trPr>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w w:val="97"/>
              </w:rPr>
              <w:t>185,906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56,882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28,908</w:t>
            </w:r>
          </w:p>
        </w:tc>
        <w:tc>
          <w:tcPr>
            <w:tcW w:w="4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53,025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47,091</w:t>
            </w: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3"/>
        </w:trPr>
        <w:tc>
          <w:tcPr>
            <w:tcW w:w="1160" w:type="dxa"/>
            <w:vAlign w:val="bottom"/>
            <w:tcBorders>
              <w:bottom w:val="single" w:sz="8" w:color="auto"/>
            </w:tcBorders>
          </w:tcPr>
          <w:p>
            <w:pPr>
              <w:spacing w:after="0"/>
              <w:rPr>
                <w:sz w:val="5"/>
                <w:szCs w:val="5"/>
                <w:color w:val="auto"/>
              </w:rPr>
            </w:pPr>
          </w:p>
        </w:tc>
        <w:tc>
          <w:tcPr>
            <w:tcW w:w="5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13" w:lineRule="exact"/>
        <w:rPr>
          <w:sz w:val="20"/>
          <w:szCs w:val="20"/>
          <w:color w:val="auto"/>
        </w:rPr>
      </w:pPr>
    </w:p>
    <w:p>
      <w:pPr>
        <w:ind w:left="460" w:right="120" w:hanging="458"/>
        <w:spacing w:after="0" w:line="291" w:lineRule="auto"/>
        <w:tabs>
          <w:tab w:leader="none" w:pos="4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As of January 28, 2012, we had $25.0 million principal amount due on October 3, 2015 under our amended and restated credit agreement. Estimated total interest and facility fee payments of $2.1 million, due through October 3, 2015, based on our outstanding borrowings and the interest rates in effect under our amended and restated credit agreement as of January 28, 2012, have been excluded.</w:t>
      </w:r>
    </w:p>
    <w:p>
      <w:pPr>
        <w:ind w:left="460" w:hanging="458"/>
        <w:spacing w:after="0"/>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have entered into financing agreements with certain vendors. The amounts listed represent the outstanding balances under these agreements.</w:t>
      </w:r>
    </w:p>
    <w:p>
      <w:pPr>
        <w:spacing w:after="0" w:line="14" w:lineRule="exact"/>
        <w:rPr>
          <w:rFonts w:ascii="Arial" w:cs="Arial" w:eastAsia="Arial" w:hAnsi="Arial"/>
          <w:sz w:val="13"/>
          <w:szCs w:val="13"/>
          <w:color w:val="auto"/>
        </w:rPr>
      </w:pPr>
    </w:p>
    <w:p>
      <w:pPr>
        <w:ind w:left="460" w:right="60" w:hanging="458"/>
        <w:spacing w:after="0" w:line="263" w:lineRule="auto"/>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store leases generally have initial lease terms of 10 years and provide us with the option to renew the leases upon substantially the same terms and conditions as the original leases. Our future operating lease obligations would change if we were to exercise these options, or if we were to enter into new operating leases.</w:t>
      </w:r>
    </w:p>
    <w:p>
      <w:pPr>
        <w:spacing w:after="0" w:line="1" w:lineRule="exact"/>
        <w:rPr>
          <w:rFonts w:ascii="Arial" w:cs="Arial" w:eastAsia="Arial" w:hAnsi="Arial"/>
          <w:sz w:val="13"/>
          <w:szCs w:val="13"/>
          <w:color w:val="auto"/>
        </w:rPr>
      </w:pPr>
    </w:p>
    <w:p>
      <w:pPr>
        <w:ind w:left="460" w:hanging="458"/>
        <w:spacing w:after="0"/>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Purchase obligations consist primarily of inventory purchase orders and include the expansion of our distribution facility in Roanoke, Indiana.</w:t>
      </w:r>
    </w:p>
    <w:p>
      <w:pPr>
        <w:spacing w:after="0" w:line="14" w:lineRule="exact"/>
        <w:rPr>
          <w:rFonts w:ascii="Arial" w:cs="Arial" w:eastAsia="Arial" w:hAnsi="Arial"/>
          <w:sz w:val="13"/>
          <w:szCs w:val="13"/>
          <w:color w:val="auto"/>
        </w:rPr>
      </w:pPr>
    </w:p>
    <w:p>
      <w:pPr>
        <w:ind w:left="460" w:right="120" w:hanging="458"/>
        <w:spacing w:after="0" w:line="331" w:lineRule="auto"/>
        <w:tabs>
          <w:tab w:leader="none" w:pos="4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addition, due to the uncertainty with respect to the timing of future cash flows associated with our uncertain tax positions at January 28, 2012, we are unable to make reasonably reliable estimates of the period of cash settlement with the respective taxing authorities. Therefore, $0.9 million of uncertain tax positions have been excluded from the contractual obligations table above.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60"/>
          </w:cols>
          <w:pgMar w:left="220" w:top="384" w:right="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any off-balance sheet financing or unconsolidated special purpose entities.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78" w:lineRule="exact"/>
        <w:rPr>
          <w:sz w:val="20"/>
          <w:szCs w:val="20"/>
          <w:color w:val="auto"/>
        </w:rPr>
      </w:pPr>
    </w:p>
    <w:p>
      <w:pPr>
        <w:ind w:right="100"/>
        <w:spacing w:after="0" w:line="275" w:lineRule="auto"/>
        <w:rPr>
          <w:sz w:val="20"/>
          <w:szCs w:val="20"/>
          <w:color w:val="auto"/>
        </w:rPr>
      </w:pPr>
      <w:r>
        <w:rPr>
          <w:rFonts w:ascii="Arial" w:cs="Arial" w:eastAsia="Arial" w:hAnsi="Arial"/>
          <w:sz w:val="13"/>
          <w:szCs w:val="13"/>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95"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w:t>
      </w:r>
    </w:p>
    <w:p>
      <w:pPr>
        <w:spacing w:after="0" w:line="76"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estimate of these shipments is based on shipping terms and historical delivery times. Significant changes in shipping terms or delivery times could materially impact our revenues in a given period.</w:t>
      </w:r>
    </w:p>
    <w:p>
      <w:pPr>
        <w:spacing w:after="0" w:line="75"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We reserve for projected merchandise returns based on historical experience and other assumptions that we believe to be reasonable. Merchandise returns are often resalable merchandise and in the Direct business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other potential product credits and for customer shipments not yet received. The total reserve for returns, customer shipments not yet received, and general credits was $2.6 million and $1.7 million at January 28, 2012, and January 29, 2011, respectively. This represents a reduction to operating income of $1.8 million and $1.2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Inventories</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60"/>
          </w:cols>
          <w:pgMar w:left="220" w:top="384" w:right="2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180"/>
        <w:spacing w:after="0" w:line="298" w:lineRule="auto"/>
        <w:rPr>
          <w:sz w:val="20"/>
          <w:szCs w:val="20"/>
          <w:color w:val="auto"/>
        </w:rPr>
      </w:pPr>
      <w:r>
        <w:rPr>
          <w:rFonts w:ascii="Arial" w:cs="Arial" w:eastAsia="Arial" w:hAnsi="Arial"/>
          <w:sz w:val="13"/>
          <w:szCs w:val="13"/>
          <w:color w:val="auto"/>
        </w:rPr>
        <w:t>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 provision accordingly.</w:t>
      </w:r>
    </w:p>
    <w:p>
      <w:pPr>
        <w:spacing w:after="0" w:line="81"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Inventory adjustments of $3.3 million and $5.1 million were recorded for these matters as of January 28, 2012, and January 29, 2011, respectively. These adjustments related primarily to raw materials of discontinued patterns, as we have the ability to move discontinued finished goods through a number of channels, including the annual outlet sale, our website and outlet stores, and through liquidators as needed. The decrease in the valuation adjustments during fiscal 2012 resulted primarily from our expanding outlet store channel, which we launched in November 2009 which has enabled us to increase our use of raw materials of discontinued patterns as well as an improved cycle counting process resulting in less shrink.</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76"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Prior to October 3, 2010, we were taxed as an “S” Corporation for federal income tax purposes under Section 1362 of the Internal Revenue Code, and therefore were not subject to federal and state income taxes (subject to exception in a limited number of state and local jurisdictions that do not recognize the “S” Corporation status). On October 3, 2010, our “S” Corporation status automatically terminated and we became subject to corporate-level federal and state income taxes at prevailing corporate rates.</w:t>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Valuation of Long-lived Assets</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460"/>
          </w:cols>
          <w:pgMar w:left="220" w:top="384" w:right="2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In June 2011, the Financial Accounting Standards Board (“FASB”) issued Accounting Standards Update (“ASU”) 2011-05,</w:t>
      </w:r>
    </w:p>
    <w:p>
      <w:pPr>
        <w:spacing w:after="0" w:line="76" w:lineRule="exact"/>
        <w:rPr>
          <w:sz w:val="20"/>
          <w:szCs w:val="20"/>
          <w:color w:val="auto"/>
        </w:rPr>
      </w:pPr>
    </w:p>
    <w:p>
      <w:pPr>
        <w:spacing w:after="0" w:line="294" w:lineRule="auto"/>
        <w:rPr>
          <w:sz w:val="20"/>
          <w:szCs w:val="20"/>
          <w:color w:val="auto"/>
        </w:rPr>
      </w:pPr>
      <w:r>
        <w:rPr>
          <w:rFonts w:ascii="Arial" w:cs="Arial" w:eastAsia="Arial" w:hAnsi="Arial"/>
          <w:sz w:val="12"/>
          <w:szCs w:val="12"/>
          <w:i w:val="1"/>
          <w:iCs w:val="1"/>
          <w:color w:val="auto"/>
        </w:rPr>
        <w:t>Comprehensive Income – Presentation of Comprehensive Income</w:t>
      </w:r>
      <w:r>
        <w:rPr>
          <w:rFonts w:ascii="Arial" w:cs="Arial" w:eastAsia="Arial" w:hAnsi="Arial"/>
          <w:sz w:val="12"/>
          <w:szCs w:val="12"/>
          <w:color w:val="auto"/>
        </w:rPr>
        <w:t>. This guidance eliminates the option to present the components of other comprehensive income as part of the Statement of Shareholders’ Equity.</w:t>
      </w:r>
      <w:r>
        <w:rPr>
          <w:rFonts w:ascii="Arial" w:cs="Arial" w:eastAsia="Arial" w:hAnsi="Arial"/>
          <w:sz w:val="12"/>
          <w:szCs w:val="12"/>
          <w:i w:val="1"/>
          <w:iCs w:val="1"/>
          <w:color w:val="auto"/>
        </w:rPr>
        <w:t xml:space="preserve"> </w:t>
      </w:r>
      <w:r>
        <w:rPr>
          <w:rFonts w:ascii="Arial" w:cs="Arial" w:eastAsia="Arial" w:hAnsi="Arial"/>
          <w:sz w:val="12"/>
          <w:szCs w:val="12"/>
          <w:color w:val="auto"/>
        </w:rPr>
        <w:t>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As this guidance only amends the presentation of the components of comprehensive income, the adoption will not have an impact on the Company’s consolidated financial position, results of operations, or cash flows. Early adoption is permitted, but full retrospective application is required under both sets of accounting standards. The guidance also previously required the presentation of adjustments for items that are reclassified from other comprehensive income to net income in the statement where the components of net income and the components of other comprehensive income are presented; however, this portion of the guidance has been deferred through an ASU issued in September 2011. Upon adoption, the Company will elect to present items of net income and other comprehensive income in one continuous statement, the statement of comprehensive income.</w:t>
      </w:r>
    </w:p>
    <w:p>
      <w:pPr>
        <w:spacing w:after="0" w:line="86" w:lineRule="exact"/>
        <w:rPr>
          <w:sz w:val="20"/>
          <w:szCs w:val="20"/>
          <w:color w:val="auto"/>
        </w:rPr>
      </w:pPr>
    </w:p>
    <w:p>
      <w:pPr>
        <w:jc w:val="both"/>
        <w:ind w:right="200"/>
        <w:spacing w:after="0" w:line="281" w:lineRule="auto"/>
        <w:rPr>
          <w:sz w:val="20"/>
          <w:szCs w:val="20"/>
          <w:color w:val="auto"/>
        </w:rPr>
      </w:pPr>
      <w:r>
        <w:rPr>
          <w:rFonts w:ascii="Arial" w:cs="Arial" w:eastAsia="Arial" w:hAnsi="Arial"/>
          <w:sz w:val="13"/>
          <w:szCs w:val="13"/>
          <w:color w:val="auto"/>
        </w:rPr>
        <w:t xml:space="preserve">In May 2011, the FASB issued ASU 2011-4, </w:t>
      </w:r>
      <w:r>
        <w:rPr>
          <w:rFonts w:ascii="Arial" w:cs="Arial" w:eastAsia="Arial" w:hAnsi="Arial"/>
          <w:sz w:val="13"/>
          <w:szCs w:val="13"/>
          <w:i w:val="1"/>
          <w:iCs w:val="1"/>
          <w:color w:val="auto"/>
        </w:rPr>
        <w:t>Fair Value Measurement – Amendments to Achieve Common Fair Value Measurement and Disclosure Requirements in U.S. GAAP and IFRS</w:t>
      </w:r>
      <w:r>
        <w:rPr>
          <w:rFonts w:ascii="Arial" w:cs="Arial" w:eastAsia="Arial" w:hAnsi="Arial"/>
          <w:sz w:val="13"/>
          <w:szCs w:val="13"/>
          <w:color w:val="auto"/>
        </w:rPr>
        <w:t>. The guidance requires additional disclosures, including disclosures related to the measurement of level 3 assets. The guidance is effective for interim and annual periods beginning after December 15, 2011 and is applied prospectively. The Company is currently evaluating this guidance, but does not expect its adoption will have a material effect on its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Transactions with Related Parties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See Item 13, “Certain Relationships and Related Transactions, and Director Independence,” of this report for information regarding transactions with related parties.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b w:val="1"/>
          <w:bCs w:val="1"/>
          <w:color w:val="auto"/>
        </w:rPr>
        <w:t>Item</w:t>
      </w:r>
      <w:r>
        <w:rPr>
          <w:sz w:val="20"/>
          <w:szCs w:val="20"/>
          <w:color w:val="auto"/>
        </w:rPr>
        <w:tab/>
      </w:r>
      <w:r>
        <w:rPr>
          <w:rFonts w:ascii="Arial" w:cs="Arial" w:eastAsia="Arial" w:hAnsi="Arial"/>
          <w:sz w:val="13"/>
          <w:szCs w:val="13"/>
          <w:b w:val="1"/>
          <w:bCs w:val="1"/>
          <w:color w:val="auto"/>
        </w:rPr>
        <w:t>7A.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76"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We are subject to interest rate risk in connection with borrowings under our amended and restated credit agreement, which bear interest at variable rates. The amended and restated credit agreement allows for a revolving credit commitment of $125.0 million, bearing interest at a variable rate, based on either LIBOR plus the applicable margin (ranging from 1.05% to 2.05%) or the alternate base rate (as defined in the agreement) plus the applicable margin (ranging from 0.05% to 1.05%). Assuming the amended and restated credit agreement is fully drawn, each quarter point increase or decrease in the interest rate would change our annual interest expense by approximately $0.3 million.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From time to time, we utilize interest rate swaps to hedge our interest rate risk. We had no open derivative instruments at January 28, 2012.</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Impact of Inflation</w:t>
      </w:r>
    </w:p>
    <w:p>
      <w:pPr>
        <w:spacing w:after="0" w:line="76"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Exchange Rate Risk</w:t>
      </w:r>
    </w:p>
    <w:p>
      <w:pPr>
        <w:spacing w:after="0" w:line="76"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We source a substantial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460"/>
          </w:cols>
          <w:pgMar w:left="220" w:top="384" w:right="2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Pr>
          <w:p>
            <w:pPr>
              <w:spacing w:after="0"/>
              <w:rPr>
                <w:sz w:val="20"/>
                <w:szCs w:val="20"/>
                <w:color w:val="auto"/>
              </w:rPr>
            </w:pPr>
            <w:r>
              <w:rPr>
                <w:rFonts w:ascii="Arial" w:cs="Arial" w:eastAsia="Arial" w:hAnsi="Arial"/>
                <w:sz w:val="13"/>
                <w:szCs w:val="13"/>
                <w:b w:val="1"/>
                <w:bCs w:val="1"/>
                <w:color w:val="auto"/>
              </w:rPr>
              <w:t>Item</w:t>
            </w:r>
          </w:p>
        </w:tc>
        <w:tc>
          <w:tcPr>
            <w:tcW w:w="8580" w:type="dxa"/>
            <w:vAlign w:val="bottom"/>
            <w:gridSpan w:val="7"/>
          </w:tcPr>
          <w:p>
            <w:pPr>
              <w:ind w:left="380"/>
              <w:spacing w:after="0"/>
              <w:rPr>
                <w:sz w:val="20"/>
                <w:szCs w:val="20"/>
                <w:color w:val="auto"/>
              </w:rPr>
            </w:pPr>
            <w:r>
              <w:rPr>
                <w:rFonts w:ascii="Arial" w:cs="Arial" w:eastAsia="Arial" w:hAnsi="Arial"/>
                <w:sz w:val="13"/>
                <w:szCs w:val="13"/>
                <w:b w:val="1"/>
                <w:bCs w:val="1"/>
                <w:color w:val="auto"/>
              </w:rPr>
              <w:t>8. Financial Statements and Supplementary Data</w:t>
            </w:r>
          </w:p>
        </w:tc>
        <w:tc>
          <w:tcPr>
            <w:tcW w:w="2180" w:type="dxa"/>
            <w:vAlign w:val="bottom"/>
          </w:tcPr>
          <w:p>
            <w:pPr>
              <w:spacing w:after="0"/>
              <w:rPr>
                <w:sz w:val="15"/>
                <w:szCs w:val="15"/>
                <w:color w:val="auto"/>
              </w:rPr>
            </w:pPr>
          </w:p>
        </w:tc>
      </w:tr>
      <w:tr>
        <w:trPr>
          <w:trHeight w:val="279"/>
        </w:trPr>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20" w:type="dxa"/>
            <w:vAlign w:val="bottom"/>
            <w:gridSpan w:val="4"/>
          </w:tcPr>
          <w:p>
            <w:pPr>
              <w:jc w:val="center"/>
              <w:ind w:right="1740"/>
              <w:spacing w:after="0"/>
              <w:rPr>
                <w:sz w:val="20"/>
                <w:szCs w:val="20"/>
                <w:color w:val="auto"/>
              </w:rPr>
            </w:pPr>
            <w:r>
              <w:rPr>
                <w:rFonts w:ascii="Arial" w:cs="Arial" w:eastAsia="Arial" w:hAnsi="Arial"/>
                <w:sz w:val="13"/>
                <w:szCs w:val="13"/>
                <w:b w:val="1"/>
                <w:bCs w:val="1"/>
                <w:color w:val="auto"/>
                <w:w w:val="95"/>
              </w:rPr>
              <w:t>Vera Bradley, Inc.</w:t>
            </w:r>
          </w:p>
        </w:tc>
        <w:tc>
          <w:tcPr>
            <w:tcW w:w="2180" w:type="dxa"/>
            <w:vAlign w:val="bottom"/>
          </w:tcPr>
          <w:p>
            <w:pPr>
              <w:spacing w:after="0"/>
              <w:rPr>
                <w:sz w:val="24"/>
                <w:szCs w:val="24"/>
                <w:color w:val="auto"/>
              </w:rPr>
            </w:pPr>
          </w:p>
        </w:tc>
      </w:tr>
      <w:tr>
        <w:trPr>
          <w:trHeight w:val="173"/>
        </w:trPr>
        <w:tc>
          <w:tcPr>
            <w:tcW w:w="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20" w:type="dxa"/>
            <w:vAlign w:val="bottom"/>
            <w:gridSpan w:val="4"/>
          </w:tcPr>
          <w:p>
            <w:pPr>
              <w:jc w:val="center"/>
              <w:ind w:right="1740"/>
              <w:spacing w:after="0"/>
              <w:rPr>
                <w:sz w:val="20"/>
                <w:szCs w:val="20"/>
                <w:color w:val="auto"/>
              </w:rPr>
            </w:pPr>
            <w:r>
              <w:rPr>
                <w:rFonts w:ascii="Arial" w:cs="Arial" w:eastAsia="Arial" w:hAnsi="Arial"/>
                <w:sz w:val="13"/>
                <w:szCs w:val="13"/>
                <w:b w:val="1"/>
                <w:bCs w:val="1"/>
                <w:color w:val="auto"/>
                <w:w w:val="92"/>
              </w:rPr>
              <w:t>Index to Consolidated Financial Statements</w:t>
            </w:r>
          </w:p>
        </w:tc>
        <w:tc>
          <w:tcPr>
            <w:tcW w:w="2180" w:type="dxa"/>
            <w:vAlign w:val="bottom"/>
          </w:tcPr>
          <w:p>
            <w:pPr>
              <w:spacing w:after="0"/>
              <w:rPr>
                <w:sz w:val="15"/>
                <w:szCs w:val="15"/>
                <w:color w:val="auto"/>
              </w:rPr>
            </w:pPr>
          </w:p>
        </w:tc>
      </w:tr>
      <w:tr>
        <w:trPr>
          <w:trHeight w:val="289"/>
        </w:trPr>
        <w:tc>
          <w:tcPr>
            <w:tcW w:w="3140" w:type="dxa"/>
            <w:vAlign w:val="bottom"/>
            <w:tcBorders>
              <w:bottom w:val="single" w:sz="8" w:color="0000EE"/>
            </w:tcBorders>
            <w:gridSpan w:val="3"/>
          </w:tcPr>
          <w:p>
            <w:pPr>
              <w:spacing w:after="0"/>
              <w:rPr>
                <w:rFonts w:ascii="Arial" w:cs="Arial" w:eastAsia="Arial" w:hAnsi="Arial"/>
                <w:sz w:val="13"/>
                <w:szCs w:val="13"/>
                <w:color w:val="0000EE"/>
                <w:w w:val="93"/>
              </w:rPr>
            </w:pPr>
            <w:hyperlink w:anchor="page47">
              <w:r>
                <w:rPr>
                  <w:rFonts w:ascii="Arial" w:cs="Arial" w:eastAsia="Arial" w:hAnsi="Arial"/>
                  <w:sz w:val="13"/>
                  <w:szCs w:val="13"/>
                  <w:color w:val="0000EE"/>
                  <w:w w:val="93"/>
                </w:rPr>
                <w:t>Report of Independent Registered Public Accounting Firm</w:t>
              </w:r>
            </w:hyperlink>
          </w:p>
        </w:tc>
        <w:tc>
          <w:tcPr>
            <w:tcW w:w="6080" w:type="dxa"/>
            <w:vAlign w:val="bottom"/>
            <w:gridSpan w:val="5"/>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44"/>
        </w:trPr>
        <w:tc>
          <w:tcPr>
            <w:tcW w:w="4000" w:type="dxa"/>
            <w:vAlign w:val="bottom"/>
            <w:tcBorders>
              <w:bottom w:val="single" w:sz="8" w:color="0000EE"/>
            </w:tcBorders>
            <w:gridSpan w:val="4"/>
          </w:tcPr>
          <w:p>
            <w:pPr>
              <w:spacing w:after="0" w:line="144" w:lineRule="exact"/>
              <w:rPr>
                <w:rFonts w:ascii="Arial" w:cs="Arial" w:eastAsia="Arial" w:hAnsi="Arial"/>
                <w:sz w:val="13"/>
                <w:szCs w:val="13"/>
                <w:color w:val="0000EE"/>
                <w:w w:val="90"/>
              </w:rPr>
            </w:pPr>
            <w:hyperlink w:anchor="page48">
              <w:r>
                <w:rPr>
                  <w:rFonts w:ascii="Arial" w:cs="Arial" w:eastAsia="Arial" w:hAnsi="Arial"/>
                  <w:sz w:val="13"/>
                  <w:szCs w:val="13"/>
                  <w:color w:val="0000EE"/>
                  <w:w w:val="90"/>
                </w:rPr>
                <w:t>Consolidated Balance Sheets as of January 28, 2012, and January 29, 2011</w:t>
              </w:r>
            </w:hyperlink>
          </w:p>
        </w:tc>
        <w:tc>
          <w:tcPr>
            <w:tcW w:w="5220" w:type="dxa"/>
            <w:vAlign w:val="bottom"/>
            <w:gridSpan w:val="4"/>
          </w:tcPr>
          <w:p>
            <w:pPr>
              <w:spacing w:after="0"/>
              <w:rPr>
                <w:sz w:val="12"/>
                <w:szCs w:val="12"/>
                <w:color w:val="auto"/>
              </w:rPr>
            </w:pPr>
          </w:p>
        </w:tc>
        <w:tc>
          <w:tcPr>
            <w:tcW w:w="218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r>
      <w:tr>
        <w:trPr>
          <w:trHeight w:val="144"/>
        </w:trPr>
        <w:tc>
          <w:tcPr>
            <w:tcW w:w="6460" w:type="dxa"/>
            <w:vAlign w:val="bottom"/>
            <w:tcBorders>
              <w:bottom w:val="single" w:sz="8" w:color="0000EE"/>
            </w:tcBorders>
            <w:gridSpan w:val="5"/>
          </w:tcPr>
          <w:p>
            <w:pPr>
              <w:spacing w:after="0" w:line="144" w:lineRule="exact"/>
              <w:rPr>
                <w:rFonts w:ascii="Arial" w:cs="Arial" w:eastAsia="Arial" w:hAnsi="Arial"/>
                <w:sz w:val="13"/>
                <w:szCs w:val="13"/>
                <w:color w:val="0000EE"/>
                <w:w w:val="92"/>
              </w:rPr>
            </w:pPr>
            <w:hyperlink w:anchor="page49">
              <w:r>
                <w:rPr>
                  <w:rFonts w:ascii="Arial" w:cs="Arial" w:eastAsia="Arial" w:hAnsi="Arial"/>
                  <w:sz w:val="13"/>
                  <w:szCs w:val="13"/>
                  <w:color w:val="0000EE"/>
                  <w:w w:val="92"/>
                </w:rPr>
                <w:t>Consolidated Statements of Income for the fiscal years ended January 28, 2012, January 29, 2011, and January 30, 2010</w:t>
              </w:r>
            </w:hyperlink>
          </w:p>
        </w:tc>
        <w:tc>
          <w:tcPr>
            <w:tcW w:w="2760" w:type="dxa"/>
            <w:vAlign w:val="bottom"/>
            <w:gridSpan w:val="3"/>
          </w:tcPr>
          <w:p>
            <w:pPr>
              <w:spacing w:after="0"/>
              <w:rPr>
                <w:sz w:val="12"/>
                <w:szCs w:val="12"/>
                <w:color w:val="auto"/>
              </w:rPr>
            </w:pPr>
          </w:p>
        </w:tc>
        <w:tc>
          <w:tcPr>
            <w:tcW w:w="2180" w:type="dxa"/>
            <w:vAlign w:val="bottom"/>
          </w:tcPr>
          <w:p>
            <w:pPr>
              <w:jc w:val="right"/>
              <w:spacing w:after="0" w:line="144" w:lineRule="exact"/>
              <w:rPr>
                <w:sz w:val="20"/>
                <w:szCs w:val="20"/>
                <w:color w:val="auto"/>
              </w:rPr>
            </w:pPr>
            <w:r>
              <w:rPr>
                <w:rFonts w:ascii="Arial" w:cs="Arial" w:eastAsia="Arial" w:hAnsi="Arial"/>
                <w:sz w:val="13"/>
                <w:szCs w:val="13"/>
                <w:color w:val="auto"/>
              </w:rPr>
              <w:t>49</w:t>
            </w:r>
          </w:p>
        </w:tc>
      </w:tr>
      <w:tr>
        <w:trPr>
          <w:trHeight w:val="144"/>
        </w:trPr>
        <w:tc>
          <w:tcPr>
            <w:tcW w:w="9220" w:type="dxa"/>
            <w:vAlign w:val="bottom"/>
            <w:gridSpan w:val="8"/>
          </w:tcPr>
          <w:p>
            <w:pPr>
              <w:spacing w:after="0" w:line="144" w:lineRule="exact"/>
              <w:rPr>
                <w:rFonts w:ascii="Arial" w:cs="Arial" w:eastAsia="Arial" w:hAnsi="Arial"/>
                <w:sz w:val="13"/>
                <w:szCs w:val="13"/>
                <w:color w:val="0000EE"/>
              </w:rPr>
            </w:pPr>
            <w:hyperlink w:anchor="page50">
              <w:r>
                <w:rPr>
                  <w:rFonts w:ascii="Arial" w:cs="Arial" w:eastAsia="Arial" w:hAnsi="Arial"/>
                  <w:sz w:val="13"/>
                  <w:szCs w:val="13"/>
                  <w:color w:val="0000EE"/>
                </w:rPr>
                <w:t>Consolidated Statements of Shareholders’ Equity for the fiscal years ended January 28, 2012, January 29, 2011, and January 30, 2010</w:t>
              </w:r>
            </w:hyperlink>
          </w:p>
        </w:tc>
        <w:tc>
          <w:tcPr>
            <w:tcW w:w="218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r>
      <w:tr>
        <w:trPr>
          <w:trHeight w:val="144"/>
        </w:trPr>
        <w:tc>
          <w:tcPr>
            <w:tcW w:w="6680" w:type="dxa"/>
            <w:vAlign w:val="bottom"/>
            <w:tcBorders>
              <w:top w:val="single" w:sz="8" w:color="0000EE"/>
              <w:bottom w:val="single" w:sz="8" w:color="0000EE"/>
            </w:tcBorders>
            <w:gridSpan w:val="6"/>
          </w:tcPr>
          <w:p>
            <w:pPr>
              <w:spacing w:after="0" w:line="144" w:lineRule="exact"/>
              <w:rPr>
                <w:rFonts w:ascii="Arial" w:cs="Arial" w:eastAsia="Arial" w:hAnsi="Arial"/>
                <w:sz w:val="13"/>
                <w:szCs w:val="13"/>
                <w:color w:val="0000EE"/>
                <w:w w:val="91"/>
              </w:rPr>
            </w:pPr>
            <w:hyperlink w:anchor="page51">
              <w:r>
                <w:rPr>
                  <w:rFonts w:ascii="Arial" w:cs="Arial" w:eastAsia="Arial" w:hAnsi="Arial"/>
                  <w:sz w:val="13"/>
                  <w:szCs w:val="13"/>
                  <w:color w:val="0000EE"/>
                  <w:w w:val="91"/>
                </w:rPr>
                <w:t>Consolidated Statements of Cash Flows for the fiscal years ended January 28, 2012, January 29, 2011, and January 30, 2010</w:t>
              </w:r>
            </w:hyperlink>
          </w:p>
        </w:tc>
        <w:tc>
          <w:tcPr>
            <w:tcW w:w="500" w:type="dxa"/>
            <w:vAlign w:val="bottom"/>
            <w:tcBorders>
              <w:top w:val="single" w:sz="8" w:color="0000EE"/>
            </w:tcBorders>
          </w:tcPr>
          <w:p>
            <w:pPr>
              <w:spacing w:after="0"/>
              <w:rPr>
                <w:sz w:val="12"/>
                <w:szCs w:val="12"/>
                <w:color w:val="auto"/>
              </w:rPr>
            </w:pPr>
          </w:p>
        </w:tc>
        <w:tc>
          <w:tcPr>
            <w:tcW w:w="2040" w:type="dxa"/>
            <w:vAlign w:val="bottom"/>
          </w:tcPr>
          <w:p>
            <w:pPr>
              <w:spacing w:after="0"/>
              <w:rPr>
                <w:sz w:val="12"/>
                <w:szCs w:val="12"/>
                <w:color w:val="auto"/>
              </w:rPr>
            </w:pPr>
          </w:p>
        </w:tc>
        <w:tc>
          <w:tcPr>
            <w:tcW w:w="2180" w:type="dxa"/>
            <w:vAlign w:val="bottom"/>
          </w:tcPr>
          <w:p>
            <w:pPr>
              <w:jc w:val="right"/>
              <w:spacing w:after="0" w:line="144" w:lineRule="exact"/>
              <w:rPr>
                <w:sz w:val="20"/>
                <w:szCs w:val="20"/>
                <w:color w:val="auto"/>
              </w:rPr>
            </w:pPr>
            <w:r>
              <w:rPr>
                <w:rFonts w:ascii="Arial" w:cs="Arial" w:eastAsia="Arial" w:hAnsi="Arial"/>
                <w:sz w:val="13"/>
                <w:szCs w:val="13"/>
                <w:color w:val="auto"/>
              </w:rPr>
              <w:t>51</w:t>
            </w:r>
          </w:p>
        </w:tc>
      </w:tr>
      <w:tr>
        <w:trPr>
          <w:trHeight w:val="144"/>
        </w:trPr>
        <w:tc>
          <w:tcPr>
            <w:tcW w:w="2340" w:type="dxa"/>
            <w:vAlign w:val="bottom"/>
            <w:tcBorders>
              <w:bottom w:val="single" w:sz="8" w:color="0000EE"/>
            </w:tcBorders>
            <w:gridSpan w:val="2"/>
          </w:tcPr>
          <w:p>
            <w:pPr>
              <w:spacing w:after="0" w:line="144" w:lineRule="exact"/>
              <w:rPr>
                <w:rFonts w:ascii="Arial" w:cs="Arial" w:eastAsia="Arial" w:hAnsi="Arial"/>
                <w:sz w:val="13"/>
                <w:szCs w:val="13"/>
                <w:color w:val="0000EE"/>
                <w:w w:val="91"/>
              </w:rPr>
            </w:pPr>
            <w:hyperlink w:anchor="page52">
              <w:r>
                <w:rPr>
                  <w:rFonts w:ascii="Arial" w:cs="Arial" w:eastAsia="Arial" w:hAnsi="Arial"/>
                  <w:sz w:val="13"/>
                  <w:szCs w:val="13"/>
                  <w:color w:val="0000EE"/>
                  <w:w w:val="91"/>
                </w:rPr>
                <w:t>Notes to Consolidated Financial Statements</w:t>
              </w:r>
            </w:hyperlink>
          </w:p>
        </w:tc>
        <w:tc>
          <w:tcPr>
            <w:tcW w:w="6880" w:type="dxa"/>
            <w:vAlign w:val="bottom"/>
            <w:gridSpan w:val="6"/>
          </w:tcPr>
          <w:p>
            <w:pPr>
              <w:spacing w:after="0"/>
              <w:rPr>
                <w:sz w:val="12"/>
                <w:szCs w:val="12"/>
                <w:color w:val="auto"/>
              </w:rPr>
            </w:pPr>
          </w:p>
        </w:tc>
        <w:tc>
          <w:tcPr>
            <w:tcW w:w="2180" w:type="dxa"/>
            <w:vAlign w:val="bottom"/>
          </w:tcPr>
          <w:p>
            <w:pPr>
              <w:jc w:val="right"/>
              <w:spacing w:after="0" w:line="144" w:lineRule="exact"/>
              <w:rPr>
                <w:sz w:val="20"/>
                <w:szCs w:val="20"/>
                <w:color w:val="auto"/>
              </w:rPr>
            </w:pPr>
            <w:r>
              <w:rPr>
                <w:rFonts w:ascii="Arial" w:cs="Arial" w:eastAsia="Arial" w:hAnsi="Arial"/>
                <w:sz w:val="13"/>
                <w:szCs w:val="13"/>
                <w:color w:val="auto"/>
              </w:rPr>
              <w:t>52</w:t>
            </w:r>
          </w:p>
        </w:tc>
      </w:tr>
      <w:tr>
        <w:trPr>
          <w:trHeight w:val="287"/>
        </w:trPr>
        <w:tc>
          <w:tcPr>
            <w:tcW w:w="640" w:type="dxa"/>
            <w:vAlign w:val="bottom"/>
          </w:tcPr>
          <w:p>
            <w:pPr>
              <w:spacing w:after="0"/>
              <w:rPr>
                <w:sz w:val="24"/>
                <w:szCs w:val="24"/>
                <w:color w:val="auto"/>
              </w:rPr>
            </w:pPr>
          </w:p>
        </w:tc>
        <w:tc>
          <w:tcPr>
            <w:tcW w:w="5820" w:type="dxa"/>
            <w:vAlign w:val="bottom"/>
            <w:gridSpan w:val="4"/>
          </w:tcPr>
          <w:p>
            <w:pPr>
              <w:jc w:val="center"/>
              <w:ind w:left="4293"/>
              <w:spacing w:after="0"/>
              <w:rPr>
                <w:sz w:val="20"/>
                <w:szCs w:val="20"/>
                <w:color w:val="auto"/>
              </w:rPr>
            </w:pPr>
            <w:r>
              <w:rPr>
                <w:rFonts w:ascii="Arial" w:cs="Arial" w:eastAsia="Arial" w:hAnsi="Arial"/>
                <w:sz w:val="13"/>
                <w:szCs w:val="13"/>
                <w:color w:val="auto"/>
                <w:w w:val="96"/>
              </w:rPr>
              <w:t>46</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00"/>
          </w:cols>
          <w:pgMar w:left="220" w:top="384" w:right="2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Vera Bradley, Inc.</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 xml:space="preserve">In our opinion, the consolidated financial statements listed in the accompanying index present fairly, in all material respects, the financial position of Vera Bradley, Inc. and its subsidiaries at January 28, 2012 and January 29, 2011, and the results of their operations and their cash flows for each of the three years in the period ended January 28, 2012 in conformity with accounting principles generally accepted in the United States of America. Also in our opinion, the Company maintained, in all material respects, effective internal control over financial reporting as of January 28, 2012, based on criteria established in </w:t>
      </w:r>
      <w:r>
        <w:rPr>
          <w:rFonts w:ascii="Arial" w:cs="Arial" w:eastAsia="Arial" w:hAnsi="Arial"/>
          <w:sz w:val="12"/>
          <w:szCs w:val="12"/>
          <w:i w:val="1"/>
          <w:iCs w:val="1"/>
          <w:color w:val="auto"/>
        </w:rPr>
        <w:t>Internal Control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Integrated Framework </w:t>
      </w:r>
      <w:r>
        <w:rPr>
          <w:rFonts w:ascii="Arial" w:cs="Arial" w:eastAsia="Arial" w:hAnsi="Arial"/>
          <w:sz w:val="12"/>
          <w:szCs w:val="12"/>
          <w:color w:val="auto"/>
        </w:rPr>
        <w:t>issued by the Committee of Sponsoring Organizations of the Treadway Commission (COSO). The Company’s management is responsible for these financial statements, for maintaining</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was an integrated audit in 2012).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8"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Indianapolis, Indiana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March 27, 2012</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40"/>
          </w:cols>
          <w:pgMar w:left="220" w:top="38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500" w:type="dxa"/>
            <w:vAlign w:val="bottom"/>
          </w:tcPr>
          <w:p>
            <w:pPr>
              <w:spacing w:after="0"/>
              <w:rPr>
                <w:sz w:val="10"/>
                <w:szCs w:val="10"/>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0"/>
                <w:szCs w:val="10"/>
                <w:b w:val="1"/>
                <w:bCs w:val="1"/>
                <w:color w:val="auto"/>
              </w:rPr>
              <w:t>January 28,</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0"/>
              </w:rPr>
              <w:t>January 29,</w:t>
            </w:r>
          </w:p>
        </w:tc>
        <w:tc>
          <w:tcPr>
            <w:tcW w:w="0" w:type="dxa"/>
            <w:vAlign w:val="bottom"/>
          </w:tcPr>
          <w:p>
            <w:pPr>
              <w:spacing w:after="0"/>
              <w:rPr>
                <w:sz w:val="1"/>
                <w:szCs w:val="1"/>
                <w:color w:val="auto"/>
              </w:rPr>
            </w:pPr>
          </w:p>
        </w:tc>
      </w:tr>
      <w:tr>
        <w:trPr>
          <w:trHeight w:val="124"/>
        </w:trPr>
        <w:tc>
          <w:tcPr>
            <w:tcW w:w="95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0"/>
                <w:szCs w:val="10"/>
                <w:b w:val="1"/>
                <w:bCs w:val="1"/>
                <w:color w:val="auto"/>
              </w:rPr>
              <w:t>2012</w:t>
            </w:r>
          </w:p>
        </w:tc>
        <w:tc>
          <w:tcPr>
            <w:tcW w:w="5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50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95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4,922</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ind w:left="340"/>
              <w:spacing w:after="0"/>
              <w:rPr>
                <w:sz w:val="20"/>
                <w:szCs w:val="20"/>
                <w:color w:val="auto"/>
              </w:rPr>
            </w:pPr>
            <w:r>
              <w:rPr>
                <w:rFonts w:ascii="Arial" w:cs="Arial" w:eastAsia="Arial" w:hAnsi="Arial"/>
                <w:sz w:val="13"/>
                <w:szCs w:val="13"/>
                <w:color w:val="auto"/>
              </w:rPr>
              <w:t>Accounts receivable, net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38,097</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34,300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106,967</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ind w:left="3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8,343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Deferred income taxes</w:t>
            </w: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8,010</w:t>
            </w:r>
          </w:p>
        </w:tc>
        <w:tc>
          <w:tcPr>
            <w:tcW w:w="5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ind w:left="660"/>
              <w:spacing w:after="0"/>
              <w:rPr>
                <w:sz w:val="20"/>
                <w:szCs w:val="20"/>
                <w:color w:val="auto"/>
              </w:rPr>
            </w:pPr>
            <w:r>
              <w:rPr>
                <w:rFonts w:ascii="Arial" w:cs="Arial" w:eastAsia="Arial" w:hAnsi="Arial"/>
                <w:sz w:val="13"/>
                <w:szCs w:val="13"/>
                <w:color w:val="auto"/>
              </w:rPr>
              <w:t>Total current assets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166,339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160,467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52,312</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42,984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500" w:type="dxa"/>
            <w:vAlign w:val="bottom"/>
          </w:tcPr>
          <w:p>
            <w:pPr>
              <w:spacing w:after="0"/>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219,513</w:t>
            </w:r>
          </w:p>
        </w:tc>
        <w:tc>
          <w:tcPr>
            <w:tcW w:w="5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206,039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ind w:left="340"/>
              <w:spacing w:after="0"/>
              <w:rPr>
                <w:sz w:val="20"/>
                <w:szCs w:val="20"/>
                <w:color w:val="auto"/>
              </w:rPr>
            </w:pPr>
            <w:r>
              <w:rPr>
                <w:rFonts w:ascii="Arial" w:cs="Arial" w:eastAsia="Arial" w:hAnsi="Arial"/>
                <w:sz w:val="13"/>
                <w:szCs w:val="13"/>
                <w:color w:val="auto"/>
              </w:rPr>
              <w:t>Accounts payable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27,276</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Accrued employment costs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15,738</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ind w:left="340"/>
              <w:spacing w:after="0"/>
              <w:rPr>
                <w:sz w:val="20"/>
                <w:szCs w:val="20"/>
                <w:color w:val="auto"/>
              </w:rPr>
            </w:pPr>
            <w:r>
              <w:rPr>
                <w:rFonts w:ascii="Arial" w:cs="Arial" w:eastAsia="Arial" w:hAnsi="Arial"/>
                <w:sz w:val="13"/>
                <w:szCs w:val="13"/>
                <w:color w:val="auto"/>
              </w:rPr>
              <w:t>Other accrued liabilities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15,297</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Income taxes payable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500" w:type="dxa"/>
            <w:vAlign w:val="bottom"/>
          </w:tcPr>
          <w:p>
            <w:pPr>
              <w:ind w:left="34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60,105</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25,095</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66,934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4,205</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50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6,101</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95,506</w:t>
            </w:r>
          </w:p>
        </w:tc>
        <w:tc>
          <w:tcPr>
            <w:tcW w:w="5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141,717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ind w:left="340"/>
              <w:spacing w:after="0"/>
              <w:rPr>
                <w:sz w:val="20"/>
                <w:szCs w:val="20"/>
                <w:color w:val="auto"/>
              </w:rPr>
            </w:pPr>
            <w:r>
              <w:rPr>
                <w:rFonts w:ascii="Arial" w:cs="Arial" w:eastAsia="Arial" w:hAnsi="Arial"/>
                <w:sz w:val="13"/>
                <w:szCs w:val="13"/>
                <w:color w:val="auto"/>
              </w:rPr>
              <w:t>Preferred stock; 5,000,000 shares authorized, no shares issued or outstanding</w:t>
            </w:r>
          </w:p>
        </w:tc>
        <w:tc>
          <w:tcPr>
            <w:tcW w:w="14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Common stock; without par value; 200,000,000 shares authorized, 40,506,720 and 40,506,670 shares issued and outstanding, respectively</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9500" w:type="dxa"/>
            <w:vAlign w:val="bottom"/>
          </w:tcPr>
          <w:p>
            <w:pPr>
              <w:ind w:left="34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73,590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71,923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Retained earnings (accumulated deficit)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50,320</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(7,601)</w:t>
            </w:r>
          </w:p>
        </w:tc>
        <w:tc>
          <w:tcPr>
            <w:tcW w:w="0" w:type="dxa"/>
            <w:vAlign w:val="bottom"/>
          </w:tcPr>
          <w:p>
            <w:pPr>
              <w:spacing w:after="0"/>
              <w:rPr>
                <w:sz w:val="1"/>
                <w:szCs w:val="1"/>
                <w:color w:val="auto"/>
              </w:rPr>
            </w:pPr>
          </w:p>
        </w:tc>
      </w:tr>
      <w:tr>
        <w:trPr>
          <w:trHeight w:val="165"/>
        </w:trPr>
        <w:tc>
          <w:tcPr>
            <w:tcW w:w="9500" w:type="dxa"/>
            <w:vAlign w:val="bottom"/>
          </w:tcPr>
          <w:p>
            <w:pPr>
              <w:ind w:left="340"/>
              <w:spacing w:after="0"/>
              <w:rPr>
                <w:sz w:val="20"/>
                <w:szCs w:val="20"/>
                <w:color w:val="auto"/>
              </w:rPr>
            </w:pPr>
            <w:r>
              <w:rPr>
                <w:rFonts w:ascii="Arial" w:cs="Arial" w:eastAsia="Arial" w:hAnsi="Arial"/>
                <w:sz w:val="13"/>
                <w:szCs w:val="13"/>
                <w:color w:val="auto"/>
              </w:rPr>
              <w:t>Accumulated other comprehensive income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95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124,007</w:t>
            </w:r>
          </w:p>
        </w:tc>
        <w:tc>
          <w:tcPr>
            <w:tcW w:w="5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500" w:type="dxa"/>
            <w:vAlign w:val="bottom"/>
          </w:tcPr>
          <w:p>
            <w:pPr>
              <w:ind w:left="660"/>
              <w:spacing w:after="0"/>
              <w:rPr>
                <w:sz w:val="20"/>
                <w:szCs w:val="20"/>
                <w:color w:val="auto"/>
              </w:rPr>
            </w:pPr>
            <w:r>
              <w:rPr>
                <w:rFonts w:ascii="Arial" w:cs="Arial" w:eastAsia="Arial" w:hAnsi="Arial"/>
                <w:sz w:val="13"/>
                <w:szCs w:val="13"/>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219,513</w:t>
            </w:r>
          </w:p>
        </w:tc>
        <w:tc>
          <w:tcPr>
            <w:tcW w:w="5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206,039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60"/>
          </w:cols>
          <w:pgMar w:left="220" w:top="384" w:right="2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Income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4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0"/>
                <w:szCs w:val="10"/>
                <w:b w:val="1"/>
                <w:bCs w:val="1"/>
                <w:color w:val="auto"/>
                <w:w w:val="92"/>
              </w:rPr>
              <w:t>Fiscal Year Ended</w:t>
            </w: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4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ind w:left="20"/>
              <w:spacing w:after="0" w:line="92" w:lineRule="exact"/>
              <w:rPr>
                <w:sz w:val="20"/>
                <w:szCs w:val="20"/>
                <w:color w:val="auto"/>
              </w:rPr>
            </w:pPr>
            <w:r>
              <w:rPr>
                <w:rFonts w:ascii="Arial" w:cs="Arial" w:eastAsia="Arial" w:hAnsi="Arial"/>
                <w:sz w:val="10"/>
                <w:szCs w:val="10"/>
                <w:b w:val="1"/>
                <w:bCs w:val="1"/>
                <w:color w:val="auto"/>
              </w:rPr>
              <w:t>January 28,</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jc w:val="center"/>
              <w:ind w:right="720"/>
              <w:spacing w:after="0" w:line="92" w:lineRule="exact"/>
              <w:rPr>
                <w:sz w:val="20"/>
                <w:szCs w:val="20"/>
                <w:color w:val="auto"/>
              </w:rPr>
            </w:pPr>
            <w:r>
              <w:rPr>
                <w:rFonts w:ascii="Arial" w:cs="Arial" w:eastAsia="Arial" w:hAnsi="Arial"/>
                <w:sz w:val="10"/>
                <w:szCs w:val="10"/>
                <w:b w:val="1"/>
                <w:bCs w:val="1"/>
                <w:color w:val="auto"/>
                <w:w w:val="94"/>
              </w:rPr>
              <w:t>January 29,</w:t>
            </w:r>
          </w:p>
        </w:tc>
        <w:tc>
          <w:tcPr>
            <w:tcW w:w="80" w:type="dxa"/>
            <w:vAlign w:val="bottom"/>
          </w:tcPr>
          <w:p>
            <w:pPr>
              <w:spacing w:after="0"/>
              <w:rPr>
                <w:sz w:val="8"/>
                <w:szCs w:val="8"/>
                <w:color w:val="auto"/>
              </w:rPr>
            </w:pPr>
          </w:p>
        </w:tc>
        <w:tc>
          <w:tcPr>
            <w:tcW w:w="660" w:type="dxa"/>
            <w:vAlign w:val="bottom"/>
          </w:tcPr>
          <w:p>
            <w:pPr>
              <w:jc w:val="right"/>
              <w:ind w:right="55"/>
              <w:spacing w:after="0" w:line="92" w:lineRule="exact"/>
              <w:rPr>
                <w:sz w:val="20"/>
                <w:szCs w:val="20"/>
                <w:color w:val="auto"/>
              </w:rPr>
            </w:pPr>
            <w:r>
              <w:rPr>
                <w:rFonts w:ascii="Arial" w:cs="Arial" w:eastAsia="Arial" w:hAnsi="Arial"/>
                <w:sz w:val="10"/>
                <w:szCs w:val="10"/>
                <w:b w:val="1"/>
                <w:bCs w:val="1"/>
                <w:color w:val="auto"/>
                <w:w w:val="94"/>
              </w:rPr>
              <w:t>January 30,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5480" w:type="dxa"/>
            <w:vAlign w:val="bottom"/>
            <w:tcBorders>
              <w:bottom w:val="single" w:sz="8" w:color="CCEEFF"/>
            </w:tcBorders>
          </w:tcPr>
          <w:p>
            <w:pPr>
              <w:spacing w:after="0"/>
              <w:rPr>
                <w:sz w:val="10"/>
                <w:szCs w:val="10"/>
                <w:color w:val="auto"/>
              </w:rPr>
            </w:pPr>
          </w:p>
        </w:tc>
        <w:tc>
          <w:tcPr>
            <w:tcW w:w="24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2012</w:t>
            </w:r>
          </w:p>
        </w:tc>
        <w:tc>
          <w:tcPr>
            <w:tcW w:w="30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89"/>
              </w:rPr>
              <w:t>2011</w:t>
            </w:r>
          </w:p>
        </w:tc>
        <w:tc>
          <w:tcPr>
            <w:tcW w:w="6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460,843</w:t>
            </w: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366,057</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288,940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80" w:type="dxa"/>
            <w:vAlign w:val="bottom"/>
          </w:tcPr>
          <w:p>
            <w:pPr>
              <w:spacing w:after="0"/>
              <w:rPr>
                <w:sz w:val="20"/>
                <w:szCs w:val="20"/>
                <w:color w:val="auto"/>
              </w:rPr>
            </w:pPr>
            <w:r>
              <w:rPr>
                <w:rFonts w:ascii="Arial" w:cs="Arial" w:eastAsia="Arial" w:hAnsi="Arial"/>
                <w:sz w:val="13"/>
                <w:szCs w:val="13"/>
                <w:color w:val="auto"/>
              </w:rPr>
              <w:t>Cost of sales</w:t>
            </w: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203,220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156,910</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137,803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Gross profit</w:t>
            </w: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257,623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209,147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169,427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3"/>
                <w:szCs w:val="13"/>
                <w:color w:val="auto"/>
              </w:rPr>
              <w:t>163,053</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116,168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Other income</w:t>
            </w:r>
          </w:p>
        </w:tc>
        <w:tc>
          <w:tcPr>
            <w:tcW w:w="2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7,975</w:t>
            </w: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7,225</w:t>
            </w:r>
          </w:p>
        </w:tc>
        <w:tc>
          <w:tcPr>
            <w:tcW w:w="6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340"/>
              <w:spacing w:after="0"/>
              <w:rPr>
                <w:sz w:val="20"/>
                <w:szCs w:val="20"/>
                <w:color w:val="auto"/>
              </w:rPr>
            </w:pPr>
            <w:r>
              <w:rPr>
                <w:rFonts w:ascii="Arial" w:cs="Arial" w:eastAsia="Arial" w:hAnsi="Arial"/>
                <w:sz w:val="13"/>
                <w:szCs w:val="13"/>
                <w:color w:val="auto"/>
              </w:rPr>
              <w:t>Operating income</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96,171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3"/>
                <w:szCs w:val="13"/>
                <w:color w:val="auto"/>
              </w:rPr>
              <w:t>53,319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45,712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 net</w:t>
            </w:r>
          </w:p>
        </w:tc>
        <w:tc>
          <w:tcPr>
            <w:tcW w:w="2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1,625</w:t>
            </w:r>
          </w:p>
        </w:tc>
        <w:tc>
          <w:tcPr>
            <w:tcW w:w="6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340"/>
              <w:spacing w:after="0"/>
              <w:rPr>
                <w:sz w:val="20"/>
                <w:szCs w:val="20"/>
                <w:color w:val="auto"/>
              </w:rPr>
            </w:pPr>
            <w:r>
              <w:rPr>
                <w:rFonts w:ascii="Arial" w:cs="Arial" w:eastAsia="Arial" w:hAnsi="Arial"/>
                <w:sz w:val="13"/>
                <w:szCs w:val="13"/>
                <w:color w:val="auto"/>
              </w:rPr>
              <w:t>Income before income taxes</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95,024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3"/>
                <w:szCs w:val="13"/>
                <w:color w:val="auto"/>
              </w:rPr>
              <w:t>51,694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37,103</w:t>
            </w: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5,496</w:t>
            </w:r>
          </w:p>
        </w:tc>
        <w:tc>
          <w:tcPr>
            <w:tcW w:w="6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340"/>
              <w:spacing w:after="0"/>
              <w:rPr>
                <w:sz w:val="20"/>
                <w:szCs w:val="20"/>
                <w:color w:val="auto"/>
              </w:rPr>
            </w:pPr>
            <w:r>
              <w:rPr>
                <w:rFonts w:ascii="Arial" w:cs="Arial" w:eastAsia="Arial" w:hAnsi="Arial"/>
                <w:sz w:val="13"/>
                <w:szCs w:val="13"/>
                <w:color w:val="auto"/>
              </w:rPr>
              <w:t>Net income</w:t>
            </w:r>
          </w:p>
        </w:tc>
        <w:tc>
          <w:tcPr>
            <w:tcW w:w="2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57,921</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3"/>
                <w:szCs w:val="13"/>
                <w:color w:val="auto"/>
              </w:rPr>
              <w:t>46,198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43,219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4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Basic weighted-average shares outstanding</w:t>
            </w:r>
          </w:p>
        </w:tc>
        <w:tc>
          <w:tcPr>
            <w:tcW w:w="2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6" w:lineRule="exact"/>
              <w:rPr>
                <w:sz w:val="20"/>
                <w:szCs w:val="20"/>
                <w:color w:val="auto"/>
              </w:rPr>
            </w:pPr>
            <w:r>
              <w:rPr>
                <w:rFonts w:ascii="Arial" w:cs="Arial" w:eastAsia="Arial" w:hAnsi="Arial"/>
                <w:sz w:val="13"/>
                <w:szCs w:val="13"/>
                <w:color w:val="auto"/>
                <w:w w:val="98"/>
              </w:rPr>
              <w:t>40,506,672</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6" w:lineRule="exact"/>
              <w:rPr>
                <w:sz w:val="20"/>
                <w:szCs w:val="20"/>
                <w:color w:val="auto"/>
              </w:rPr>
            </w:pPr>
            <w:r>
              <w:rPr>
                <w:rFonts w:ascii="Arial" w:cs="Arial" w:eastAsia="Arial" w:hAnsi="Arial"/>
                <w:sz w:val="13"/>
                <w:szCs w:val="13"/>
                <w:color w:val="auto"/>
                <w:w w:val="95"/>
              </w:rPr>
              <w:t>36,812,570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8"/>
              </w:rPr>
              <w:t>35,440,547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80" w:type="dxa"/>
            <w:vAlign w:val="bottom"/>
          </w:tcPr>
          <w:p>
            <w:pPr>
              <w:spacing w:after="0"/>
              <w:rPr>
                <w:sz w:val="20"/>
                <w:szCs w:val="20"/>
                <w:color w:val="auto"/>
              </w:rPr>
            </w:pPr>
            <w:r>
              <w:rPr>
                <w:rFonts w:ascii="Arial" w:cs="Arial" w:eastAsia="Arial" w:hAnsi="Arial"/>
                <w:sz w:val="13"/>
                <w:szCs w:val="13"/>
                <w:color w:val="auto"/>
              </w:rPr>
              <w:t>Diluted weighted-average shares outstanding</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40,542,302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3"/>
                <w:szCs w:val="13"/>
                <w:color w:val="auto"/>
                <w:w w:val="95"/>
              </w:rPr>
              <w:t>36,850,915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35,440,547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1.43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Basic distributions per share</w:t>
            </w: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3.58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5480" w:type="dxa"/>
            <w:vAlign w:val="bottom"/>
          </w:tcPr>
          <w:p>
            <w:pPr>
              <w:spacing w:after="0"/>
              <w:rPr>
                <w:sz w:val="20"/>
                <w:szCs w:val="20"/>
                <w:color w:val="auto"/>
              </w:rPr>
            </w:pPr>
            <w:r>
              <w:rPr>
                <w:rFonts w:ascii="Arial" w:cs="Arial" w:eastAsia="Arial" w:hAnsi="Arial"/>
                <w:sz w:val="13"/>
                <w:szCs w:val="13"/>
                <w:color w:val="auto"/>
              </w:rPr>
              <w:t xml:space="preserve">Pro forma income information </w:t>
            </w:r>
            <w:r>
              <w:rPr>
                <w:rFonts w:ascii="Arial" w:cs="Arial" w:eastAsia="Arial" w:hAnsi="Arial"/>
                <w:sz w:val="17"/>
                <w:szCs w:val="17"/>
                <w:color w:val="auto"/>
                <w:vertAlign w:val="subscript"/>
              </w:rPr>
              <w:t>(Note 1)</w:t>
            </w:r>
            <w:r>
              <w:rPr>
                <w:rFonts w:ascii="Arial" w:cs="Arial" w:eastAsia="Arial" w:hAnsi="Arial"/>
                <w:sz w:val="13"/>
                <w:szCs w:val="13"/>
                <w:color w:val="auto"/>
              </w:rPr>
              <w:t>:</w:t>
            </w:r>
          </w:p>
        </w:tc>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Income before income taxes</w:t>
            </w: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51,694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340"/>
              <w:spacing w:after="0"/>
              <w:rPr>
                <w:sz w:val="20"/>
                <w:szCs w:val="20"/>
                <w:color w:val="auto"/>
              </w:rPr>
            </w:pPr>
            <w:r>
              <w:rPr>
                <w:rFonts w:ascii="Arial" w:cs="Arial" w:eastAsia="Arial" w:hAnsi="Arial"/>
                <w:sz w:val="13"/>
                <w:szCs w:val="13"/>
                <w:color w:val="auto"/>
              </w:rPr>
              <w:t>Pro forma income tax expense (unaudited)</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22,791</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Pro forma net income (unaudited)</w:t>
            </w: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28,903</w:t>
            </w:r>
          </w:p>
        </w:tc>
        <w:tc>
          <w:tcPr>
            <w:tcW w:w="6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340"/>
              <w:spacing w:after="0"/>
              <w:rPr>
                <w:sz w:val="20"/>
                <w:szCs w:val="20"/>
                <w:color w:val="auto"/>
              </w:rPr>
            </w:pPr>
            <w:r>
              <w:rPr>
                <w:rFonts w:ascii="Arial" w:cs="Arial" w:eastAsia="Arial" w:hAnsi="Arial"/>
                <w:sz w:val="13"/>
                <w:szCs w:val="13"/>
                <w:color w:val="auto"/>
              </w:rPr>
              <w:t>Basic weighted-average shares outstanding</w:t>
            </w: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480" w:type="dxa"/>
            <w:vAlign w:val="bottom"/>
            <w:vMerge w:val="continue"/>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40"/>
              <w:spacing w:after="0" w:line="145" w:lineRule="exact"/>
              <w:rPr>
                <w:sz w:val="20"/>
                <w:szCs w:val="20"/>
                <w:color w:val="auto"/>
              </w:rPr>
            </w:pPr>
            <w:r>
              <w:rPr>
                <w:rFonts w:ascii="Arial" w:cs="Arial" w:eastAsia="Arial" w:hAnsi="Arial"/>
                <w:sz w:val="13"/>
                <w:szCs w:val="13"/>
                <w:color w:val="auto"/>
                <w:w w:val="95"/>
              </w:rPr>
              <w:t>36,812,570</w:t>
            </w:r>
          </w:p>
        </w:tc>
        <w:tc>
          <w:tcPr>
            <w:tcW w:w="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w w:val="98"/>
              </w:rPr>
              <w:t>35,440,547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Diluted weighted-average shares outstanding</w:t>
            </w: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w w:val="95"/>
              </w:rPr>
              <w:t>36,850,915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35,440,547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Pr>
          <w:p>
            <w:pPr>
              <w:ind w:left="340"/>
              <w:spacing w:after="0"/>
              <w:rPr>
                <w:sz w:val="20"/>
                <w:szCs w:val="20"/>
                <w:color w:val="auto"/>
              </w:rPr>
            </w:pPr>
            <w:r>
              <w:rPr>
                <w:rFonts w:ascii="Arial" w:cs="Arial" w:eastAsia="Arial" w:hAnsi="Arial"/>
                <w:sz w:val="13"/>
                <w:szCs w:val="13"/>
                <w:color w:val="auto"/>
              </w:rPr>
              <w:t>Pro forma basic net income per share (unaudited)</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3"/>
                <w:szCs w:val="13"/>
                <w:color w:val="auto"/>
              </w:rPr>
              <w:t>0.79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0.75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Pro forma diluted net income per share (unaudited)</w:t>
            </w: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0.78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460"/>
          </w:cols>
          <w:pgMar w:left="220" w:top="384" w:right="2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0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rPr>
              <w:t>Number of Shares</w:t>
            </w: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4"/>
              </w:rPr>
              <w:t>Retained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Accumulated</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00" w:type="dxa"/>
            <w:vAlign w:val="bottom"/>
          </w:tcPr>
          <w:p>
            <w:pPr>
              <w:spacing w:after="0"/>
              <w:rPr>
                <w:sz w:val="8"/>
                <w:szCs w:val="8"/>
                <w:color w:val="auto"/>
              </w:rPr>
            </w:pPr>
          </w:p>
        </w:tc>
        <w:tc>
          <w:tcPr>
            <w:tcW w:w="66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92"/>
              </w:rPr>
              <w:t>Common</w:t>
            </w:r>
          </w:p>
        </w:tc>
        <w:tc>
          <w:tcPr>
            <w:tcW w:w="220" w:type="dxa"/>
            <w:vAlign w:val="bottom"/>
          </w:tcPr>
          <w:p>
            <w:pPr>
              <w:spacing w:after="0"/>
              <w:rPr>
                <w:sz w:val="8"/>
                <w:szCs w:val="8"/>
                <w:color w:val="auto"/>
              </w:rPr>
            </w:pPr>
          </w:p>
        </w:tc>
        <w:tc>
          <w:tcPr>
            <w:tcW w:w="1000" w:type="dxa"/>
            <w:vAlign w:val="bottom"/>
            <w:gridSpan w:val="2"/>
          </w:tcPr>
          <w:p>
            <w:pPr>
              <w:jc w:val="center"/>
              <w:ind w:right="400"/>
              <w:spacing w:after="0" w:line="92" w:lineRule="exact"/>
              <w:rPr>
                <w:sz w:val="20"/>
                <w:szCs w:val="20"/>
                <w:color w:val="auto"/>
              </w:rPr>
            </w:pPr>
            <w:r>
              <w:rPr>
                <w:rFonts w:ascii="Arial" w:cs="Arial" w:eastAsia="Arial" w:hAnsi="Arial"/>
                <w:sz w:val="10"/>
                <w:szCs w:val="10"/>
                <w:b w:val="1"/>
                <w:bCs w:val="1"/>
                <w:color w:val="auto"/>
                <w:w w:val="92"/>
              </w:rPr>
              <w:t>Common</w:t>
            </w: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00" w:type="dxa"/>
            <w:vAlign w:val="bottom"/>
          </w:tcPr>
          <w:p>
            <w:pPr>
              <w:spacing w:after="0"/>
              <w:rPr>
                <w:sz w:val="9"/>
                <w:szCs w:val="9"/>
                <w:color w:val="auto"/>
              </w:rPr>
            </w:pPr>
          </w:p>
        </w:tc>
        <w:tc>
          <w:tcPr>
            <w:tcW w:w="66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7"/>
              </w:rPr>
              <w:t>Stock</w:t>
            </w:r>
          </w:p>
        </w:tc>
        <w:tc>
          <w:tcPr>
            <w:tcW w:w="220" w:type="dxa"/>
            <w:vAlign w:val="bottom"/>
          </w:tcPr>
          <w:p>
            <w:pPr>
              <w:spacing w:after="0"/>
              <w:rPr>
                <w:sz w:val="9"/>
                <w:szCs w:val="9"/>
                <w:color w:val="auto"/>
              </w:rPr>
            </w:pPr>
          </w:p>
        </w:tc>
        <w:tc>
          <w:tcPr>
            <w:tcW w:w="1000" w:type="dxa"/>
            <w:vAlign w:val="bottom"/>
            <w:gridSpan w:val="2"/>
          </w:tcPr>
          <w:p>
            <w:pPr>
              <w:jc w:val="center"/>
              <w:ind w:right="400"/>
              <w:spacing w:after="0" w:line="113" w:lineRule="exact"/>
              <w:rPr>
                <w:sz w:val="20"/>
                <w:szCs w:val="20"/>
                <w:color w:val="auto"/>
              </w:rPr>
            </w:pPr>
            <w:r>
              <w:rPr>
                <w:rFonts w:ascii="Arial" w:cs="Arial" w:eastAsia="Arial" w:hAnsi="Arial"/>
                <w:sz w:val="10"/>
                <w:szCs w:val="10"/>
                <w:b w:val="1"/>
                <w:bCs w:val="1"/>
                <w:color w:val="auto"/>
                <w:w w:val="87"/>
              </w:rPr>
              <w:t>Stock</w:t>
            </w: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jc w:val="right"/>
              <w:ind w:right="420"/>
              <w:spacing w:after="0" w:line="113" w:lineRule="exact"/>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9"/>
                <w:szCs w:val="9"/>
                <w:color w:val="auto"/>
              </w:rPr>
            </w:pPr>
          </w:p>
        </w:tc>
        <w:tc>
          <w:tcPr>
            <w:tcW w:w="820" w:type="dxa"/>
            <w:vAlign w:val="bottom"/>
            <w:gridSpan w:val="2"/>
          </w:tcPr>
          <w:p>
            <w:pPr>
              <w:jc w:val="center"/>
              <w:ind w:right="300"/>
              <w:spacing w:after="0" w:line="113" w:lineRule="exact"/>
              <w:rPr>
                <w:sz w:val="20"/>
                <w:szCs w:val="20"/>
                <w:color w:val="auto"/>
              </w:rPr>
            </w:pPr>
            <w:r>
              <w:rPr>
                <w:rFonts w:ascii="Arial" w:cs="Arial" w:eastAsia="Arial" w:hAnsi="Arial"/>
                <w:sz w:val="10"/>
                <w:szCs w:val="10"/>
                <w:b w:val="1"/>
                <w:bCs w:val="1"/>
                <w:color w:val="auto"/>
                <w:w w:val="93"/>
              </w:rPr>
              <w:t>Earnings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7"/>
              </w:rPr>
              <w:t>Other</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tcPr>
          <w:p>
            <w:pPr>
              <w:spacing w:after="0"/>
              <w:rPr>
                <w:sz w:val="9"/>
                <w:szCs w:val="9"/>
                <w:color w:val="auto"/>
              </w:rPr>
            </w:pPr>
          </w:p>
        </w:tc>
        <w:tc>
          <w:tcPr>
            <w:tcW w:w="66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96"/>
              </w:rPr>
              <w:t>(Class A)</w:t>
            </w:r>
          </w:p>
        </w:tc>
        <w:tc>
          <w:tcPr>
            <w:tcW w:w="220" w:type="dxa"/>
            <w:vAlign w:val="bottom"/>
          </w:tcPr>
          <w:p>
            <w:pPr>
              <w:spacing w:after="0"/>
              <w:rPr>
                <w:sz w:val="9"/>
                <w:szCs w:val="9"/>
                <w:color w:val="auto"/>
              </w:rPr>
            </w:pPr>
          </w:p>
        </w:tc>
        <w:tc>
          <w:tcPr>
            <w:tcW w:w="1000" w:type="dxa"/>
            <w:vAlign w:val="bottom"/>
            <w:gridSpan w:val="2"/>
          </w:tcPr>
          <w:p>
            <w:pPr>
              <w:jc w:val="center"/>
              <w:ind w:right="400"/>
              <w:spacing w:after="0" w:line="113" w:lineRule="exact"/>
              <w:rPr>
                <w:sz w:val="20"/>
                <w:szCs w:val="20"/>
                <w:color w:val="auto"/>
              </w:rPr>
            </w:pPr>
            <w:r>
              <w:rPr>
                <w:rFonts w:ascii="Arial" w:cs="Arial" w:eastAsia="Arial" w:hAnsi="Arial"/>
                <w:sz w:val="10"/>
                <w:szCs w:val="10"/>
                <w:b w:val="1"/>
                <w:bCs w:val="1"/>
                <w:color w:val="auto"/>
                <w:w w:val="92"/>
              </w:rPr>
              <w:t>(Class B)</w:t>
            </w:r>
          </w:p>
        </w:tc>
        <w:tc>
          <w:tcPr>
            <w:tcW w:w="540" w:type="dxa"/>
            <w:vAlign w:val="bottom"/>
          </w:tcPr>
          <w:p>
            <w:pPr>
              <w:jc w:val="right"/>
              <w:ind w:right="9"/>
              <w:spacing w:after="0" w:line="113" w:lineRule="exact"/>
              <w:rPr>
                <w:sz w:val="20"/>
                <w:szCs w:val="20"/>
                <w:color w:val="auto"/>
              </w:rPr>
            </w:pPr>
            <w:r>
              <w:rPr>
                <w:rFonts w:ascii="Arial" w:cs="Arial" w:eastAsia="Arial" w:hAnsi="Arial"/>
                <w:sz w:val="10"/>
                <w:szCs w:val="10"/>
                <w:b w:val="1"/>
                <w:bCs w:val="1"/>
                <w:color w:val="auto"/>
              </w:rPr>
              <w:t>Common</w:t>
            </w:r>
          </w:p>
        </w:tc>
        <w:tc>
          <w:tcPr>
            <w:tcW w:w="400" w:type="dxa"/>
            <w:vAlign w:val="bottom"/>
          </w:tcPr>
          <w:p>
            <w:pPr>
              <w:spacing w:after="0"/>
              <w:rPr>
                <w:sz w:val="9"/>
                <w:szCs w:val="9"/>
                <w:color w:val="auto"/>
              </w:rPr>
            </w:pPr>
          </w:p>
        </w:tc>
        <w:tc>
          <w:tcPr>
            <w:tcW w:w="680" w:type="dxa"/>
            <w:vAlign w:val="bottom"/>
            <w:gridSpan w:val="3"/>
          </w:tcPr>
          <w:p>
            <w:pPr>
              <w:jc w:val="right"/>
              <w:ind w:right="260"/>
              <w:spacing w:after="0" w:line="113" w:lineRule="exact"/>
              <w:rPr>
                <w:sz w:val="20"/>
                <w:szCs w:val="20"/>
                <w:color w:val="auto"/>
              </w:rPr>
            </w:pPr>
            <w:r>
              <w:rPr>
                <w:rFonts w:ascii="Arial" w:cs="Arial" w:eastAsia="Arial" w:hAnsi="Arial"/>
                <w:sz w:val="10"/>
                <w:szCs w:val="10"/>
                <w:b w:val="1"/>
                <w:bCs w:val="1"/>
                <w:color w:val="auto"/>
                <w:w w:val="92"/>
              </w:rPr>
              <w:t>Common</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500"/>
              <w:spacing w:after="0" w:line="113" w:lineRule="exact"/>
              <w:rPr>
                <w:sz w:val="20"/>
                <w:szCs w:val="20"/>
                <w:color w:val="auto"/>
              </w:rPr>
            </w:pPr>
            <w:r>
              <w:rPr>
                <w:rFonts w:ascii="Arial" w:cs="Arial" w:eastAsia="Arial" w:hAnsi="Arial"/>
                <w:sz w:val="10"/>
                <w:szCs w:val="10"/>
                <w:b w:val="1"/>
                <w:bCs w:val="1"/>
                <w:color w:val="auto"/>
                <w:w w:val="95"/>
              </w:rPr>
              <w:t>Paid-in</w:t>
            </w:r>
          </w:p>
        </w:tc>
        <w:tc>
          <w:tcPr>
            <w:tcW w:w="920" w:type="dxa"/>
            <w:vAlign w:val="bottom"/>
            <w:gridSpan w:val="3"/>
          </w:tcPr>
          <w:p>
            <w:pPr>
              <w:jc w:val="right"/>
              <w:ind w:right="260"/>
              <w:spacing w:after="0" w:line="113" w:lineRule="exact"/>
              <w:rPr>
                <w:sz w:val="20"/>
                <w:szCs w:val="20"/>
                <w:color w:val="auto"/>
              </w:rPr>
            </w:pPr>
            <w:r>
              <w:rPr>
                <w:rFonts w:ascii="Arial" w:cs="Arial" w:eastAsia="Arial" w:hAnsi="Arial"/>
                <w:sz w:val="10"/>
                <w:szCs w:val="10"/>
                <w:b w:val="1"/>
                <w:bCs w:val="1"/>
                <w:color w:val="auto"/>
                <w:w w:val="96"/>
              </w:rPr>
              <w:t>(Accumulated</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9"/>
              <w:spacing w:after="0" w:line="113" w:lineRule="exact"/>
              <w:rPr>
                <w:sz w:val="20"/>
                <w:szCs w:val="20"/>
                <w:color w:val="auto"/>
              </w:rPr>
            </w:pPr>
            <w:r>
              <w:rPr>
                <w:rFonts w:ascii="Arial" w:cs="Arial" w:eastAsia="Arial" w:hAnsi="Arial"/>
                <w:sz w:val="10"/>
                <w:szCs w:val="10"/>
                <w:b w:val="1"/>
                <w:bCs w:val="1"/>
                <w:color w:val="auto"/>
                <w:w w:val="87"/>
              </w:rPr>
              <w:t>Comprehensive</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220"/>
              <w:spacing w:after="0" w:line="113"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400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Voting</w:t>
            </w:r>
          </w:p>
        </w:tc>
        <w:tc>
          <w:tcPr>
            <w:tcW w:w="220" w:type="dxa"/>
            <w:vAlign w:val="bottom"/>
          </w:tcPr>
          <w:p>
            <w:pPr>
              <w:spacing w:after="0"/>
              <w:rPr>
                <w:sz w:val="10"/>
                <w:szCs w:val="1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Non-Voting</w:t>
            </w:r>
          </w:p>
        </w:tc>
        <w:tc>
          <w:tcPr>
            <w:tcW w:w="540" w:type="dxa"/>
            <w:vAlign w:val="bottom"/>
          </w:tcPr>
          <w:p>
            <w:pPr>
              <w:jc w:val="right"/>
              <w:ind w:right="89"/>
              <w:spacing w:after="0"/>
              <w:rPr>
                <w:sz w:val="20"/>
                <w:szCs w:val="20"/>
                <w:color w:val="auto"/>
              </w:rPr>
            </w:pPr>
            <w:r>
              <w:rPr>
                <w:rFonts w:ascii="Arial" w:cs="Arial" w:eastAsia="Arial" w:hAnsi="Arial"/>
                <w:sz w:val="10"/>
                <w:szCs w:val="10"/>
                <w:b w:val="1"/>
                <w:bCs w:val="1"/>
                <w:color w:val="auto"/>
              </w:rPr>
              <w:t>Stock</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87"/>
              </w:rPr>
              <w:t>Stock</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0"/>
                <w:szCs w:val="1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Deficit)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ind w:right="9"/>
              <w:spacing w:after="0"/>
              <w:rPr>
                <w:sz w:val="20"/>
                <w:szCs w:val="20"/>
                <w:color w:val="auto"/>
              </w:rPr>
            </w:pPr>
            <w:r>
              <w:rPr>
                <w:rFonts w:ascii="Arial" w:cs="Arial" w:eastAsia="Arial" w:hAnsi="Arial"/>
                <w:sz w:val="10"/>
                <w:szCs w:val="10"/>
                <w:b w:val="1"/>
                <w:bCs w:val="1"/>
                <w:color w:val="auto"/>
                <w:w w:val="91"/>
              </w:rPr>
              <w:t>Income</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03"/>
        </w:trPr>
        <w:tc>
          <w:tcPr>
            <w:tcW w:w="400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at January 31, 2009</w:t>
            </w: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2,835</w:t>
            </w:r>
          </w:p>
        </w:tc>
        <w:tc>
          <w:tcPr>
            <w:tcW w:w="1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35,437,712</w:t>
            </w:r>
          </w:p>
        </w:tc>
        <w:tc>
          <w:tcPr>
            <w:tcW w:w="4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5"/>
                <w:szCs w:val="5"/>
                <w:b w:val="1"/>
                <w:bCs w:val="1"/>
                <w:color w:val="auto"/>
                <w:w w:val="70"/>
              </w:rPr>
              <w:t>$</w:t>
            </w:r>
          </w:p>
        </w:tc>
        <w:tc>
          <w:tcPr>
            <w:tcW w:w="3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1</w:t>
            </w:r>
          </w:p>
        </w:tc>
        <w:tc>
          <w:tcPr>
            <w:tcW w:w="2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tcBorders>
            <w:shd w:val="clear" w:color="auto" w:fill="CCEEFF"/>
          </w:tcPr>
          <w:p>
            <w:pPr>
              <w:jc w:val="right"/>
              <w:ind w:right="9"/>
              <w:spacing w:after="0" w:line="104" w:lineRule="exact"/>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57,946</w:t>
            </w:r>
          </w:p>
        </w:tc>
        <w:tc>
          <w:tcPr>
            <w:tcW w:w="2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ind w:right="9"/>
              <w:spacing w:after="0" w:line="104" w:lineRule="exact"/>
              <w:rPr>
                <w:sz w:val="20"/>
                <w:szCs w:val="20"/>
                <w:color w:val="auto"/>
              </w:rPr>
            </w:pPr>
            <w:r>
              <w:rPr>
                <w:rFonts w:ascii="Arial" w:cs="Arial" w:eastAsia="Arial" w:hAnsi="Arial"/>
                <w:sz w:val="10"/>
                <w:szCs w:val="10"/>
                <w:b w:val="1"/>
                <w:bCs w:val="1"/>
                <w:color w:val="auto"/>
              </w:rPr>
              <w:t>—</w:t>
            </w:r>
          </w:p>
        </w:tc>
        <w:tc>
          <w:tcPr>
            <w:tcW w:w="4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57,947</w:t>
            </w: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00" w:type="dxa"/>
            <w:vAlign w:val="bottom"/>
          </w:tcPr>
          <w:p>
            <w:pPr>
              <w:spacing w:after="0" w:line="113" w:lineRule="exact"/>
              <w:rPr>
                <w:sz w:val="20"/>
                <w:szCs w:val="20"/>
                <w:color w:val="auto"/>
              </w:rPr>
            </w:pPr>
            <w:r>
              <w:rPr>
                <w:rFonts w:ascii="Arial" w:cs="Arial" w:eastAsia="Arial" w:hAnsi="Arial"/>
                <w:sz w:val="10"/>
                <w:szCs w:val="10"/>
                <w:color w:val="auto"/>
              </w:rPr>
              <w:t>Net income</w:t>
            </w:r>
          </w:p>
        </w:tc>
        <w:tc>
          <w:tcPr>
            <w:tcW w:w="6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00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0"/>
                <w:szCs w:val="10"/>
                <w:color w:val="auto"/>
              </w:rPr>
              <w:t>43,219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3" w:lineRule="exact"/>
              <w:rPr>
                <w:sz w:val="20"/>
                <w:szCs w:val="20"/>
                <w:color w:val="auto"/>
              </w:rPr>
            </w:pPr>
            <w:r>
              <w:rPr>
                <w:rFonts w:ascii="Arial" w:cs="Arial" w:eastAsia="Arial" w:hAnsi="Arial"/>
                <w:sz w:val="10"/>
                <w:szCs w:val="10"/>
                <w:color w:val="auto"/>
              </w:rPr>
              <w:t>43,219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Distributions of retained earnings</w:t>
            </w:r>
          </w:p>
        </w:tc>
        <w:tc>
          <w:tcPr>
            <w:tcW w:w="660" w:type="dxa"/>
            <w:vAlign w:val="bottom"/>
            <w:gridSpan w:val="2"/>
            <w:shd w:val="clear" w:color="auto" w:fill="CCEEFF"/>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(23,273)</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10"/>
                <w:szCs w:val="10"/>
                <w:color w:val="auto"/>
              </w:rPr>
              <w:t>(23,273)</w:t>
            </w:r>
          </w:p>
        </w:tc>
        <w:tc>
          <w:tcPr>
            <w:tcW w:w="0" w:type="dxa"/>
            <w:vAlign w:val="bottom"/>
          </w:tcPr>
          <w:p>
            <w:pPr>
              <w:spacing w:after="0"/>
              <w:rPr>
                <w:sz w:val="1"/>
                <w:szCs w:val="1"/>
                <w:color w:val="auto"/>
              </w:rPr>
            </w:pPr>
          </w:p>
        </w:tc>
      </w:tr>
      <w:tr>
        <w:trPr>
          <w:trHeight w:val="114"/>
        </w:trPr>
        <w:tc>
          <w:tcPr>
            <w:tcW w:w="4000" w:type="dxa"/>
            <w:vAlign w:val="bottom"/>
          </w:tcPr>
          <w:p>
            <w:pPr>
              <w:spacing w:after="0" w:line="114" w:lineRule="exact"/>
              <w:rPr>
                <w:sz w:val="20"/>
                <w:szCs w:val="20"/>
                <w:color w:val="auto"/>
              </w:rPr>
            </w:pPr>
            <w:r>
              <w:rPr>
                <w:rFonts w:ascii="Arial" w:cs="Arial" w:eastAsia="Arial" w:hAnsi="Arial"/>
                <w:sz w:val="10"/>
                <w:szCs w:val="10"/>
                <w:b w:val="1"/>
                <w:bCs w:val="1"/>
                <w:color w:val="auto"/>
              </w:rPr>
              <w:t>Balance at January 30, 2010</w:t>
            </w:r>
          </w:p>
        </w:tc>
        <w:tc>
          <w:tcPr>
            <w:tcW w:w="4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2,835</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35,437,712</w:t>
            </w:r>
          </w:p>
        </w:tc>
        <w:tc>
          <w:tcPr>
            <w:tcW w:w="40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77,892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77,893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Net income</w:t>
            </w:r>
          </w:p>
        </w:tc>
        <w:tc>
          <w:tcPr>
            <w:tcW w:w="660" w:type="dxa"/>
            <w:vAlign w:val="bottom"/>
            <w:gridSpan w:val="2"/>
            <w:shd w:val="clear" w:color="auto" w:fill="CCEEFF"/>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46,198</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46,198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tcPr>
          <w:p>
            <w:pPr>
              <w:spacing w:after="0" w:line="113" w:lineRule="exact"/>
              <w:rPr>
                <w:sz w:val="20"/>
                <w:szCs w:val="20"/>
                <w:color w:val="auto"/>
              </w:rPr>
            </w:pPr>
            <w:r>
              <w:rPr>
                <w:rFonts w:ascii="Arial" w:cs="Arial" w:eastAsia="Arial" w:hAnsi="Arial"/>
                <w:sz w:val="10"/>
                <w:szCs w:val="10"/>
                <w:color w:val="auto"/>
              </w:rPr>
              <w:t>Distributions of retained earnings</w:t>
            </w:r>
          </w:p>
        </w:tc>
        <w:tc>
          <w:tcPr>
            <w:tcW w:w="6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00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2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(131,691)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(131,691)</w:t>
            </w: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Issuance of stock upon vesting of stock-based awards</w:t>
            </w:r>
          </w:p>
        </w:tc>
        <w:tc>
          <w:tcPr>
            <w:tcW w:w="660" w:type="dxa"/>
            <w:vAlign w:val="bottom"/>
            <w:gridSpan w:val="2"/>
            <w:shd w:val="clear" w:color="auto" w:fill="CCEEFF"/>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1220" w:type="dxa"/>
            <w:vAlign w:val="bottom"/>
            <w:gridSpan w:val="3"/>
            <w:shd w:val="clear" w:color="auto" w:fill="CCEEFF"/>
          </w:tcPr>
          <w:p>
            <w:pPr>
              <w:jc w:val="right"/>
              <w:ind w:right="400"/>
              <w:spacing w:after="0" w:line="113" w:lineRule="exact"/>
              <w:rPr>
                <w:sz w:val="20"/>
                <w:szCs w:val="20"/>
                <w:color w:val="auto"/>
              </w:rPr>
            </w:pPr>
            <w:r>
              <w:rPr>
                <w:rFonts w:ascii="Arial" w:cs="Arial" w:eastAsia="Arial" w:hAnsi="Arial"/>
                <w:sz w:val="10"/>
                <w:szCs w:val="10"/>
                <w:color w:val="auto"/>
              </w:rPr>
              <w:t>28,881</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1,066,123</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4000" w:type="dxa"/>
            <w:vAlign w:val="bottom"/>
          </w:tcPr>
          <w:p>
            <w:pPr>
              <w:spacing w:after="0" w:line="113" w:lineRule="exact"/>
              <w:rPr>
                <w:sz w:val="20"/>
                <w:szCs w:val="20"/>
                <w:color w:val="auto"/>
              </w:rPr>
            </w:pPr>
            <w:r>
              <w:rPr>
                <w:rFonts w:ascii="Arial" w:cs="Arial" w:eastAsia="Arial" w:hAnsi="Arial"/>
                <w:sz w:val="10"/>
                <w:szCs w:val="10"/>
                <w:color w:val="auto"/>
              </w:rPr>
              <w:t>Repurchase and retirement of stock</w:t>
            </w:r>
          </w:p>
        </w:tc>
        <w:tc>
          <w:tcPr>
            <w:tcW w:w="6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1220" w:type="dxa"/>
            <w:vAlign w:val="bottom"/>
            <w:gridSpan w:val="3"/>
          </w:tcPr>
          <w:p>
            <w:pPr>
              <w:jc w:val="right"/>
              <w:ind w:right="360"/>
              <w:spacing w:after="0" w:line="113" w:lineRule="exact"/>
              <w:rPr>
                <w:sz w:val="20"/>
                <w:szCs w:val="20"/>
                <w:color w:val="auto"/>
              </w:rPr>
            </w:pPr>
            <w:r>
              <w:rPr>
                <w:rFonts w:ascii="Arial" w:cs="Arial" w:eastAsia="Arial" w:hAnsi="Arial"/>
                <w:sz w:val="10"/>
                <w:szCs w:val="10"/>
                <w:color w:val="auto"/>
              </w:rPr>
              <w:t>(28,881)</w:t>
            </w:r>
          </w:p>
        </w:tc>
        <w:tc>
          <w:tcPr>
            <w:tcW w:w="5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360"/>
              <w:spacing w:after="0" w:line="113" w:lineRule="exact"/>
              <w:rPr>
                <w:sz w:val="20"/>
                <w:szCs w:val="20"/>
                <w:color w:val="auto"/>
              </w:rPr>
            </w:pPr>
            <w:r>
              <w:rPr>
                <w:rFonts w:ascii="Arial" w:cs="Arial" w:eastAsia="Arial" w:hAnsi="Arial"/>
                <w:sz w:val="10"/>
                <w:szCs w:val="10"/>
                <w:color w:val="auto"/>
              </w:rPr>
              <w:t>(304)</w:t>
            </w:r>
          </w:p>
        </w:tc>
        <w:tc>
          <w:tcPr>
            <w:tcW w:w="100" w:type="dxa"/>
            <w:vAlign w:val="bottom"/>
          </w:tcPr>
          <w:p>
            <w:pPr>
              <w:spacing w:after="0"/>
              <w:rPr>
                <w:sz w:val="9"/>
                <w:szCs w:val="9"/>
                <w:color w:val="auto"/>
              </w:rPr>
            </w:pPr>
          </w:p>
        </w:tc>
        <w:tc>
          <w:tcPr>
            <w:tcW w:w="82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40"/>
              <w:spacing w:after="0" w:line="113" w:lineRule="exact"/>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93" w:lineRule="exact"/>
              <w:rPr>
                <w:sz w:val="20"/>
                <w:szCs w:val="20"/>
                <w:color w:val="auto"/>
              </w:rPr>
            </w:pPr>
            <w:r>
              <w:rPr>
                <w:rFonts w:ascii="Arial" w:cs="Arial" w:eastAsia="Arial" w:hAnsi="Arial"/>
                <w:sz w:val="7"/>
                <w:szCs w:val="7"/>
                <w:color w:val="auto"/>
              </w:rPr>
              <w:t xml:space="preserve">Reorganization </w:t>
            </w:r>
            <w:r>
              <w:rPr>
                <w:rFonts w:ascii="Arial" w:cs="Arial" w:eastAsia="Arial" w:hAnsi="Arial"/>
                <w:sz w:val="10"/>
                <w:szCs w:val="10"/>
                <w:color w:val="auto"/>
                <w:vertAlign w:val="subscript"/>
              </w:rPr>
              <w:t>(Note 1)</w:t>
            </w:r>
          </w:p>
        </w:tc>
        <w:tc>
          <w:tcPr>
            <w:tcW w:w="660" w:type="dxa"/>
            <w:vAlign w:val="bottom"/>
            <w:gridSpan w:val="2"/>
            <w:shd w:val="clear" w:color="auto" w:fill="CCEEFF"/>
          </w:tcPr>
          <w:p>
            <w:pPr>
              <w:jc w:val="right"/>
              <w:ind w:right="140"/>
              <w:spacing w:after="0" w:line="93" w:lineRule="exact"/>
              <w:rPr>
                <w:sz w:val="20"/>
                <w:szCs w:val="20"/>
                <w:color w:val="auto"/>
              </w:rPr>
            </w:pPr>
            <w:r>
              <w:rPr>
                <w:rFonts w:ascii="Arial" w:cs="Arial" w:eastAsia="Arial" w:hAnsi="Arial"/>
                <w:sz w:val="10"/>
                <w:szCs w:val="10"/>
                <w:color w:val="auto"/>
              </w:rPr>
              <w:t>(2,835)</w:t>
            </w:r>
          </w:p>
        </w:tc>
        <w:tc>
          <w:tcPr>
            <w:tcW w:w="1220" w:type="dxa"/>
            <w:vAlign w:val="bottom"/>
            <w:gridSpan w:val="3"/>
            <w:shd w:val="clear" w:color="auto" w:fill="CCEEFF"/>
          </w:tcPr>
          <w:p>
            <w:pPr>
              <w:jc w:val="right"/>
              <w:ind w:right="360"/>
              <w:spacing w:after="0" w:line="93" w:lineRule="exact"/>
              <w:rPr>
                <w:sz w:val="20"/>
                <w:szCs w:val="20"/>
                <w:color w:val="auto"/>
              </w:rPr>
            </w:pPr>
            <w:r>
              <w:rPr>
                <w:rFonts w:ascii="Arial" w:cs="Arial" w:eastAsia="Arial" w:hAnsi="Arial"/>
                <w:sz w:val="10"/>
                <w:szCs w:val="10"/>
                <w:color w:val="auto"/>
              </w:rPr>
              <w:t>(35,437,712)</w:t>
            </w:r>
          </w:p>
        </w:tc>
        <w:tc>
          <w:tcPr>
            <w:tcW w:w="54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35,440,547</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93" w:lineRule="exact"/>
              <w:rPr>
                <w:sz w:val="20"/>
                <w:szCs w:val="20"/>
                <w:color w:val="auto"/>
              </w:rPr>
            </w:pPr>
            <w:r>
              <w:rPr>
                <w:rFonts w:ascii="Arial" w:cs="Arial" w:eastAsia="Arial" w:hAnsi="Arial"/>
                <w:sz w:val="10"/>
                <w:szCs w:val="10"/>
                <w:color w:val="auto"/>
              </w:rPr>
              <w:t>(1)</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color w:val="auto"/>
              </w:rPr>
              <w:t>1</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60"/>
              <w:spacing w:after="0" w:line="9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9"/>
              <w:spacing w:after="0" w:line="9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9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3"/>
        </w:trPr>
        <w:tc>
          <w:tcPr>
            <w:tcW w:w="4000" w:type="dxa"/>
            <w:vAlign w:val="bottom"/>
          </w:tcPr>
          <w:p>
            <w:pPr>
              <w:spacing w:after="0" w:line="113" w:lineRule="exact"/>
              <w:rPr>
                <w:sz w:val="20"/>
                <w:szCs w:val="20"/>
                <w:color w:val="auto"/>
              </w:rPr>
            </w:pPr>
            <w:r>
              <w:rPr>
                <w:rFonts w:ascii="Arial" w:cs="Arial" w:eastAsia="Arial" w:hAnsi="Arial"/>
                <w:sz w:val="10"/>
                <w:szCs w:val="10"/>
                <w:color w:val="auto"/>
              </w:rPr>
              <w:t>Issuance of stock in IPO, net of costs</w:t>
            </w:r>
          </w:p>
        </w:tc>
        <w:tc>
          <w:tcPr>
            <w:tcW w:w="6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00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3" w:lineRule="exact"/>
              <w:rPr>
                <w:sz w:val="20"/>
                <w:szCs w:val="20"/>
                <w:color w:val="auto"/>
              </w:rPr>
            </w:pPr>
            <w:r>
              <w:rPr>
                <w:rFonts w:ascii="Arial" w:cs="Arial" w:eastAsia="Arial" w:hAnsi="Arial"/>
                <w:sz w:val="10"/>
                <w:szCs w:val="10"/>
                <w:color w:val="auto"/>
              </w:rPr>
              <w:t>4,000,000</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Arial" w:cs="Arial" w:eastAsia="Arial" w:hAnsi="Arial"/>
                <w:sz w:val="10"/>
                <w:szCs w:val="10"/>
                <w:color w:val="auto"/>
              </w:rPr>
              <w:t>56,337</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3" w:lineRule="exact"/>
              <w:rPr>
                <w:sz w:val="20"/>
                <w:szCs w:val="20"/>
                <w:color w:val="auto"/>
              </w:rPr>
            </w:pPr>
            <w:r>
              <w:rPr>
                <w:rFonts w:ascii="Arial" w:cs="Arial" w:eastAsia="Arial" w:hAnsi="Arial"/>
                <w:sz w:val="10"/>
                <w:szCs w:val="10"/>
                <w:color w:val="auto"/>
              </w:rPr>
              <w:t>56,337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Stock-based compensation</w:t>
            </w:r>
          </w:p>
        </w:tc>
        <w:tc>
          <w:tcPr>
            <w:tcW w:w="660" w:type="dxa"/>
            <w:vAlign w:val="bottom"/>
            <w:gridSpan w:val="2"/>
            <w:shd w:val="clear" w:color="auto" w:fill="CCEEFF"/>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15,889</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15,889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00" w:type="dxa"/>
            <w:vAlign w:val="bottom"/>
          </w:tcPr>
          <w:p>
            <w:pPr>
              <w:spacing w:after="0" w:line="114" w:lineRule="exact"/>
              <w:rPr>
                <w:sz w:val="20"/>
                <w:szCs w:val="20"/>
                <w:color w:val="auto"/>
              </w:rPr>
            </w:pPr>
            <w:r>
              <w:rPr>
                <w:rFonts w:ascii="Arial" w:cs="Arial" w:eastAsia="Arial" w:hAnsi="Arial"/>
                <w:sz w:val="10"/>
                <w:szCs w:val="10"/>
                <w:b w:val="1"/>
                <w:bCs w:val="1"/>
                <w:color w:val="auto"/>
              </w:rPr>
              <w:t>Balance at January 29, 2011</w:t>
            </w:r>
          </w:p>
        </w:tc>
        <w:tc>
          <w:tcPr>
            <w:tcW w:w="480" w:type="dxa"/>
            <w:vAlign w:val="bottom"/>
            <w:tcBorders>
              <w:top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5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40,506,670</w:t>
            </w: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71,923</w:t>
            </w: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(7,601)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64,322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Net income</w:t>
            </w:r>
          </w:p>
        </w:tc>
        <w:tc>
          <w:tcPr>
            <w:tcW w:w="660" w:type="dxa"/>
            <w:vAlign w:val="bottom"/>
            <w:gridSpan w:val="2"/>
            <w:shd w:val="clear" w:color="auto" w:fill="CCEEFF"/>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57,921</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57,921</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tcPr>
          <w:p>
            <w:pPr>
              <w:spacing w:after="0" w:line="113" w:lineRule="exact"/>
              <w:rPr>
                <w:sz w:val="20"/>
                <w:szCs w:val="20"/>
                <w:color w:val="auto"/>
              </w:rPr>
            </w:pPr>
            <w:r>
              <w:rPr>
                <w:rFonts w:ascii="Arial" w:cs="Arial" w:eastAsia="Arial" w:hAnsi="Arial"/>
                <w:sz w:val="10"/>
                <w:szCs w:val="10"/>
                <w:color w:val="auto"/>
              </w:rPr>
              <w:t>Recovery of short-swing profit</w:t>
            </w:r>
          </w:p>
        </w:tc>
        <w:tc>
          <w:tcPr>
            <w:tcW w:w="6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00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Arial" w:cs="Arial" w:eastAsia="Arial" w:hAnsi="Arial"/>
                <w:sz w:val="10"/>
                <w:szCs w:val="10"/>
                <w:color w:val="auto"/>
              </w:rPr>
              <w:t>76</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3" w:lineRule="exact"/>
              <w:rPr>
                <w:sz w:val="20"/>
                <w:szCs w:val="20"/>
                <w:color w:val="auto"/>
              </w:rPr>
            </w:pPr>
            <w:r>
              <w:rPr>
                <w:rFonts w:ascii="Arial" w:cs="Arial" w:eastAsia="Arial" w:hAnsi="Arial"/>
                <w:sz w:val="10"/>
                <w:szCs w:val="10"/>
                <w:color w:val="auto"/>
              </w:rPr>
              <w:t>76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Translation adjustments</w:t>
            </w:r>
          </w:p>
        </w:tc>
        <w:tc>
          <w:tcPr>
            <w:tcW w:w="660" w:type="dxa"/>
            <w:vAlign w:val="bottom"/>
            <w:gridSpan w:val="2"/>
            <w:shd w:val="clear" w:color="auto" w:fill="CCEEFF"/>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97</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97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tcPr>
          <w:p>
            <w:pPr>
              <w:spacing w:after="0" w:line="113" w:lineRule="exact"/>
              <w:rPr>
                <w:sz w:val="20"/>
                <w:szCs w:val="20"/>
                <w:color w:val="auto"/>
              </w:rPr>
            </w:pPr>
            <w:r>
              <w:rPr>
                <w:rFonts w:ascii="Arial" w:cs="Arial" w:eastAsia="Arial" w:hAnsi="Arial"/>
                <w:sz w:val="10"/>
                <w:szCs w:val="10"/>
                <w:color w:val="auto"/>
              </w:rPr>
              <w:t>Shares issued for employee benefit plans</w:t>
            </w:r>
          </w:p>
        </w:tc>
        <w:tc>
          <w:tcPr>
            <w:tcW w:w="6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00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13" w:lineRule="exact"/>
              <w:rPr>
                <w:sz w:val="20"/>
                <w:szCs w:val="20"/>
                <w:color w:val="auto"/>
              </w:rPr>
            </w:pPr>
            <w:r>
              <w:rPr>
                <w:rFonts w:ascii="Arial" w:cs="Arial" w:eastAsia="Arial" w:hAnsi="Arial"/>
                <w:sz w:val="10"/>
                <w:szCs w:val="10"/>
                <w:color w:val="auto"/>
              </w:rPr>
              <w:t>50</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Arial" w:cs="Arial" w:eastAsia="Arial" w:hAnsi="Arial"/>
                <w:sz w:val="10"/>
                <w:szCs w:val="10"/>
                <w:color w:val="auto"/>
              </w:rPr>
              <w:t>1</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3"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Stock-based compensation</w:t>
            </w:r>
          </w:p>
        </w:tc>
        <w:tc>
          <w:tcPr>
            <w:tcW w:w="660" w:type="dxa"/>
            <w:vAlign w:val="bottom"/>
            <w:gridSpan w:val="2"/>
            <w:shd w:val="clear" w:color="auto" w:fill="CCEEFF"/>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460"/>
              <w:spacing w:after="0" w:line="113"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8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1,590</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60"/>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1,590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00" w:type="dxa"/>
            <w:vAlign w:val="bottom"/>
          </w:tcPr>
          <w:p>
            <w:pPr>
              <w:spacing w:after="0" w:line="114" w:lineRule="exact"/>
              <w:rPr>
                <w:sz w:val="20"/>
                <w:szCs w:val="20"/>
                <w:color w:val="auto"/>
              </w:rPr>
            </w:pPr>
            <w:r>
              <w:rPr>
                <w:rFonts w:ascii="Arial" w:cs="Arial" w:eastAsia="Arial" w:hAnsi="Arial"/>
                <w:sz w:val="10"/>
                <w:szCs w:val="10"/>
                <w:b w:val="1"/>
                <w:bCs w:val="1"/>
                <w:color w:val="auto"/>
              </w:rPr>
              <w:t>Balance at January 28, 2012</w:t>
            </w:r>
          </w:p>
        </w:tc>
        <w:tc>
          <w:tcPr>
            <w:tcW w:w="480" w:type="dxa"/>
            <w:vAlign w:val="bottom"/>
            <w:tcBorders>
              <w:top w:val="single" w:sz="8" w:color="auto"/>
              <w:bottom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40,506,720</w:t>
            </w:r>
          </w:p>
        </w:tc>
        <w:tc>
          <w:tcPr>
            <w:tcW w:w="4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5"/>
                <w:szCs w:val="5"/>
                <w:b w:val="1"/>
                <w:bCs w:val="1"/>
                <w:color w:val="auto"/>
                <w:w w:val="70"/>
              </w:rPr>
              <w:t>$</w:t>
            </w:r>
          </w:p>
        </w:tc>
        <w:tc>
          <w:tcPr>
            <w:tcW w:w="380" w:type="dxa"/>
            <w:vAlign w:val="bottom"/>
            <w:tcBorders>
              <w:top w:val="single" w:sz="8" w:color="auto"/>
              <w:bottom w:val="single" w:sz="8" w:color="auto"/>
            </w:tcBorders>
          </w:tcPr>
          <w:p>
            <w:pPr>
              <w:jc w:val="right"/>
              <w:ind w:right="9"/>
              <w:spacing w:after="0" w:line="114"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5"/>
                <w:szCs w:val="5"/>
                <w:b w:val="1"/>
                <w:bCs w:val="1"/>
                <w:color w:val="auto"/>
                <w:w w:val="70"/>
              </w:rPr>
              <w:t>$</w:t>
            </w:r>
          </w:p>
        </w:tc>
        <w:tc>
          <w:tcPr>
            <w:tcW w:w="44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73,590</w:t>
            </w:r>
          </w:p>
        </w:tc>
        <w:tc>
          <w:tcPr>
            <w:tcW w:w="4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50,320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97</w:t>
            </w:r>
          </w:p>
        </w:tc>
        <w:tc>
          <w:tcPr>
            <w:tcW w:w="4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124,007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460"/>
          </w:cols>
          <w:pgMar w:left="220" w:top="384" w:right="2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0"/>
                <w:szCs w:val="10"/>
                <w:b w:val="1"/>
                <w:bCs w:val="1"/>
                <w:color w:val="auto"/>
                <w:w w:val="92"/>
              </w:rPr>
              <w:t>Fiscal Year Ended</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480" w:type="dxa"/>
            <w:vAlign w:val="bottom"/>
          </w:tcPr>
          <w:p>
            <w:pPr>
              <w:spacing w:after="0"/>
              <w:rPr>
                <w:sz w:val="8"/>
                <w:szCs w:val="8"/>
                <w:color w:val="auto"/>
              </w:rPr>
            </w:pPr>
          </w:p>
        </w:tc>
        <w:tc>
          <w:tcPr>
            <w:tcW w:w="82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January 28,</w:t>
            </w:r>
          </w:p>
        </w:tc>
        <w:tc>
          <w:tcPr>
            <w:tcW w:w="360" w:type="dxa"/>
            <w:vAlign w:val="bottom"/>
          </w:tcPr>
          <w:p>
            <w:pPr>
              <w:spacing w:after="0"/>
              <w:rPr>
                <w:sz w:val="8"/>
                <w:szCs w:val="8"/>
                <w:color w:val="auto"/>
              </w:rPr>
            </w:pPr>
          </w:p>
        </w:tc>
        <w:tc>
          <w:tcPr>
            <w:tcW w:w="1200" w:type="dxa"/>
            <w:vAlign w:val="bottom"/>
            <w:gridSpan w:val="3"/>
          </w:tcPr>
          <w:p>
            <w:pPr>
              <w:jc w:val="center"/>
              <w:ind w:right="640"/>
              <w:spacing w:after="0" w:line="92" w:lineRule="exact"/>
              <w:rPr>
                <w:sz w:val="20"/>
                <w:szCs w:val="20"/>
                <w:color w:val="auto"/>
              </w:rPr>
            </w:pPr>
            <w:r>
              <w:rPr>
                <w:rFonts w:ascii="Arial" w:cs="Arial" w:eastAsia="Arial" w:hAnsi="Arial"/>
                <w:sz w:val="10"/>
                <w:szCs w:val="10"/>
                <w:b w:val="1"/>
                <w:bCs w:val="1"/>
                <w:color w:val="auto"/>
                <w:w w:val="94"/>
              </w:rPr>
              <w:t>January 29,</w:t>
            </w:r>
          </w:p>
        </w:tc>
        <w:tc>
          <w:tcPr>
            <w:tcW w:w="52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w w:val="90"/>
              </w:rPr>
              <w:t>January 30,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8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b w:val="1"/>
                <w:bCs w:val="1"/>
                <w:color w:val="auto"/>
              </w:rPr>
              <w:t>2012</w:t>
            </w:r>
          </w:p>
        </w:tc>
        <w:tc>
          <w:tcPr>
            <w:tcW w:w="2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2011</w:t>
            </w:r>
          </w:p>
        </w:tc>
        <w:tc>
          <w:tcPr>
            <w:tcW w:w="6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4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57,921</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46,198</w:t>
            </w:r>
          </w:p>
        </w:tc>
        <w:tc>
          <w:tcPr>
            <w:tcW w:w="6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43,219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tcPr>
          <w:p>
            <w:pPr>
              <w:ind w:left="340"/>
              <w:spacing w:after="0"/>
              <w:rPr>
                <w:sz w:val="20"/>
                <w:szCs w:val="20"/>
                <w:color w:val="auto"/>
              </w:rPr>
            </w:pPr>
            <w:r>
              <w:rPr>
                <w:rFonts w:ascii="Arial" w:cs="Arial" w:eastAsia="Arial" w:hAnsi="Arial"/>
                <w:sz w:val="13"/>
                <w:szCs w:val="13"/>
                <w:color w:val="auto"/>
              </w:rPr>
              <w:t>Depreciation and amortization of property, plant, and equipment</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9,457</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8,411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Provision for doubtful accounts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553</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tcPr>
          <w:p>
            <w:pPr>
              <w:ind w:left="340"/>
              <w:spacing w:after="0"/>
              <w:rPr>
                <w:sz w:val="20"/>
                <w:szCs w:val="20"/>
                <w:color w:val="auto"/>
              </w:rPr>
            </w:pPr>
            <w:r>
              <w:rPr>
                <w:rFonts w:ascii="Arial" w:cs="Arial" w:eastAsia="Arial" w:hAnsi="Arial"/>
                <w:sz w:val="13"/>
                <w:szCs w:val="13"/>
                <w:color w:val="auto"/>
              </w:rPr>
              <w:t>Loss on disposal of property, plant, and equipment</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51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278</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Write-off of unamortized debt-issuance costs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8480" w:type="dxa"/>
            <w:vAlign w:val="bottom"/>
          </w:tcPr>
          <w:p>
            <w:pPr>
              <w:ind w:left="34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1,591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15,889</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1,638</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(5,443)</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8480" w:type="dxa"/>
            <w:vAlign w:val="bottom"/>
          </w:tcPr>
          <w:p>
            <w:pPr>
              <w:ind w:left="340"/>
              <w:spacing w:after="0"/>
              <w:rPr>
                <w:sz w:val="20"/>
                <w:szCs w:val="20"/>
                <w:color w:val="auto"/>
              </w:rPr>
            </w:pPr>
            <w:r>
              <w:rPr>
                <w:rFonts w:ascii="Arial" w:cs="Arial" w:eastAsia="Arial" w:hAnsi="Arial"/>
                <w:sz w:val="13"/>
                <w:szCs w:val="13"/>
                <w:color w:val="auto"/>
              </w:rPr>
              <w:t>Changes in assets and liabilities: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(4,350)</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(3,543)</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164"/>
        </w:trPr>
        <w:tc>
          <w:tcPr>
            <w:tcW w:w="8480" w:type="dxa"/>
            <w:vAlign w:val="bottom"/>
          </w:tcPr>
          <w:p>
            <w:pPr>
              <w:ind w:left="66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(10,199)</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3"/>
                <w:szCs w:val="13"/>
                <w:color w:val="auto"/>
              </w:rPr>
              <w:t>(30,182)</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(2,059)</w:t>
            </w: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137</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(393)</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(1,806)</w:t>
            </w:r>
          </w:p>
        </w:tc>
        <w:tc>
          <w:tcPr>
            <w:tcW w:w="0" w:type="dxa"/>
            <w:vAlign w:val="bottom"/>
          </w:tcPr>
          <w:p>
            <w:pPr>
              <w:spacing w:after="0"/>
              <w:rPr>
                <w:sz w:val="1"/>
                <w:szCs w:val="1"/>
                <w:color w:val="auto"/>
              </w:rPr>
            </w:pPr>
          </w:p>
        </w:tc>
      </w:tr>
      <w:tr>
        <w:trPr>
          <w:trHeight w:val="164"/>
        </w:trPr>
        <w:tc>
          <w:tcPr>
            <w:tcW w:w="8480" w:type="dxa"/>
            <w:vAlign w:val="bottom"/>
          </w:tcPr>
          <w:p>
            <w:pPr>
              <w:ind w:left="66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(2,736)</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10,791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ind w:left="660"/>
              <w:spacing w:after="0"/>
              <w:rPr>
                <w:sz w:val="20"/>
                <w:szCs w:val="20"/>
                <w:color w:val="auto"/>
              </w:rPr>
            </w:pPr>
            <w:r>
              <w:rPr>
                <w:rFonts w:ascii="Arial" w:cs="Arial" w:eastAsia="Arial" w:hAnsi="Arial"/>
                <w:sz w:val="13"/>
                <w:szCs w:val="13"/>
                <w:color w:val="auto"/>
              </w:rPr>
              <w:t>Income taxes payable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(8,305)</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10,010</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8480" w:type="dxa"/>
            <w:vAlign w:val="bottom"/>
          </w:tcPr>
          <w:p>
            <w:pPr>
              <w:ind w:left="660"/>
              <w:spacing w:after="0"/>
              <w:rPr>
                <w:sz w:val="20"/>
                <w:szCs w:val="20"/>
                <w:color w:val="auto"/>
              </w:rPr>
            </w:pPr>
            <w:r>
              <w:rPr>
                <w:rFonts w:ascii="Arial" w:cs="Arial" w:eastAsia="Arial" w:hAnsi="Arial"/>
                <w:sz w:val="13"/>
                <w:szCs w:val="13"/>
                <w:color w:val="auto"/>
              </w:rPr>
              <w:t>Accrued and other liabilities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5,967</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51,516</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58,466</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Purchases of property, plant, and equipment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4"/>
              </w:rPr>
              <w:t>(18,836)</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(11,365)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(5,844)</w:t>
            </w:r>
          </w:p>
        </w:tc>
        <w:tc>
          <w:tcPr>
            <w:tcW w:w="0" w:type="dxa"/>
            <w:vAlign w:val="bottom"/>
          </w:tcPr>
          <w:p>
            <w:pPr>
              <w:spacing w:after="0"/>
              <w:rPr>
                <w:sz w:val="1"/>
                <w:szCs w:val="1"/>
                <w:color w:val="auto"/>
              </w:rPr>
            </w:pPr>
          </w:p>
        </w:tc>
      </w:tr>
      <w:tr>
        <w:trPr>
          <w:trHeight w:val="165"/>
        </w:trPr>
        <w:tc>
          <w:tcPr>
            <w:tcW w:w="8480" w:type="dxa"/>
            <w:vAlign w:val="bottom"/>
          </w:tcPr>
          <w:p>
            <w:pPr>
              <w:ind w:left="340"/>
              <w:spacing w:after="0"/>
              <w:rPr>
                <w:sz w:val="20"/>
                <w:szCs w:val="20"/>
                <w:color w:val="auto"/>
              </w:rPr>
            </w:pPr>
            <w:r>
              <w:rPr>
                <w:rFonts w:ascii="Arial" w:cs="Arial" w:eastAsia="Arial" w:hAnsi="Arial"/>
                <w:sz w:val="13"/>
                <w:szCs w:val="13"/>
                <w:color w:val="auto"/>
              </w:rPr>
              <w:t>Restricted cash on deposit</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4"/>
              </w:rPr>
              <w:t>(18,836)</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(9,865)</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(5,844)</w:t>
            </w: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Payments on financial-institution debt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4"/>
              </w:rPr>
              <w:t>(76,200)</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(68,923)</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(54,800)</w:t>
            </w: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3"/>
                <w:szCs w:val="13"/>
                <w:color w:val="auto"/>
              </w:rPr>
              <w:t>Borrowings on financial-institution debt</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34,450</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105,673</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30,300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Payments on vendor-financed debt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(83)</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3"/>
                <w:szCs w:val="13"/>
                <w:color w:val="auto"/>
              </w:rPr>
              <w:t>Payments on related-party debt</w:t>
            </w: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(3,488)</w:t>
            </w: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Payments on cash surrender value – life insurance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3"/>
                <w:szCs w:val="13"/>
                <w:color w:val="auto"/>
              </w:rPr>
              <w:t>Payments of debt-issuance costs</w:t>
            </w: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3"/>
                <w:szCs w:val="13"/>
                <w:color w:val="auto"/>
              </w:rPr>
              <w:t>(1,104)</w:t>
            </w: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Issuance of stock, net of costs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56,337</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8480" w:type="dxa"/>
            <w:vAlign w:val="bottom"/>
          </w:tcPr>
          <w:p>
            <w:pPr>
              <w:spacing w:after="0"/>
              <w:rPr>
                <w:sz w:val="20"/>
                <w:szCs w:val="20"/>
                <w:color w:val="auto"/>
              </w:rPr>
            </w:pPr>
            <w:r>
              <w:rPr>
                <w:rFonts w:ascii="Arial" w:cs="Arial" w:eastAsia="Arial" w:hAnsi="Arial"/>
                <w:sz w:val="13"/>
                <w:szCs w:val="13"/>
                <w:color w:val="auto"/>
              </w:rPr>
              <w:t>Repurchase of stock</w:t>
            </w: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3"/>
                <w:szCs w:val="13"/>
                <w:color w:val="auto"/>
              </w:rPr>
              <w:t>(304)</w:t>
            </w: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Payments of distributions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93"/>
              </w:rPr>
              <w:t>(132,782)</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(25,604)</w:t>
            </w:r>
          </w:p>
        </w:tc>
        <w:tc>
          <w:tcPr>
            <w:tcW w:w="0" w:type="dxa"/>
            <w:vAlign w:val="bottom"/>
          </w:tcPr>
          <w:p>
            <w:pPr>
              <w:spacing w:after="0"/>
              <w:rPr>
                <w:sz w:val="1"/>
                <w:szCs w:val="1"/>
                <w:color w:val="auto"/>
              </w:rPr>
            </w:pPr>
          </w:p>
        </w:tc>
      </w:tr>
      <w:tr>
        <w:trPr>
          <w:trHeight w:val="165"/>
        </w:trPr>
        <w:tc>
          <w:tcPr>
            <w:tcW w:w="848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4"/>
              </w:rPr>
              <w:t>(41,757)</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(41,157)</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(54,429)</w:t>
            </w:r>
          </w:p>
        </w:tc>
        <w:tc>
          <w:tcPr>
            <w:tcW w:w="0" w:type="dxa"/>
            <w:vAlign w:val="bottom"/>
          </w:tcPr>
          <w:p>
            <w:pPr>
              <w:spacing w:after="0"/>
              <w:rPr>
                <w:sz w:val="1"/>
                <w:szCs w:val="1"/>
                <w:color w:val="auto"/>
              </w:rPr>
            </w:pPr>
          </w:p>
        </w:tc>
      </w:tr>
      <w:tr>
        <w:trPr>
          <w:trHeight w:val="165"/>
        </w:trPr>
        <w:tc>
          <w:tcPr>
            <w:tcW w:w="848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(9,031)</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7,444</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80" w:type="dxa"/>
            <w:vAlign w:val="bottom"/>
          </w:tcPr>
          <w:p>
            <w:pPr>
              <w:spacing w:after="0"/>
              <w:rPr>
                <w:sz w:val="20"/>
                <w:szCs w:val="20"/>
                <w:color w:val="auto"/>
              </w:rPr>
            </w:pPr>
            <w:r>
              <w:rPr>
                <w:rFonts w:ascii="Arial" w:cs="Arial" w:eastAsia="Arial" w:hAnsi="Arial"/>
                <w:sz w:val="13"/>
                <w:szCs w:val="13"/>
                <w:color w:val="auto"/>
              </w:rPr>
              <w:t>Cash and cash equivalents, beginning of period</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13,953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6,509</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4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4,922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13,953</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disclosure of cash-flow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Income taxes paid</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43,850</w:t>
            </w:r>
          </w:p>
        </w:tc>
        <w:tc>
          <w:tcPr>
            <w:tcW w:w="2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340"/>
              <w:spacing w:after="0"/>
              <w:rPr>
                <w:sz w:val="20"/>
                <w:szCs w:val="20"/>
                <w:color w:val="auto"/>
              </w:rPr>
            </w:pPr>
            <w:r>
              <w:rPr>
                <w:rFonts w:ascii="Arial" w:cs="Arial" w:eastAsia="Arial" w:hAnsi="Arial"/>
                <w:sz w:val="13"/>
                <w:szCs w:val="13"/>
                <w:color w:val="auto"/>
              </w:rPr>
              <w:t>Interest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956</w:t>
            </w:r>
          </w:p>
        </w:tc>
        <w:tc>
          <w:tcPr>
            <w:tcW w:w="4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5" w:lineRule="exact"/>
              <w:rPr>
                <w:sz w:val="20"/>
                <w:szCs w:val="20"/>
                <w:color w:val="auto"/>
              </w:rPr>
            </w:pPr>
            <w:r>
              <w:rPr>
                <w:rFonts w:ascii="Arial" w:cs="Arial" w:eastAsia="Arial" w:hAnsi="Arial"/>
                <w:sz w:val="13"/>
                <w:szCs w:val="13"/>
                <w:color w:val="auto"/>
              </w:rPr>
              <w:t>1,117</w:t>
            </w:r>
          </w:p>
        </w:tc>
        <w:tc>
          <w:tcPr>
            <w:tcW w:w="640" w:type="dxa"/>
            <w:vAlign w:val="bottom"/>
          </w:tcPr>
          <w:p>
            <w:pPr>
              <w:spacing w:after="0"/>
              <w:rPr>
                <w:sz w:val="12"/>
                <w:szCs w:val="12"/>
                <w:color w:val="auto"/>
              </w:rPr>
            </w:pPr>
          </w:p>
        </w:tc>
        <w:tc>
          <w:tcPr>
            <w:tcW w:w="80" w:type="dxa"/>
            <w:vAlign w:val="bottom"/>
          </w:tcPr>
          <w:p>
            <w:pPr>
              <w:spacing w:after="0" w:line="145"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rPr>
              <w:t>1,782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48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Supplemental disclosure of non-cash activity</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480" w:type="dxa"/>
            <w:vAlign w:val="bottom"/>
          </w:tcPr>
          <w:p>
            <w:pPr>
              <w:ind w:left="340"/>
              <w:spacing w:after="0"/>
              <w:rPr>
                <w:sz w:val="20"/>
                <w:szCs w:val="20"/>
                <w:color w:val="auto"/>
              </w:rPr>
            </w:pPr>
            <w:r>
              <w:rPr>
                <w:rFonts w:ascii="Arial" w:cs="Arial" w:eastAsia="Arial" w:hAnsi="Arial"/>
                <w:sz w:val="13"/>
                <w:szCs w:val="13"/>
                <w:color w:val="auto"/>
              </w:rPr>
              <w:t>Vendor-financed purchases of property, plant, and equipment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185</w:t>
            </w:r>
          </w:p>
        </w:tc>
        <w:tc>
          <w:tcPr>
            <w:tcW w:w="6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460"/>
          </w:cols>
          <w:pgMar w:left="220" w:top="384" w:right="2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60" w:lineRule="exact"/>
        <w:rPr>
          <w:sz w:val="20"/>
          <w:szCs w:val="20"/>
          <w:color w:val="auto"/>
        </w:rPr>
      </w:pPr>
    </w:p>
    <w:p>
      <w:pPr>
        <w:ind w:left="460" w:hanging="458"/>
        <w:spacing w:after="0"/>
        <w:tabs>
          <w:tab w:leader="none" w:pos="46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the Company</w:t>
      </w:r>
    </w:p>
    <w:p>
      <w:pPr>
        <w:spacing w:after="0" w:line="78" w:lineRule="exact"/>
        <w:rPr>
          <w:rFonts w:ascii="Arial" w:cs="Arial" w:eastAsia="Arial" w:hAnsi="Arial"/>
          <w:sz w:val="13"/>
          <w:szCs w:val="13"/>
          <w:b w:val="1"/>
          <w:bCs w:val="1"/>
          <w:color w:val="auto"/>
        </w:rPr>
      </w:pPr>
    </w:p>
    <w:p>
      <w:pPr>
        <w:ind w:left="460"/>
        <w:spacing w:after="0" w:line="294" w:lineRule="auto"/>
        <w:rPr>
          <w:rFonts w:ascii="Arial" w:cs="Arial" w:eastAsia="Arial" w:hAnsi="Arial"/>
          <w:sz w:val="13"/>
          <w:szCs w:val="13"/>
          <w:b w:val="1"/>
          <w:bCs w:val="1"/>
          <w:color w:val="auto"/>
        </w:rPr>
      </w:pPr>
      <w:r>
        <w:rPr>
          <w:rFonts w:ascii="Arial" w:cs="Arial" w:eastAsia="Arial" w:hAnsi="Arial"/>
          <w:sz w:val="12"/>
          <w:szCs w:val="12"/>
          <w:color w:val="auto"/>
        </w:rPr>
        <w:t>Vera Bradley, Inc. was formed as an Indiana corporation on June 23, 2010, for the purpose of reorganizing the corporate structure of Vera Bradley Designs, Inc.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 owned subsidiary of Vera Bradley, Inc. Except where context requires or where otherwise indicated, the terms “Company” and “Vera Bradley”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24" w:lineRule="exact"/>
        <w:rPr>
          <w:rFonts w:ascii="Arial" w:cs="Arial" w:eastAsia="Arial" w:hAnsi="Arial"/>
          <w:sz w:val="13"/>
          <w:szCs w:val="13"/>
          <w:b w:val="1"/>
          <w:bCs w:val="1"/>
          <w:color w:val="auto"/>
        </w:rPr>
      </w:pPr>
    </w:p>
    <w:p>
      <w:pPr>
        <w:ind w:left="460" w:right="20"/>
        <w:spacing w:after="0" w:line="300" w:lineRule="auto"/>
        <w:rPr>
          <w:rFonts w:ascii="Arial" w:cs="Arial" w:eastAsia="Arial" w:hAnsi="Arial"/>
          <w:sz w:val="13"/>
          <w:szCs w:val="13"/>
          <w:b w:val="1"/>
          <w:bCs w:val="1"/>
          <w:color w:val="auto"/>
        </w:rPr>
      </w:pPr>
      <w:r>
        <w:rPr>
          <w:rFonts w:ascii="Arial" w:cs="Arial" w:eastAsia="Arial" w:hAnsi="Arial"/>
          <w:sz w:val="12"/>
          <w:szCs w:val="12"/>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Direct and Indirect. The Direct business consists of sales of Vera Bradley products through the Company’s full-price stores, outlet stores, verabradley.com, and an annual outlet sale in Fort Wayne, Indiana. As of January 28, 2012, the Company operated 48 full-price stores and eight outlet stores in the United States, seven pop-up stores in Japan, our websites, verabradley.com and verabradley.co.jp, and our annual outlet sale in Fort Wayne, Indiana. The Indirect business consists of sales of Vera Bradley products to approximately 3,300 specialty retailers, substantially all of which are located in the United States, as well as select national retailers and third-party e-commerce sites.</w:t>
      </w:r>
    </w:p>
    <w:p>
      <w:pPr>
        <w:spacing w:after="0" w:line="142"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Principles of Consolidation</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2"/>
          <w:szCs w:val="12"/>
          <w:color w:val="auto"/>
        </w:rPr>
        <w:t>The consolidated financial statements include the accounts of the Company and its wholly owned subsidiaries. The Company has eliminated intercompany balances and transactions in consolidation.</w:t>
      </w:r>
    </w:p>
    <w:p>
      <w:pPr>
        <w:spacing w:after="0" w:line="209"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Fiscal Periods</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The Company’s fiscal year ends on the Saturday closest to January 31.</w:t>
      </w:r>
    </w:p>
    <w:p>
      <w:pPr>
        <w:spacing w:after="0" w:line="197"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Unaudited Pro Forma Income Information</w:t>
      </w:r>
    </w:p>
    <w:p>
      <w:pPr>
        <w:spacing w:after="0" w:line="78" w:lineRule="exact"/>
        <w:rPr>
          <w:rFonts w:ascii="Arial" w:cs="Arial" w:eastAsia="Arial" w:hAnsi="Arial"/>
          <w:sz w:val="13"/>
          <w:szCs w:val="13"/>
          <w:b w:val="1"/>
          <w:bCs w:val="1"/>
          <w:color w:val="auto"/>
        </w:rPr>
      </w:pPr>
    </w:p>
    <w:p>
      <w:pPr>
        <w:ind w:left="460" w:right="2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Prior to the Reorganization, the Company was taxed as an “S” Corporation for purposes of federal and state income taxes. Accordingly, each of the Company’s then-shareholders was required to include his or her portion of the Company’s taxable income or loss on his or her federal and state income tax returns. As part of the Reorganization, effective October 3, 2010, the Company’s “S” Corporation status automatically terminated and the Company became subject to corporate-level federal and state income taxes at prevailing corporate rates.</w:t>
      </w:r>
    </w:p>
    <w:p>
      <w:pPr>
        <w:spacing w:after="0" w:line="29" w:lineRule="exact"/>
        <w:rPr>
          <w:rFonts w:ascii="Arial" w:cs="Arial" w:eastAsia="Arial" w:hAnsi="Arial"/>
          <w:sz w:val="13"/>
          <w:szCs w:val="13"/>
          <w:b w:val="1"/>
          <w:bCs w:val="1"/>
          <w:color w:val="auto"/>
        </w:rPr>
      </w:pPr>
    </w:p>
    <w:p>
      <w:pPr>
        <w:ind w:left="460" w:right="4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The unaudited pro forma income information gives effect to an adjustment for income tax expense as if the Company had been a “C” Corporation at the beginning of each period presented at an assumed combined federal, state, and local income tax rate of 41.7% for the period from January 31, 2010, through October 2, 2010, and 40% for the fiscal year ended January 30, 2010. These rates approximate the calculated effective tax rates for the periods presented.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440"/>
          </w:cols>
          <w:pgMar w:left="220" w:top="38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19" w:lineRule="exact"/>
        <w:rPr>
          <w:sz w:val="20"/>
          <w:szCs w:val="20"/>
          <w:color w:val="auto"/>
        </w:rPr>
      </w:pPr>
    </w:p>
    <w:p>
      <w:pPr>
        <w:ind w:left="460" w:right="8480" w:hanging="458"/>
        <w:spacing w:after="0" w:line="364" w:lineRule="auto"/>
        <w:tabs>
          <w:tab w:leader="none" w:pos="454"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Use of Significant Estimates</w:t>
      </w:r>
    </w:p>
    <w:p>
      <w:pPr>
        <w:ind w:left="460"/>
        <w:spacing w:after="0" w:line="304" w:lineRule="auto"/>
        <w:rPr>
          <w:rFonts w:ascii="Arial" w:cs="Arial" w:eastAsia="Arial" w:hAnsi="Arial"/>
          <w:sz w:val="13"/>
          <w:szCs w:val="13"/>
          <w:b w:val="1"/>
          <w:bCs w:val="1"/>
          <w:color w:val="auto"/>
        </w:rPr>
      </w:pPr>
      <w:r>
        <w:rPr>
          <w:rFonts w:ascii="Arial" w:cs="Arial" w:eastAsia="Arial" w:hAnsi="Arial"/>
          <w:sz w:val="12"/>
          <w:szCs w:val="12"/>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141"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Cash and Cash Equivalents</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Cash and cash equivalents represent cash on hand, deposits with financial institutions, and investments with an original maturity of three months or less.</w:t>
      </w:r>
    </w:p>
    <w:p>
      <w:pPr>
        <w:spacing w:after="0" w:line="197"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Restricted Cash</w:t>
      </w:r>
    </w:p>
    <w:p>
      <w:pPr>
        <w:spacing w:after="0" w:line="78" w:lineRule="exact"/>
        <w:rPr>
          <w:rFonts w:ascii="Arial" w:cs="Arial" w:eastAsia="Arial" w:hAnsi="Arial"/>
          <w:sz w:val="13"/>
          <w:szCs w:val="13"/>
          <w:b w:val="1"/>
          <w:bCs w:val="1"/>
          <w:color w:val="auto"/>
        </w:rPr>
      </w:pPr>
    </w:p>
    <w:p>
      <w:pPr>
        <w:ind w:left="460" w:right="40"/>
        <w:spacing w:after="0" w:line="343" w:lineRule="auto"/>
        <w:rPr>
          <w:rFonts w:ascii="Arial" w:cs="Arial" w:eastAsia="Arial" w:hAnsi="Arial"/>
          <w:sz w:val="13"/>
          <w:szCs w:val="13"/>
          <w:b w:val="1"/>
          <w:bCs w:val="1"/>
          <w:color w:val="auto"/>
        </w:rPr>
      </w:pPr>
      <w:r>
        <w:rPr>
          <w:rFonts w:ascii="Arial" w:cs="Arial" w:eastAsia="Arial" w:hAnsi="Arial"/>
          <w:sz w:val="12"/>
          <w:szCs w:val="12"/>
          <w:color w:val="auto"/>
        </w:rPr>
        <w:t>At January 30, 2010, the Company maintained $1.5 million in an account with one of its lenders as a compensating balance in connection with the credit agreement entered into during the fiscal year ended January 31, 2009. In October 2010, as part of the amendment and restatement of the Company’s credit agreement (see Note 5), this compensating-balance requirement was eliminated.</w:t>
      </w:r>
    </w:p>
    <w:p>
      <w:pPr>
        <w:spacing w:after="0" w:line="117"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Concentration of Credit Risk</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The Company maintains nearly all of its cash and cash equivalents with one financial institution. The Company monitors the credit standing of this financial institution on a regular basis.</w:t>
      </w:r>
    </w:p>
    <w:p>
      <w:pPr>
        <w:spacing w:after="0" w:line="197"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78" w:lineRule="exact"/>
        <w:rPr>
          <w:rFonts w:ascii="Arial" w:cs="Arial" w:eastAsia="Arial" w:hAnsi="Arial"/>
          <w:sz w:val="13"/>
          <w:szCs w:val="13"/>
          <w:b w:val="1"/>
          <w:bCs w:val="1"/>
          <w:color w:val="auto"/>
        </w:rPr>
      </w:pPr>
    </w:p>
    <w:p>
      <w:pPr>
        <w:ind w:left="460" w:right="220"/>
        <w:spacing w:after="0" w:line="343" w:lineRule="auto"/>
        <w:rPr>
          <w:rFonts w:ascii="Arial" w:cs="Arial" w:eastAsia="Arial" w:hAnsi="Arial"/>
          <w:sz w:val="13"/>
          <w:szCs w:val="13"/>
          <w:b w:val="1"/>
          <w:bCs w:val="1"/>
          <w:color w:val="auto"/>
        </w:rPr>
      </w:pPr>
      <w:r>
        <w:rPr>
          <w:rFonts w:ascii="Arial" w:cs="Arial" w:eastAsia="Arial" w:hAnsi="Arial"/>
          <w:sz w:val="12"/>
          <w:szCs w:val="12"/>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w:t>
      </w:r>
    </w:p>
    <w:p>
      <w:pPr>
        <w:spacing w:after="0" w:line="117"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Property, plant, and equipment are carried at cost and depreciated or amortized over the following estimated useful lives using the straight-line method:</w:t>
      </w:r>
    </w:p>
    <w:p>
      <w:pPr>
        <w:spacing w:after="0" w:line="76" w:lineRule="exact"/>
        <w:rPr>
          <w:sz w:val="20"/>
          <w:szCs w:val="20"/>
          <w:color w:val="auto"/>
        </w:rPr>
      </w:pPr>
    </w:p>
    <w:tbl>
      <w:tblPr>
        <w:tblLayout w:type="fixed"/>
        <w:tblInd w:w="1840" w:type="dxa"/>
        <w:tblCellMar>
          <w:top w:w="0" w:type="dxa"/>
          <w:left w:w="0" w:type="dxa"/>
          <w:bottom w:w="0" w:type="dxa"/>
          <w:right w:w="0" w:type="dxa"/>
        </w:tblCellMar>
      </w:tblPr>
      <w:tr>
        <w:trPr>
          <w:trHeight w:val="164"/>
        </w:trPr>
        <w:tc>
          <w:tcPr>
            <w:tcW w:w="3300" w:type="dxa"/>
            <w:vAlign w:val="bottom"/>
          </w:tcPr>
          <w:p>
            <w:pPr>
              <w:spacing w:after="0"/>
              <w:rPr>
                <w:sz w:val="20"/>
                <w:szCs w:val="20"/>
                <w:color w:val="auto"/>
              </w:rPr>
            </w:pPr>
            <w:r>
              <w:rPr>
                <w:rFonts w:ascii="Arial" w:cs="Arial" w:eastAsia="Arial" w:hAnsi="Arial"/>
                <w:sz w:val="13"/>
                <w:szCs w:val="13"/>
                <w:color w:val="auto"/>
              </w:rPr>
              <w:t>Buildings and building improvements</w:t>
            </w:r>
          </w:p>
        </w:tc>
        <w:tc>
          <w:tcPr>
            <w:tcW w:w="4360" w:type="dxa"/>
            <w:vAlign w:val="bottom"/>
          </w:tcPr>
          <w:p>
            <w:pPr>
              <w:jc w:val="right"/>
              <w:spacing w:after="0"/>
              <w:rPr>
                <w:sz w:val="20"/>
                <w:szCs w:val="20"/>
                <w:color w:val="auto"/>
              </w:rPr>
            </w:pPr>
            <w:r>
              <w:rPr>
                <w:rFonts w:ascii="Arial" w:cs="Arial" w:eastAsia="Arial" w:hAnsi="Arial"/>
                <w:sz w:val="13"/>
                <w:szCs w:val="13"/>
                <w:color w:val="auto"/>
              </w:rPr>
              <w:t>39.5 years</w:t>
            </w:r>
          </w:p>
        </w:tc>
      </w:tr>
      <w:tr>
        <w:trPr>
          <w:trHeight w:val="164"/>
        </w:trPr>
        <w:tc>
          <w:tcPr>
            <w:tcW w:w="3300" w:type="dxa"/>
            <w:vAlign w:val="bottom"/>
          </w:tcPr>
          <w:p>
            <w:pPr>
              <w:spacing w:after="0"/>
              <w:rPr>
                <w:sz w:val="20"/>
                <w:szCs w:val="20"/>
                <w:color w:val="auto"/>
              </w:rPr>
            </w:pPr>
            <w:r>
              <w:rPr>
                <w:rFonts w:ascii="Arial" w:cs="Arial" w:eastAsia="Arial" w:hAnsi="Arial"/>
                <w:sz w:val="13"/>
                <w:szCs w:val="13"/>
                <w:color w:val="auto"/>
              </w:rPr>
              <w:t>Furniture and fixtures, and leasehold improvements</w:t>
            </w:r>
          </w:p>
        </w:tc>
        <w:tc>
          <w:tcPr>
            <w:tcW w:w="4360" w:type="dxa"/>
            <w:vAlign w:val="bottom"/>
          </w:tcPr>
          <w:p>
            <w:pPr>
              <w:jc w:val="right"/>
              <w:spacing w:after="0"/>
              <w:rPr>
                <w:sz w:val="20"/>
                <w:szCs w:val="20"/>
                <w:color w:val="auto"/>
              </w:rPr>
            </w:pPr>
            <w:r>
              <w:rPr>
                <w:rFonts w:ascii="Arial" w:cs="Arial" w:eastAsia="Arial" w:hAnsi="Arial"/>
                <w:sz w:val="13"/>
                <w:szCs w:val="13"/>
                <w:color w:val="auto"/>
              </w:rPr>
              <w:t>5 – 10 years</w:t>
            </w:r>
          </w:p>
        </w:tc>
      </w:tr>
      <w:tr>
        <w:trPr>
          <w:trHeight w:val="164"/>
        </w:trPr>
        <w:tc>
          <w:tcPr>
            <w:tcW w:w="3300" w:type="dxa"/>
            <w:vAlign w:val="bottom"/>
          </w:tcPr>
          <w:p>
            <w:pPr>
              <w:spacing w:after="0"/>
              <w:rPr>
                <w:sz w:val="20"/>
                <w:szCs w:val="20"/>
                <w:color w:val="auto"/>
              </w:rPr>
            </w:pPr>
            <w:r>
              <w:rPr>
                <w:rFonts w:ascii="Arial" w:cs="Arial" w:eastAsia="Arial" w:hAnsi="Arial"/>
                <w:sz w:val="13"/>
                <w:szCs w:val="13"/>
                <w:color w:val="auto"/>
              </w:rPr>
              <w:t>Computer equipment</w:t>
            </w:r>
          </w:p>
        </w:tc>
        <w:tc>
          <w:tcPr>
            <w:tcW w:w="4360" w:type="dxa"/>
            <w:vAlign w:val="bottom"/>
          </w:tcPr>
          <w:p>
            <w:pPr>
              <w:jc w:val="right"/>
              <w:spacing w:after="0"/>
              <w:rPr>
                <w:sz w:val="20"/>
                <w:szCs w:val="20"/>
                <w:color w:val="auto"/>
              </w:rPr>
            </w:pPr>
            <w:r>
              <w:rPr>
                <w:rFonts w:ascii="Arial" w:cs="Arial" w:eastAsia="Arial" w:hAnsi="Arial"/>
                <w:sz w:val="13"/>
                <w:szCs w:val="13"/>
                <w:color w:val="auto"/>
              </w:rPr>
              <w:t>3 years</w:t>
            </w:r>
          </w:p>
        </w:tc>
      </w:tr>
      <w:tr>
        <w:trPr>
          <w:trHeight w:val="164"/>
        </w:trPr>
        <w:tc>
          <w:tcPr>
            <w:tcW w:w="3300" w:type="dxa"/>
            <w:vAlign w:val="bottom"/>
          </w:tcPr>
          <w:p>
            <w:pPr>
              <w:spacing w:after="0"/>
              <w:rPr>
                <w:sz w:val="20"/>
                <w:szCs w:val="20"/>
                <w:color w:val="auto"/>
              </w:rPr>
            </w:pPr>
            <w:r>
              <w:rPr>
                <w:rFonts w:ascii="Arial" w:cs="Arial" w:eastAsia="Arial" w:hAnsi="Arial"/>
                <w:sz w:val="13"/>
                <w:szCs w:val="13"/>
                <w:color w:val="auto"/>
              </w:rPr>
              <w:t>Software</w:t>
            </w:r>
          </w:p>
        </w:tc>
        <w:tc>
          <w:tcPr>
            <w:tcW w:w="4360" w:type="dxa"/>
            <w:vAlign w:val="bottom"/>
          </w:tcPr>
          <w:p>
            <w:pPr>
              <w:jc w:val="right"/>
              <w:spacing w:after="0"/>
              <w:rPr>
                <w:sz w:val="20"/>
                <w:szCs w:val="20"/>
                <w:color w:val="auto"/>
              </w:rPr>
            </w:pPr>
            <w:r>
              <w:rPr>
                <w:rFonts w:ascii="Arial" w:cs="Arial" w:eastAsia="Arial" w:hAnsi="Arial"/>
                <w:sz w:val="13"/>
                <w:szCs w:val="13"/>
                <w:color w:val="auto"/>
              </w:rPr>
              <w:t>3 – 5 years</w:t>
            </w:r>
          </w:p>
        </w:tc>
      </w:tr>
      <w:tr>
        <w:trPr>
          <w:trHeight w:val="164"/>
        </w:trPr>
        <w:tc>
          <w:tcPr>
            <w:tcW w:w="3300" w:type="dxa"/>
            <w:vAlign w:val="bottom"/>
          </w:tcPr>
          <w:p>
            <w:pPr>
              <w:spacing w:after="0"/>
              <w:rPr>
                <w:sz w:val="20"/>
                <w:szCs w:val="20"/>
                <w:color w:val="auto"/>
              </w:rPr>
            </w:pPr>
            <w:r>
              <w:rPr>
                <w:rFonts w:ascii="Arial" w:cs="Arial" w:eastAsia="Arial" w:hAnsi="Arial"/>
                <w:sz w:val="13"/>
                <w:szCs w:val="13"/>
                <w:color w:val="auto"/>
              </w:rPr>
              <w:t>Production equipment</w:t>
            </w:r>
          </w:p>
        </w:tc>
        <w:tc>
          <w:tcPr>
            <w:tcW w:w="4360" w:type="dxa"/>
            <w:vAlign w:val="bottom"/>
          </w:tcPr>
          <w:p>
            <w:pPr>
              <w:jc w:val="right"/>
              <w:spacing w:after="0"/>
              <w:rPr>
                <w:sz w:val="20"/>
                <w:szCs w:val="20"/>
                <w:color w:val="auto"/>
              </w:rPr>
            </w:pPr>
            <w:r>
              <w:rPr>
                <w:rFonts w:ascii="Arial" w:cs="Arial" w:eastAsia="Arial" w:hAnsi="Arial"/>
                <w:sz w:val="13"/>
                <w:szCs w:val="13"/>
                <w:color w:val="auto"/>
              </w:rPr>
              <w:t>7 years</w:t>
            </w:r>
          </w:p>
        </w:tc>
      </w:tr>
      <w:tr>
        <w:trPr>
          <w:trHeight w:val="171"/>
        </w:trPr>
        <w:tc>
          <w:tcPr>
            <w:tcW w:w="3300" w:type="dxa"/>
            <w:vAlign w:val="bottom"/>
          </w:tcPr>
          <w:p>
            <w:pPr>
              <w:spacing w:after="0"/>
              <w:rPr>
                <w:sz w:val="20"/>
                <w:szCs w:val="20"/>
                <w:color w:val="auto"/>
              </w:rPr>
            </w:pPr>
            <w:r>
              <w:rPr>
                <w:rFonts w:ascii="Arial" w:cs="Arial" w:eastAsia="Arial" w:hAnsi="Arial"/>
                <w:sz w:val="13"/>
                <w:szCs w:val="13"/>
                <w:color w:val="auto"/>
              </w:rPr>
              <w:t>Vehicles</w:t>
            </w:r>
          </w:p>
        </w:tc>
        <w:tc>
          <w:tcPr>
            <w:tcW w:w="4360" w:type="dxa"/>
            <w:vAlign w:val="bottom"/>
          </w:tcPr>
          <w:p>
            <w:pPr>
              <w:jc w:val="right"/>
              <w:spacing w:after="0"/>
              <w:rPr>
                <w:sz w:val="20"/>
                <w:szCs w:val="20"/>
                <w:color w:val="auto"/>
              </w:rPr>
            </w:pPr>
            <w:r>
              <w:rPr>
                <w:rFonts w:ascii="Arial" w:cs="Arial" w:eastAsia="Arial" w:hAnsi="Arial"/>
                <w:sz w:val="13"/>
                <w:szCs w:val="13"/>
                <w:color w:val="auto"/>
              </w:rPr>
              <w:t>5 years</w:t>
            </w:r>
          </w:p>
        </w:tc>
      </w:tr>
      <w:tr>
        <w:trPr>
          <w:trHeight w:val="277"/>
        </w:trPr>
        <w:tc>
          <w:tcPr>
            <w:tcW w:w="3300" w:type="dxa"/>
            <w:vAlign w:val="bottom"/>
          </w:tcPr>
          <w:p>
            <w:pPr>
              <w:spacing w:after="0"/>
              <w:rPr>
                <w:sz w:val="24"/>
                <w:szCs w:val="24"/>
                <w:color w:val="auto"/>
              </w:rPr>
            </w:pPr>
          </w:p>
        </w:tc>
        <w:tc>
          <w:tcPr>
            <w:tcW w:w="4360" w:type="dxa"/>
            <w:vAlign w:val="bottom"/>
          </w:tcPr>
          <w:p>
            <w:pPr>
              <w:jc w:val="right"/>
              <w:ind w:right="3633"/>
              <w:spacing w:after="0"/>
              <w:rPr>
                <w:sz w:val="20"/>
                <w:szCs w:val="20"/>
                <w:color w:val="auto"/>
              </w:rPr>
            </w:pPr>
            <w:r>
              <w:rPr>
                <w:rFonts w:ascii="Arial" w:cs="Arial" w:eastAsia="Arial" w:hAnsi="Arial"/>
                <w:sz w:val="13"/>
                <w:szCs w:val="13"/>
                <w:color w:val="auto"/>
              </w:rPr>
              <w:t>53</w:t>
            </w:r>
          </w:p>
        </w:tc>
      </w:tr>
    </w:tbl>
    <w:p>
      <w:pPr>
        <w:sectPr>
          <w:pgSz w:w="11900" w:h="16838" w:orient="portrait"/>
          <w:cols w:equalWidth="0" w:num="1">
            <w:col w:w="11440"/>
          </w:cols>
          <w:pgMar w:left="220" w:top="38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Leasehold improvements are amortized over the shorter of the life of the asset or the lease term. Lease terms typically range from five to ten years.</w:t>
      </w:r>
    </w:p>
    <w:p>
      <w:pPr>
        <w:spacing w:after="0" w:line="76" w:lineRule="exact"/>
        <w:rPr>
          <w:sz w:val="20"/>
          <w:szCs w:val="20"/>
          <w:color w:val="auto"/>
        </w:rPr>
      </w:pPr>
    </w:p>
    <w:p>
      <w:pPr>
        <w:jc w:val="both"/>
        <w:ind w:left="460" w:right="140"/>
        <w:spacing w:after="0" w:line="281" w:lineRule="auto"/>
        <w:rPr>
          <w:sz w:val="20"/>
          <w:szCs w:val="20"/>
          <w:color w:val="auto"/>
        </w:rPr>
      </w:pPr>
      <w:r>
        <w:rPr>
          <w:rFonts w:ascii="Arial" w:cs="Arial" w:eastAsia="Arial" w:hAnsi="Arial"/>
          <w:sz w:val="13"/>
          <w:szCs w:val="13"/>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30" w:lineRule="exact"/>
        <w:rPr>
          <w:sz w:val="20"/>
          <w:szCs w:val="20"/>
          <w:color w:val="auto"/>
        </w:rPr>
      </w:pPr>
    </w:p>
    <w:p>
      <w:pPr>
        <w:ind w:left="460" w:right="60"/>
        <w:spacing w:after="0" w:line="281" w:lineRule="auto"/>
        <w:rPr>
          <w:sz w:val="20"/>
          <w:szCs w:val="20"/>
          <w:color w:val="auto"/>
        </w:rPr>
      </w:pPr>
      <w:r>
        <w:rPr>
          <w:rFonts w:ascii="Arial" w:cs="Arial" w:eastAsia="Arial" w:hAnsi="Arial"/>
          <w:sz w:val="13"/>
          <w:szCs w:val="13"/>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Routine maintenance and repair costs are expensed as incurred.</w:t>
      </w:r>
    </w:p>
    <w:p>
      <w:pPr>
        <w:spacing w:after="0" w:line="76" w:lineRule="exact"/>
        <w:rPr>
          <w:sz w:val="20"/>
          <w:szCs w:val="20"/>
          <w:color w:val="auto"/>
        </w:rPr>
      </w:pPr>
    </w:p>
    <w:p>
      <w:pPr>
        <w:ind w:left="460" w:right="440"/>
        <w:spacing w:after="0" w:line="298" w:lineRule="auto"/>
        <w:rPr>
          <w:sz w:val="20"/>
          <w:szCs w:val="20"/>
          <w:color w:val="auto"/>
        </w:rPr>
      </w:pPr>
      <w:r>
        <w:rPr>
          <w:rFonts w:ascii="Arial" w:cs="Arial" w:eastAsia="Arial" w:hAnsi="Arial"/>
          <w:sz w:val="13"/>
          <w:szCs w:val="13"/>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Revenue Recognition and Accounts Receivable</w:t>
      </w:r>
    </w:p>
    <w:p>
      <w:pPr>
        <w:spacing w:after="0" w:line="78" w:lineRule="exact"/>
        <w:rPr>
          <w:sz w:val="20"/>
          <w:szCs w:val="20"/>
          <w:color w:val="auto"/>
        </w:rPr>
      </w:pPr>
    </w:p>
    <w:p>
      <w:pPr>
        <w:ind w:left="460" w:right="240"/>
        <w:spacing w:after="0" w:line="281" w:lineRule="auto"/>
        <w:rPr>
          <w:sz w:val="20"/>
          <w:szCs w:val="20"/>
          <w:color w:val="auto"/>
        </w:rPr>
      </w:pPr>
      <w:r>
        <w:rPr>
          <w:rFonts w:ascii="Arial" w:cs="Arial" w:eastAsia="Arial" w:hAnsi="Arial"/>
          <w:sz w:val="13"/>
          <w:szCs w:val="13"/>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estimate of these shipments is based on shipping terms and historical delivery times.</w:t>
      </w:r>
    </w:p>
    <w:p>
      <w:pPr>
        <w:spacing w:after="0" w:line="30" w:lineRule="exact"/>
        <w:rPr>
          <w:sz w:val="20"/>
          <w:szCs w:val="20"/>
          <w:color w:val="auto"/>
        </w:rPr>
      </w:pPr>
    </w:p>
    <w:p>
      <w:pPr>
        <w:ind w:left="460" w:right="100"/>
        <w:spacing w:after="0" w:line="298" w:lineRule="auto"/>
        <w:rPr>
          <w:sz w:val="20"/>
          <w:szCs w:val="20"/>
          <w:color w:val="auto"/>
        </w:rPr>
      </w:pPr>
      <w:r>
        <w:rPr>
          <w:rFonts w:ascii="Arial" w:cs="Arial" w:eastAsia="Arial" w:hAnsi="Arial"/>
          <w:sz w:val="13"/>
          <w:szCs w:val="13"/>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19" w:lineRule="exact"/>
        <w:rPr>
          <w:sz w:val="20"/>
          <w:szCs w:val="20"/>
          <w:color w:val="auto"/>
        </w:rPr>
      </w:pPr>
    </w:p>
    <w:p>
      <w:pPr>
        <w:ind w:left="460"/>
        <w:spacing w:after="0" w:line="275" w:lineRule="auto"/>
        <w:rPr>
          <w:sz w:val="20"/>
          <w:szCs w:val="20"/>
          <w:color w:val="auto"/>
        </w:rPr>
      </w:pPr>
      <w:r>
        <w:rPr>
          <w:rFonts w:ascii="Arial" w:cs="Arial" w:eastAsia="Arial" w:hAnsi="Arial"/>
          <w:sz w:val="13"/>
          <w:szCs w:val="13"/>
          <w:color w:val="auto"/>
        </w:rPr>
        <w:t>Historical experience provides the Company the ability to estimate reasonably the amount of product sales that customers will return. Product returns are often resalable through the Company’s annual outlet sale or other channels. The Company accounts for anticipated returns by reducing net revenues, cost of sales, and accounts receivable and increasing inventories, essentially reversing the effects of the original sales transactions. Additionally, the Company reserves for other potential product credits granted to Indirect retailers. The returns and credits reserve and the related activity for each fiscal year presented were as follows (in thousands):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2"/>
              </w:rPr>
              <w:t>Provision</w:t>
            </w: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3"/>
        </w:trPr>
        <w:tc>
          <w:tcPr>
            <w:tcW w:w="3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Balance at</w:t>
            </w:r>
          </w:p>
        </w:tc>
        <w:tc>
          <w:tcPr>
            <w:tcW w:w="62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94"/>
              </w:rPr>
              <w:t>Charged to</w:t>
            </w:r>
          </w:p>
        </w:tc>
        <w:tc>
          <w:tcPr>
            <w:tcW w:w="860" w:type="dxa"/>
            <w:vAlign w:val="bottom"/>
          </w:tcPr>
          <w:p>
            <w:pPr>
              <w:spacing w:after="0"/>
              <w:rPr>
                <w:sz w:val="9"/>
                <w:szCs w:val="9"/>
                <w:color w:val="auto"/>
              </w:rPr>
            </w:pPr>
          </w:p>
        </w:tc>
        <w:tc>
          <w:tcPr>
            <w:tcW w:w="1380" w:type="dxa"/>
            <w:vAlign w:val="bottom"/>
            <w:gridSpan w:val="2"/>
          </w:tcPr>
          <w:p>
            <w:pPr>
              <w:jc w:val="right"/>
              <w:ind w:right="880"/>
              <w:spacing w:after="0" w:line="113" w:lineRule="exact"/>
              <w:rPr>
                <w:sz w:val="20"/>
                <w:szCs w:val="20"/>
                <w:color w:val="auto"/>
              </w:rPr>
            </w:pPr>
            <w:r>
              <w:rPr>
                <w:rFonts w:ascii="Arial" w:cs="Arial" w:eastAsia="Arial" w:hAnsi="Arial"/>
                <w:sz w:val="10"/>
                <w:szCs w:val="10"/>
                <w:b w:val="1"/>
                <w:bCs w:val="1"/>
                <w:color w:val="auto"/>
                <w:w w:val="87"/>
              </w:rPr>
              <w:t>Allowances</w:t>
            </w:r>
          </w:p>
        </w:tc>
        <w:tc>
          <w:tcPr>
            <w:tcW w:w="740" w:type="dxa"/>
            <w:vAlign w:val="bottom"/>
            <w:gridSpan w:val="3"/>
          </w:tcPr>
          <w:p>
            <w:pPr>
              <w:spacing w:after="0" w:line="113" w:lineRule="exact"/>
              <w:rPr>
                <w:sz w:val="20"/>
                <w:szCs w:val="20"/>
                <w:color w:val="auto"/>
              </w:rPr>
            </w:pPr>
            <w:r>
              <w:rPr>
                <w:rFonts w:ascii="Arial" w:cs="Arial" w:eastAsia="Arial" w:hAnsi="Arial"/>
                <w:sz w:val="10"/>
                <w:szCs w:val="10"/>
                <w:b w:val="1"/>
                <w:bCs w:val="1"/>
                <w:color w:val="auto"/>
              </w:rPr>
              <w:t>Balance at End</w:t>
            </w:r>
          </w:p>
        </w:tc>
      </w:tr>
      <w:tr>
        <w:trPr>
          <w:trHeight w:val="124"/>
        </w:trPr>
        <w:tc>
          <w:tcPr>
            <w:tcW w:w="3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40" w:type="dxa"/>
            <w:vAlign w:val="bottom"/>
            <w:gridSpan w:val="3"/>
          </w:tcPr>
          <w:p>
            <w:pPr>
              <w:spacing w:after="0"/>
              <w:rPr>
                <w:sz w:val="20"/>
                <w:szCs w:val="20"/>
                <w:color w:val="auto"/>
              </w:rPr>
            </w:pPr>
            <w:r>
              <w:rPr>
                <w:rFonts w:ascii="Arial" w:cs="Arial" w:eastAsia="Arial" w:hAnsi="Arial"/>
                <w:sz w:val="10"/>
                <w:szCs w:val="10"/>
                <w:b w:val="1"/>
                <w:bCs w:val="1"/>
                <w:color w:val="auto"/>
              </w:rPr>
              <w:t>Beginning of Year</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87"/>
              </w:rPr>
              <w:t>Net Revenues</w:t>
            </w:r>
          </w:p>
        </w:tc>
        <w:tc>
          <w:tcPr>
            <w:tcW w:w="860" w:type="dxa"/>
            <w:vAlign w:val="bottom"/>
          </w:tcPr>
          <w:p>
            <w:pPr>
              <w:spacing w:after="0"/>
              <w:rPr>
                <w:sz w:val="10"/>
                <w:szCs w:val="10"/>
                <w:color w:val="auto"/>
              </w:rPr>
            </w:pPr>
          </w:p>
        </w:tc>
        <w:tc>
          <w:tcPr>
            <w:tcW w:w="1380" w:type="dxa"/>
            <w:vAlign w:val="bottom"/>
            <w:gridSpan w:val="2"/>
          </w:tcPr>
          <w:p>
            <w:pPr>
              <w:jc w:val="right"/>
              <w:ind w:right="1000"/>
              <w:spacing w:after="0"/>
              <w:rPr>
                <w:sz w:val="20"/>
                <w:szCs w:val="20"/>
                <w:color w:val="auto"/>
              </w:rPr>
            </w:pPr>
            <w:r>
              <w:rPr>
                <w:rFonts w:ascii="Arial" w:cs="Arial" w:eastAsia="Arial" w:hAnsi="Arial"/>
                <w:sz w:val="10"/>
                <w:szCs w:val="10"/>
                <w:b w:val="1"/>
                <w:bCs w:val="1"/>
                <w:color w:val="auto"/>
              </w:rPr>
              <w:t>Taken</w:t>
            </w:r>
          </w:p>
        </w:tc>
        <w:tc>
          <w:tcPr>
            <w:tcW w:w="120" w:type="dxa"/>
            <w:vAlign w:val="bottom"/>
          </w:tcPr>
          <w:p>
            <w:pPr>
              <w:spacing w:after="0"/>
              <w:rPr>
                <w:sz w:val="10"/>
                <w:szCs w:val="10"/>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of Year</w:t>
            </w:r>
          </w:p>
        </w:tc>
      </w:tr>
      <w:tr>
        <w:trPr>
          <w:trHeight w:val="155"/>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Fiscal year ended January 28, 2012</w:t>
            </w:r>
          </w:p>
        </w:tc>
        <w:tc>
          <w:tcPr>
            <w:tcW w:w="1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8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20,804</w:t>
            </w:r>
          </w:p>
        </w:tc>
        <w:tc>
          <w:tcPr>
            <w:tcW w:w="8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0"/>
              </w:rPr>
              <w:t>$ (20,262)</w:t>
            </w:r>
          </w:p>
        </w:tc>
        <w:tc>
          <w:tcPr>
            <w:tcW w:w="8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w:t>
            </w:r>
          </w:p>
        </w:tc>
        <w:tc>
          <w:tcPr>
            <w:tcW w:w="60" w:type="dxa"/>
            <w:vAlign w:val="bottom"/>
            <w:tcBorders>
              <w:top w:val="single" w:sz="8" w:color="CCEEFF"/>
            </w:tcBorders>
            <w:shd w:val="clear" w:color="auto" w:fill="CCEEFF"/>
          </w:tcPr>
          <w:p>
            <w:pPr>
              <w:spacing w:after="0"/>
              <w:rPr>
                <w:sz w:val="13"/>
                <w:szCs w:val="13"/>
                <w:color w:val="auto"/>
              </w:rPr>
            </w:pPr>
          </w:p>
        </w:tc>
      </w:tr>
      <w:tr>
        <w:trPr>
          <w:trHeight w:val="164"/>
        </w:trPr>
        <w:tc>
          <w:tcPr>
            <w:tcW w:w="3540" w:type="dxa"/>
            <w:vAlign w:val="bottom"/>
          </w:tcPr>
          <w:p>
            <w:pPr>
              <w:spacing w:after="0"/>
              <w:rPr>
                <w:sz w:val="20"/>
                <w:szCs w:val="20"/>
                <w:color w:val="auto"/>
              </w:rPr>
            </w:pPr>
            <w:r>
              <w:rPr>
                <w:rFonts w:ascii="Arial" w:cs="Arial" w:eastAsia="Arial" w:hAnsi="Arial"/>
                <w:sz w:val="13"/>
                <w:szCs w:val="13"/>
                <w:color w:val="auto"/>
              </w:rPr>
              <w:t>Fiscal year ended January 29, 2011</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3"/>
                <w:szCs w:val="13"/>
                <w:color w:val="auto"/>
              </w:rPr>
              <w:t>891</w:t>
            </w:r>
          </w:p>
        </w:tc>
        <w:tc>
          <w:tcPr>
            <w:tcW w:w="620" w:type="dxa"/>
            <w:vAlign w:val="bottom"/>
          </w:tcPr>
          <w:p>
            <w:pPr>
              <w:jc w:val="right"/>
              <w:spacing w:after="0"/>
              <w:rPr>
                <w:sz w:val="20"/>
                <w:szCs w:val="20"/>
                <w:color w:val="auto"/>
              </w:rPr>
            </w:pPr>
            <w:r>
              <w:rPr>
                <w:rFonts w:ascii="Arial" w:cs="Arial" w:eastAsia="Arial" w:hAnsi="Arial"/>
                <w:sz w:val="13"/>
                <w:szCs w:val="13"/>
                <w:color w:val="auto"/>
              </w:rPr>
              <w:t>14,343</w:t>
            </w:r>
          </w:p>
        </w:tc>
        <w:tc>
          <w:tcPr>
            <w:tcW w:w="2240" w:type="dxa"/>
            <w:vAlign w:val="bottom"/>
            <w:gridSpan w:val="3"/>
          </w:tcPr>
          <w:p>
            <w:pPr>
              <w:jc w:val="right"/>
              <w:ind w:right="840"/>
              <w:spacing w:after="0"/>
              <w:rPr>
                <w:sz w:val="20"/>
                <w:szCs w:val="20"/>
                <w:color w:val="auto"/>
              </w:rPr>
            </w:pPr>
            <w:r>
              <w:rPr>
                <w:rFonts w:ascii="Arial" w:cs="Arial" w:eastAsia="Arial" w:hAnsi="Arial"/>
                <w:sz w:val="13"/>
                <w:szCs w:val="13"/>
                <w:color w:val="auto"/>
              </w:rPr>
              <w:t>(13,969)</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1,265</w:t>
            </w:r>
          </w:p>
        </w:tc>
        <w:tc>
          <w:tcPr>
            <w:tcW w:w="60" w:type="dxa"/>
            <w:vAlign w:val="bottom"/>
          </w:tcPr>
          <w:p>
            <w:pPr>
              <w:spacing w:after="0"/>
              <w:rPr>
                <w:sz w:val="14"/>
                <w:szCs w:val="14"/>
                <w:color w:val="auto"/>
              </w:rPr>
            </w:pPr>
          </w:p>
        </w:tc>
      </w:tr>
      <w:tr>
        <w:trPr>
          <w:trHeight w:val="164"/>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30, 2010</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3"/>
                <w:szCs w:val="13"/>
                <w:color w:val="auto"/>
              </w:rPr>
              <w:t>528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10,530</w:t>
            </w:r>
          </w:p>
        </w:tc>
        <w:tc>
          <w:tcPr>
            <w:tcW w:w="224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(10,167)</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w:t>
            </w:r>
          </w:p>
        </w:tc>
        <w:tc>
          <w:tcPr>
            <w:tcW w:w="60" w:type="dxa"/>
            <w:vAlign w:val="bottom"/>
            <w:shd w:val="clear" w:color="auto" w:fill="CCEEFF"/>
          </w:tcPr>
          <w:p>
            <w:pPr>
              <w:spacing w:after="0"/>
              <w:rPr>
                <w:sz w:val="14"/>
                <w:szCs w:val="14"/>
                <w:color w:val="auto"/>
              </w:rPr>
            </w:pPr>
          </w:p>
        </w:tc>
      </w:tr>
      <w:tr>
        <w:trPr>
          <w:trHeight w:val="276"/>
        </w:trPr>
        <w:tc>
          <w:tcPr>
            <w:tcW w:w="3540" w:type="dxa"/>
            <w:vAlign w:val="bottom"/>
          </w:tcPr>
          <w:p>
            <w:pPr>
              <w:spacing w:after="0"/>
              <w:rPr>
                <w:sz w:val="24"/>
                <w:szCs w:val="24"/>
                <w:color w:val="auto"/>
              </w:rPr>
            </w:pPr>
          </w:p>
        </w:tc>
        <w:tc>
          <w:tcPr>
            <w:tcW w:w="1880" w:type="dxa"/>
            <w:vAlign w:val="bottom"/>
            <w:gridSpan w:val="2"/>
          </w:tcPr>
          <w:p>
            <w:pPr>
              <w:jc w:val="right"/>
              <w:ind w:right="21"/>
              <w:spacing w:after="0"/>
              <w:rPr>
                <w:sz w:val="20"/>
                <w:szCs w:val="20"/>
                <w:color w:val="auto"/>
              </w:rPr>
            </w:pPr>
            <w:r>
              <w:rPr>
                <w:rFonts w:ascii="Arial" w:cs="Arial" w:eastAsia="Arial" w:hAnsi="Arial"/>
                <w:sz w:val="13"/>
                <w:szCs w:val="13"/>
                <w:color w:val="auto"/>
              </w:rPr>
              <w:t>54</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60"/>
          </w:cols>
          <w:pgMar w:left="220" w:top="384" w:right="2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right="460"/>
        <w:spacing w:after="0" w:line="343" w:lineRule="auto"/>
        <w:rPr>
          <w:sz w:val="20"/>
          <w:szCs w:val="20"/>
          <w:color w:val="auto"/>
        </w:rPr>
      </w:pPr>
      <w:r>
        <w:rPr>
          <w:rFonts w:ascii="Arial" w:cs="Arial" w:eastAsia="Arial" w:hAnsi="Arial"/>
          <w:sz w:val="12"/>
          <w:szCs w:val="12"/>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$0.6 million and $0.3 million at January 28, 2012, and January 29, 2011, respectively.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Cost of Sales</w:t>
      </w:r>
    </w:p>
    <w:p>
      <w:pPr>
        <w:spacing w:after="0" w:line="78" w:lineRule="exact"/>
        <w:rPr>
          <w:sz w:val="20"/>
          <w:szCs w:val="20"/>
          <w:color w:val="auto"/>
        </w:rPr>
      </w:pPr>
    </w:p>
    <w:p>
      <w:pPr>
        <w:ind w:left="460"/>
        <w:spacing w:after="0" w:line="343" w:lineRule="auto"/>
        <w:rPr>
          <w:sz w:val="20"/>
          <w:szCs w:val="20"/>
          <w:color w:val="auto"/>
        </w:rPr>
      </w:pPr>
      <w:r>
        <w:rPr>
          <w:rFonts w:ascii="Arial" w:cs="Arial" w:eastAsia="Arial" w:hAnsi="Arial"/>
          <w:sz w:val="12"/>
          <w:szCs w:val="12"/>
          <w:color w:val="auto"/>
        </w:rPr>
        <w:t>Cost of sales includes material and labor costs, freight, inventory shrinkage, operating lease costs, duty, and other operating expenses, including depreciation of the Company’s distribution center, warehouse and manufacturing facilities, and equipment. Costs and related expenses to manufacture and distribute the products are recorded as cost of sales when the related revenues are recognized.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Operating Leases and Tenant-Improvement Allowances</w:t>
      </w:r>
    </w:p>
    <w:p>
      <w:pPr>
        <w:spacing w:after="0" w:line="78" w:lineRule="exact"/>
        <w:rPr>
          <w:sz w:val="20"/>
          <w:szCs w:val="20"/>
          <w:color w:val="auto"/>
        </w:rPr>
      </w:pPr>
    </w:p>
    <w:p>
      <w:pPr>
        <w:jc w:val="both"/>
        <w:ind w:left="460" w:right="240"/>
        <w:spacing w:after="0" w:line="281" w:lineRule="auto"/>
        <w:rPr>
          <w:sz w:val="20"/>
          <w:szCs w:val="20"/>
          <w:color w:val="auto"/>
        </w:rPr>
      </w:pPr>
      <w:r>
        <w:rPr>
          <w:rFonts w:ascii="Arial" w:cs="Arial" w:eastAsia="Arial" w:hAnsi="Arial"/>
          <w:sz w:val="13"/>
          <w:szCs w:val="13"/>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lease credit.</w:t>
      </w:r>
    </w:p>
    <w:p>
      <w:pPr>
        <w:spacing w:after="0" w:line="30" w:lineRule="exact"/>
        <w:rPr>
          <w:sz w:val="20"/>
          <w:szCs w:val="20"/>
          <w:color w:val="auto"/>
        </w:rPr>
      </w:pPr>
    </w:p>
    <w:p>
      <w:pPr>
        <w:ind w:left="460"/>
        <w:spacing w:after="0" w:line="281" w:lineRule="auto"/>
        <w:rPr>
          <w:sz w:val="20"/>
          <w:szCs w:val="20"/>
          <w:color w:val="auto"/>
        </w:rPr>
      </w:pPr>
      <w:r>
        <w:rPr>
          <w:rFonts w:ascii="Arial" w:cs="Arial" w:eastAsia="Arial" w:hAnsi="Arial"/>
          <w:sz w:val="13"/>
          <w:szCs w:val="13"/>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Store Pre-Opening, Occupancy, and Operating Costs</w:t>
      </w:r>
    </w:p>
    <w:p>
      <w:pPr>
        <w:spacing w:after="0" w:line="78" w:lineRule="exact"/>
        <w:rPr>
          <w:sz w:val="20"/>
          <w:szCs w:val="20"/>
          <w:color w:val="auto"/>
        </w:rPr>
      </w:pPr>
    </w:p>
    <w:p>
      <w:pPr>
        <w:ind w:left="460" w:right="80"/>
        <w:spacing w:after="0" w:line="298" w:lineRule="auto"/>
        <w:rPr>
          <w:sz w:val="20"/>
          <w:szCs w:val="20"/>
          <w:color w:val="auto"/>
        </w:rPr>
      </w:pPr>
      <w:r>
        <w:rPr>
          <w:rFonts w:ascii="Arial" w:cs="Arial" w:eastAsia="Arial" w:hAnsi="Arial"/>
          <w:sz w:val="13"/>
          <w:szCs w:val="13"/>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Stock-Based Compensation</w:t>
      </w:r>
    </w:p>
    <w:p>
      <w:pPr>
        <w:spacing w:after="0" w:line="78" w:lineRule="exact"/>
        <w:rPr>
          <w:sz w:val="20"/>
          <w:szCs w:val="20"/>
          <w:color w:val="auto"/>
        </w:rPr>
      </w:pPr>
    </w:p>
    <w:p>
      <w:pPr>
        <w:ind w:left="460" w:right="80"/>
        <w:spacing w:after="0" w:line="275" w:lineRule="auto"/>
        <w:rPr>
          <w:sz w:val="20"/>
          <w:szCs w:val="20"/>
          <w:color w:val="auto"/>
        </w:rPr>
      </w:pPr>
      <w:r>
        <w:rPr>
          <w:rFonts w:ascii="Arial" w:cs="Arial" w:eastAsia="Arial" w:hAnsi="Arial"/>
          <w:sz w:val="13"/>
          <w:szCs w:val="13"/>
          <w:color w:val="auto"/>
        </w:rPr>
        <w:t>The Company accounts for stock-based compensation using the fair-value recognition provisions of ASC 718, Stock Compensation.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 For restricted-stock awards granted prior to its initial public offering, the Company recognized stock-based compensation expense over the period the restrictions were to lapse and, then, in full upon the initial public offering.</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Other Income and Advertising Costs</w:t>
      </w:r>
    </w:p>
    <w:p>
      <w:pPr>
        <w:spacing w:after="0" w:line="78" w:lineRule="exact"/>
        <w:rPr>
          <w:sz w:val="20"/>
          <w:szCs w:val="20"/>
          <w:color w:val="auto"/>
        </w:rPr>
      </w:pPr>
    </w:p>
    <w:p>
      <w:pPr>
        <w:ind w:left="460" w:right="480"/>
        <w:spacing w:after="0" w:line="343" w:lineRule="auto"/>
        <w:rPr>
          <w:sz w:val="20"/>
          <w:szCs w:val="20"/>
          <w:color w:val="auto"/>
        </w:rPr>
      </w:pPr>
      <w:r>
        <w:rPr>
          <w:rFonts w:ascii="Arial" w:cs="Arial" w:eastAsia="Arial" w:hAnsi="Arial"/>
          <w:sz w:val="12"/>
          <w:szCs w:val="12"/>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460"/>
          </w:cols>
          <w:pgMar w:left="220" w:top="384" w:right="2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840" w:type="dxa"/>
            <w:vAlign w:val="bottom"/>
          </w:tcPr>
          <w:p>
            <w:pPr>
              <w:jc w:val="center"/>
              <w:ind w:right="1893"/>
              <w:spacing w:after="0"/>
              <w:rPr>
                <w:sz w:val="20"/>
                <w:szCs w:val="20"/>
                <w:color w:val="auto"/>
              </w:rPr>
            </w:pPr>
            <w:r>
              <w:rPr>
                <w:rFonts w:ascii="Arial" w:cs="Arial" w:eastAsia="Arial" w:hAnsi="Arial"/>
                <w:sz w:val="13"/>
                <w:szCs w:val="13"/>
                <w:b w:val="1"/>
                <w:bCs w:val="1"/>
                <w:color w:val="auto"/>
                <w:w w:val="95"/>
              </w:rPr>
              <w:t>Vera Bradley, Inc.</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40" w:type="dxa"/>
            <w:vAlign w:val="bottom"/>
          </w:tcPr>
          <w:p>
            <w:pPr>
              <w:jc w:val="center"/>
              <w:ind w:right="1893"/>
              <w:spacing w:after="0"/>
              <w:rPr>
                <w:sz w:val="20"/>
                <w:szCs w:val="20"/>
                <w:color w:val="auto"/>
              </w:rPr>
            </w:pPr>
            <w:r>
              <w:rPr>
                <w:rFonts w:ascii="Arial" w:cs="Arial" w:eastAsia="Arial" w:hAnsi="Arial"/>
                <w:sz w:val="13"/>
                <w:szCs w:val="13"/>
                <w:b w:val="1"/>
                <w:bCs w:val="1"/>
                <w:color w:val="auto"/>
                <w:w w:val="91"/>
              </w:rPr>
              <w:t>Notes to Consolidated Financial Statements</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40" w:type="dxa"/>
            <w:vAlign w:val="bottom"/>
            <w:gridSpan w:val="2"/>
          </w:tcPr>
          <w:p>
            <w:pPr>
              <w:spacing w:after="0"/>
              <w:rPr>
                <w:sz w:val="20"/>
                <w:szCs w:val="20"/>
                <w:color w:val="auto"/>
              </w:rPr>
            </w:pPr>
            <w:r>
              <w:rPr>
                <w:rFonts w:ascii="Arial" w:cs="Arial" w:eastAsia="Arial" w:hAnsi="Arial"/>
                <w:sz w:val="13"/>
                <w:szCs w:val="13"/>
                <w:color w:val="auto"/>
              </w:rPr>
              <w:t>Total advertising expense was as follows (in thousands):</w:t>
            </w:r>
          </w:p>
        </w:tc>
        <w:tc>
          <w:tcPr>
            <w:tcW w:w="4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80" w:type="dxa"/>
            <w:vAlign w:val="bottom"/>
            <w:vMerge w:val="restart"/>
          </w:tcPr>
          <w:p>
            <w:pPr>
              <w:spacing w:after="0"/>
              <w:rPr>
                <w:sz w:val="13"/>
                <w:szCs w:val="13"/>
                <w:color w:val="auto"/>
              </w:rPr>
            </w:pPr>
          </w:p>
        </w:tc>
        <w:tc>
          <w:tcPr>
            <w:tcW w:w="24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2012</w:t>
            </w:r>
          </w:p>
        </w:tc>
        <w:tc>
          <w:tcPr>
            <w:tcW w:w="4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90"/>
              </w:rPr>
              <w:t>20,154</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Fiscal year ended January 29, 2011</w:t>
            </w:r>
          </w:p>
        </w:tc>
        <w:tc>
          <w:tcPr>
            <w:tcW w:w="484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3"/>
                <w:szCs w:val="13"/>
                <w:color w:val="auto"/>
                <w:w w:val="90"/>
              </w:rPr>
              <w:t>20,149</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30, 2010</w:t>
            </w:r>
          </w:p>
        </w:tc>
        <w:tc>
          <w:tcPr>
            <w:tcW w:w="48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90"/>
              </w:rPr>
              <w:t>23,004</w:t>
            </w:r>
          </w:p>
        </w:tc>
        <w:tc>
          <w:tcPr>
            <w:tcW w:w="0" w:type="dxa"/>
            <w:vAlign w:val="bottom"/>
          </w:tcPr>
          <w:p>
            <w:pPr>
              <w:spacing w:after="0"/>
              <w:rPr>
                <w:sz w:val="1"/>
                <w:szCs w:val="1"/>
                <w:color w:val="auto"/>
              </w:rPr>
            </w:pPr>
          </w:p>
        </w:tc>
      </w:tr>
      <w:tr>
        <w:trPr>
          <w:trHeight w:val="287"/>
        </w:trPr>
        <w:tc>
          <w:tcPr>
            <w:tcW w:w="3840" w:type="dxa"/>
            <w:vAlign w:val="bottom"/>
            <w:gridSpan w:val="2"/>
          </w:tcPr>
          <w:p>
            <w:pPr>
              <w:spacing w:after="0"/>
              <w:rPr>
                <w:sz w:val="20"/>
                <w:szCs w:val="20"/>
                <w:color w:val="auto"/>
              </w:rPr>
            </w:pPr>
            <w:r>
              <w:rPr>
                <w:rFonts w:ascii="Arial" w:cs="Arial" w:eastAsia="Arial" w:hAnsi="Arial"/>
                <w:sz w:val="13"/>
                <w:szCs w:val="13"/>
                <w:color w:val="auto"/>
                <w:w w:val="99"/>
              </w:rPr>
              <w:t>Total recovery from Indirect retailers was as follows (in thousands):</w:t>
            </w:r>
          </w:p>
        </w:tc>
        <w:tc>
          <w:tcPr>
            <w:tcW w:w="4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80" w:type="dxa"/>
            <w:vAlign w:val="bottom"/>
            <w:vMerge w:val="restart"/>
          </w:tcPr>
          <w:p>
            <w:pPr>
              <w:spacing w:after="0"/>
              <w:rPr>
                <w:sz w:val="13"/>
                <w:szCs w:val="13"/>
                <w:color w:val="auto"/>
              </w:rPr>
            </w:pPr>
          </w:p>
        </w:tc>
        <w:tc>
          <w:tcPr>
            <w:tcW w:w="24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vMerge w:val="continue"/>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2012</w:t>
            </w:r>
          </w:p>
        </w:tc>
        <w:tc>
          <w:tcPr>
            <w:tcW w:w="4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7,692</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color w:val="auto"/>
              </w:rPr>
              <w:t>Fiscal year ended January 29, 2011</w:t>
            </w:r>
          </w:p>
        </w:tc>
        <w:tc>
          <w:tcPr>
            <w:tcW w:w="484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3"/>
                <w:szCs w:val="13"/>
                <w:color w:val="auto"/>
              </w:rPr>
              <w:t>6,966</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30, 2010</w:t>
            </w:r>
          </w:p>
        </w:tc>
        <w:tc>
          <w:tcPr>
            <w:tcW w:w="48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5"/>
              </w:rPr>
              <w:t>10,743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Debt-Issuance Costs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the fiscal year ended January 29, 2011, in connection with the amendment and restatement of the credit agreement (see Note 5), the Company incurred debt-issuance costs of $1.1 million and wrote</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off, to interest expense, $0.2 million of unamortized debt-issuance costs relating to certain portions of the original credit agreement. The Company is amortizing the remaining debt-issuance costs to interest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expense over the five-year term of the amended and restated credit agreement. Debt-issuance costs, net of accumulated amortization, totaled $0.9 million and $1.2 million at January 28, 2012, and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January 29, 2011, respectively, and are included in other current assets and other assets on the Consolidated Balance Sheets. Amortization expense of $0.3 million, $0.3 million, and $0.3 million is included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interest expense in the Consolidated Statements of Income for the fiscal years ended January 28, 2012, January 29, 2011, and January 30, 2010, respectively.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Derivative Instruments</w:t>
      </w:r>
    </w:p>
    <w:p>
      <w:pPr>
        <w:spacing w:after="0" w:line="78" w:lineRule="exact"/>
        <w:rPr>
          <w:sz w:val="20"/>
          <w:szCs w:val="20"/>
          <w:color w:val="auto"/>
        </w:rPr>
      </w:pPr>
    </w:p>
    <w:p>
      <w:pPr>
        <w:ind w:left="460"/>
        <w:spacing w:after="0" w:line="272" w:lineRule="auto"/>
        <w:rPr>
          <w:sz w:val="20"/>
          <w:szCs w:val="20"/>
          <w:color w:val="auto"/>
        </w:rPr>
      </w:pPr>
      <w:r>
        <w:rPr>
          <w:rFonts w:ascii="Arial" w:cs="Arial" w:eastAsia="Arial" w:hAnsi="Arial"/>
          <w:sz w:val="13"/>
          <w:szCs w:val="13"/>
          <w:color w:val="auto"/>
        </w:rPr>
        <w:t>To protect against the risk of adverse interest rate movement, the Company entered into two interest rate swap agreements in the fiscal year ended January 30, 2010, swapping its variable LIBOR-based interest rate on its line of credit with a fixed rate ranging from 0.79% to 1.20%. The Company did not elect hedge accounting and marked these derivative instruments to market, resulting in an insignificant liability and insignificant expense included in other accrued liabilities and selling, general, and administrative expenses as of and for the fiscal year ended January 30, 2010. The interest rate swap agreements had a total notional amount of $20 million, of which $10 million expired on February 2, 2010, and $10 million was terminated on November 8, 2010. The Company recognized insignificant losses upon this expiration and termination of these agreements in the fiscal year ended January 29, 2011.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Fair Value of Financial Instruments</w:t>
      </w:r>
    </w:p>
    <w:p>
      <w:pPr>
        <w:spacing w:after="0" w:line="78" w:lineRule="exact"/>
        <w:rPr>
          <w:sz w:val="20"/>
          <w:szCs w:val="20"/>
          <w:color w:val="auto"/>
        </w:rPr>
      </w:pPr>
    </w:p>
    <w:p>
      <w:pPr>
        <w:ind w:left="460" w:right="260"/>
        <w:spacing w:after="0" w:line="298" w:lineRule="auto"/>
        <w:rPr>
          <w:sz w:val="20"/>
          <w:szCs w:val="20"/>
          <w:color w:val="auto"/>
        </w:rPr>
      </w:pPr>
      <w:r>
        <w:rPr>
          <w:rFonts w:ascii="Arial" w:cs="Arial" w:eastAsia="Arial" w:hAnsi="Arial"/>
          <w:sz w:val="13"/>
          <w:szCs w:val="13"/>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Level 1 – Quoted prices in active markets for identical assets or liabilities</w:t>
      </w:r>
    </w:p>
    <w:p>
      <w:pPr>
        <w:spacing w:after="0" w:line="76" w:lineRule="exact"/>
        <w:rPr>
          <w:rFonts w:ascii="Arial" w:cs="Arial" w:eastAsia="Arial" w:hAnsi="Arial"/>
          <w:sz w:val="13"/>
          <w:szCs w:val="13"/>
          <w:color w:val="auto"/>
        </w:rPr>
      </w:pPr>
    </w:p>
    <w:p>
      <w:pPr>
        <w:ind w:left="900" w:hanging="446"/>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Level 2 – Inputs, other than the quoted prices in active markets, that are observable either directly or indirectly</w:t>
      </w:r>
    </w:p>
    <w:p>
      <w:pPr>
        <w:spacing w:after="0" w:line="76" w:lineRule="exact"/>
        <w:rPr>
          <w:rFonts w:ascii="Arial" w:cs="Arial" w:eastAsia="Arial" w:hAnsi="Arial"/>
          <w:sz w:val="13"/>
          <w:szCs w:val="13"/>
          <w:color w:val="auto"/>
        </w:rPr>
      </w:pPr>
    </w:p>
    <w:p>
      <w:pPr>
        <w:ind w:left="900" w:hanging="446"/>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Level 3 – Unobservable inputs based on the Company’s own assumptions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420"/>
          </w:cols>
          <w:pgMar w:left="220" w:top="384" w:right="2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classification of fair value measurements within the hierarchy is based upon the lowest level of input that is significant to the measurement.</w:t>
      </w:r>
    </w:p>
    <w:p>
      <w:pPr>
        <w:spacing w:after="0" w:line="76" w:lineRule="exact"/>
        <w:rPr>
          <w:sz w:val="20"/>
          <w:szCs w:val="20"/>
          <w:color w:val="auto"/>
        </w:rPr>
      </w:pPr>
    </w:p>
    <w:p>
      <w:pPr>
        <w:ind w:left="460" w:right="460"/>
        <w:spacing w:after="0" w:line="298" w:lineRule="auto"/>
        <w:rPr>
          <w:sz w:val="20"/>
          <w:szCs w:val="20"/>
          <w:color w:val="auto"/>
        </w:rPr>
      </w:pPr>
      <w:r>
        <w:rPr>
          <w:rFonts w:ascii="Arial" w:cs="Arial" w:eastAsia="Arial" w:hAnsi="Arial"/>
          <w:sz w:val="13"/>
          <w:szCs w:val="13"/>
          <w:color w:val="auto"/>
        </w:rPr>
        <w:t>The carrying amounts reflected on the Consolidated Balance Sheets for cash and cash equivalents, receivables, other current assets, debt, and payables as of January 28, 2012, and January 29, 2011, approximated their fair values.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Income Taxes</w:t>
      </w:r>
    </w:p>
    <w:p>
      <w:pPr>
        <w:spacing w:after="0" w:line="78" w:lineRule="exact"/>
        <w:rPr>
          <w:sz w:val="20"/>
          <w:szCs w:val="20"/>
          <w:color w:val="auto"/>
        </w:rPr>
      </w:pPr>
    </w:p>
    <w:p>
      <w:pPr>
        <w:jc w:val="both"/>
        <w:ind w:left="460" w:right="80"/>
        <w:spacing w:after="0" w:line="314" w:lineRule="auto"/>
        <w:rPr>
          <w:sz w:val="20"/>
          <w:szCs w:val="20"/>
          <w:color w:val="auto"/>
        </w:rPr>
      </w:pPr>
      <w:r>
        <w:rPr>
          <w:rFonts w:ascii="Arial" w:cs="Arial" w:eastAsia="Arial" w:hAnsi="Arial"/>
          <w:sz w:val="12"/>
          <w:szCs w:val="12"/>
          <w:color w:val="auto"/>
        </w:rPr>
        <w:t>The Company accounts for income taxes and the related accounts using the liability method in accordance with ASC 740, Income Taxes. Under this method, the Company accrues income taxes payable or refundable and recognizes deferred tax assets and liabilities based on differences between the GAAP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13" w:lineRule="exact"/>
        <w:rPr>
          <w:sz w:val="20"/>
          <w:szCs w:val="20"/>
          <w:color w:val="auto"/>
        </w:rPr>
      </w:pPr>
    </w:p>
    <w:p>
      <w:pPr>
        <w:ind w:left="460" w:right="300"/>
        <w:spacing w:after="0" w:line="298" w:lineRule="auto"/>
        <w:rPr>
          <w:sz w:val="20"/>
          <w:szCs w:val="20"/>
          <w:color w:val="auto"/>
        </w:rPr>
      </w:pPr>
      <w:r>
        <w:rPr>
          <w:rFonts w:ascii="Arial" w:cs="Arial" w:eastAsia="Arial" w:hAnsi="Arial"/>
          <w:sz w:val="13"/>
          <w:szCs w:val="13"/>
          <w:color w:val="auto"/>
        </w:rPr>
        <w:t>The Company establishes assets and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June 2011, the Financial Accounting Standards Board (“FASB”) issued Accounting Standards Update (“ASU”) 2011-05,</w:t>
      </w:r>
    </w:p>
    <w:p>
      <w:pPr>
        <w:spacing w:after="0" w:line="76" w:lineRule="exact"/>
        <w:rPr>
          <w:sz w:val="20"/>
          <w:szCs w:val="20"/>
          <w:color w:val="auto"/>
        </w:rPr>
      </w:pPr>
    </w:p>
    <w:p>
      <w:pPr>
        <w:ind w:left="460"/>
        <w:spacing w:after="0" w:line="268" w:lineRule="auto"/>
        <w:rPr>
          <w:sz w:val="20"/>
          <w:szCs w:val="20"/>
          <w:color w:val="auto"/>
        </w:rPr>
      </w:pPr>
      <w:r>
        <w:rPr>
          <w:rFonts w:ascii="Arial" w:cs="Arial" w:eastAsia="Arial" w:hAnsi="Arial"/>
          <w:sz w:val="13"/>
          <w:szCs w:val="13"/>
          <w:i w:val="1"/>
          <w:iCs w:val="1"/>
          <w:color w:val="auto"/>
        </w:rPr>
        <w:t>Comprehensive Income – Presentation of Comprehensive Income</w:t>
      </w:r>
      <w:r>
        <w:rPr>
          <w:rFonts w:ascii="Arial" w:cs="Arial" w:eastAsia="Arial" w:hAnsi="Arial"/>
          <w:sz w:val="13"/>
          <w:szCs w:val="13"/>
          <w:color w:val="auto"/>
        </w:rPr>
        <w:t>. This guidance eliminates the option to present the components of other comprehensive income as part of the Statement of Shareholders’</w:t>
      </w:r>
      <w:r>
        <w:rPr>
          <w:rFonts w:ascii="Arial" w:cs="Arial" w:eastAsia="Arial" w:hAnsi="Arial"/>
          <w:sz w:val="13"/>
          <w:szCs w:val="13"/>
          <w:i w:val="1"/>
          <w:iCs w:val="1"/>
          <w:color w:val="auto"/>
        </w:rPr>
        <w:t xml:space="preserve"> </w:t>
      </w:r>
      <w:r>
        <w:rPr>
          <w:rFonts w:ascii="Arial" w:cs="Arial" w:eastAsia="Arial" w:hAnsi="Arial"/>
          <w:sz w:val="13"/>
          <w:szCs w:val="13"/>
          <w:color w:val="auto"/>
        </w:rPr>
        <w:t>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As this guidance only amends the presentation of the components of comprehensive income, the adoption will not have an impact on the Company’s consolidated financial position, results of operations, or cash flows. Early adoption is permitted, but full retrospective application is required under both sets of accounting standards. The guidance also previously required the presentation of adjustments for items that are reclassified from other comprehensive income to net income in the statement where the components of net income and the components of other comprehensive income are presented; however, this portion of the guidance has been deferred through an ASU issued in September 2011. Upon adoption, the Company will elect to present items of net income and other comprehensive income in one continuous statement, the statement of comprehensive income.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In May 2011, the FASB issued ASU 2011-4, </w:t>
      </w:r>
      <w:r>
        <w:rPr>
          <w:rFonts w:ascii="Arial" w:cs="Arial" w:eastAsia="Arial" w:hAnsi="Arial"/>
          <w:sz w:val="13"/>
          <w:szCs w:val="13"/>
          <w:i w:val="1"/>
          <w:iCs w:val="1"/>
          <w:color w:val="auto"/>
        </w:rPr>
        <w:t>Fair Value Measurement – Amendments to Achieve Common Fair Value</w:t>
      </w:r>
    </w:p>
    <w:p>
      <w:pPr>
        <w:spacing w:after="0" w:line="76" w:lineRule="exact"/>
        <w:rPr>
          <w:sz w:val="20"/>
          <w:szCs w:val="20"/>
          <w:color w:val="auto"/>
        </w:rPr>
      </w:pPr>
    </w:p>
    <w:p>
      <w:pPr>
        <w:ind w:left="460" w:right="240"/>
        <w:spacing w:after="0" w:line="281" w:lineRule="auto"/>
        <w:rPr>
          <w:sz w:val="20"/>
          <w:szCs w:val="20"/>
          <w:color w:val="auto"/>
        </w:rPr>
      </w:pPr>
      <w:r>
        <w:rPr>
          <w:rFonts w:ascii="Arial" w:cs="Arial" w:eastAsia="Arial" w:hAnsi="Arial"/>
          <w:sz w:val="13"/>
          <w:szCs w:val="13"/>
          <w:i w:val="1"/>
          <w:iCs w:val="1"/>
          <w:color w:val="auto"/>
        </w:rPr>
        <w:t>Measurement and Disclosure Requirements in U.S. GAAP and IFRS</w:t>
      </w:r>
      <w:r>
        <w:rPr>
          <w:rFonts w:ascii="Arial" w:cs="Arial" w:eastAsia="Arial" w:hAnsi="Arial"/>
          <w:sz w:val="13"/>
          <w:szCs w:val="13"/>
          <w:color w:val="auto"/>
        </w:rPr>
        <w:t>. The guidance requires additional disclosures, including disclosures related to the measurement of level 3 assets. The guidance is</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 for interim and annual periods beginning after December 15, 2011 and is applied prospectively. The Company is currently evaluating this guidance, but does not expect its adoption will have a material effect on its consolidated financial statements.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440"/>
          </w:cols>
          <w:pgMar w:left="220" w:top="38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19" w:lineRule="exact"/>
        <w:rPr>
          <w:sz w:val="20"/>
          <w:szCs w:val="20"/>
          <w:color w:val="auto"/>
        </w:rPr>
      </w:pPr>
    </w:p>
    <w:p>
      <w:pPr>
        <w:ind w:left="460" w:hanging="458"/>
        <w:spacing w:after="0"/>
        <w:tabs>
          <w:tab w:leader="none" w:pos="46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The components of inventories were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400" w:type="dxa"/>
            <w:vAlign w:val="bottom"/>
            <w:gridSpan w:val="4"/>
          </w:tcPr>
          <w:p>
            <w:pPr>
              <w:ind w:left="60"/>
              <w:spacing w:after="0"/>
              <w:rPr>
                <w:sz w:val="20"/>
                <w:szCs w:val="20"/>
                <w:color w:val="auto"/>
              </w:rPr>
            </w:pPr>
            <w:r>
              <w:rPr>
                <w:rFonts w:ascii="Arial" w:cs="Arial" w:eastAsia="Arial" w:hAnsi="Arial"/>
                <w:sz w:val="10"/>
                <w:szCs w:val="10"/>
                <w:b w:val="1"/>
                <w:bCs w:val="1"/>
                <w:color w:val="auto"/>
              </w:rPr>
              <w:t>January 28,</w:t>
            </w:r>
          </w:p>
        </w:tc>
        <w:tc>
          <w:tcPr>
            <w:tcW w:w="700" w:type="dxa"/>
            <w:vAlign w:val="bottom"/>
            <w:gridSpan w:val="3"/>
          </w:tcPr>
          <w:p>
            <w:pPr>
              <w:ind w:left="40"/>
              <w:spacing w:after="0"/>
              <w:rPr>
                <w:sz w:val="20"/>
                <w:szCs w:val="20"/>
                <w:color w:val="auto"/>
              </w:rPr>
            </w:pPr>
            <w:r>
              <w:rPr>
                <w:rFonts w:ascii="Arial" w:cs="Arial" w:eastAsia="Arial" w:hAnsi="Arial"/>
                <w:sz w:val="10"/>
                <w:szCs w:val="10"/>
                <w:b w:val="1"/>
                <w:bCs w:val="1"/>
                <w:color w:val="auto"/>
              </w:rPr>
              <w:t>January 29,</w:t>
            </w:r>
          </w:p>
        </w:tc>
      </w:tr>
      <w:tr>
        <w:trPr>
          <w:trHeight w:val="124"/>
        </w:trPr>
        <w:tc>
          <w:tcPr>
            <w:tcW w:w="66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2012</w:t>
            </w: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2011</w:t>
            </w:r>
          </w:p>
        </w:tc>
        <w:tc>
          <w:tcPr>
            <w:tcW w:w="80" w:type="dxa"/>
            <w:vAlign w:val="bottom"/>
            <w:tcBorders>
              <w:bottom w:val="single" w:sz="8" w:color="CCEEFF"/>
            </w:tcBorders>
          </w:tcPr>
          <w:p>
            <w:pPr>
              <w:spacing w:after="0"/>
              <w:rPr>
                <w:sz w:val="10"/>
                <w:szCs w:val="10"/>
                <w:color w:val="auto"/>
              </w:rPr>
            </w:pPr>
          </w:p>
        </w:tc>
      </w:tr>
      <w:tr>
        <w:trPr>
          <w:trHeight w:val="155"/>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10,748</w:t>
            </w: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9,695</w:t>
            </w:r>
          </w:p>
        </w:tc>
        <w:tc>
          <w:tcPr>
            <w:tcW w:w="80" w:type="dxa"/>
            <w:vAlign w:val="bottom"/>
            <w:shd w:val="clear" w:color="auto" w:fill="CCEEFF"/>
          </w:tcPr>
          <w:p>
            <w:pPr>
              <w:spacing w:after="0"/>
              <w:rPr>
                <w:sz w:val="13"/>
                <w:szCs w:val="13"/>
                <w:color w:val="auto"/>
              </w:rPr>
            </w:pPr>
          </w:p>
        </w:tc>
      </w:tr>
      <w:tr>
        <w:trPr>
          <w:trHeight w:val="164"/>
        </w:trPr>
        <w:tc>
          <w:tcPr>
            <w:tcW w:w="6600" w:type="dxa"/>
            <w:vAlign w:val="bottom"/>
          </w:tcPr>
          <w:p>
            <w:pPr>
              <w:spacing w:after="0"/>
              <w:rPr>
                <w:sz w:val="20"/>
                <w:szCs w:val="20"/>
                <w:color w:val="auto"/>
              </w:rPr>
            </w:pPr>
            <w:r>
              <w:rPr>
                <w:rFonts w:ascii="Arial" w:cs="Arial" w:eastAsia="Arial" w:hAnsi="Arial"/>
                <w:sz w:val="13"/>
                <w:szCs w:val="13"/>
                <w:color w:val="auto"/>
              </w:rPr>
              <w:t>Work in process</w:t>
            </w: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692</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829</w:t>
            </w:r>
          </w:p>
        </w:tc>
      </w:tr>
      <w:tr>
        <w:trPr>
          <w:trHeight w:val="164"/>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95,527</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86,193</w:t>
            </w:r>
          </w:p>
        </w:tc>
        <w:tc>
          <w:tcPr>
            <w:tcW w:w="80" w:type="dxa"/>
            <w:vAlign w:val="bottom"/>
            <w:shd w:val="clear" w:color="auto" w:fill="CCEEFF"/>
          </w:tcPr>
          <w:p>
            <w:pPr>
              <w:spacing w:after="0"/>
              <w:rPr>
                <w:sz w:val="14"/>
                <w:szCs w:val="14"/>
                <w:color w:val="auto"/>
              </w:rPr>
            </w:pPr>
          </w:p>
        </w:tc>
      </w:tr>
      <w:tr>
        <w:trPr>
          <w:trHeight w:val="164"/>
        </w:trPr>
        <w:tc>
          <w:tcPr>
            <w:tcW w:w="6600" w:type="dxa"/>
            <w:vAlign w:val="bottom"/>
          </w:tcPr>
          <w:p>
            <w:pPr>
              <w:ind w:left="320"/>
              <w:spacing w:after="0"/>
              <w:rPr>
                <w:sz w:val="20"/>
                <w:szCs w:val="20"/>
                <w:color w:val="auto"/>
              </w:rPr>
            </w:pPr>
            <w:r>
              <w:rPr>
                <w:rFonts w:ascii="Arial" w:cs="Arial" w:eastAsia="Arial" w:hAnsi="Arial"/>
                <w:sz w:val="13"/>
                <w:szCs w:val="13"/>
                <w:color w:val="auto"/>
              </w:rPr>
              <w:t>Total inventories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106,967</w:t>
            </w:r>
          </w:p>
        </w:tc>
        <w:tc>
          <w:tcPr>
            <w:tcW w:w="76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96,717</w:t>
            </w:r>
          </w:p>
        </w:tc>
      </w:tr>
      <w:tr>
        <w:trPr>
          <w:trHeight w:val="20"/>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460" w:hanging="458"/>
        <w:spacing w:after="0"/>
        <w:tabs>
          <w:tab w:leader="none" w:pos="46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Property, plant, and equipment consisted of the following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8640" w:type="dxa"/>
            <w:vAlign w:val="bottom"/>
          </w:tcPr>
          <w:p>
            <w:pPr>
              <w:spacing w:after="0"/>
              <w:rPr>
                <w:sz w:val="10"/>
                <w:szCs w:val="10"/>
                <w:color w:val="auto"/>
              </w:rPr>
            </w:pPr>
          </w:p>
        </w:tc>
        <w:tc>
          <w:tcPr>
            <w:tcW w:w="1240" w:type="dxa"/>
            <w:vAlign w:val="bottom"/>
            <w:gridSpan w:val="4"/>
          </w:tcPr>
          <w:p>
            <w:pPr>
              <w:spacing w:after="0"/>
              <w:rPr>
                <w:sz w:val="20"/>
                <w:szCs w:val="20"/>
                <w:color w:val="auto"/>
              </w:rPr>
            </w:pPr>
            <w:r>
              <w:rPr>
                <w:rFonts w:ascii="Arial" w:cs="Arial" w:eastAsia="Arial" w:hAnsi="Arial"/>
                <w:sz w:val="10"/>
                <w:szCs w:val="10"/>
                <w:b w:val="1"/>
                <w:bCs w:val="1"/>
                <w:color w:val="auto"/>
              </w:rPr>
              <w:t>January 28,</w:t>
            </w:r>
          </w:p>
        </w:tc>
        <w:tc>
          <w:tcPr>
            <w:tcW w:w="66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4"/>
              </w:rPr>
              <w:t>January 29,</w:t>
            </w:r>
          </w:p>
        </w:tc>
      </w:tr>
      <w:tr>
        <w:trPr>
          <w:trHeight w:val="124"/>
        </w:trPr>
        <w:tc>
          <w:tcPr>
            <w:tcW w:w="86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2012</w:t>
            </w:r>
          </w:p>
        </w:tc>
        <w:tc>
          <w:tcPr>
            <w:tcW w:w="2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2011</w:t>
            </w:r>
          </w:p>
        </w:tc>
        <w:tc>
          <w:tcPr>
            <w:tcW w:w="80" w:type="dxa"/>
            <w:vAlign w:val="bottom"/>
            <w:tcBorders>
              <w:bottom w:val="single" w:sz="8" w:color="CCEEFF"/>
            </w:tcBorders>
          </w:tcPr>
          <w:p>
            <w:pPr>
              <w:spacing w:after="0"/>
              <w:rPr>
                <w:sz w:val="10"/>
                <w:szCs w:val="10"/>
                <w:color w:val="auto"/>
              </w:rPr>
            </w:pPr>
          </w:p>
        </w:tc>
      </w:tr>
      <w:tr>
        <w:trPr>
          <w:trHeight w:val="155"/>
        </w:trPr>
        <w:tc>
          <w:tcPr>
            <w:tcW w:w="864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2,145</w:t>
            </w: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2,145</w:t>
            </w:r>
          </w:p>
        </w:tc>
        <w:tc>
          <w:tcPr>
            <w:tcW w:w="80" w:type="dxa"/>
            <w:vAlign w:val="bottom"/>
            <w:shd w:val="clear" w:color="auto" w:fill="CCEEFF"/>
          </w:tcPr>
          <w:p>
            <w:pPr>
              <w:spacing w:after="0"/>
              <w:rPr>
                <w:sz w:val="13"/>
                <w:szCs w:val="13"/>
                <w:color w:val="auto"/>
              </w:rPr>
            </w:pPr>
          </w:p>
        </w:tc>
      </w:tr>
      <w:tr>
        <w:trPr>
          <w:trHeight w:val="164"/>
        </w:trPr>
        <w:tc>
          <w:tcPr>
            <w:tcW w:w="8640" w:type="dxa"/>
            <w:vAlign w:val="bottom"/>
          </w:tcPr>
          <w:p>
            <w:pPr>
              <w:spacing w:after="0"/>
              <w:rPr>
                <w:sz w:val="20"/>
                <w:szCs w:val="20"/>
                <w:color w:val="auto"/>
              </w:rPr>
            </w:pPr>
            <w:r>
              <w:rPr>
                <w:rFonts w:ascii="Arial" w:cs="Arial" w:eastAsia="Arial" w:hAnsi="Arial"/>
                <w:sz w:val="13"/>
                <w:szCs w:val="13"/>
                <w:color w:val="auto"/>
              </w:rPr>
              <w:t>Building and building improvements</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16,182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16,182</w:t>
            </w:r>
          </w:p>
        </w:tc>
      </w:tr>
      <w:tr>
        <w:trPr>
          <w:trHeight w:val="164"/>
        </w:trPr>
        <w:tc>
          <w:tcPr>
            <w:tcW w:w="864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leasehold improvements and computer equipment</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56,510</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43,665</w:t>
            </w:r>
          </w:p>
        </w:tc>
      </w:tr>
      <w:tr>
        <w:trPr>
          <w:trHeight w:val="164"/>
        </w:trPr>
        <w:tc>
          <w:tcPr>
            <w:tcW w:w="8640" w:type="dxa"/>
            <w:vAlign w:val="bottom"/>
          </w:tcPr>
          <w:p>
            <w:pPr>
              <w:spacing w:after="0"/>
              <w:rPr>
                <w:sz w:val="20"/>
                <w:szCs w:val="20"/>
                <w:color w:val="auto"/>
              </w:rPr>
            </w:pPr>
            <w:r>
              <w:rPr>
                <w:rFonts w:ascii="Arial" w:cs="Arial" w:eastAsia="Arial" w:hAnsi="Arial"/>
                <w:sz w:val="13"/>
                <w:szCs w:val="13"/>
                <w:color w:val="auto"/>
              </w:rPr>
              <w:t>Production equipment and vehicles</w:t>
            </w: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12,685</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12,187</w:t>
            </w:r>
          </w:p>
        </w:tc>
      </w:tr>
      <w:tr>
        <w:trPr>
          <w:trHeight w:val="164"/>
        </w:trPr>
        <w:tc>
          <w:tcPr>
            <w:tcW w:w="8640" w:type="dxa"/>
            <w:vAlign w:val="bottom"/>
            <w:shd w:val="clear" w:color="auto" w:fill="CCEEFF"/>
          </w:tcPr>
          <w:p>
            <w:pPr>
              <w:spacing w:after="0"/>
              <w:rPr>
                <w:sz w:val="20"/>
                <w:szCs w:val="20"/>
                <w:color w:val="auto"/>
              </w:rPr>
            </w:pPr>
            <w:r>
              <w:rPr>
                <w:rFonts w:ascii="Arial" w:cs="Arial" w:eastAsia="Arial" w:hAnsi="Arial"/>
                <w:sz w:val="13"/>
                <w:szCs w:val="13"/>
                <w:color w:val="auto"/>
              </w:rPr>
              <w:t>Construction in progress</w:t>
            </w: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6,662</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80" w:type="dxa"/>
            <w:vAlign w:val="bottom"/>
            <w:shd w:val="clear" w:color="auto" w:fill="CCEEFF"/>
          </w:tcPr>
          <w:p>
            <w:pPr>
              <w:spacing w:after="0"/>
              <w:rPr>
                <w:sz w:val="14"/>
                <w:szCs w:val="14"/>
                <w:color w:val="auto"/>
              </w:rPr>
            </w:pPr>
          </w:p>
        </w:tc>
      </w:tr>
      <w:tr>
        <w:trPr>
          <w:trHeight w:val="164"/>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94,184</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75,792</w:t>
            </w:r>
          </w:p>
        </w:tc>
      </w:tr>
      <w:tr>
        <w:trPr>
          <w:trHeight w:val="165"/>
        </w:trPr>
        <w:tc>
          <w:tcPr>
            <w:tcW w:w="864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3"/>
                <w:szCs w:val="13"/>
                <w:color w:val="auto"/>
                <w:w w:val="94"/>
              </w:rPr>
              <w:t>(41,872)</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(32,808)</w:t>
            </w:r>
          </w:p>
        </w:tc>
      </w:tr>
      <w:tr>
        <w:trPr>
          <w:trHeight w:val="164"/>
        </w:trPr>
        <w:tc>
          <w:tcPr>
            <w:tcW w:w="8640" w:type="dxa"/>
            <w:vAlign w:val="bottom"/>
          </w:tcPr>
          <w:p>
            <w:pPr>
              <w:ind w:left="340"/>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52,312</w:t>
            </w:r>
          </w:p>
        </w:tc>
        <w:tc>
          <w:tcPr>
            <w:tcW w:w="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42,984</w:t>
            </w:r>
          </w:p>
        </w:tc>
        <w:tc>
          <w:tcPr>
            <w:tcW w:w="80" w:type="dxa"/>
            <w:vAlign w:val="bottom"/>
          </w:tcPr>
          <w:p>
            <w:pPr>
              <w:spacing w:after="0"/>
              <w:rPr>
                <w:sz w:val="14"/>
                <w:szCs w:val="14"/>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4" w:lineRule="exact"/>
        <w:rPr>
          <w:sz w:val="20"/>
          <w:szCs w:val="20"/>
          <w:color w:val="auto"/>
        </w:rPr>
      </w:pPr>
    </w:p>
    <w:p>
      <w:pPr>
        <w:ind w:left="460"/>
        <w:spacing w:after="0" w:line="272" w:lineRule="auto"/>
        <w:rPr>
          <w:sz w:val="20"/>
          <w:szCs w:val="20"/>
          <w:color w:val="auto"/>
        </w:rPr>
      </w:pPr>
      <w:r>
        <w:rPr>
          <w:rFonts w:ascii="Arial" w:cs="Arial" w:eastAsia="Arial" w:hAnsi="Arial"/>
          <w:sz w:val="13"/>
          <w:szCs w:val="13"/>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An impairment charge of $1.3 million was recognized in the fiscal year ended January 30, 2010, for assets related to underperforming stores and is included in selling, general, and administrative expenses in the Consolidated Statements of Income and in depreciation and amortization of property, plant, and equipment in the Consolidated Statements of Cash Flows.</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Depreciation and amortization expense associated with property, plant, and equipment (in thousands):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4"/>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2012</w:t>
            </w:r>
          </w:p>
        </w:tc>
        <w:tc>
          <w:tcPr>
            <w:tcW w:w="49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  9,457</w:t>
            </w:r>
          </w:p>
        </w:tc>
      </w:tr>
      <w:tr>
        <w:trPr>
          <w:trHeight w:val="164"/>
        </w:trPr>
        <w:tc>
          <w:tcPr>
            <w:tcW w:w="2860" w:type="dxa"/>
            <w:vAlign w:val="bottom"/>
          </w:tcPr>
          <w:p>
            <w:pPr>
              <w:spacing w:after="0"/>
              <w:rPr>
                <w:sz w:val="20"/>
                <w:szCs w:val="20"/>
                <w:color w:val="auto"/>
              </w:rPr>
            </w:pPr>
            <w:r>
              <w:rPr>
                <w:rFonts w:ascii="Arial" w:cs="Arial" w:eastAsia="Arial" w:hAnsi="Arial"/>
                <w:sz w:val="13"/>
                <w:szCs w:val="13"/>
                <w:color w:val="auto"/>
              </w:rPr>
              <w:t>Fiscal year ended January 29, 2011</w:t>
            </w:r>
          </w:p>
        </w:tc>
        <w:tc>
          <w:tcPr>
            <w:tcW w:w="4920" w:type="dxa"/>
            <w:vAlign w:val="bottom"/>
          </w:tcPr>
          <w:p>
            <w:pPr>
              <w:jc w:val="right"/>
              <w:ind w:right="13"/>
              <w:spacing w:after="0"/>
              <w:rPr>
                <w:sz w:val="20"/>
                <w:szCs w:val="20"/>
                <w:color w:val="auto"/>
              </w:rPr>
            </w:pPr>
            <w:r>
              <w:rPr>
                <w:rFonts w:ascii="Arial" w:cs="Arial" w:eastAsia="Arial" w:hAnsi="Arial"/>
                <w:sz w:val="13"/>
                <w:szCs w:val="13"/>
                <w:color w:val="auto"/>
              </w:rPr>
              <w:t>8,411</w:t>
            </w:r>
          </w:p>
        </w:tc>
      </w:tr>
      <w:tr>
        <w:trPr>
          <w:trHeight w:val="164"/>
        </w:trPr>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30, 2010</w:t>
            </w:r>
          </w:p>
        </w:tc>
        <w:tc>
          <w:tcPr>
            <w:tcW w:w="49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10,666</w:t>
            </w:r>
          </w:p>
        </w:tc>
      </w:tr>
      <w:tr>
        <w:trPr>
          <w:trHeight w:val="276"/>
        </w:trPr>
        <w:tc>
          <w:tcPr>
            <w:tcW w:w="2860" w:type="dxa"/>
            <w:vAlign w:val="bottom"/>
          </w:tcPr>
          <w:p>
            <w:pPr>
              <w:spacing w:after="0"/>
              <w:rPr>
                <w:sz w:val="24"/>
                <w:szCs w:val="24"/>
                <w:color w:val="auto"/>
              </w:rPr>
            </w:pPr>
          </w:p>
        </w:tc>
        <w:tc>
          <w:tcPr>
            <w:tcW w:w="4920" w:type="dxa"/>
            <w:vAlign w:val="bottom"/>
          </w:tcPr>
          <w:p>
            <w:pPr>
              <w:jc w:val="right"/>
              <w:ind w:right="3753"/>
              <w:spacing w:after="0"/>
              <w:rPr>
                <w:sz w:val="20"/>
                <w:szCs w:val="20"/>
                <w:color w:val="auto"/>
              </w:rPr>
            </w:pPr>
            <w:r>
              <w:rPr>
                <w:rFonts w:ascii="Arial" w:cs="Arial" w:eastAsia="Arial" w:hAnsi="Arial"/>
                <w:sz w:val="13"/>
                <w:szCs w:val="13"/>
                <w:color w:val="auto"/>
              </w:rPr>
              <w:t>58</w:t>
            </w:r>
          </w:p>
        </w:tc>
      </w:tr>
    </w:tbl>
    <w:p>
      <w:pPr>
        <w:sectPr>
          <w:pgSz w:w="11900" w:h="16838" w:orient="portrait"/>
          <w:cols w:equalWidth="0" w:num="1">
            <w:col w:w="11400"/>
          </w:cols>
          <w:pgMar w:left="220" w:top="384" w:right="2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jc w:val="right"/>
              <w:ind w:right="113"/>
              <w:spacing w:after="0"/>
              <w:rPr>
                <w:sz w:val="20"/>
                <w:szCs w:val="20"/>
                <w:color w:val="auto"/>
              </w:rPr>
            </w:pPr>
            <w:r>
              <w:rPr>
                <w:rFonts w:ascii="Arial" w:cs="Arial" w:eastAsia="Arial" w:hAnsi="Arial"/>
                <w:sz w:val="13"/>
                <w:szCs w:val="13"/>
                <w:b w:val="1"/>
                <w:bCs w:val="1"/>
                <w:color w:val="auto"/>
                <w:w w:val="73"/>
              </w:rPr>
              <w:t>5.</w:t>
            </w:r>
          </w:p>
        </w:tc>
        <w:tc>
          <w:tcPr>
            <w:tcW w:w="6680" w:type="dxa"/>
            <w:vAlign w:val="bottom"/>
            <w:gridSpan w:val="3"/>
          </w:tcPr>
          <w:p>
            <w:pPr>
              <w:ind w:left="180"/>
              <w:spacing w:after="0"/>
              <w:rPr>
                <w:sz w:val="20"/>
                <w:szCs w:val="20"/>
                <w:color w:val="auto"/>
              </w:rPr>
            </w:pPr>
            <w:r>
              <w:rPr>
                <w:rFonts w:ascii="Arial" w:cs="Arial" w:eastAsia="Arial" w:hAnsi="Arial"/>
                <w:sz w:val="13"/>
                <w:szCs w:val="13"/>
                <w:b w:val="1"/>
                <w:bCs w:val="1"/>
                <w:color w:val="auto"/>
              </w:rPr>
              <w:t>Debt</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6680" w:type="dxa"/>
            <w:vAlign w:val="bottom"/>
            <w:gridSpan w:val="3"/>
          </w:tcPr>
          <w:p>
            <w:pPr>
              <w:ind w:left="180"/>
              <w:spacing w:after="0"/>
              <w:rPr>
                <w:sz w:val="20"/>
                <w:szCs w:val="20"/>
                <w:color w:val="auto"/>
              </w:rPr>
            </w:pPr>
            <w:r>
              <w:rPr>
                <w:rFonts w:ascii="Arial" w:cs="Arial" w:eastAsia="Arial" w:hAnsi="Arial"/>
                <w:sz w:val="13"/>
                <w:szCs w:val="13"/>
                <w:color w:val="auto"/>
              </w:rPr>
              <w:t>Long-term debt consisted of the following (in thousands):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Arial" w:cs="Arial" w:eastAsia="Arial" w:hAnsi="Arial"/>
                <w:sz w:val="10"/>
                <w:szCs w:val="10"/>
                <w:b w:val="1"/>
                <w:bCs w:val="1"/>
                <w:color w:val="auto"/>
              </w:rPr>
              <w:t>January 28,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w w:val="94"/>
              </w:rPr>
              <w:t>January 29,</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512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w w:val="98"/>
              </w:rPr>
              <w:t>2012</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2011</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Financial-institution debt</w:t>
            </w: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w w:val="85"/>
              </w:rPr>
              <w:t>66,750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Other borrowings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67,017</w:t>
            </w: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Less: Current maturities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25,095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0"/>
              </w:rPr>
              <w:t>66,934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3"/>
            <w:vMerge w:val="restart"/>
          </w:tcPr>
          <w:p>
            <w:pPr>
              <w:ind w:left="180"/>
              <w:spacing w:after="0"/>
              <w:rPr>
                <w:sz w:val="20"/>
                <w:szCs w:val="20"/>
                <w:color w:val="auto"/>
              </w:rPr>
            </w:pPr>
            <w:r>
              <w:rPr>
                <w:rFonts w:ascii="Arial" w:cs="Arial" w:eastAsia="Arial" w:hAnsi="Arial"/>
                <w:sz w:val="13"/>
                <w:szCs w:val="13"/>
                <w:color w:val="auto"/>
              </w:rPr>
              <w:t>Future principal payments during the next five years are as follows (in thousands and by fiscal year):</w:t>
            </w: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0" w:type="dxa"/>
            <w:vAlign w:val="bottom"/>
          </w:tcPr>
          <w:p>
            <w:pPr>
              <w:spacing w:after="0"/>
              <w:rPr>
                <w:sz w:val="17"/>
                <w:szCs w:val="17"/>
                <w:color w:val="auto"/>
              </w:rPr>
            </w:pPr>
          </w:p>
        </w:tc>
        <w:tc>
          <w:tcPr>
            <w:tcW w:w="668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560" w:type="dxa"/>
            <w:vAlign w:val="bottom"/>
            <w:gridSpan w:val="2"/>
            <w:vMerge w:val="restart"/>
          </w:tcPr>
          <w:p>
            <w:pPr>
              <w:spacing w:after="0"/>
              <w:rPr>
                <w:sz w:val="13"/>
                <w:szCs w:val="13"/>
                <w:color w:val="auto"/>
              </w:rPr>
            </w:pPr>
          </w:p>
        </w:tc>
        <w:tc>
          <w:tcPr>
            <w:tcW w:w="5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3"/>
                <w:szCs w:val="13"/>
                <w:color w:val="auto"/>
              </w:rPr>
              <w:t>2014</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3"/>
                <w:szCs w:val="13"/>
                <w:color w:val="auto"/>
              </w:rPr>
              <w:t>2016</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25,008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2017</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Arial" w:cs="Arial" w:eastAsia="Arial" w:hAnsi="Arial"/>
                <w:sz w:val="13"/>
                <w:szCs w:val="13"/>
                <w:color w:val="auto"/>
              </w:rPr>
              <w:t>Thereafter</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25,184</w:t>
            </w:r>
          </w:p>
        </w:tc>
        <w:tc>
          <w:tcPr>
            <w:tcW w:w="8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Credit Agreement</w:t>
      </w:r>
    </w:p>
    <w:p>
      <w:pPr>
        <w:spacing w:after="0" w:line="76" w:lineRule="exact"/>
        <w:rPr>
          <w:sz w:val="20"/>
          <w:szCs w:val="20"/>
          <w:color w:val="auto"/>
        </w:rPr>
      </w:pPr>
    </w:p>
    <w:p>
      <w:pPr>
        <w:ind w:left="460"/>
        <w:spacing w:after="0" w:line="300" w:lineRule="auto"/>
        <w:rPr>
          <w:sz w:val="20"/>
          <w:szCs w:val="20"/>
          <w:color w:val="auto"/>
        </w:rPr>
      </w:pPr>
      <w:r>
        <w:rPr>
          <w:rFonts w:ascii="Arial" w:cs="Arial" w:eastAsia="Arial" w:hAnsi="Arial"/>
          <w:sz w:val="12"/>
          <w:szCs w:val="12"/>
          <w:color w:val="auto"/>
        </w:rPr>
        <w:t>On October 4, 2010, Vera Bradley Designs, Inc. entered into an agreement to amend and restate its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the Company.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January 28, 2012.</w:t>
      </w:r>
    </w:p>
    <w:p>
      <w:pPr>
        <w:spacing w:after="0" w:line="21" w:lineRule="exact"/>
        <w:rPr>
          <w:sz w:val="20"/>
          <w:szCs w:val="20"/>
          <w:color w:val="auto"/>
        </w:rPr>
      </w:pPr>
    </w:p>
    <w:p>
      <w:pPr>
        <w:ind w:left="460" w:right="20"/>
        <w:spacing w:after="0" w:line="275" w:lineRule="auto"/>
        <w:rPr>
          <w:sz w:val="20"/>
          <w:szCs w:val="20"/>
          <w:color w:val="auto"/>
        </w:rPr>
      </w:pPr>
      <w:r>
        <w:rPr>
          <w:rFonts w:ascii="Arial" w:cs="Arial" w:eastAsia="Arial" w:hAnsi="Arial"/>
          <w:sz w:val="13"/>
          <w:szCs w:val="13"/>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January 28, 2012, the interest rate on the $25.0 million of outstanding borrowings under the credit agreement was 1.36%. The Company had borrowing availability of $100.0 million under the agreement as of January 28, 2012.</w:t>
      </w:r>
    </w:p>
    <w:p>
      <w:pPr>
        <w:spacing w:after="0" w:line="186" w:lineRule="exact"/>
        <w:rPr>
          <w:sz w:val="20"/>
          <w:szCs w:val="20"/>
          <w:color w:val="auto"/>
        </w:rPr>
      </w:pPr>
    </w:p>
    <w:p>
      <w:pPr>
        <w:ind w:left="460" w:hanging="458"/>
        <w:spacing w:after="0"/>
        <w:tabs>
          <w:tab w:leader="none" w:pos="46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78" w:lineRule="exact"/>
        <w:rPr>
          <w:rFonts w:ascii="Arial" w:cs="Arial" w:eastAsia="Arial" w:hAnsi="Arial"/>
          <w:sz w:val="13"/>
          <w:szCs w:val="13"/>
          <w:b w:val="1"/>
          <w:bCs w:val="1"/>
          <w:color w:val="auto"/>
        </w:rPr>
      </w:pPr>
    </w:p>
    <w:p>
      <w:pPr>
        <w:ind w:left="460" w:right="40"/>
        <w:spacing w:after="0" w:line="298" w:lineRule="auto"/>
        <w:rPr>
          <w:rFonts w:ascii="Arial" w:cs="Arial" w:eastAsia="Arial" w:hAnsi="Arial"/>
          <w:sz w:val="13"/>
          <w:szCs w:val="13"/>
          <w:b w:val="1"/>
          <w:bCs w:val="1"/>
          <w:color w:val="auto"/>
        </w:rPr>
      </w:pPr>
      <w:r>
        <w:rPr>
          <w:rFonts w:ascii="Arial" w:cs="Arial" w:eastAsia="Arial" w:hAnsi="Arial"/>
          <w:sz w:val="13"/>
          <w:szCs w:val="13"/>
          <w:color w:val="auto"/>
        </w:rPr>
        <w:t>On October 3, 2010, as part of the Reorganization described in Note 1, the Company’s “S” Corporation status automatically terminated and the Company became subject to corporate-level federal and state income taxes at prevailing corporate rates.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440"/>
          </w:cols>
          <w:pgMar w:left="220" w:top="384"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components of income tax expense were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January 28,</w:t>
            </w:r>
          </w:p>
        </w:tc>
        <w:tc>
          <w:tcPr>
            <w:tcW w:w="9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0"/>
                <w:szCs w:val="10"/>
                <w:b w:val="1"/>
                <w:bCs w:val="1"/>
                <w:color w:val="auto"/>
              </w:rPr>
              <w:t>January 29,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rPr>
              <w:t>2012</w:t>
            </w:r>
          </w:p>
        </w:tc>
        <w:tc>
          <w:tcPr>
            <w:tcW w:w="9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w w:val="98"/>
              </w:rPr>
              <w:t>2011</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tcPr>
          <w:p>
            <w:pPr>
              <w:ind w:left="300"/>
              <w:spacing w:after="0"/>
              <w:rPr>
                <w:sz w:val="20"/>
                <w:szCs w:val="20"/>
                <w:color w:val="auto"/>
              </w:rPr>
            </w:pPr>
            <w:r>
              <w:rPr>
                <w:rFonts w:ascii="Arial" w:cs="Arial" w:eastAsia="Arial" w:hAnsi="Arial"/>
                <w:sz w:val="13"/>
                <w:szCs w:val="13"/>
                <w:color w:val="auto"/>
              </w:rPr>
              <w:t>Federal</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31,437</w:t>
            </w:r>
          </w:p>
        </w:tc>
        <w:tc>
          <w:tcPr>
            <w:tcW w:w="104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8,881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tcPr>
          <w:p>
            <w:pPr>
              <w:ind w:left="30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3,990</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35,465</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10,939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Federal</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(4,497)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tcPr>
          <w:p>
            <w:pPr>
              <w:ind w:left="300"/>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State</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1,638</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(5,443)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Total income tax expense</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37,103</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60"/>
        <w:spacing w:after="0" w:line="298" w:lineRule="auto"/>
        <w:rPr>
          <w:sz w:val="20"/>
          <w:szCs w:val="20"/>
          <w:color w:val="auto"/>
        </w:rPr>
      </w:pPr>
      <w:r>
        <w:rPr>
          <w:rFonts w:ascii="Arial" w:cs="Arial" w:eastAsia="Arial" w:hAnsi="Arial"/>
          <w:sz w:val="13"/>
          <w:szCs w:val="13"/>
          <w:color w:val="auto"/>
        </w:rPr>
        <w:t>For the fiscal years ended January 30, 2010, the Company’s income tax expense of $0.9 million was comprised solely of current state taxes related to jurisdictions that did not recognize the Company’s previous “S” Corporation status.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 breakdown of the Company’s income before income taxes is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0"/>
                <w:szCs w:val="10"/>
                <w:b w:val="1"/>
                <w:bCs w:val="1"/>
                <w:color w:val="auto"/>
              </w:rPr>
              <w:t>January 28,</w:t>
            </w:r>
          </w:p>
        </w:tc>
        <w:tc>
          <w:tcPr>
            <w:tcW w:w="580" w:type="dxa"/>
            <w:vAlign w:val="bottom"/>
            <w:gridSpan w:val="3"/>
          </w:tcPr>
          <w:p>
            <w:pPr>
              <w:spacing w:after="0"/>
              <w:rPr>
                <w:sz w:val="20"/>
                <w:szCs w:val="20"/>
                <w:color w:val="auto"/>
              </w:rPr>
            </w:pPr>
            <w:r>
              <w:rPr>
                <w:rFonts w:ascii="Arial" w:cs="Arial" w:eastAsia="Arial" w:hAnsi="Arial"/>
                <w:sz w:val="10"/>
                <w:szCs w:val="10"/>
                <w:b w:val="1"/>
                <w:bCs w:val="1"/>
                <w:color w:val="auto"/>
              </w:rPr>
              <w:t>January 29,</w:t>
            </w:r>
          </w:p>
        </w:tc>
      </w:tr>
      <w:tr>
        <w:trPr>
          <w:trHeight w:val="124"/>
        </w:trPr>
        <w:tc>
          <w:tcPr>
            <w:tcW w:w="20" w:type="dxa"/>
            <w:vAlign w:val="bottom"/>
          </w:tcPr>
          <w:p>
            <w:pPr>
              <w:spacing w:after="0"/>
              <w:rPr>
                <w:sz w:val="10"/>
                <w:szCs w:val="10"/>
                <w:color w:val="auto"/>
              </w:rPr>
            </w:pPr>
          </w:p>
        </w:tc>
        <w:tc>
          <w:tcPr>
            <w:tcW w:w="4240" w:type="dxa"/>
            <w:vAlign w:val="bottom"/>
            <w:tcBorders>
              <w:bottom w:val="single" w:sz="8" w:color="CCEEFF"/>
            </w:tcBorders>
          </w:tcPr>
          <w:p>
            <w:pPr>
              <w:spacing w:after="0"/>
              <w:rPr>
                <w:sz w:val="10"/>
                <w:szCs w:val="10"/>
                <w:color w:val="auto"/>
              </w:rPr>
            </w:pPr>
          </w:p>
        </w:tc>
        <w:tc>
          <w:tcPr>
            <w:tcW w:w="24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2012</w:t>
            </w: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2011</w:t>
            </w:r>
          </w:p>
        </w:tc>
        <w:tc>
          <w:tcPr>
            <w:tcW w:w="60" w:type="dxa"/>
            <w:vAlign w:val="bottom"/>
            <w:tcBorders>
              <w:bottom w:val="single" w:sz="8" w:color="CCEEFF"/>
            </w:tcBorders>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2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96,370</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51,578</w:t>
            </w:r>
          </w:p>
        </w:tc>
        <w:tc>
          <w:tcPr>
            <w:tcW w:w="6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Foreign</w:t>
            </w: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3"/>
                <w:szCs w:val="13"/>
                <w:color w:val="auto"/>
              </w:rPr>
              <w:t>(1,346)</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116</w:t>
            </w:r>
          </w:p>
        </w:tc>
        <w:tc>
          <w:tcPr>
            <w:tcW w:w="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Total income before income taxes</w:t>
            </w:r>
          </w:p>
        </w:tc>
        <w:tc>
          <w:tcPr>
            <w:tcW w:w="246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95,024</w:t>
            </w:r>
          </w:p>
        </w:tc>
        <w:tc>
          <w:tcPr>
            <w:tcW w:w="86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51,694</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 reconciliation of income tax expense to the amount computed at the federal statutory rate is as follows for the fiscal year ended January 29, 2011 (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January 28,</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January 29,</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540" w:type="dxa"/>
            <w:vAlign w:val="bottom"/>
            <w:tcBorders>
              <w:bottom w:val="single" w:sz="8" w:color="CCEEFF"/>
            </w:tcBorders>
          </w:tcPr>
          <w:p>
            <w:pPr>
              <w:spacing w:after="0"/>
              <w:rPr>
                <w:sz w:val="10"/>
                <w:szCs w:val="10"/>
                <w:color w:val="auto"/>
              </w:rPr>
            </w:pPr>
          </w:p>
        </w:tc>
        <w:tc>
          <w:tcPr>
            <w:tcW w:w="310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2012</w:t>
            </w: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2011</w:t>
            </w: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3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$33,258</w:t>
            </w:r>
          </w:p>
        </w:tc>
        <w:tc>
          <w:tcPr>
            <w:tcW w:w="3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7"/>
              </w:rPr>
              <w:t>35.0%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18,093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64"/>
        </w:trPr>
        <w:tc>
          <w:tcPr>
            <w:tcW w:w="4540" w:type="dxa"/>
            <w:vAlign w:val="bottom"/>
          </w:tcPr>
          <w:p>
            <w:pPr>
              <w:spacing w:after="0"/>
              <w:rPr>
                <w:sz w:val="20"/>
                <w:szCs w:val="20"/>
                <w:color w:val="auto"/>
              </w:rPr>
            </w:pPr>
            <w:r>
              <w:rPr>
                <w:rFonts w:ascii="Arial" w:cs="Arial" w:eastAsia="Arial" w:hAnsi="Arial"/>
                <w:sz w:val="13"/>
                <w:szCs w:val="13"/>
                <w:color w:val="auto"/>
              </w:rPr>
              <w:t>State and local income taxes, net of federal benefit</w:t>
            </w:r>
          </w:p>
        </w:tc>
        <w:tc>
          <w:tcPr>
            <w:tcW w:w="3540" w:type="dxa"/>
            <w:vAlign w:val="bottom"/>
            <w:gridSpan w:val="2"/>
          </w:tcPr>
          <w:p>
            <w:pPr>
              <w:jc w:val="right"/>
              <w:spacing w:after="0"/>
              <w:rPr>
                <w:sz w:val="20"/>
                <w:szCs w:val="20"/>
                <w:color w:val="auto"/>
              </w:rPr>
            </w:pPr>
            <w:r>
              <w:rPr>
                <w:rFonts w:ascii="Arial" w:cs="Arial" w:eastAsia="Arial" w:hAnsi="Arial"/>
                <w:sz w:val="13"/>
                <w:szCs w:val="13"/>
                <w:color w:val="auto"/>
              </w:rPr>
              <w:t>2,624</w:t>
            </w:r>
          </w:p>
        </w:tc>
        <w:tc>
          <w:tcPr>
            <w:tcW w:w="3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1,243</w:t>
            </w:r>
          </w:p>
        </w:tc>
        <w:tc>
          <w:tcPr>
            <w:tcW w:w="320" w:type="dxa"/>
            <w:vAlign w:val="bottom"/>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Impact of change in tax status</w:t>
            </w:r>
          </w:p>
        </w:tc>
        <w:tc>
          <w:tcPr>
            <w:tcW w:w="3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(1,760)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4"/>
        </w:trPr>
        <w:tc>
          <w:tcPr>
            <w:tcW w:w="4540" w:type="dxa"/>
            <w:vAlign w:val="bottom"/>
          </w:tcPr>
          <w:p>
            <w:pPr>
              <w:spacing w:after="0"/>
              <w:rPr>
                <w:sz w:val="20"/>
                <w:szCs w:val="20"/>
                <w:color w:val="auto"/>
              </w:rPr>
            </w:pPr>
            <w:r>
              <w:rPr>
                <w:rFonts w:ascii="Arial" w:cs="Arial" w:eastAsia="Arial" w:hAnsi="Arial"/>
                <w:sz w:val="13"/>
                <w:szCs w:val="13"/>
                <w:color w:val="auto"/>
              </w:rPr>
              <w:t>Tax effect of earnings not subject to federal inc. tax due to S-Corp status</w:t>
            </w:r>
          </w:p>
        </w:tc>
        <w:tc>
          <w:tcPr>
            <w:tcW w:w="310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w w:val="90"/>
              </w:rPr>
              <w:t>(13,464)</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6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Nondeductible stock-based compensation</w:t>
            </w:r>
          </w:p>
        </w:tc>
        <w:tc>
          <w:tcPr>
            <w:tcW w:w="3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1,198</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40" w:type="dxa"/>
            <w:vAlign w:val="bottom"/>
          </w:tcPr>
          <w:p>
            <w:pPr>
              <w:spacing w:after="0"/>
              <w:rPr>
                <w:sz w:val="20"/>
                <w:szCs w:val="20"/>
                <w:color w:val="auto"/>
              </w:rPr>
            </w:pPr>
            <w:r>
              <w:rPr>
                <w:rFonts w:ascii="Arial" w:cs="Arial" w:eastAsia="Arial" w:hAnsi="Arial"/>
                <w:sz w:val="13"/>
                <w:szCs w:val="13"/>
                <w:color w:val="auto"/>
              </w:rPr>
              <w:t>Impact of foreign operations</w:t>
            </w:r>
          </w:p>
        </w:tc>
        <w:tc>
          <w:tcPr>
            <w:tcW w:w="3920" w:type="dxa"/>
            <w:vAlign w:val="bottom"/>
            <w:gridSpan w:val="3"/>
          </w:tcPr>
          <w:p>
            <w:pPr>
              <w:jc w:val="right"/>
              <w:ind w:right="340"/>
              <w:spacing w:after="0"/>
              <w:rPr>
                <w:sz w:val="20"/>
                <w:szCs w:val="20"/>
                <w:color w:val="auto"/>
              </w:rPr>
            </w:pPr>
            <w:r>
              <w:rPr>
                <w:rFonts w:ascii="Arial" w:cs="Arial" w:eastAsia="Arial" w:hAnsi="Arial"/>
                <w:sz w:val="13"/>
                <w:szCs w:val="13"/>
                <w:color w:val="auto"/>
              </w:rPr>
              <w:t>(75)</w:t>
            </w: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Foreign valuation allowance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4540" w:type="dxa"/>
            <w:vAlign w:val="bottom"/>
          </w:tcPr>
          <w:p>
            <w:pPr>
              <w:spacing w:after="0"/>
              <w:rPr>
                <w:sz w:val="20"/>
                <w:szCs w:val="20"/>
                <w:color w:val="auto"/>
              </w:rPr>
            </w:pPr>
            <w:r>
              <w:rPr>
                <w:rFonts w:ascii="Arial" w:cs="Arial" w:eastAsia="Arial" w:hAnsi="Arial"/>
                <w:sz w:val="13"/>
                <w:szCs w:val="13"/>
                <w:color w:val="auto"/>
              </w:rPr>
              <w:t>Valuation allowance on capital loss</w:t>
            </w:r>
          </w:p>
        </w:tc>
        <w:tc>
          <w:tcPr>
            <w:tcW w:w="3540" w:type="dxa"/>
            <w:vAlign w:val="bottom"/>
            <w:gridSpan w:val="2"/>
          </w:tcPr>
          <w:p>
            <w:pPr>
              <w:jc w:val="right"/>
              <w:spacing w:after="0"/>
              <w:rPr>
                <w:sz w:val="20"/>
                <w:szCs w:val="20"/>
                <w:color w:val="auto"/>
              </w:rPr>
            </w:pPr>
            <w:r>
              <w:rPr>
                <w:rFonts w:ascii="Arial" w:cs="Arial" w:eastAsia="Arial" w:hAnsi="Arial"/>
                <w:sz w:val="13"/>
                <w:szCs w:val="13"/>
                <w:color w:val="auto"/>
              </w:rPr>
              <w:t>194</w:t>
            </w:r>
          </w:p>
        </w:tc>
        <w:tc>
          <w:tcPr>
            <w:tcW w:w="3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186</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3"/>
                <w:szCs w:val="13"/>
                <w:color w:val="auto"/>
              </w:rPr>
              <w:t>Total income tax expense</w:t>
            </w:r>
          </w:p>
        </w:tc>
        <w:tc>
          <w:tcPr>
            <w:tcW w:w="3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540" w:type="dxa"/>
            <w:vAlign w:val="bottom"/>
            <w:vMerge w:val="continue"/>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37,103</w:t>
            </w:r>
          </w:p>
        </w:tc>
        <w:tc>
          <w:tcPr>
            <w:tcW w:w="3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w w:val="97"/>
              </w:rPr>
              <w:t>39.0%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5,496</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00" w:type="dxa"/>
            <w:vAlign w:val="bottom"/>
            <w:vMerge w:val="restart"/>
          </w:tcPr>
          <w:p>
            <w:pPr>
              <w:jc w:val="right"/>
              <w:ind w:right="2233"/>
              <w:spacing w:after="0"/>
              <w:rPr>
                <w:sz w:val="20"/>
                <w:szCs w:val="20"/>
                <w:color w:val="auto"/>
              </w:rPr>
            </w:pPr>
            <w:r>
              <w:rPr>
                <w:rFonts w:ascii="Arial" w:cs="Arial" w:eastAsia="Arial" w:hAnsi="Arial"/>
                <w:sz w:val="13"/>
                <w:szCs w:val="13"/>
                <w:color w:val="auto"/>
              </w:rPr>
              <w:t>60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540" w:type="dxa"/>
            <w:vAlign w:val="bottom"/>
          </w:tcPr>
          <w:p>
            <w:pPr>
              <w:spacing w:after="0"/>
              <w:rPr>
                <w:sz w:val="22"/>
                <w:szCs w:val="22"/>
                <w:color w:val="auto"/>
              </w:rPr>
            </w:pPr>
          </w:p>
        </w:tc>
        <w:tc>
          <w:tcPr>
            <w:tcW w:w="310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20" w:top="384" w:right="5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right="180"/>
        <w:spacing w:after="0" w:line="281" w:lineRule="auto"/>
        <w:rPr>
          <w:sz w:val="20"/>
          <w:szCs w:val="20"/>
          <w:color w:val="auto"/>
        </w:rPr>
      </w:pPr>
      <w:r>
        <w:rPr>
          <w:rFonts w:ascii="Arial" w:cs="Arial" w:eastAsia="Arial" w:hAnsi="Arial"/>
          <w:sz w:val="13"/>
          <w:szCs w:val="13"/>
          <w:color w:val="auto"/>
        </w:rPr>
        <w:t>During fiscal year 2012, the Company began retail operations in Japan. During the first 12 months of operations, these retail activities incurred a loss. The Company has not recorded a tax benefit for this loss due to the uncertainty regarding the future realizability of the tax benefit of this loss. Accordingly, a valuation allowance of $0.6 million was recorded for the Japanese entity. If not used, this carryforward will expire in fiscal year 2019.</w:t>
      </w:r>
    </w:p>
    <w:p>
      <w:pPr>
        <w:spacing w:after="0" w:line="30" w:lineRule="exact"/>
        <w:rPr>
          <w:sz w:val="20"/>
          <w:szCs w:val="20"/>
          <w:color w:val="auto"/>
        </w:rPr>
      </w:pPr>
    </w:p>
    <w:p>
      <w:pPr>
        <w:ind w:left="460"/>
        <w:spacing w:after="0" w:line="270" w:lineRule="auto"/>
        <w:rPr>
          <w:sz w:val="20"/>
          <w:szCs w:val="20"/>
          <w:color w:val="auto"/>
        </w:rPr>
      </w:pPr>
      <w:r>
        <w:rPr>
          <w:rFonts w:ascii="Arial" w:cs="Arial" w:eastAsia="Arial" w:hAnsi="Arial"/>
          <w:sz w:val="13"/>
          <w:szCs w:val="13"/>
          <w:color w:val="auto"/>
        </w:rPr>
        <w:t>Prior to October 3, 2010, Vera Bradley Designs, Inc. was taxed as an “S” Corporation for federal income tax purposed under Section 1362 of the Internal Revenue Code, and therefore was not subject to federal and state income taxes (subject to exception in a limited number of state and local jurisdictions that do not recognize the “S” Corporation status). As a result of the conversation to a “C” Corporation, the Company recorded a net deferred tax asset and one-time deferred tax benefit of $1.8 million. This benefit of $1.8 million reflects the company’s original estimate of the one-time benefit as well as changes to that estimate resulting from intervening enactments of depreciation-related tax legislation and the Company’s completion of its final “S” Corporation tax return. In addition, during the portion of the year in which it operated as a “C” Corporation, the company recognized stock-based compensation expense associated with restricted-stock awards, a portion of which was permanently non-deductible, the tax impact of which was $1.2 million.</w:t>
      </w:r>
    </w:p>
    <w:p>
      <w:pPr>
        <w:spacing w:after="0" w:line="39" w:lineRule="exact"/>
        <w:rPr>
          <w:sz w:val="20"/>
          <w:szCs w:val="20"/>
          <w:color w:val="auto"/>
        </w:rPr>
      </w:pPr>
    </w:p>
    <w:p>
      <w:pPr>
        <w:ind w:left="460" w:right="340"/>
        <w:spacing w:after="0" w:line="298" w:lineRule="auto"/>
        <w:rPr>
          <w:sz w:val="20"/>
          <w:szCs w:val="20"/>
          <w:color w:val="auto"/>
        </w:rPr>
      </w:pPr>
      <w:r>
        <w:rPr>
          <w:rFonts w:ascii="Arial" w:cs="Arial" w:eastAsia="Arial" w:hAnsi="Arial"/>
          <w:sz w:val="13"/>
          <w:szCs w:val="13"/>
          <w:color w:val="auto"/>
        </w:rPr>
        <w:t>Deferred income taxes reflect the net tax effects of temporary differences between the GAAP and tax bases of assets and liabilities. Significant components of deferred tax assets and liabilities were as follows (in thousands):</w:t>
      </w:r>
    </w:p>
    <w:p>
      <w:pPr>
        <w:spacing w:after="0" w:line="106"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5260" w:type="dxa"/>
            <w:vAlign w:val="bottom"/>
            <w:gridSpan w:val="4"/>
          </w:tcPr>
          <w:p>
            <w:pPr>
              <w:ind w:left="4300"/>
              <w:spacing w:after="0"/>
              <w:rPr>
                <w:sz w:val="20"/>
                <w:szCs w:val="20"/>
                <w:color w:val="auto"/>
              </w:rPr>
            </w:pPr>
            <w:r>
              <w:rPr>
                <w:rFonts w:ascii="Arial" w:cs="Arial" w:eastAsia="Arial" w:hAnsi="Arial"/>
                <w:sz w:val="10"/>
                <w:szCs w:val="10"/>
                <w:b w:val="1"/>
                <w:bCs w:val="1"/>
                <w:color w:val="auto"/>
              </w:rPr>
              <w:t>January 28,</w:t>
            </w:r>
          </w:p>
        </w:tc>
        <w:tc>
          <w:tcPr>
            <w:tcW w:w="1000" w:type="dxa"/>
            <w:vAlign w:val="bottom"/>
            <w:gridSpan w:val="4"/>
          </w:tcPr>
          <w:p>
            <w:pPr>
              <w:ind w:left="380"/>
              <w:spacing w:after="0"/>
              <w:rPr>
                <w:sz w:val="20"/>
                <w:szCs w:val="20"/>
                <w:color w:val="auto"/>
              </w:rPr>
            </w:pPr>
            <w:r>
              <w:rPr>
                <w:rFonts w:ascii="Arial" w:cs="Arial" w:eastAsia="Arial" w:hAnsi="Arial"/>
                <w:sz w:val="10"/>
                <w:szCs w:val="10"/>
                <w:b w:val="1"/>
                <w:bCs w:val="1"/>
                <w:color w:val="auto"/>
              </w:rPr>
              <w:t>January 29,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60" w:type="dxa"/>
            <w:vAlign w:val="bottom"/>
            <w:tcBorders>
              <w:bottom w:val="single" w:sz="8" w:color="CCEEFF"/>
            </w:tcBorders>
          </w:tcPr>
          <w:p>
            <w:pPr>
              <w:spacing w:after="0"/>
              <w:rPr>
                <w:sz w:val="10"/>
                <w:szCs w:val="10"/>
                <w:color w:val="auto"/>
              </w:rPr>
            </w:pPr>
          </w:p>
        </w:tc>
        <w:tc>
          <w:tcPr>
            <w:tcW w:w="43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b w:val="1"/>
                <w:bCs w:val="1"/>
                <w:color w:val="auto"/>
              </w:rPr>
              <w:t>2012</w:t>
            </w:r>
          </w:p>
        </w:tc>
        <w:tc>
          <w:tcPr>
            <w:tcW w:w="44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b w:val="1"/>
                <w:bCs w:val="1"/>
                <w:color w:val="auto"/>
                <w:w w:val="98"/>
              </w:rPr>
              <w:t>2011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Deferred tax assets:</w:t>
            </w:r>
          </w:p>
        </w:tc>
        <w:tc>
          <w:tcPr>
            <w:tcW w:w="4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320"/>
              <w:spacing w:after="0"/>
              <w:rPr>
                <w:sz w:val="20"/>
                <w:szCs w:val="20"/>
                <w:color w:val="auto"/>
              </w:rPr>
            </w:pPr>
            <w:r>
              <w:rPr>
                <w:rFonts w:ascii="Arial" w:cs="Arial" w:eastAsia="Arial" w:hAnsi="Arial"/>
                <w:sz w:val="13"/>
                <w:szCs w:val="13"/>
                <w:color w:val="auto"/>
              </w:rPr>
              <w:t>Compensation and benefits</w:t>
            </w:r>
          </w:p>
        </w:tc>
        <w:tc>
          <w:tcPr>
            <w:tcW w:w="4400" w:type="dxa"/>
            <w:vAlign w:val="bottom"/>
            <w:gridSpan w:val="2"/>
          </w:tcPr>
          <w:p>
            <w:pPr>
              <w:ind w:left="430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3,572</w:t>
            </w:r>
          </w:p>
        </w:tc>
        <w:tc>
          <w:tcPr>
            <w:tcW w:w="440" w:type="dxa"/>
            <w:vAlign w:val="bottom"/>
          </w:tcPr>
          <w:p>
            <w:pPr>
              <w:spacing w:after="0"/>
              <w:rPr>
                <w:sz w:val="14"/>
                <w:szCs w:val="14"/>
                <w:color w:val="auto"/>
              </w:rPr>
            </w:pPr>
          </w:p>
        </w:tc>
        <w:tc>
          <w:tcPr>
            <w:tcW w:w="5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Inventories</w:t>
            </w:r>
          </w:p>
        </w:tc>
        <w:tc>
          <w:tcPr>
            <w:tcW w:w="4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4,255</w:t>
            </w: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320"/>
              <w:spacing w:after="0"/>
              <w:rPr>
                <w:sz w:val="20"/>
                <w:szCs w:val="20"/>
                <w:color w:val="auto"/>
              </w:rPr>
            </w:pPr>
            <w:r>
              <w:rPr>
                <w:rFonts w:ascii="Arial" w:cs="Arial" w:eastAsia="Arial" w:hAnsi="Arial"/>
                <w:sz w:val="13"/>
                <w:szCs w:val="13"/>
                <w:color w:val="auto"/>
              </w:rPr>
              <w:t>Deferred credits from landlords</w:t>
            </w: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2,406</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Foreign operating loss</w:t>
            </w:r>
          </w:p>
        </w:tc>
        <w:tc>
          <w:tcPr>
            <w:tcW w:w="4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tcPr>
          <w:p>
            <w:pPr>
              <w:ind w:left="320"/>
              <w:spacing w:after="0"/>
              <w:rPr>
                <w:sz w:val="20"/>
                <w:szCs w:val="20"/>
                <w:color w:val="auto"/>
              </w:rPr>
            </w:pPr>
            <w:r>
              <w:rPr>
                <w:rFonts w:ascii="Arial" w:cs="Arial" w:eastAsia="Arial" w:hAnsi="Arial"/>
                <w:sz w:val="13"/>
                <w:szCs w:val="13"/>
                <w:color w:val="auto"/>
              </w:rPr>
              <w:t>Other</w:t>
            </w: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Subtotal deferred tax assets</w:t>
            </w:r>
          </w:p>
        </w:tc>
        <w:tc>
          <w:tcPr>
            <w:tcW w:w="4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12,428</w:t>
            </w: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10,552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tcPr>
          <w:p>
            <w:pPr>
              <w:ind w:left="320"/>
              <w:spacing w:after="0"/>
              <w:rPr>
                <w:sz w:val="20"/>
                <w:szCs w:val="20"/>
                <w:color w:val="auto"/>
              </w:rPr>
            </w:pPr>
            <w:r>
              <w:rPr>
                <w:rFonts w:ascii="Arial" w:cs="Arial" w:eastAsia="Arial" w:hAnsi="Arial"/>
                <w:sz w:val="13"/>
                <w:szCs w:val="13"/>
                <w:color w:val="auto"/>
              </w:rPr>
              <w:t>Less: valuation allowances</w:t>
            </w: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(794)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Total deferred tax assets</w:t>
            </w:r>
          </w:p>
        </w:tc>
        <w:tc>
          <w:tcPr>
            <w:tcW w:w="4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11,634</w:t>
            </w: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10,552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80" w:type="dxa"/>
            <w:vAlign w:val="bottom"/>
            <w:gridSpan w:val="2"/>
          </w:tcPr>
          <w:p>
            <w:pPr>
              <w:spacing w:after="0"/>
              <w:rPr>
                <w:sz w:val="20"/>
                <w:szCs w:val="20"/>
                <w:color w:val="auto"/>
              </w:rPr>
            </w:pPr>
            <w:r>
              <w:rPr>
                <w:rFonts w:ascii="Arial" w:cs="Arial" w:eastAsia="Arial" w:hAnsi="Arial"/>
                <w:sz w:val="13"/>
                <w:szCs w:val="13"/>
                <w:color w:val="auto"/>
              </w:rPr>
              <w:t>Deferred tax liabilities:</w:t>
            </w:r>
          </w:p>
        </w:tc>
        <w:tc>
          <w:tcPr>
            <w:tcW w:w="4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Property, plant, and equipment</w:t>
            </w:r>
          </w:p>
        </w:tc>
        <w:tc>
          <w:tcPr>
            <w:tcW w:w="4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(6,943)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(4,263)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320"/>
              <w:spacing w:after="0"/>
              <w:rPr>
                <w:sz w:val="20"/>
                <w:szCs w:val="20"/>
                <w:color w:val="auto"/>
              </w:rPr>
            </w:pPr>
            <w:r>
              <w:rPr>
                <w:rFonts w:ascii="Arial" w:cs="Arial" w:eastAsia="Arial" w:hAnsi="Arial"/>
                <w:sz w:val="13"/>
                <w:szCs w:val="13"/>
                <w:color w:val="auto"/>
              </w:rPr>
              <w:t>Other</w:t>
            </w: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(886)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Total deferred tax liabilities</w:t>
            </w:r>
          </w:p>
        </w:tc>
        <w:tc>
          <w:tcPr>
            <w:tcW w:w="4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(7,829)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(5,109)</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3"/>
                <w:szCs w:val="13"/>
                <w:color w:val="auto"/>
              </w:rPr>
              <w:t>Net deferred tax assets</w:t>
            </w: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4400" w:type="dxa"/>
            <w:vAlign w:val="bottom"/>
            <w:gridSpan w:val="2"/>
          </w:tcPr>
          <w:p>
            <w:pPr>
              <w:ind w:left="430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3,805</w:t>
            </w:r>
          </w:p>
        </w:tc>
        <w:tc>
          <w:tcPr>
            <w:tcW w:w="440" w:type="dxa"/>
            <w:vAlign w:val="bottom"/>
          </w:tcPr>
          <w:p>
            <w:pPr>
              <w:spacing w:after="0"/>
              <w:rPr>
                <w:sz w:val="14"/>
                <w:szCs w:val="14"/>
                <w:color w:val="auto"/>
              </w:rPr>
            </w:pPr>
          </w:p>
        </w:tc>
        <w:tc>
          <w:tcPr>
            <w:tcW w:w="5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5,443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300" w:type="dxa"/>
            <w:vAlign w:val="bottom"/>
            <w:vMerge w:val="restart"/>
          </w:tcPr>
          <w:p>
            <w:pPr>
              <w:jc w:val="right"/>
              <w:ind w:right="2737"/>
              <w:spacing w:after="0"/>
              <w:rPr>
                <w:sz w:val="20"/>
                <w:szCs w:val="20"/>
                <w:color w:val="auto"/>
              </w:rPr>
            </w:pPr>
            <w:r>
              <w:rPr>
                <w:rFonts w:ascii="Arial" w:cs="Arial" w:eastAsia="Arial" w:hAnsi="Arial"/>
                <w:sz w:val="13"/>
                <w:szCs w:val="13"/>
                <w:color w:val="auto"/>
              </w:rPr>
              <w:t>61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3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84" w:right="2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Uncertain Tax Positions</w:t>
      </w:r>
    </w:p>
    <w:p>
      <w:pPr>
        <w:spacing w:after="0" w:line="76" w:lineRule="exact"/>
        <w:rPr>
          <w:sz w:val="20"/>
          <w:szCs w:val="20"/>
          <w:color w:val="auto"/>
        </w:rPr>
      </w:pPr>
    </w:p>
    <w:p>
      <w:pPr>
        <w:ind w:left="460"/>
        <w:spacing w:after="0" w:line="298" w:lineRule="auto"/>
        <w:rPr>
          <w:sz w:val="20"/>
          <w:szCs w:val="20"/>
          <w:color w:val="auto"/>
        </w:rPr>
      </w:pPr>
      <w:r>
        <w:rPr>
          <w:rFonts w:ascii="Arial" w:cs="Arial" w:eastAsia="Arial" w:hAnsi="Arial"/>
          <w:sz w:val="13"/>
          <w:szCs w:val="13"/>
          <w:color w:val="auto"/>
        </w:rPr>
        <w:t>A reconciliation of the beginning and ending gross amount of unrecognized tax benefits (excluding interest and penalties) for the fiscal years ended January 28, 2012, and January 29, 2011, is as follows (in thousands):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8560" w:type="dxa"/>
            <w:vAlign w:val="bottom"/>
          </w:tcPr>
          <w:p>
            <w:pPr>
              <w:spacing w:after="0"/>
              <w:rPr>
                <w:sz w:val="10"/>
                <w:szCs w:val="10"/>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January 28,</w:t>
            </w:r>
          </w:p>
        </w:tc>
        <w:tc>
          <w:tcPr>
            <w:tcW w:w="860" w:type="dxa"/>
            <w:vAlign w:val="bottom"/>
          </w:tcPr>
          <w:p>
            <w:pPr>
              <w:spacing w:after="0"/>
              <w:rPr>
                <w:sz w:val="10"/>
                <w:szCs w:val="10"/>
                <w:color w:val="auto"/>
              </w:rPr>
            </w:pPr>
          </w:p>
        </w:tc>
        <w:tc>
          <w:tcPr>
            <w:tcW w:w="600" w:type="dxa"/>
            <w:vAlign w:val="bottom"/>
            <w:gridSpan w:val="3"/>
          </w:tcPr>
          <w:p>
            <w:pPr>
              <w:ind w:left="20"/>
              <w:spacing w:after="0"/>
              <w:rPr>
                <w:sz w:val="20"/>
                <w:szCs w:val="20"/>
                <w:color w:val="auto"/>
              </w:rPr>
            </w:pPr>
            <w:r>
              <w:rPr>
                <w:rFonts w:ascii="Arial" w:cs="Arial" w:eastAsia="Arial" w:hAnsi="Arial"/>
                <w:sz w:val="10"/>
                <w:szCs w:val="10"/>
                <w:b w:val="1"/>
                <w:bCs w:val="1"/>
                <w:color w:val="auto"/>
              </w:rPr>
              <w:t>January 29,</w:t>
            </w:r>
          </w:p>
        </w:tc>
      </w:tr>
      <w:tr>
        <w:trPr>
          <w:trHeight w:val="124"/>
        </w:trPr>
        <w:tc>
          <w:tcPr>
            <w:tcW w:w="85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2012</w:t>
            </w:r>
          </w:p>
        </w:tc>
        <w:tc>
          <w:tcPr>
            <w:tcW w:w="8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2011</w:t>
            </w:r>
          </w:p>
        </w:tc>
        <w:tc>
          <w:tcPr>
            <w:tcW w:w="60" w:type="dxa"/>
            <w:vAlign w:val="bottom"/>
            <w:tcBorders>
              <w:bottom w:val="single" w:sz="8" w:color="CCEEFF"/>
            </w:tcBorders>
          </w:tcPr>
          <w:p>
            <w:pPr>
              <w:spacing w:after="0"/>
              <w:rPr>
                <w:sz w:val="10"/>
                <w:szCs w:val="10"/>
                <w:color w:val="auto"/>
              </w:rPr>
            </w:pPr>
          </w:p>
        </w:tc>
      </w:tr>
      <w:tr>
        <w:trPr>
          <w:trHeight w:val="155"/>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441</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r>
      <w:tr>
        <w:trPr>
          <w:trHeight w:val="164"/>
        </w:trPr>
        <w:tc>
          <w:tcPr>
            <w:tcW w:w="8560" w:type="dxa"/>
            <w:vAlign w:val="bottom"/>
          </w:tcPr>
          <w:p>
            <w:pPr>
              <w:spacing w:after="0"/>
              <w:rPr>
                <w:sz w:val="20"/>
                <w:szCs w:val="20"/>
                <w:color w:val="auto"/>
              </w:rPr>
            </w:pPr>
            <w:r>
              <w:rPr>
                <w:rFonts w:ascii="Arial" w:cs="Arial" w:eastAsia="Arial" w:hAnsi="Arial"/>
                <w:sz w:val="13"/>
                <w:szCs w:val="13"/>
                <w:color w:val="auto"/>
              </w:rPr>
              <w:t>Increases in unrecognized tax benefits as a result of current-year activity</w:t>
            </w: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3"/>
                <w:szCs w:val="13"/>
                <w:color w:val="auto"/>
                <w:w w:val="82"/>
              </w:rPr>
              <w:t>446</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3"/>
                <w:szCs w:val="13"/>
                <w:color w:val="auto"/>
                <w:w w:val="82"/>
              </w:rPr>
              <w:t>441</w:t>
            </w:r>
          </w:p>
        </w:tc>
        <w:tc>
          <w:tcPr>
            <w:tcW w:w="60" w:type="dxa"/>
            <w:vAlign w:val="bottom"/>
          </w:tcPr>
          <w:p>
            <w:pPr>
              <w:spacing w:after="0"/>
              <w:rPr>
                <w:sz w:val="14"/>
                <w:szCs w:val="14"/>
                <w:color w:val="auto"/>
              </w:rPr>
            </w:pPr>
          </w:p>
        </w:tc>
      </w:tr>
      <w:tr>
        <w:trPr>
          <w:trHeight w:val="164"/>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Increases for unrecognized tax benefits of prior years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r>
      <w:tr>
        <w:trPr>
          <w:trHeight w:val="164"/>
        </w:trPr>
        <w:tc>
          <w:tcPr>
            <w:tcW w:w="8560" w:type="dxa"/>
            <w:vAlign w:val="bottom"/>
          </w:tcPr>
          <w:p>
            <w:pPr>
              <w:spacing w:after="0"/>
              <w:rPr>
                <w:sz w:val="20"/>
                <w:szCs w:val="20"/>
                <w:color w:val="auto"/>
              </w:rPr>
            </w:pPr>
            <w:r>
              <w:rPr>
                <w:rFonts w:ascii="Arial" w:cs="Arial" w:eastAsia="Arial" w:hAnsi="Arial"/>
                <w:sz w:val="13"/>
                <w:szCs w:val="13"/>
                <w:color w:val="auto"/>
              </w:rPr>
              <w:t>Reductions for tax positions of prior years</w:t>
            </w: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3"/>
                <w:szCs w:val="13"/>
                <w:color w:val="auto"/>
              </w:rPr>
              <w:t>—</w:t>
            </w:r>
          </w:p>
        </w:tc>
      </w:tr>
      <w:tr>
        <w:trPr>
          <w:trHeight w:val="164"/>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r>
      <w:tr>
        <w:trPr>
          <w:trHeight w:val="164"/>
        </w:trPr>
        <w:tc>
          <w:tcPr>
            <w:tcW w:w="8560" w:type="dxa"/>
            <w:vAlign w:val="bottom"/>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20" w:type="dxa"/>
            <w:vAlign w:val="bottom"/>
          </w:tcPr>
          <w:p>
            <w:pPr>
              <w:ind w:left="220"/>
              <w:spacing w:after="0"/>
              <w:rPr>
                <w:sz w:val="20"/>
                <w:szCs w:val="20"/>
                <w:color w:val="auto"/>
              </w:rPr>
            </w:pPr>
            <w:r>
              <w:rPr>
                <w:rFonts w:ascii="Arial" w:cs="Arial" w:eastAsia="Arial" w:hAnsi="Arial"/>
                <w:sz w:val="13"/>
                <w:szCs w:val="13"/>
                <w:color w:val="auto"/>
                <w:w w:val="82"/>
              </w:rPr>
              <w:t>887</w:t>
            </w:r>
          </w:p>
        </w:tc>
        <w:tc>
          <w:tcPr>
            <w:tcW w:w="9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420" w:type="dxa"/>
            <w:vAlign w:val="bottom"/>
          </w:tcPr>
          <w:p>
            <w:pPr>
              <w:ind w:left="220"/>
              <w:spacing w:after="0"/>
              <w:rPr>
                <w:sz w:val="20"/>
                <w:szCs w:val="20"/>
                <w:color w:val="auto"/>
              </w:rPr>
            </w:pPr>
            <w:r>
              <w:rPr>
                <w:rFonts w:ascii="Arial" w:cs="Arial" w:eastAsia="Arial" w:hAnsi="Arial"/>
                <w:sz w:val="13"/>
                <w:szCs w:val="13"/>
                <w:color w:val="auto"/>
                <w:w w:val="82"/>
              </w:rPr>
              <w:t>441</w:t>
            </w:r>
          </w:p>
        </w:tc>
        <w:tc>
          <w:tcPr>
            <w:tcW w:w="60" w:type="dxa"/>
            <w:vAlign w:val="bottom"/>
          </w:tcPr>
          <w:p>
            <w:pPr>
              <w:spacing w:after="0"/>
              <w:rPr>
                <w:sz w:val="14"/>
                <w:szCs w:val="14"/>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4" w:lineRule="exact"/>
        <w:rPr>
          <w:sz w:val="20"/>
          <w:szCs w:val="20"/>
          <w:color w:val="auto"/>
        </w:rPr>
      </w:pPr>
    </w:p>
    <w:p>
      <w:pPr>
        <w:ind w:left="460" w:right="120"/>
        <w:spacing w:after="0" w:line="281" w:lineRule="auto"/>
        <w:rPr>
          <w:sz w:val="20"/>
          <w:szCs w:val="20"/>
          <w:color w:val="auto"/>
        </w:rPr>
      </w:pPr>
      <w:r>
        <w:rPr>
          <w:rFonts w:ascii="Arial" w:cs="Arial" w:eastAsia="Arial" w:hAnsi="Arial"/>
          <w:sz w:val="13"/>
          <w:szCs w:val="13"/>
          <w:color w:val="auto"/>
        </w:rPr>
        <w:t>As of January 28, 2012, of the $887,000 of total unrecognized tax benefits, $576,550, which is net of federal benefit, would, if recognized, favorably affect the effective tax rate in future periods. It is unlikely that any of total unrecognized tax benefits as of January 28, 2012, will change in the next twelve months. The Company recognized $22,137 of interest only, no penalties, related to unrecognized tax benefits in the fiscal year ended January 29, 2011.</w:t>
      </w:r>
    </w:p>
    <w:p>
      <w:pPr>
        <w:spacing w:after="0" w:line="30" w:lineRule="exact"/>
        <w:rPr>
          <w:sz w:val="20"/>
          <w:szCs w:val="20"/>
          <w:color w:val="auto"/>
        </w:rPr>
      </w:pPr>
    </w:p>
    <w:p>
      <w:pPr>
        <w:ind w:left="460" w:right="280"/>
        <w:spacing w:after="0" w:line="298" w:lineRule="auto"/>
        <w:rPr>
          <w:sz w:val="20"/>
          <w:szCs w:val="20"/>
          <w:color w:val="auto"/>
        </w:rPr>
      </w:pPr>
      <w:r>
        <w:rPr>
          <w:rFonts w:ascii="Arial" w:cs="Arial" w:eastAsia="Arial" w:hAnsi="Arial"/>
          <w:sz w:val="13"/>
          <w:szCs w:val="13"/>
          <w:color w:val="auto"/>
        </w:rPr>
        <w:t>The Company files income tax returns in the U.S. federal jurisdiction and in various state and foreign jurisdictions. Income tax returns for calendar year 2008 to present are open for examination in the federal jurisdiction and in significant state jurisdictions. The tax returns in foreign jurisdictions are not material.</w:t>
      </w:r>
    </w:p>
    <w:p>
      <w:pPr>
        <w:spacing w:after="0" w:line="171" w:lineRule="exact"/>
        <w:rPr>
          <w:sz w:val="20"/>
          <w:szCs w:val="20"/>
          <w:color w:val="auto"/>
        </w:rPr>
      </w:pPr>
    </w:p>
    <w:p>
      <w:pPr>
        <w:ind w:left="460" w:hanging="458"/>
        <w:spacing w:after="0"/>
        <w:tabs>
          <w:tab w:leader="none" w:pos="46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The components of comprehensive income were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January 28,</w:t>
            </w:r>
          </w:p>
        </w:tc>
        <w:tc>
          <w:tcPr>
            <w:tcW w:w="760" w:type="dxa"/>
            <w:vAlign w:val="bottom"/>
          </w:tcPr>
          <w:p>
            <w:pPr>
              <w:spacing w:after="0"/>
              <w:rPr>
                <w:sz w:val="10"/>
                <w:szCs w:val="10"/>
                <w:color w:val="auto"/>
              </w:rPr>
            </w:pPr>
          </w:p>
        </w:tc>
        <w:tc>
          <w:tcPr>
            <w:tcW w:w="940" w:type="dxa"/>
            <w:vAlign w:val="bottom"/>
            <w:gridSpan w:val="3"/>
          </w:tcPr>
          <w:p>
            <w:pPr>
              <w:ind w:left="20"/>
              <w:spacing w:after="0"/>
              <w:rPr>
                <w:sz w:val="20"/>
                <w:szCs w:val="20"/>
                <w:color w:val="auto"/>
              </w:rPr>
            </w:pPr>
            <w:r>
              <w:rPr>
                <w:rFonts w:ascii="Arial" w:cs="Arial" w:eastAsia="Arial" w:hAnsi="Arial"/>
                <w:sz w:val="10"/>
                <w:szCs w:val="10"/>
                <w:b w:val="1"/>
                <w:bCs w:val="1"/>
                <w:color w:val="auto"/>
              </w:rPr>
              <w:t>January 29,</w:t>
            </w:r>
          </w:p>
        </w:tc>
        <w:tc>
          <w:tcPr>
            <w:tcW w:w="380" w:type="dxa"/>
            <w:vAlign w:val="bottom"/>
          </w:tcPr>
          <w:p>
            <w:pPr>
              <w:spacing w:after="0"/>
              <w:rPr>
                <w:sz w:val="10"/>
                <w:szCs w:val="10"/>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0"/>
              </w:rPr>
              <w:t>January 30,</w:t>
            </w:r>
          </w:p>
        </w:tc>
      </w:tr>
      <w:tr>
        <w:trPr>
          <w:trHeight w:val="124"/>
        </w:trPr>
        <w:tc>
          <w:tcPr>
            <w:tcW w:w="20" w:type="dxa"/>
            <w:vAlign w:val="bottom"/>
          </w:tcPr>
          <w:p>
            <w:pPr>
              <w:spacing w:after="0"/>
              <w:rPr>
                <w:sz w:val="10"/>
                <w:szCs w:val="10"/>
                <w:color w:val="auto"/>
              </w:rPr>
            </w:pPr>
          </w:p>
        </w:tc>
        <w:tc>
          <w:tcPr>
            <w:tcW w:w="3640" w:type="dxa"/>
            <w:vAlign w:val="bottom"/>
            <w:tcBorders>
              <w:bottom w:val="single" w:sz="8" w:color="CCEEFF"/>
            </w:tcBorders>
          </w:tcPr>
          <w:p>
            <w:pPr>
              <w:spacing w:after="0"/>
              <w:rPr>
                <w:sz w:val="10"/>
                <w:szCs w:val="10"/>
                <w:color w:val="auto"/>
              </w:rPr>
            </w:pPr>
          </w:p>
        </w:tc>
        <w:tc>
          <w:tcPr>
            <w:tcW w:w="18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2012</w:t>
            </w:r>
          </w:p>
        </w:tc>
        <w:tc>
          <w:tcPr>
            <w:tcW w:w="7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2011</w:t>
            </w:r>
          </w:p>
        </w:tc>
        <w:tc>
          <w:tcPr>
            <w:tcW w:w="38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CCEEFF"/>
            </w:tcBorders>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57,921</w:t>
            </w: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46,198</w:t>
            </w: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85"/>
              </w:rPr>
              <w:t>43,219</w:t>
            </w:r>
          </w:p>
        </w:tc>
        <w:tc>
          <w:tcPr>
            <w:tcW w:w="8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Cumulative translation adjustment</w:t>
            </w: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58,018</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46,198</w:t>
            </w:r>
          </w:p>
        </w:tc>
        <w:tc>
          <w:tcPr>
            <w:tcW w:w="50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43,219</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460" w:hanging="458"/>
        <w:spacing w:after="0"/>
        <w:tabs>
          <w:tab w:leader="none" w:pos="46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2"/>
          <w:szCs w:val="12"/>
          <w:color w:val="auto"/>
        </w:rPr>
        <w:t>The Company is party to non-cancellable operating leases. Future minimum lease payments under the non-cancelable operating leases through expiration are as follows (in thousands and by fiscal year):</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Non-Related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10"/>
                <w:szCs w:val="10"/>
                <w:b w:val="1"/>
                <w:bCs w:val="1"/>
                <w:color w:val="auto"/>
              </w:rPr>
              <w:t>Related</w:t>
            </w: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35"/>
              <w:spacing w:after="0"/>
              <w:rPr>
                <w:sz w:val="20"/>
                <w:szCs w:val="20"/>
                <w:color w:val="auto"/>
              </w:rPr>
            </w:pPr>
            <w:r>
              <w:rPr>
                <w:rFonts w:ascii="Arial" w:cs="Arial" w:eastAsia="Arial" w:hAnsi="Arial"/>
                <w:sz w:val="10"/>
                <w:szCs w:val="10"/>
                <w:b w:val="1"/>
                <w:bCs w:val="1"/>
                <w:color w:val="auto"/>
              </w:rPr>
              <w:t>Party</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ind w:left="40"/>
              <w:spacing w:after="0"/>
              <w:rPr>
                <w:sz w:val="20"/>
                <w:szCs w:val="20"/>
                <w:color w:val="auto"/>
              </w:rPr>
            </w:pPr>
            <w:r>
              <w:rPr>
                <w:rFonts w:ascii="Arial" w:cs="Arial" w:eastAsia="Arial" w:hAnsi="Arial"/>
                <w:sz w:val="10"/>
                <w:szCs w:val="10"/>
                <w:b w:val="1"/>
                <w:bCs w:val="1"/>
                <w:color w:val="auto"/>
              </w:rPr>
              <w:t>Party</w:t>
            </w: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2013</w:t>
            </w:r>
          </w:p>
        </w:tc>
        <w:tc>
          <w:tcPr>
            <w:tcW w:w="4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14,036</w:t>
            </w:r>
          </w:p>
        </w:tc>
        <w:tc>
          <w:tcPr>
            <w:tcW w:w="6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w w:val="82"/>
              </w:rPr>
              <w:t>789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20" w:type="dxa"/>
            <w:vAlign w:val="bottom"/>
          </w:tcPr>
          <w:p>
            <w:pPr>
              <w:spacing w:after="0"/>
              <w:rPr>
                <w:sz w:val="20"/>
                <w:szCs w:val="20"/>
                <w:color w:val="auto"/>
              </w:rPr>
            </w:pPr>
            <w:r>
              <w:rPr>
                <w:rFonts w:ascii="Arial" w:cs="Arial" w:eastAsia="Arial" w:hAnsi="Arial"/>
                <w:sz w:val="13"/>
                <w:szCs w:val="13"/>
                <w:color w:val="auto"/>
              </w:rPr>
              <w:t>2014</w:t>
            </w: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13,909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64"/>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13,742</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64"/>
        </w:trPr>
        <w:tc>
          <w:tcPr>
            <w:tcW w:w="2420" w:type="dxa"/>
            <w:vAlign w:val="bottom"/>
          </w:tcPr>
          <w:p>
            <w:pPr>
              <w:spacing w:after="0"/>
              <w:rPr>
                <w:sz w:val="20"/>
                <w:szCs w:val="20"/>
                <w:color w:val="auto"/>
              </w:rPr>
            </w:pPr>
            <w:r>
              <w:rPr>
                <w:rFonts w:ascii="Arial" w:cs="Arial" w:eastAsia="Arial" w:hAnsi="Arial"/>
                <w:sz w:val="13"/>
                <w:szCs w:val="13"/>
                <w:color w:val="auto"/>
              </w:rPr>
              <w:t>2016</w:t>
            </w: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13,954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2017</w:t>
            </w: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14,063</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20"/>
                <w:szCs w:val="20"/>
                <w:color w:val="auto"/>
              </w:rPr>
            </w:pPr>
            <w:r>
              <w:rPr>
                <w:rFonts w:ascii="Arial" w:cs="Arial" w:eastAsia="Arial" w:hAnsi="Arial"/>
                <w:sz w:val="13"/>
                <w:szCs w:val="13"/>
                <w:color w:val="auto"/>
              </w:rPr>
              <w:t>Thereafter</w:t>
            </w:r>
          </w:p>
        </w:tc>
        <w:tc>
          <w:tcPr>
            <w:tcW w:w="4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47,091</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20" w:type="dxa"/>
            <w:vAlign w:val="bottom"/>
            <w:shd w:val="clear" w:color="auto" w:fill="CCEEFF"/>
          </w:tcPr>
          <w:p>
            <w:pPr>
              <w:spacing w:after="0"/>
              <w:rPr>
                <w:sz w:val="14"/>
                <w:szCs w:val="14"/>
                <w:color w:val="auto"/>
              </w:rPr>
            </w:pPr>
          </w:p>
        </w:tc>
        <w:tc>
          <w:tcPr>
            <w:tcW w:w="460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1,942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60" w:type="dxa"/>
            <w:vAlign w:val="bottom"/>
            <w:vMerge w:val="restart"/>
          </w:tcPr>
          <w:p>
            <w:pPr>
              <w:jc w:val="right"/>
              <w:ind w:right="2393"/>
              <w:spacing w:after="0"/>
              <w:rPr>
                <w:sz w:val="20"/>
                <w:szCs w:val="20"/>
                <w:color w:val="auto"/>
              </w:rPr>
            </w:pPr>
            <w:r>
              <w:rPr>
                <w:rFonts w:ascii="Arial" w:cs="Arial" w:eastAsia="Arial" w:hAnsi="Arial"/>
                <w:sz w:val="13"/>
                <w:szCs w:val="13"/>
                <w:color w:val="auto"/>
              </w:rPr>
              <w:t>62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20" w:type="dxa"/>
            <w:vAlign w:val="bottom"/>
          </w:tcPr>
          <w:p>
            <w:pPr>
              <w:spacing w:after="0"/>
              <w:rPr>
                <w:sz w:val="22"/>
                <w:szCs w:val="22"/>
                <w:color w:val="auto"/>
              </w:rPr>
            </w:pPr>
          </w:p>
        </w:tc>
        <w:tc>
          <w:tcPr>
            <w:tcW w:w="44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384" w:right="2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1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520" w:type="dxa"/>
            <w:vAlign w:val="bottom"/>
          </w:tcPr>
          <w:p>
            <w:pPr>
              <w:jc w:val="right"/>
              <w:ind w:right="3293"/>
              <w:spacing w:after="0"/>
              <w:rPr>
                <w:sz w:val="20"/>
                <w:szCs w:val="20"/>
                <w:color w:val="auto"/>
              </w:rPr>
            </w:pPr>
            <w:r>
              <w:rPr>
                <w:rFonts w:ascii="Arial" w:cs="Arial" w:eastAsia="Arial" w:hAnsi="Arial"/>
                <w:sz w:val="13"/>
                <w:szCs w:val="13"/>
                <w:b w:val="1"/>
                <w:bCs w:val="1"/>
                <w:color w:val="auto"/>
              </w:rPr>
              <w:t>Vera Bradley, Inc.</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520" w:type="dxa"/>
            <w:vAlign w:val="bottom"/>
          </w:tcPr>
          <w:p>
            <w:pPr>
              <w:jc w:val="right"/>
              <w:ind w:right="2573"/>
              <w:spacing w:after="0"/>
              <w:rPr>
                <w:sz w:val="20"/>
                <w:szCs w:val="20"/>
                <w:color w:val="auto"/>
              </w:rPr>
            </w:pPr>
            <w:r>
              <w:rPr>
                <w:rFonts w:ascii="Arial" w:cs="Arial" w:eastAsia="Arial" w:hAnsi="Arial"/>
                <w:sz w:val="13"/>
                <w:szCs w:val="13"/>
                <w:b w:val="1"/>
                <w:bCs w:val="1"/>
                <w:color w:val="auto"/>
              </w:rPr>
              <w:t>Notes to Consolidated Financial Statements</w:t>
            </w:r>
          </w:p>
        </w:tc>
        <w:tc>
          <w:tcPr>
            <w:tcW w:w="0" w:type="dxa"/>
            <w:vAlign w:val="bottom"/>
          </w:tcPr>
          <w:p>
            <w:pPr>
              <w:spacing w:after="0"/>
              <w:rPr>
                <w:sz w:val="1"/>
                <w:szCs w:val="1"/>
                <w:color w:val="auto"/>
              </w:rPr>
            </w:pPr>
          </w:p>
        </w:tc>
      </w:tr>
      <w:tr>
        <w:trPr>
          <w:trHeight w:val="277"/>
        </w:trPr>
        <w:tc>
          <w:tcPr>
            <w:tcW w:w="3640" w:type="dxa"/>
            <w:vAlign w:val="bottom"/>
            <w:gridSpan w:val="2"/>
          </w:tcPr>
          <w:p>
            <w:pPr>
              <w:spacing w:after="0"/>
              <w:rPr>
                <w:sz w:val="20"/>
                <w:szCs w:val="20"/>
                <w:color w:val="auto"/>
              </w:rPr>
            </w:pPr>
            <w:r>
              <w:rPr>
                <w:rFonts w:ascii="Arial" w:cs="Arial" w:eastAsia="Arial" w:hAnsi="Arial"/>
                <w:sz w:val="13"/>
                <w:szCs w:val="13"/>
                <w:color w:val="auto"/>
              </w:rPr>
              <w:t>Rental expense for all leases was as follows (in thousands):</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80" w:type="dxa"/>
            <w:vAlign w:val="bottom"/>
            <w:vMerge w:val="restart"/>
          </w:tcPr>
          <w:p>
            <w:pPr>
              <w:spacing w:after="0"/>
              <w:rPr>
                <w:sz w:val="13"/>
                <w:szCs w:val="13"/>
                <w:color w:val="auto"/>
              </w:rPr>
            </w:pPr>
          </w:p>
        </w:tc>
        <w:tc>
          <w:tcPr>
            <w:tcW w:w="22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2012</w:t>
            </w:r>
          </w:p>
        </w:tc>
        <w:tc>
          <w:tcPr>
            <w:tcW w:w="5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  15,358</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Fiscal year ended January 29, 2011</w:t>
            </w:r>
          </w:p>
        </w:tc>
        <w:tc>
          <w:tcPr>
            <w:tcW w:w="5520" w:type="dxa"/>
            <w:vAlign w:val="bottom"/>
          </w:tcPr>
          <w:p>
            <w:pPr>
              <w:jc w:val="right"/>
              <w:ind w:right="13"/>
              <w:spacing w:after="0"/>
              <w:rPr>
                <w:sz w:val="20"/>
                <w:szCs w:val="20"/>
                <w:color w:val="auto"/>
              </w:rPr>
            </w:pPr>
            <w:r>
              <w:rPr>
                <w:rFonts w:ascii="Arial" w:cs="Arial" w:eastAsia="Arial" w:hAnsi="Arial"/>
                <w:sz w:val="13"/>
                <w:szCs w:val="13"/>
                <w:color w:val="auto"/>
              </w:rPr>
              <w:t>10,337</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30, 2010</w:t>
            </w:r>
          </w:p>
        </w:tc>
        <w:tc>
          <w:tcPr>
            <w:tcW w:w="5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6,985</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60" w:right="240"/>
        <w:spacing w:after="0" w:line="281" w:lineRule="auto"/>
        <w:rPr>
          <w:sz w:val="20"/>
          <w:szCs w:val="20"/>
          <w:color w:val="auto"/>
        </w:rPr>
      </w:pPr>
      <w:r>
        <w:rPr>
          <w:rFonts w:ascii="Arial" w:cs="Arial" w:eastAsia="Arial" w:hAnsi="Arial"/>
          <w:sz w:val="13"/>
          <w:szCs w:val="13"/>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Percentage rent was $1.6 million and $0.7 million for fiscal years ended January 28, 2012, and January 29, 2011, respectively. Percentage rent for the fiscal year ended January 30, 2010 was insignificant.</w:t>
      </w:r>
    </w:p>
    <w:p>
      <w:pPr>
        <w:spacing w:after="0" w:line="30" w:lineRule="exact"/>
        <w:rPr>
          <w:sz w:val="20"/>
          <w:szCs w:val="20"/>
          <w:color w:val="auto"/>
        </w:rPr>
      </w:pPr>
    </w:p>
    <w:p>
      <w:pPr>
        <w:ind w:left="460" w:right="120"/>
        <w:spacing w:after="0" w:line="275" w:lineRule="auto"/>
        <w:rPr>
          <w:sz w:val="20"/>
          <w:szCs w:val="20"/>
          <w:color w:val="auto"/>
        </w:rPr>
      </w:pPr>
      <w:r>
        <w:rPr>
          <w:rFonts w:ascii="Arial" w:cs="Arial" w:eastAsia="Arial" w:hAnsi="Arial"/>
          <w:sz w:val="13"/>
          <w:szCs w:val="13"/>
          <w:color w:val="auto"/>
        </w:rPr>
        <w:t>The Company leases two of its facilities from leasing companies owned by certain shareholders and directors. In March 2011 we extended our lease with Milburn LLC. Lease expense related to this arrangement with Milburn, LLC, was $168,000 in each of the fiscal years ended January 28, 2012, January 29, 2011, and January 30, 2010, respectively. In March 2011, we entered into a lease with Great Dane Realty, LLC, a company owned by Barbara Bradley Baekgaard. Lease expense for fiscal year ended January 28, 2012, related to this arrangement with Great Dane Realty, LLC, was approximately $369,000.</w:t>
      </w:r>
    </w:p>
    <w:p>
      <w:pPr>
        <w:spacing w:after="0" w:line="186" w:lineRule="exact"/>
        <w:rPr>
          <w:sz w:val="20"/>
          <w:szCs w:val="20"/>
          <w:color w:val="auto"/>
        </w:rPr>
      </w:pPr>
    </w:p>
    <w:p>
      <w:pPr>
        <w:ind w:left="460" w:hanging="458"/>
        <w:spacing w:after="0"/>
        <w:tabs>
          <w:tab w:leader="none" w:pos="46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Shareholders’ Equity</w:t>
      </w:r>
    </w:p>
    <w:p>
      <w:pPr>
        <w:spacing w:after="0" w:line="78" w:lineRule="exact"/>
        <w:rPr>
          <w:rFonts w:ascii="Arial" w:cs="Arial" w:eastAsia="Arial" w:hAnsi="Arial"/>
          <w:sz w:val="13"/>
          <w:szCs w:val="13"/>
          <w:b w:val="1"/>
          <w:bCs w:val="1"/>
          <w:color w:val="auto"/>
        </w:rPr>
      </w:pPr>
    </w:p>
    <w:p>
      <w:pPr>
        <w:jc w:val="both"/>
        <w:ind w:left="460" w:right="2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On July 1, 2010, the Company initially filed its Registration Statement with the SEC. The Registration Statement, as amended, became effective on October 20, 2010, and the initial public offering (“IPO”) closed on October 26, 2010. As part of the IPO, the Company sold 4,000,000 shares of its common stock, raising net proceeds of approximately $56.3 million, after deducting the underwriting discount and costs incurred related to the IPO.</w:t>
      </w:r>
    </w:p>
    <w:p>
      <w:pPr>
        <w:spacing w:after="0" w:line="29" w:lineRule="exact"/>
        <w:rPr>
          <w:rFonts w:ascii="Arial" w:cs="Arial" w:eastAsia="Arial" w:hAnsi="Arial"/>
          <w:sz w:val="13"/>
          <w:szCs w:val="13"/>
          <w:b w:val="1"/>
          <w:bCs w:val="1"/>
          <w:color w:val="auto"/>
        </w:rPr>
      </w:pPr>
    </w:p>
    <w:p>
      <w:pPr>
        <w:ind w:left="460" w:right="260"/>
        <w:spacing w:after="0" w:line="304" w:lineRule="auto"/>
        <w:rPr>
          <w:rFonts w:ascii="Arial" w:cs="Arial" w:eastAsia="Arial" w:hAnsi="Arial"/>
          <w:sz w:val="13"/>
          <w:szCs w:val="13"/>
          <w:b w:val="1"/>
          <w:bCs w:val="1"/>
          <w:color w:val="auto"/>
        </w:rPr>
      </w:pPr>
      <w:r>
        <w:rPr>
          <w:rFonts w:ascii="Arial" w:cs="Arial" w:eastAsia="Arial" w:hAnsi="Arial"/>
          <w:sz w:val="12"/>
          <w:szCs w:val="12"/>
          <w:color w:val="auto"/>
        </w:rPr>
        <w:t>In conjunction with the Reorganization described in Note 1, on October 3, 2010, the Company distributed to its then-shareholders, in proportion to their share ownership, notes in an aggregate principal amount of $106.0 million, or 100% of the Company’s undistributed taxable income from the date of formation through October 2, 2010, the day prior to the date on which Vera Bradley Designs, Inc. terminated its “S” Corporation status. The Company recorded this distribution through an adjustment to retained earnings. On October 29, 2010, using the net proceeds from the IPO together with borrowings under the amended and restated credit agreement, the Company paid in full the principal amount of, and the interest due on, the notes.</w:t>
      </w:r>
    </w:p>
    <w:p>
      <w:pPr>
        <w:spacing w:after="0" w:line="19" w:lineRule="exact"/>
        <w:rPr>
          <w:rFonts w:ascii="Arial" w:cs="Arial" w:eastAsia="Arial" w:hAnsi="Arial"/>
          <w:sz w:val="13"/>
          <w:szCs w:val="13"/>
          <w:b w:val="1"/>
          <w:bCs w:val="1"/>
          <w:color w:val="auto"/>
        </w:rPr>
      </w:pPr>
    </w:p>
    <w:p>
      <w:pPr>
        <w:ind w:left="460" w:right="18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Also in conjunction with the Reorganization, on October 18, 2010, the Company recapitalized all of its Class A Voting Common Stock and Class B Non-Voting Common Stock into a single class of common stock and effectuated a 35.437-for-1 stock split of all outstanding shares of its common stock. The Company’s articles of incorporation, as amended on October 18, 2010, authorize 200,000,000 shares of common stock and 5,000,000 shares of preferred stock. No preferred stock was issued or outstanding as of January 28, 2012, or January 29, 2011.</w:t>
      </w:r>
    </w:p>
    <w:p>
      <w:pPr>
        <w:spacing w:after="0" w:line="181" w:lineRule="exact"/>
        <w:rPr>
          <w:rFonts w:ascii="Arial" w:cs="Arial" w:eastAsia="Arial" w:hAnsi="Arial"/>
          <w:sz w:val="13"/>
          <w:szCs w:val="13"/>
          <w:b w:val="1"/>
          <w:bCs w:val="1"/>
          <w:color w:val="auto"/>
        </w:rPr>
      </w:pPr>
    </w:p>
    <w:p>
      <w:pPr>
        <w:ind w:left="460" w:hanging="458"/>
        <w:spacing w:after="0"/>
        <w:tabs>
          <w:tab w:leader="none" w:pos="46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78" w:lineRule="exact"/>
        <w:rPr>
          <w:rFonts w:ascii="Arial" w:cs="Arial" w:eastAsia="Arial" w:hAnsi="Arial"/>
          <w:sz w:val="13"/>
          <w:szCs w:val="13"/>
          <w:b w:val="1"/>
          <w:bCs w:val="1"/>
          <w:color w:val="auto"/>
        </w:rPr>
      </w:pPr>
    </w:p>
    <w:p>
      <w:pPr>
        <w:ind w:left="46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The Company’s stock-based compensation consists of awards of restricted stock and restricted stock units. The Company recognized stock-based compensation expense of $1.6 million, in the fiscal year ended January 28, 2012. The Company recognized stock-based compensation expense of $15.9 million, and a related tax benefit of $3.1 million, in the fiscal year ended January 29, 2011. The Company did not recognize any stock-based compensation expense in fiscal year ended January 30, 2010.</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440"/>
          </w:cols>
          <w:pgMar w:left="220" w:top="38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Awards of Restricted-Stock Units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reserved 6,076,001 shares of common stock for issuance or transfer under the 2010 Equity and Incentive Plan, which allows for grants of restricted stock units as well as other equity awards.</w:t>
      </w:r>
    </w:p>
    <w:p>
      <w:pPr>
        <w:spacing w:after="0" w:line="88" w:lineRule="exact"/>
        <w:rPr>
          <w:sz w:val="20"/>
          <w:szCs w:val="20"/>
          <w:color w:val="auto"/>
        </w:rPr>
      </w:pPr>
    </w:p>
    <w:p>
      <w:pPr>
        <w:ind w:left="460"/>
        <w:spacing w:after="0" w:line="275" w:lineRule="auto"/>
        <w:rPr>
          <w:sz w:val="20"/>
          <w:szCs w:val="20"/>
          <w:color w:val="auto"/>
        </w:rPr>
      </w:pPr>
      <w:r>
        <w:rPr>
          <w:rFonts w:ascii="Arial" w:cs="Arial" w:eastAsia="Arial" w:hAnsi="Arial"/>
          <w:sz w:val="13"/>
          <w:szCs w:val="13"/>
          <w:color w:val="auto"/>
        </w:rPr>
        <w:t>During the fiscal year ended January 28, 2012, the Company granted a total of 117,631 restricted stock units to certain employees under the 2010 Equity and Incentive Plan with an aggregate fair value of $4.8 million. These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 The Company determined the fair value of the awards based on the closing price of the Company’s common stock on the grant date.</w:t>
      </w:r>
    </w:p>
    <w:p>
      <w:pPr>
        <w:spacing w:after="0" w:line="34" w:lineRule="exact"/>
        <w:rPr>
          <w:sz w:val="20"/>
          <w:szCs w:val="20"/>
          <w:color w:val="auto"/>
        </w:rPr>
      </w:pPr>
    </w:p>
    <w:p>
      <w:pPr>
        <w:ind w:left="460" w:right="20"/>
        <w:spacing w:after="0" w:line="300" w:lineRule="auto"/>
        <w:rPr>
          <w:sz w:val="20"/>
          <w:szCs w:val="20"/>
          <w:color w:val="auto"/>
        </w:rPr>
      </w:pPr>
      <w:r>
        <w:rPr>
          <w:rFonts w:ascii="Arial" w:cs="Arial" w:eastAsia="Arial" w:hAnsi="Arial"/>
          <w:sz w:val="12"/>
          <w:szCs w:val="12"/>
          <w:color w:val="auto"/>
        </w:rPr>
        <w:t>In connection with its IPO in October 2010, the Company granted a total of 56,675 restricted-stock units with an aggregate grant-date fair value of $0.9 million to all of its employees under the 2010 Equity and Incentive Plan. These units vest on the second anniversary of the grant date, provided that the respective award recipient continues to be employed by the Company on that date. The Company is recognizing the expense relating to these awards, net of estimated forfeitures of $0.2 million, on a straight-line basis over two years. The Company recognized $0.4 million and $0.1 million of compensation expense related to these awards in fiscal years ended January 28, 2012, and January 29, 2011, respectively. As of January 28, 2012, and January 29, 2011, the Company had $0.3 million and $0.6 million, respectively, of unrecognized compensation expense related to these awards, which it expects to recognize over the remaining nine months of the vesting period.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information about restricted-stock units as of and for the year ended January 28, 2012:</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4"/>
          </w:tcPr>
          <w:p>
            <w:pPr>
              <w:ind w:left="440"/>
              <w:spacing w:after="0"/>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113"/>
        </w:trPr>
        <w:tc>
          <w:tcPr>
            <w:tcW w:w="49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Restricted-Stock Units</w:t>
            </w:r>
          </w:p>
        </w:tc>
        <w:tc>
          <w:tcPr>
            <w:tcW w:w="3320" w:type="dxa"/>
            <w:vAlign w:val="bottom"/>
            <w:gridSpan w:val="3"/>
          </w:tcPr>
          <w:p>
            <w:pPr>
              <w:jc w:val="right"/>
              <w:ind w:right="480"/>
              <w:spacing w:after="0" w:line="113" w:lineRule="exact"/>
              <w:rPr>
                <w:sz w:val="20"/>
                <w:szCs w:val="20"/>
                <w:color w:val="auto"/>
              </w:rPr>
            </w:pPr>
            <w:r>
              <w:rPr>
                <w:rFonts w:ascii="Arial" w:cs="Arial" w:eastAsia="Arial" w:hAnsi="Arial"/>
                <w:sz w:val="10"/>
                <w:szCs w:val="10"/>
                <w:b w:val="1"/>
                <w:bCs w:val="1"/>
                <w:color w:val="auto"/>
              </w:rPr>
              <w:t>Number of</w:t>
            </w:r>
          </w:p>
        </w:tc>
        <w:tc>
          <w:tcPr>
            <w:tcW w:w="440" w:type="dxa"/>
            <w:vAlign w:val="bottom"/>
          </w:tcPr>
          <w:p>
            <w:pPr>
              <w:spacing w:after="0"/>
              <w:rPr>
                <w:sz w:val="9"/>
                <w:szCs w:val="9"/>
                <w:color w:val="auto"/>
              </w:rPr>
            </w:pPr>
          </w:p>
        </w:tc>
        <w:tc>
          <w:tcPr>
            <w:tcW w:w="9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Grant Date Fair</w:t>
            </w:r>
          </w:p>
        </w:tc>
        <w:tc>
          <w:tcPr>
            <w:tcW w:w="0" w:type="dxa"/>
            <w:vAlign w:val="bottom"/>
          </w:tcPr>
          <w:p>
            <w:pPr>
              <w:spacing w:after="0"/>
              <w:rPr>
                <w:sz w:val="1"/>
                <w:szCs w:val="1"/>
                <w:color w:val="auto"/>
              </w:rPr>
            </w:pPr>
          </w:p>
        </w:tc>
      </w:tr>
      <w:tr>
        <w:trPr>
          <w:trHeight w:val="114"/>
        </w:trPr>
        <w:tc>
          <w:tcPr>
            <w:tcW w:w="4980" w:type="dxa"/>
            <w:vAlign w:val="bottom"/>
            <w:gridSpan w:val="3"/>
            <w:vMerge w:val="continue"/>
          </w:tcPr>
          <w:p>
            <w:pPr>
              <w:spacing w:after="0"/>
              <w:rPr>
                <w:sz w:val="9"/>
                <w:szCs w:val="9"/>
                <w:color w:val="auto"/>
              </w:rPr>
            </w:pPr>
          </w:p>
        </w:tc>
        <w:tc>
          <w:tcPr>
            <w:tcW w:w="2360" w:type="dxa"/>
            <w:vAlign w:val="bottom"/>
          </w:tcPr>
          <w:p>
            <w:pPr>
              <w:spacing w:after="0"/>
              <w:rPr>
                <w:sz w:val="9"/>
                <w:szCs w:val="9"/>
                <w:color w:val="auto"/>
              </w:rPr>
            </w:pPr>
          </w:p>
        </w:tc>
        <w:tc>
          <w:tcPr>
            <w:tcW w:w="960" w:type="dxa"/>
            <w:vAlign w:val="bottom"/>
            <w:gridSpan w:val="2"/>
          </w:tcPr>
          <w:p>
            <w:pPr>
              <w:jc w:val="right"/>
              <w:ind w:right="600"/>
              <w:spacing w:after="0" w:line="114" w:lineRule="exact"/>
              <w:rPr>
                <w:sz w:val="20"/>
                <w:szCs w:val="20"/>
                <w:color w:val="auto"/>
              </w:rPr>
            </w:pPr>
            <w:r>
              <w:rPr>
                <w:rFonts w:ascii="Arial" w:cs="Arial" w:eastAsia="Arial" w:hAnsi="Arial"/>
                <w:sz w:val="10"/>
                <w:szCs w:val="10"/>
                <w:b w:val="1"/>
                <w:bCs w:val="1"/>
                <w:color w:val="auto"/>
              </w:rPr>
              <w:t>Units</w:t>
            </w:r>
          </w:p>
        </w:tc>
        <w:tc>
          <w:tcPr>
            <w:tcW w:w="440" w:type="dxa"/>
            <w:vAlign w:val="bottom"/>
          </w:tcPr>
          <w:p>
            <w:pPr>
              <w:spacing w:after="0"/>
              <w:rPr>
                <w:sz w:val="9"/>
                <w:szCs w:val="9"/>
                <w:color w:val="auto"/>
              </w:rPr>
            </w:pPr>
          </w:p>
        </w:tc>
        <w:tc>
          <w:tcPr>
            <w:tcW w:w="900" w:type="dxa"/>
            <w:vAlign w:val="bottom"/>
            <w:gridSpan w:val="3"/>
          </w:tcPr>
          <w:p>
            <w:pPr>
              <w:ind w:left="60"/>
              <w:spacing w:after="0" w:line="114" w:lineRule="exact"/>
              <w:rPr>
                <w:sz w:val="20"/>
                <w:szCs w:val="20"/>
                <w:color w:val="auto"/>
              </w:rPr>
            </w:pPr>
            <w:r>
              <w:rPr>
                <w:rFonts w:ascii="Arial" w:cs="Arial" w:eastAsia="Arial" w:hAnsi="Arial"/>
                <w:sz w:val="10"/>
                <w:szCs w:val="10"/>
                <w:b w:val="1"/>
                <w:bCs w:val="1"/>
                <w:color w:val="auto"/>
              </w:rPr>
              <w:t>Value (per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5" w:lineRule="exact"/>
              <w:rPr>
                <w:sz w:val="20"/>
                <w:szCs w:val="20"/>
                <w:color w:val="auto"/>
              </w:rPr>
            </w:pPr>
            <w:r>
              <w:rPr>
                <w:rFonts w:ascii="Arial" w:cs="Arial" w:eastAsia="Arial" w:hAnsi="Arial"/>
                <w:sz w:val="13"/>
                <w:szCs w:val="13"/>
                <w:color w:val="auto"/>
              </w:rPr>
              <w:t>Nonvested units outstanding at January 31, 2010</w:t>
            </w:r>
          </w:p>
        </w:tc>
        <w:tc>
          <w:tcPr>
            <w:tcW w:w="23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3"/>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2840" w:type="dxa"/>
            <w:vAlign w:val="bottom"/>
            <w:gridSpan w:val="2"/>
          </w:tcPr>
          <w:p>
            <w:pPr>
              <w:jc w:val="right"/>
              <w:spacing w:after="0"/>
              <w:rPr>
                <w:sz w:val="20"/>
                <w:szCs w:val="20"/>
                <w:color w:val="auto"/>
              </w:rPr>
            </w:pPr>
            <w:r>
              <w:rPr>
                <w:rFonts w:ascii="Arial" w:cs="Arial" w:eastAsia="Arial" w:hAnsi="Arial"/>
                <w:sz w:val="13"/>
                <w:szCs w:val="13"/>
                <w:color w:val="auto"/>
              </w:rPr>
              <w:t>56,675</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23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23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(2,450)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Nonvested units outstanding at January 29, 2011</w:t>
            </w:r>
          </w:p>
        </w:tc>
        <w:tc>
          <w:tcPr>
            <w:tcW w:w="2360" w:type="dxa"/>
            <w:vAlign w:val="bottom"/>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54,225</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3"/>
                <w:szCs w:val="13"/>
                <w:color w:val="auto"/>
              </w:rPr>
              <w:t>Granted</w:t>
            </w:r>
          </w:p>
        </w:tc>
        <w:tc>
          <w:tcPr>
            <w:tcW w:w="2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40.93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80" w:type="dxa"/>
            <w:vAlign w:val="bottom"/>
            <w:gridSpan w:val="3"/>
            <w:vMerge w:val="continue"/>
          </w:tcPr>
          <w:p>
            <w:pPr>
              <w:spacing w:after="0"/>
              <w:rPr>
                <w:sz w:val="12"/>
                <w:szCs w:val="12"/>
                <w:color w:val="auto"/>
              </w:rPr>
            </w:pPr>
          </w:p>
        </w:tc>
        <w:tc>
          <w:tcPr>
            <w:tcW w:w="28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117,631</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332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(50)</w:t>
            </w: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23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color w:val="auto"/>
              </w:rPr>
              <w:t>(11,343)</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Nonvested units outstanding at January 28, 2012</w:t>
            </w:r>
          </w:p>
        </w:tc>
        <w:tc>
          <w:tcPr>
            <w:tcW w:w="2360" w:type="dxa"/>
            <w:vAlign w:val="bottom"/>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160,463</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Pre-IPO Awards of Restricted Stock</w:t>
      </w:r>
    </w:p>
    <w:p>
      <w:pPr>
        <w:spacing w:after="0" w:line="76" w:lineRule="exact"/>
        <w:rPr>
          <w:sz w:val="20"/>
          <w:szCs w:val="20"/>
          <w:color w:val="auto"/>
        </w:rPr>
      </w:pPr>
    </w:p>
    <w:p>
      <w:pPr>
        <w:ind w:left="460" w:right="100"/>
        <w:spacing w:after="0" w:line="298" w:lineRule="auto"/>
        <w:rPr>
          <w:sz w:val="20"/>
          <w:szCs w:val="20"/>
          <w:color w:val="auto"/>
        </w:rPr>
      </w:pPr>
      <w:r>
        <w:rPr>
          <w:rFonts w:ascii="Arial" w:cs="Arial" w:eastAsia="Arial" w:hAnsi="Arial"/>
          <w:sz w:val="13"/>
          <w:szCs w:val="13"/>
          <w:color w:val="auto"/>
        </w:rPr>
        <w:t>In July 2010, the Company granted a total of 1,095,004 restricted-stock awards with an aggregate grant-date fair value of $15.8 million to certain management-level employees and non-employee directors under the 2010 Restricted Stock Plan. The restrictions on these awards were to lapse after one year or upon an IPO.</w:t>
      </w:r>
    </w:p>
    <w:p>
      <w:pPr>
        <w:spacing w:after="0" w:line="19" w:lineRule="exact"/>
        <w:rPr>
          <w:sz w:val="20"/>
          <w:szCs w:val="20"/>
          <w:color w:val="auto"/>
        </w:rPr>
      </w:pPr>
    </w:p>
    <w:p>
      <w:pPr>
        <w:jc w:val="both"/>
        <w:ind w:left="460" w:right="20"/>
        <w:spacing w:after="0" w:line="281" w:lineRule="auto"/>
        <w:rPr>
          <w:sz w:val="20"/>
          <w:szCs w:val="20"/>
          <w:color w:val="auto"/>
        </w:rPr>
      </w:pPr>
      <w:r>
        <w:rPr>
          <w:rFonts w:ascii="Arial" w:cs="Arial" w:eastAsia="Arial" w:hAnsi="Arial"/>
          <w:sz w:val="13"/>
          <w:szCs w:val="13"/>
          <w:color w:val="auto"/>
        </w:rPr>
        <w:t>In August 2010, the Company repurchased 28,881 of these awards to fund tax payments made by certain award recipients. In October 2010, upon the commencement of the IPO, all of the remaining awards outstanding became fully vested. Accordingly, the Company recognized $15.8 million of compensation expense related to these awards in the fiscal year ended January 29, 2011. This expense is included in selling, general, and administrative expenses in the Consolidated Statement of Income.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460"/>
          </w:cols>
          <w:pgMar w:left="220" w:top="384" w:right="2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information about restricted-stock awards as of and for the year ended January 29, 2011:</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4"/>
          </w:tcPr>
          <w:p>
            <w:pPr>
              <w:ind w:left="480"/>
              <w:spacing w:after="0"/>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113"/>
        </w:trPr>
        <w:tc>
          <w:tcPr>
            <w:tcW w:w="71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Restricted-Stock Awards</w:t>
            </w:r>
          </w:p>
        </w:tc>
        <w:tc>
          <w:tcPr>
            <w:tcW w:w="1140" w:type="dxa"/>
            <w:vAlign w:val="bottom"/>
            <w:gridSpan w:val="2"/>
          </w:tcPr>
          <w:p>
            <w:pPr>
              <w:jc w:val="right"/>
              <w:ind w:right="580"/>
              <w:spacing w:after="0" w:line="113" w:lineRule="exact"/>
              <w:rPr>
                <w:sz w:val="20"/>
                <w:szCs w:val="20"/>
                <w:color w:val="auto"/>
              </w:rPr>
            </w:pPr>
            <w:r>
              <w:rPr>
                <w:rFonts w:ascii="Arial" w:cs="Arial" w:eastAsia="Arial" w:hAnsi="Arial"/>
                <w:sz w:val="10"/>
                <w:szCs w:val="10"/>
                <w:b w:val="1"/>
                <w:bCs w:val="1"/>
                <w:color w:val="auto"/>
              </w:rPr>
              <w:t>Number of</w:t>
            </w:r>
          </w:p>
        </w:tc>
        <w:tc>
          <w:tcPr>
            <w:tcW w:w="480" w:type="dxa"/>
            <w:vAlign w:val="bottom"/>
          </w:tcPr>
          <w:p>
            <w:pPr>
              <w:spacing w:after="0"/>
              <w:rPr>
                <w:sz w:val="9"/>
                <w:szCs w:val="9"/>
                <w:color w:val="auto"/>
              </w:rPr>
            </w:pPr>
          </w:p>
        </w:tc>
        <w:tc>
          <w:tcPr>
            <w:tcW w:w="900" w:type="dxa"/>
            <w:vAlign w:val="bottom"/>
            <w:gridSpan w:val="3"/>
          </w:tcPr>
          <w:p>
            <w:pPr>
              <w:jc w:val="center"/>
              <w:ind w:right="80"/>
              <w:spacing w:after="0" w:line="113" w:lineRule="exact"/>
              <w:rPr>
                <w:sz w:val="20"/>
                <w:szCs w:val="20"/>
                <w:color w:val="auto"/>
              </w:rPr>
            </w:pPr>
            <w:r>
              <w:rPr>
                <w:rFonts w:ascii="Arial" w:cs="Arial" w:eastAsia="Arial" w:hAnsi="Arial"/>
                <w:sz w:val="10"/>
                <w:szCs w:val="10"/>
                <w:b w:val="1"/>
                <w:bCs w:val="1"/>
                <w:color w:val="auto"/>
                <w:w w:val="96"/>
              </w:rPr>
              <w:t>Grant Date Fair</w:t>
            </w:r>
          </w:p>
        </w:tc>
        <w:tc>
          <w:tcPr>
            <w:tcW w:w="0" w:type="dxa"/>
            <w:vAlign w:val="bottom"/>
          </w:tcPr>
          <w:p>
            <w:pPr>
              <w:spacing w:after="0"/>
              <w:rPr>
                <w:sz w:val="1"/>
                <w:szCs w:val="1"/>
                <w:color w:val="auto"/>
              </w:rPr>
            </w:pPr>
          </w:p>
        </w:tc>
      </w:tr>
      <w:tr>
        <w:trPr>
          <w:trHeight w:val="114"/>
        </w:trPr>
        <w:tc>
          <w:tcPr>
            <w:tcW w:w="7120" w:type="dxa"/>
            <w:vAlign w:val="bottom"/>
            <w:gridSpan w:val="3"/>
            <w:vMerge w:val="continue"/>
          </w:tcPr>
          <w:p>
            <w:pPr>
              <w:spacing w:after="0"/>
              <w:rPr>
                <w:sz w:val="9"/>
                <w:szCs w:val="9"/>
                <w:color w:val="auto"/>
              </w:rPr>
            </w:pPr>
          </w:p>
        </w:tc>
        <w:tc>
          <w:tcPr>
            <w:tcW w:w="1140" w:type="dxa"/>
            <w:vAlign w:val="bottom"/>
            <w:gridSpan w:val="2"/>
          </w:tcPr>
          <w:p>
            <w:pPr>
              <w:jc w:val="right"/>
              <w:ind w:right="680"/>
              <w:spacing w:after="0" w:line="114" w:lineRule="exact"/>
              <w:rPr>
                <w:sz w:val="20"/>
                <w:szCs w:val="20"/>
                <w:color w:val="auto"/>
              </w:rPr>
            </w:pPr>
            <w:r>
              <w:rPr>
                <w:rFonts w:ascii="Arial" w:cs="Arial" w:eastAsia="Arial" w:hAnsi="Arial"/>
                <w:sz w:val="10"/>
                <w:szCs w:val="10"/>
                <w:b w:val="1"/>
                <w:bCs w:val="1"/>
                <w:color w:val="auto"/>
              </w:rPr>
              <w:t>Shares</w:t>
            </w:r>
          </w:p>
        </w:tc>
        <w:tc>
          <w:tcPr>
            <w:tcW w:w="480" w:type="dxa"/>
            <w:vAlign w:val="bottom"/>
          </w:tcPr>
          <w:p>
            <w:pPr>
              <w:spacing w:after="0"/>
              <w:rPr>
                <w:sz w:val="9"/>
                <w:szCs w:val="9"/>
                <w:color w:val="auto"/>
              </w:rPr>
            </w:pPr>
          </w:p>
        </w:tc>
        <w:tc>
          <w:tcPr>
            <w:tcW w:w="900" w:type="dxa"/>
            <w:vAlign w:val="bottom"/>
            <w:gridSpan w:val="3"/>
          </w:tcPr>
          <w:p>
            <w:pPr>
              <w:jc w:val="center"/>
              <w:ind w:right="80"/>
              <w:spacing w:after="0" w:line="114" w:lineRule="exact"/>
              <w:rPr>
                <w:sz w:val="20"/>
                <w:szCs w:val="20"/>
                <w:color w:val="auto"/>
              </w:rPr>
            </w:pPr>
            <w:r>
              <w:rPr>
                <w:rFonts w:ascii="Arial" w:cs="Arial" w:eastAsia="Arial" w:hAnsi="Arial"/>
                <w:sz w:val="10"/>
                <w:szCs w:val="10"/>
                <w:b w:val="1"/>
                <w:bCs w:val="1"/>
                <w:color w:val="auto"/>
                <w:w w:val="91"/>
              </w:rPr>
              <w:t>Value (per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7100" w:type="dxa"/>
            <w:vAlign w:val="bottom"/>
            <w:gridSpan w:val="2"/>
            <w:shd w:val="clear" w:color="auto" w:fill="CCEEFF"/>
          </w:tcPr>
          <w:p>
            <w:pPr>
              <w:spacing w:after="0" w:line="145" w:lineRule="exact"/>
              <w:rPr>
                <w:sz w:val="20"/>
                <w:szCs w:val="20"/>
                <w:color w:val="auto"/>
              </w:rPr>
            </w:pPr>
            <w:r>
              <w:rPr>
                <w:rFonts w:ascii="Arial" w:cs="Arial" w:eastAsia="Arial" w:hAnsi="Arial"/>
                <w:sz w:val="13"/>
                <w:szCs w:val="13"/>
                <w:color w:val="auto"/>
              </w:rPr>
              <w:t>Nonvested awards outstanding at January 31, 2010</w:t>
            </w:r>
          </w:p>
        </w:tc>
        <w:tc>
          <w:tcPr>
            <w:tcW w:w="640" w:type="dxa"/>
            <w:vAlign w:val="bottom"/>
            <w:shd w:val="clear" w:color="auto" w:fill="CCEEFF"/>
          </w:tcPr>
          <w:p>
            <w:pPr>
              <w:jc w:val="right"/>
              <w:ind w:right="18"/>
              <w:spacing w:after="0" w:line="14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ind w:left="32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640" w:type="dxa"/>
            <w:vAlign w:val="bottom"/>
          </w:tcPr>
          <w:p>
            <w:pPr>
              <w:jc w:val="right"/>
              <w:spacing w:after="0"/>
              <w:rPr>
                <w:sz w:val="20"/>
                <w:szCs w:val="20"/>
                <w:color w:val="auto"/>
              </w:rPr>
            </w:pPr>
            <w:r>
              <w:rPr>
                <w:rFonts w:ascii="Arial" w:cs="Arial" w:eastAsia="Arial" w:hAnsi="Arial"/>
                <w:sz w:val="13"/>
                <w:szCs w:val="13"/>
                <w:color w:val="auto"/>
              </w:rPr>
              <w:t>1,095,004</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9"/>
              </w:rPr>
              <w:t>(1,095,004)</w:t>
            </w: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Nonvested awards outstanding at January 29, 2011</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 restricted-stock awards were granted, vested, or forfeited for the year ended January 28, 2012.</w:t>
      </w:r>
    </w:p>
    <w:p>
      <w:pPr>
        <w:spacing w:after="0" w:line="229" w:lineRule="exact"/>
        <w:rPr>
          <w:sz w:val="20"/>
          <w:szCs w:val="20"/>
          <w:color w:val="auto"/>
        </w:rPr>
      </w:pPr>
    </w:p>
    <w:p>
      <w:pPr>
        <w:ind w:left="460" w:hanging="458"/>
        <w:spacing w:after="0"/>
        <w:tabs>
          <w:tab w:leader="none" w:pos="4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78" w:lineRule="exact"/>
        <w:rPr>
          <w:rFonts w:ascii="Arial" w:cs="Arial" w:eastAsia="Arial" w:hAnsi="Arial"/>
          <w:sz w:val="13"/>
          <w:szCs w:val="13"/>
          <w:b w:val="1"/>
          <w:bCs w:val="1"/>
          <w:color w:val="auto"/>
        </w:rPr>
      </w:pPr>
    </w:p>
    <w:p>
      <w:pPr>
        <w:ind w:left="460" w:right="80"/>
        <w:spacing w:after="0" w:line="343" w:lineRule="auto"/>
        <w:rPr>
          <w:rFonts w:ascii="Arial" w:cs="Arial" w:eastAsia="Arial" w:hAnsi="Arial"/>
          <w:sz w:val="13"/>
          <w:szCs w:val="13"/>
          <w:b w:val="1"/>
          <w:bCs w:val="1"/>
          <w:color w:val="auto"/>
        </w:rPr>
      </w:pPr>
      <w:r>
        <w:rPr>
          <w:rFonts w:ascii="Arial" w:cs="Arial" w:eastAsia="Arial" w:hAnsi="Arial"/>
          <w:sz w:val="12"/>
          <w:szCs w:val="12"/>
          <w:color w:val="auto"/>
        </w:rPr>
        <w:t>The Company is subject to various claims and contingencies arising in the normal course of business, including those relating to product liability, legal, employee benefit, regulatory, environmental, and other matters. Management believes that it is not reasonably possible that any of these claims will have a material adverse effect on the Company’s financial condition, results of operations, or cash flows.</w:t>
      </w:r>
    </w:p>
    <w:p>
      <w:pPr>
        <w:spacing w:after="0" w:line="147" w:lineRule="exact"/>
        <w:rPr>
          <w:rFonts w:ascii="Arial" w:cs="Arial" w:eastAsia="Arial" w:hAnsi="Arial"/>
          <w:sz w:val="13"/>
          <w:szCs w:val="13"/>
          <w:b w:val="1"/>
          <w:bCs w:val="1"/>
          <w:color w:val="auto"/>
        </w:rPr>
      </w:pPr>
    </w:p>
    <w:p>
      <w:pPr>
        <w:ind w:left="460" w:hanging="458"/>
        <w:spacing w:after="0"/>
        <w:tabs>
          <w:tab w:leader="none" w:pos="4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401(k) Profit Sharing Plan and Trust</w:t>
      </w:r>
    </w:p>
    <w:p>
      <w:pPr>
        <w:spacing w:after="0" w:line="78" w:lineRule="exact"/>
        <w:rPr>
          <w:rFonts w:ascii="Arial" w:cs="Arial" w:eastAsia="Arial" w:hAnsi="Arial"/>
          <w:sz w:val="13"/>
          <w:szCs w:val="13"/>
          <w:b w:val="1"/>
          <w:bCs w:val="1"/>
          <w:color w:val="auto"/>
        </w:rPr>
      </w:pPr>
    </w:p>
    <w:p>
      <w:pPr>
        <w:ind w:left="460" w:right="20"/>
        <w:spacing w:after="0" w:line="275" w:lineRule="auto"/>
        <w:rPr>
          <w:rFonts w:ascii="Arial" w:cs="Arial" w:eastAsia="Arial" w:hAnsi="Arial"/>
          <w:sz w:val="13"/>
          <w:szCs w:val="13"/>
          <w:b w:val="1"/>
          <w:bCs w:val="1"/>
          <w:color w:val="auto"/>
        </w:rPr>
      </w:pPr>
      <w:r>
        <w:rPr>
          <w:rFonts w:ascii="Arial" w:cs="Arial" w:eastAsia="Arial" w:hAnsi="Arial"/>
          <w:sz w:val="13"/>
          <w:szCs w:val="13"/>
          <w:color w:val="auto"/>
        </w:rPr>
        <w:t>The Company has a 401(k) profit sharing plan and trust for all qualified employees and provides a 50% match of an employee’s contribution to the plan up to a maximum employer contribution of either 10% of the employee’s annual compensation or the annual legal allowable contribution limit, whichever is lower. Additionally, the Company has the option of making discretionary profit sharing payments to the plan as approved by the board of directors. As of January 28, 2012, and January 29, 2011, no discretionary profit sharing payments had been approved. Total Company contributions to the plan were as follows (in thousands):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4"/>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2012</w:t>
            </w:r>
          </w:p>
        </w:tc>
        <w:tc>
          <w:tcPr>
            <w:tcW w:w="3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$ 1,231</w:t>
            </w:r>
          </w:p>
        </w:tc>
      </w:tr>
      <w:tr>
        <w:trPr>
          <w:trHeight w:val="164"/>
        </w:trPr>
        <w:tc>
          <w:tcPr>
            <w:tcW w:w="4600" w:type="dxa"/>
            <w:vAlign w:val="bottom"/>
          </w:tcPr>
          <w:p>
            <w:pPr>
              <w:spacing w:after="0"/>
              <w:rPr>
                <w:sz w:val="20"/>
                <w:szCs w:val="20"/>
                <w:color w:val="auto"/>
              </w:rPr>
            </w:pPr>
            <w:r>
              <w:rPr>
                <w:rFonts w:ascii="Arial" w:cs="Arial" w:eastAsia="Arial" w:hAnsi="Arial"/>
                <w:sz w:val="13"/>
                <w:szCs w:val="13"/>
                <w:color w:val="auto"/>
              </w:rPr>
              <w:t>Fiscal year ended January 29, 2011</w:t>
            </w:r>
          </w:p>
        </w:tc>
        <w:tc>
          <w:tcPr>
            <w:tcW w:w="3180" w:type="dxa"/>
            <w:vAlign w:val="bottom"/>
          </w:tcPr>
          <w:p>
            <w:pPr>
              <w:jc w:val="right"/>
              <w:ind w:right="13"/>
              <w:spacing w:after="0"/>
              <w:rPr>
                <w:sz w:val="20"/>
                <w:szCs w:val="20"/>
                <w:color w:val="auto"/>
              </w:rPr>
            </w:pPr>
            <w:r>
              <w:rPr>
                <w:rFonts w:ascii="Arial" w:cs="Arial" w:eastAsia="Arial" w:hAnsi="Arial"/>
                <w:sz w:val="13"/>
                <w:szCs w:val="13"/>
                <w:color w:val="auto"/>
              </w:rPr>
              <w:t>1,019</w:t>
            </w:r>
          </w:p>
        </w:tc>
      </w:tr>
      <w:tr>
        <w:trPr>
          <w:trHeight w:val="164"/>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30, 2010</w:t>
            </w:r>
          </w:p>
        </w:tc>
        <w:tc>
          <w:tcPr>
            <w:tcW w:w="3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800</w:t>
            </w:r>
          </w:p>
        </w:tc>
      </w:tr>
    </w:tbl>
    <w:p>
      <w:pPr>
        <w:spacing w:after="0" w:line="206" w:lineRule="exact"/>
        <w:rPr>
          <w:sz w:val="20"/>
          <w:szCs w:val="20"/>
          <w:color w:val="auto"/>
        </w:rPr>
      </w:pPr>
    </w:p>
    <w:p>
      <w:pPr>
        <w:ind w:left="460" w:hanging="458"/>
        <w:spacing w:after="0"/>
        <w:tabs>
          <w:tab w:leader="none" w:pos="46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The Company leases two of its facilities from a leasing company owned by certain shareholders and directors, as described further in Note 8.</w:t>
      </w:r>
    </w:p>
    <w:p>
      <w:pPr>
        <w:spacing w:after="0" w:line="76" w:lineRule="exact"/>
        <w:rPr>
          <w:rFonts w:ascii="Arial" w:cs="Arial" w:eastAsia="Arial" w:hAnsi="Arial"/>
          <w:sz w:val="13"/>
          <w:szCs w:val="13"/>
          <w:b w:val="1"/>
          <w:bCs w:val="1"/>
          <w:color w:val="auto"/>
        </w:rPr>
      </w:pPr>
    </w:p>
    <w:p>
      <w:pPr>
        <w:jc w:val="both"/>
        <w:ind w:left="460" w:right="14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In June 2011, the Company sold certain life insurance policies on the lives of its founders, who are also directors and officers of the Company, to the insureds at the fair market value of $0.7 million. The cash surrender value of the policies was $0.6 million, resulting in a $0.1 million gain. The cash surrender value was included in other assets prior to the sale and the gain on the sale was recorded in other income. Other life insurance policies not purchased by the insureds were terminated.</w:t>
      </w:r>
    </w:p>
    <w:p>
      <w:pPr>
        <w:spacing w:after="0" w:line="29" w:lineRule="exact"/>
        <w:rPr>
          <w:rFonts w:ascii="Arial" w:cs="Arial" w:eastAsia="Arial" w:hAnsi="Arial"/>
          <w:sz w:val="13"/>
          <w:szCs w:val="13"/>
          <w:b w:val="1"/>
          <w:bCs w:val="1"/>
          <w:color w:val="auto"/>
        </w:rPr>
      </w:pPr>
    </w:p>
    <w:p>
      <w:pPr>
        <w:ind w:left="46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For each of the periods presented, the Company made charitable contributions of 10% of the net proceeds from the sale of inventory of certain designated patterns to the Vera Bradley Foundation for Breast Cancer (the “Foundation”). The Foundation was founded by two of the Company’s directors, who are also on the board of directors of the Foundation. The liability associated with this commitment was approximately $0.3</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00"/>
          </w:cols>
          <w:pgMar w:left="220" w:top="384" w:right="2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21" w:lineRule="exact"/>
        <w:rPr>
          <w:sz w:val="20"/>
          <w:szCs w:val="20"/>
          <w:color w:val="auto"/>
        </w:rPr>
      </w:pPr>
    </w:p>
    <w:p>
      <w:pPr>
        <w:ind w:left="460" w:right="20"/>
        <w:spacing w:after="0" w:line="298" w:lineRule="auto"/>
        <w:rPr>
          <w:sz w:val="20"/>
          <w:szCs w:val="20"/>
          <w:color w:val="auto"/>
        </w:rPr>
      </w:pPr>
      <w:r>
        <w:rPr>
          <w:rFonts w:ascii="Arial" w:cs="Arial" w:eastAsia="Arial" w:hAnsi="Arial"/>
          <w:sz w:val="13"/>
          <w:szCs w:val="13"/>
          <w:color w:val="auto"/>
        </w:rPr>
        <w:t>million and $0.4 million at January 28, 2012, and January 29, 2011, respectively, which is included in other accrued liabilities in the Consolidated Balance Sheets. The associated expense, which is included in selling, general, and administrative expenses, was as follows (in thousands):</w:t>
      </w:r>
    </w:p>
    <w:p>
      <w:pPr>
        <w:spacing w:after="0" w:line="119" w:lineRule="exact"/>
        <w:rPr>
          <w:sz w:val="20"/>
          <w:szCs w:val="20"/>
          <w:color w:val="auto"/>
        </w:rPr>
      </w:pPr>
    </w:p>
    <w:tbl>
      <w:tblPr>
        <w:tblLayout w:type="fixed"/>
        <w:tblInd w:w="1840" w:type="dxa"/>
        <w:tblCellMar>
          <w:top w:w="0" w:type="dxa"/>
          <w:left w:w="0" w:type="dxa"/>
          <w:bottom w:w="0" w:type="dxa"/>
          <w:right w:w="0" w:type="dxa"/>
        </w:tblCellMar>
      </w:tblPr>
      <w:tr>
        <w:trPr>
          <w:trHeight w:val="164"/>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28, 2012</w:t>
            </w:r>
          </w:p>
        </w:tc>
        <w:tc>
          <w:tcPr>
            <w:tcW w:w="3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$ 1,046</w:t>
            </w:r>
          </w:p>
        </w:tc>
      </w:tr>
      <w:tr>
        <w:trPr>
          <w:trHeight w:val="164"/>
        </w:trPr>
        <w:tc>
          <w:tcPr>
            <w:tcW w:w="4600" w:type="dxa"/>
            <w:vAlign w:val="bottom"/>
          </w:tcPr>
          <w:p>
            <w:pPr>
              <w:spacing w:after="0"/>
              <w:rPr>
                <w:sz w:val="20"/>
                <w:szCs w:val="20"/>
                <w:color w:val="auto"/>
              </w:rPr>
            </w:pPr>
            <w:r>
              <w:rPr>
                <w:rFonts w:ascii="Arial" w:cs="Arial" w:eastAsia="Arial" w:hAnsi="Arial"/>
                <w:sz w:val="13"/>
                <w:szCs w:val="13"/>
                <w:color w:val="auto"/>
              </w:rPr>
              <w:t>Fiscal year ended January 29, 2011</w:t>
            </w:r>
          </w:p>
        </w:tc>
        <w:tc>
          <w:tcPr>
            <w:tcW w:w="3180" w:type="dxa"/>
            <w:vAlign w:val="bottom"/>
          </w:tcPr>
          <w:p>
            <w:pPr>
              <w:jc w:val="right"/>
              <w:ind w:right="13"/>
              <w:spacing w:after="0"/>
              <w:rPr>
                <w:sz w:val="20"/>
                <w:szCs w:val="20"/>
                <w:color w:val="auto"/>
              </w:rPr>
            </w:pPr>
            <w:r>
              <w:rPr>
                <w:rFonts w:ascii="Arial" w:cs="Arial" w:eastAsia="Arial" w:hAnsi="Arial"/>
                <w:sz w:val="13"/>
                <w:szCs w:val="13"/>
                <w:color w:val="auto"/>
              </w:rPr>
              <w:t>1,259</w:t>
            </w:r>
          </w:p>
        </w:tc>
      </w:tr>
      <w:tr>
        <w:trPr>
          <w:trHeight w:val="164"/>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Fiscal year ended January 30, 2010</w:t>
            </w:r>
          </w:p>
        </w:tc>
        <w:tc>
          <w:tcPr>
            <w:tcW w:w="3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694</w:t>
            </w:r>
          </w:p>
        </w:tc>
      </w:tr>
    </w:tbl>
    <w:p>
      <w:pPr>
        <w:spacing w:after="0" w:line="206" w:lineRule="exact"/>
        <w:rPr>
          <w:sz w:val="20"/>
          <w:szCs w:val="20"/>
          <w:color w:val="auto"/>
        </w:rPr>
      </w:pPr>
    </w:p>
    <w:p>
      <w:pPr>
        <w:ind w:left="460" w:hanging="458"/>
        <w:spacing w:after="0"/>
        <w:tabs>
          <w:tab w:leader="none" w:pos="46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78" w:lineRule="exact"/>
        <w:rPr>
          <w:rFonts w:ascii="Arial" w:cs="Arial" w:eastAsia="Arial" w:hAnsi="Arial"/>
          <w:sz w:val="13"/>
          <w:szCs w:val="13"/>
          <w:b w:val="1"/>
          <w:bCs w:val="1"/>
          <w:color w:val="auto"/>
        </w:rPr>
      </w:pPr>
    </w:p>
    <w:p>
      <w:pPr>
        <w:ind w:left="460" w:right="60"/>
        <w:spacing w:after="0" w:line="314" w:lineRule="auto"/>
        <w:rPr>
          <w:rFonts w:ascii="Arial" w:cs="Arial" w:eastAsia="Arial" w:hAnsi="Arial"/>
          <w:sz w:val="13"/>
          <w:szCs w:val="13"/>
          <w:b w:val="1"/>
          <w:bCs w:val="1"/>
          <w:color w:val="auto"/>
        </w:rPr>
      </w:pPr>
      <w:r>
        <w:rPr>
          <w:rFonts w:ascii="Arial" w:cs="Arial" w:eastAsia="Arial" w:hAnsi="Arial"/>
          <w:sz w:val="12"/>
          <w:szCs w:val="12"/>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 in thousands, except per share data):</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2"/>
              </w:rPr>
              <w:t>Fiscal Year Ended</w:t>
            </w: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ind w:right="17"/>
              <w:spacing w:after="0" w:line="92" w:lineRule="exact"/>
              <w:rPr>
                <w:sz w:val="20"/>
                <w:szCs w:val="20"/>
                <w:color w:val="auto"/>
              </w:rPr>
            </w:pPr>
            <w:r>
              <w:rPr>
                <w:rFonts w:ascii="Arial" w:cs="Arial" w:eastAsia="Arial" w:hAnsi="Arial"/>
                <w:sz w:val="10"/>
                <w:szCs w:val="10"/>
                <w:b w:val="1"/>
                <w:bCs w:val="1"/>
                <w:color w:val="auto"/>
                <w:w w:val="94"/>
              </w:rPr>
              <w:t>January 28,</w:t>
            </w: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gridSpan w:val="2"/>
          </w:tcPr>
          <w:p>
            <w:pPr>
              <w:jc w:val="center"/>
              <w:ind w:right="840"/>
              <w:spacing w:after="0" w:line="92" w:lineRule="exact"/>
              <w:rPr>
                <w:sz w:val="20"/>
                <w:szCs w:val="20"/>
                <w:color w:val="auto"/>
              </w:rPr>
            </w:pPr>
            <w:r>
              <w:rPr>
                <w:rFonts w:ascii="Arial" w:cs="Arial" w:eastAsia="Arial" w:hAnsi="Arial"/>
                <w:sz w:val="10"/>
                <w:szCs w:val="10"/>
                <w:b w:val="1"/>
                <w:bCs w:val="1"/>
                <w:color w:val="auto"/>
                <w:w w:val="94"/>
              </w:rPr>
              <w:t>January 29,</w:t>
            </w:r>
          </w:p>
        </w:tc>
        <w:tc>
          <w:tcPr>
            <w:tcW w:w="60" w:type="dxa"/>
            <w:vAlign w:val="bottom"/>
          </w:tcPr>
          <w:p>
            <w:pPr>
              <w:spacing w:after="0"/>
              <w:rPr>
                <w:sz w:val="8"/>
                <w:szCs w:val="8"/>
                <w:color w:val="auto"/>
              </w:rPr>
            </w:pPr>
          </w:p>
        </w:tc>
        <w:tc>
          <w:tcPr>
            <w:tcW w:w="620" w:type="dxa"/>
            <w:vAlign w:val="bottom"/>
          </w:tcPr>
          <w:p>
            <w:pPr>
              <w:jc w:val="right"/>
              <w:ind w:right="17"/>
              <w:spacing w:after="0" w:line="92" w:lineRule="exact"/>
              <w:rPr>
                <w:sz w:val="20"/>
                <w:szCs w:val="20"/>
                <w:color w:val="auto"/>
              </w:rPr>
            </w:pPr>
            <w:r>
              <w:rPr>
                <w:rFonts w:ascii="Arial" w:cs="Arial" w:eastAsia="Arial" w:hAnsi="Arial"/>
                <w:sz w:val="10"/>
                <w:szCs w:val="10"/>
                <w:b w:val="1"/>
                <w:bCs w:val="1"/>
                <w:color w:val="auto"/>
                <w:w w:val="94"/>
              </w:rPr>
              <w:t>January 30,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80" w:type="dxa"/>
            <w:vAlign w:val="bottom"/>
            <w:tcBorders>
              <w:bottom w:val="single" w:sz="8" w:color="CCEEFF"/>
            </w:tcBorders>
          </w:tcPr>
          <w:p>
            <w:pPr>
              <w:spacing w:after="0"/>
              <w:rPr>
                <w:sz w:val="10"/>
                <w:szCs w:val="10"/>
                <w:color w:val="auto"/>
              </w:rPr>
            </w:pPr>
          </w:p>
        </w:tc>
        <w:tc>
          <w:tcPr>
            <w:tcW w:w="19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2012</w:t>
            </w:r>
          </w:p>
        </w:tc>
        <w:tc>
          <w:tcPr>
            <w:tcW w:w="7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2011</w:t>
            </w:r>
          </w:p>
        </w:tc>
        <w:tc>
          <w:tcPr>
            <w:tcW w:w="7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8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Numerator:</w:t>
            </w:r>
          </w:p>
        </w:tc>
        <w:tc>
          <w:tcPr>
            <w:tcW w:w="1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Net income</w:t>
            </w:r>
          </w:p>
        </w:tc>
        <w:tc>
          <w:tcPr>
            <w:tcW w:w="2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57,921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46,198</w:t>
            </w:r>
          </w:p>
        </w:tc>
        <w:tc>
          <w:tcPr>
            <w:tcW w:w="7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43,219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8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Denominator:</w:t>
            </w:r>
          </w:p>
        </w:tc>
        <w:tc>
          <w:tcPr>
            <w:tcW w:w="1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Weighted-average number of common shares (basic)</w:t>
            </w: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40,506,672</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36,812,570</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35,440,547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Dilutive effect of stock-based awards</w:t>
            </w:r>
          </w:p>
        </w:tc>
        <w:tc>
          <w:tcPr>
            <w:tcW w:w="1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35,630</w:t>
            </w: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38,345</w:t>
            </w: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4900" w:type="dxa"/>
            <w:vAlign w:val="bottom"/>
            <w:gridSpan w:val="2"/>
          </w:tcPr>
          <w:p>
            <w:pPr>
              <w:spacing w:after="0"/>
              <w:rPr>
                <w:sz w:val="20"/>
                <w:szCs w:val="20"/>
                <w:color w:val="auto"/>
              </w:rPr>
            </w:pPr>
            <w:r>
              <w:rPr>
                <w:rFonts w:ascii="Arial" w:cs="Arial" w:eastAsia="Arial" w:hAnsi="Arial"/>
                <w:sz w:val="13"/>
                <w:szCs w:val="13"/>
                <w:color w:val="auto"/>
              </w:rPr>
              <w:t>Weighted-average number of common shares (diluted)</w:t>
            </w:r>
          </w:p>
        </w:tc>
        <w:tc>
          <w:tcPr>
            <w:tcW w:w="19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40,542,302</w:t>
            </w:r>
          </w:p>
        </w:tc>
        <w:tc>
          <w:tcPr>
            <w:tcW w:w="7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36,850,915</w:t>
            </w:r>
          </w:p>
        </w:tc>
        <w:tc>
          <w:tcPr>
            <w:tcW w:w="7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35,440,547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880" w:type="dxa"/>
            <w:vAlign w:val="bottom"/>
            <w:shd w:val="clear" w:color="auto" w:fill="CCEEFF"/>
          </w:tcPr>
          <w:p>
            <w:pPr>
              <w:spacing w:after="0" w:line="146" w:lineRule="exact"/>
              <w:rPr>
                <w:sz w:val="20"/>
                <w:szCs w:val="20"/>
                <w:color w:val="auto"/>
              </w:rPr>
            </w:pPr>
            <w:r>
              <w:rPr>
                <w:rFonts w:ascii="Arial" w:cs="Arial" w:eastAsia="Arial" w:hAnsi="Arial"/>
                <w:sz w:val="13"/>
                <w:szCs w:val="13"/>
                <w:i w:val="1"/>
                <w:iCs w:val="1"/>
                <w:color w:val="auto"/>
              </w:rPr>
              <w:t>Earnings per share:</w:t>
            </w:r>
          </w:p>
        </w:tc>
        <w:tc>
          <w:tcPr>
            <w:tcW w:w="1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3"/>
                <w:szCs w:val="13"/>
                <w:color w:val="auto"/>
              </w:rPr>
              <w:t>Basic</w:t>
            </w:r>
          </w:p>
        </w:tc>
        <w:tc>
          <w:tcPr>
            <w:tcW w:w="2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1.25</w:t>
            </w:r>
          </w:p>
        </w:tc>
        <w:tc>
          <w:tcPr>
            <w:tcW w:w="7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48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Diluted</w:t>
            </w:r>
          </w:p>
        </w:tc>
        <w:tc>
          <w:tcPr>
            <w:tcW w:w="20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1.43</w:t>
            </w:r>
          </w:p>
        </w:tc>
        <w:tc>
          <w:tcPr>
            <w:tcW w:w="8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1.25</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60" w:hanging="458"/>
        <w:spacing w:after="0"/>
        <w:tabs>
          <w:tab w:leader="none" w:pos="46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Segment Reporting</w:t>
      </w:r>
    </w:p>
    <w:p>
      <w:pPr>
        <w:spacing w:after="0" w:line="78" w:lineRule="exact"/>
        <w:rPr>
          <w:rFonts w:ascii="Arial" w:cs="Arial" w:eastAsia="Arial" w:hAnsi="Arial"/>
          <w:sz w:val="13"/>
          <w:szCs w:val="13"/>
          <w:b w:val="1"/>
          <w:bCs w:val="1"/>
          <w:color w:val="auto"/>
        </w:rPr>
      </w:pPr>
    </w:p>
    <w:p>
      <w:pPr>
        <w:ind w:left="460"/>
        <w:spacing w:after="0" w:line="339" w:lineRule="auto"/>
        <w:rPr>
          <w:rFonts w:ascii="Arial" w:cs="Arial" w:eastAsia="Arial" w:hAnsi="Arial"/>
          <w:sz w:val="13"/>
          <w:szCs w:val="13"/>
          <w:b w:val="1"/>
          <w:bCs w:val="1"/>
          <w:color w:val="auto"/>
        </w:rPr>
      </w:pPr>
      <w:r>
        <w:rPr>
          <w:rFonts w:ascii="Arial" w:cs="Arial" w:eastAsia="Arial" w:hAnsi="Arial"/>
          <w:sz w:val="12"/>
          <w:szCs w:val="12"/>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jc w:val="both"/>
        <w:ind w:left="460" w:right="100"/>
        <w:spacing w:after="0" w:line="281" w:lineRule="auto"/>
        <w:rPr>
          <w:rFonts w:ascii="Arial" w:cs="Arial" w:eastAsia="Arial" w:hAnsi="Arial"/>
          <w:sz w:val="13"/>
          <w:szCs w:val="13"/>
          <w:b w:val="1"/>
          <w:bCs w:val="1"/>
          <w:color w:val="auto"/>
        </w:rPr>
      </w:pPr>
      <w:r>
        <w:rPr>
          <w:rFonts w:ascii="Arial" w:cs="Arial" w:eastAsia="Arial" w:hAnsi="Arial"/>
          <w:sz w:val="13"/>
          <w:szCs w:val="13"/>
          <w:color w:val="auto"/>
        </w:rPr>
        <w:t>The Indirect segment represents revenues generated through the distribution of Company-branded products to approximately 3,300 specialty Indirect retailers across the United States. The Direct segment includes the Company’s full-price and outlet stores, e-commerce activity driven by the Company’s website, and the annual outlet sale. Revenues generated through this segment are driven through the sale of Company-branded products from Vera Bradley to end consumers.</w:t>
      </w:r>
    </w:p>
    <w:p>
      <w:pPr>
        <w:spacing w:after="0" w:line="29" w:lineRule="exact"/>
        <w:rPr>
          <w:rFonts w:ascii="Arial" w:cs="Arial" w:eastAsia="Arial" w:hAnsi="Arial"/>
          <w:sz w:val="13"/>
          <w:szCs w:val="13"/>
          <w:b w:val="1"/>
          <w:bCs w:val="1"/>
          <w:color w:val="auto"/>
        </w:rPr>
      </w:pPr>
    </w:p>
    <w:p>
      <w:pPr>
        <w:ind w:left="460" w:right="60"/>
        <w:spacing w:after="0" w:line="298" w:lineRule="auto"/>
        <w:rPr>
          <w:rFonts w:ascii="Arial" w:cs="Arial" w:eastAsia="Arial" w:hAnsi="Arial"/>
          <w:sz w:val="13"/>
          <w:szCs w:val="13"/>
          <w:b w:val="1"/>
          <w:bCs w:val="1"/>
          <w:color w:val="auto"/>
        </w:rPr>
      </w:pPr>
      <w:r>
        <w:rPr>
          <w:rFonts w:ascii="Arial" w:cs="Arial" w:eastAsia="Arial" w:hAnsi="Arial"/>
          <w:sz w:val="13"/>
          <w:szCs w:val="13"/>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40"/>
          </w:cols>
          <w:pgMar w:left="220" w:top="384"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83" w:lineRule="exact"/>
        <w:rPr>
          <w:sz w:val="20"/>
          <w:szCs w:val="20"/>
          <w:color w:val="auto"/>
        </w:rPr>
      </w:pPr>
    </w:p>
    <w:p>
      <w:pPr>
        <w:ind w:left="460"/>
        <w:spacing w:after="0" w:line="298" w:lineRule="auto"/>
        <w:rPr>
          <w:sz w:val="20"/>
          <w:szCs w:val="20"/>
          <w:color w:val="auto"/>
        </w:rPr>
      </w:pPr>
      <w:r>
        <w:rPr>
          <w:rFonts w:ascii="Arial" w:cs="Arial" w:eastAsia="Arial" w:hAnsi="Arial"/>
          <w:sz w:val="13"/>
          <w:szCs w:val="13"/>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19" w:lineRule="exact"/>
        <w:rPr>
          <w:sz w:val="20"/>
          <w:szCs w:val="20"/>
          <w:color w:val="auto"/>
        </w:rPr>
      </w:pPr>
    </w:p>
    <w:p>
      <w:pPr>
        <w:ind w:left="460" w:right="140"/>
        <w:spacing w:after="0" w:line="281" w:lineRule="auto"/>
        <w:rPr>
          <w:sz w:val="20"/>
          <w:szCs w:val="20"/>
          <w:color w:val="auto"/>
        </w:rPr>
      </w:pPr>
      <w:r>
        <w:rPr>
          <w:rFonts w:ascii="Arial" w:cs="Arial" w:eastAsia="Arial" w:hAnsi="Arial"/>
          <w:sz w:val="13"/>
          <w:szCs w:val="13"/>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 Net revenues and operating income information for the Company’s reportable segments consisted of the following (in thousands):</w:t>
      </w:r>
    </w:p>
    <w:p>
      <w:pPr>
        <w:spacing w:after="0" w:line="119" w:lineRule="exact"/>
        <w:rPr>
          <w:sz w:val="20"/>
          <w:szCs w:val="20"/>
          <w:color w:val="auto"/>
        </w:rPr>
      </w:pPr>
    </w:p>
    <w:tbl>
      <w:tblPr>
        <w:tblLayout w:type="fixed"/>
        <w:tblInd w:w="92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2"/>
              </w:rPr>
              <w:t>Fiscal Year Ended</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80" w:type="dxa"/>
            <w:vAlign w:val="bottom"/>
            <w:gridSpan w:val="3"/>
          </w:tcPr>
          <w:p>
            <w:pPr>
              <w:jc w:val="right"/>
              <w:ind w:right="340"/>
              <w:spacing w:after="0" w:line="92" w:lineRule="exact"/>
              <w:rPr>
                <w:sz w:val="20"/>
                <w:szCs w:val="20"/>
                <w:color w:val="auto"/>
              </w:rPr>
            </w:pPr>
            <w:r>
              <w:rPr>
                <w:rFonts w:ascii="Arial" w:cs="Arial" w:eastAsia="Arial" w:hAnsi="Arial"/>
                <w:sz w:val="10"/>
                <w:szCs w:val="10"/>
                <w:b w:val="1"/>
                <w:bCs w:val="1"/>
                <w:color w:val="auto"/>
                <w:w w:val="94"/>
              </w:rPr>
              <w:t>January 28,</w:t>
            </w:r>
          </w:p>
        </w:tc>
        <w:tc>
          <w:tcPr>
            <w:tcW w:w="380" w:type="dxa"/>
            <w:vAlign w:val="bottom"/>
          </w:tcPr>
          <w:p>
            <w:pPr>
              <w:spacing w:after="0"/>
              <w:rPr>
                <w:sz w:val="8"/>
                <w:szCs w:val="8"/>
                <w:color w:val="auto"/>
              </w:rPr>
            </w:pPr>
          </w:p>
        </w:tc>
        <w:tc>
          <w:tcPr>
            <w:tcW w:w="960" w:type="dxa"/>
            <w:vAlign w:val="bottom"/>
            <w:gridSpan w:val="3"/>
          </w:tcPr>
          <w:p>
            <w:pPr>
              <w:jc w:val="center"/>
              <w:ind w:right="400"/>
              <w:spacing w:after="0" w:line="92" w:lineRule="exact"/>
              <w:rPr>
                <w:sz w:val="20"/>
                <w:szCs w:val="20"/>
                <w:color w:val="auto"/>
              </w:rPr>
            </w:pPr>
            <w:r>
              <w:rPr>
                <w:rFonts w:ascii="Arial" w:cs="Arial" w:eastAsia="Arial" w:hAnsi="Arial"/>
                <w:sz w:val="10"/>
                <w:szCs w:val="10"/>
                <w:b w:val="1"/>
                <w:bCs w:val="1"/>
                <w:color w:val="auto"/>
                <w:w w:val="94"/>
              </w:rPr>
              <w:t>January 29,</w:t>
            </w:r>
          </w:p>
        </w:tc>
        <w:tc>
          <w:tcPr>
            <w:tcW w:w="280" w:type="dxa"/>
            <w:vAlign w:val="bottom"/>
          </w:tcPr>
          <w:p>
            <w:pPr>
              <w:spacing w:after="0"/>
              <w:rPr>
                <w:sz w:val="8"/>
                <w:szCs w:val="8"/>
                <w:color w:val="auto"/>
              </w:rPr>
            </w:pPr>
          </w:p>
        </w:tc>
        <w:tc>
          <w:tcPr>
            <w:tcW w:w="580" w:type="dxa"/>
            <w:vAlign w:val="bottom"/>
            <w:gridSpan w:val="2"/>
          </w:tcPr>
          <w:p>
            <w:pPr>
              <w:jc w:val="right"/>
              <w:spacing w:after="0" w:line="92" w:lineRule="exact"/>
              <w:rPr>
                <w:sz w:val="20"/>
                <w:szCs w:val="20"/>
                <w:color w:val="auto"/>
              </w:rPr>
            </w:pPr>
            <w:r>
              <w:rPr>
                <w:rFonts w:ascii="Arial" w:cs="Arial" w:eastAsia="Arial" w:hAnsi="Arial"/>
                <w:sz w:val="10"/>
                <w:szCs w:val="10"/>
                <w:b w:val="1"/>
                <w:bCs w:val="1"/>
                <w:color w:val="auto"/>
                <w:w w:val="94"/>
              </w:rPr>
              <w:t>January 30,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20" w:type="dxa"/>
            <w:vAlign w:val="bottom"/>
            <w:tcBorders>
              <w:bottom w:val="single" w:sz="8" w:color="CCEEFF"/>
            </w:tcBorders>
          </w:tcPr>
          <w:p>
            <w:pPr>
              <w:spacing w:after="0"/>
              <w:rPr>
                <w:sz w:val="10"/>
                <w:szCs w:val="10"/>
                <w:color w:val="auto"/>
              </w:rPr>
            </w:pPr>
          </w:p>
        </w:tc>
        <w:tc>
          <w:tcPr>
            <w:tcW w:w="2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2012</w:t>
            </w:r>
          </w:p>
        </w:tc>
        <w:tc>
          <w:tcPr>
            <w:tcW w:w="30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2010</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Segment net revenues:</w:t>
            </w: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320"/>
              <w:spacing w:after="0"/>
              <w:rPr>
                <w:sz w:val="20"/>
                <w:szCs w:val="20"/>
                <w:color w:val="auto"/>
              </w:rPr>
            </w:pPr>
            <w:r>
              <w:rPr>
                <w:rFonts w:ascii="Arial" w:cs="Arial" w:eastAsia="Arial" w:hAnsi="Arial"/>
                <w:sz w:val="13"/>
                <w:szCs w:val="13"/>
                <w:color w:val="auto"/>
              </w:rPr>
              <w:t>Direct</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225,287</w:t>
            </w:r>
          </w:p>
        </w:tc>
        <w:tc>
          <w:tcPr>
            <w:tcW w:w="3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151,118</w:t>
            </w:r>
          </w:p>
        </w:tc>
        <w:tc>
          <w:tcPr>
            <w:tcW w:w="4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96,111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Indirect</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235,556</w:t>
            </w: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214,939</w:t>
            </w: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192,829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640"/>
              <w:spacing w:after="0"/>
              <w:rPr>
                <w:sz w:val="20"/>
                <w:szCs w:val="20"/>
                <w:color w:val="auto"/>
              </w:rPr>
            </w:pPr>
            <w:r>
              <w:rPr>
                <w:rFonts w:ascii="Arial" w:cs="Arial" w:eastAsia="Arial" w:hAnsi="Arial"/>
                <w:sz w:val="13"/>
                <w:szCs w:val="13"/>
                <w:color w:val="auto"/>
              </w:rPr>
              <w:t>Total</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460,843</w:t>
            </w:r>
          </w:p>
        </w:tc>
        <w:tc>
          <w:tcPr>
            <w:tcW w:w="3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366,057</w:t>
            </w:r>
          </w:p>
        </w:tc>
        <w:tc>
          <w:tcPr>
            <w:tcW w:w="4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288,940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Segment operating income:</w:t>
            </w: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320"/>
              <w:spacing w:after="0"/>
              <w:rPr>
                <w:sz w:val="20"/>
                <w:szCs w:val="20"/>
                <w:color w:val="auto"/>
              </w:rPr>
            </w:pPr>
            <w:r>
              <w:rPr>
                <w:rFonts w:ascii="Arial" w:cs="Arial" w:eastAsia="Arial" w:hAnsi="Arial"/>
                <w:sz w:val="13"/>
                <w:szCs w:val="13"/>
                <w:color w:val="auto"/>
              </w:rPr>
              <w:t>Direct</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68,097</w:t>
            </w:r>
          </w:p>
        </w:tc>
        <w:tc>
          <w:tcPr>
            <w:tcW w:w="3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46,443</w:t>
            </w:r>
          </w:p>
        </w:tc>
        <w:tc>
          <w:tcPr>
            <w:tcW w:w="4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25,285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Indirect</w:t>
            </w:r>
          </w:p>
        </w:tc>
        <w:tc>
          <w:tcPr>
            <w:tcW w:w="2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93,042</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91,690</w:t>
            </w: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72,649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640"/>
              <w:spacing w:after="0"/>
              <w:rPr>
                <w:sz w:val="20"/>
                <w:szCs w:val="20"/>
                <w:color w:val="auto"/>
              </w:rPr>
            </w:pPr>
            <w:r>
              <w:rPr>
                <w:rFonts w:ascii="Arial" w:cs="Arial" w:eastAsia="Arial" w:hAnsi="Arial"/>
                <w:sz w:val="13"/>
                <w:szCs w:val="13"/>
                <w:color w:val="auto"/>
              </w:rPr>
              <w:t>Total</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161,139</w:t>
            </w:r>
          </w:p>
        </w:tc>
        <w:tc>
          <w:tcPr>
            <w:tcW w:w="3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138,133</w:t>
            </w:r>
          </w:p>
        </w:tc>
        <w:tc>
          <w:tcPr>
            <w:tcW w:w="4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97,934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Reconciliation:</w:t>
            </w: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320"/>
              <w:spacing w:after="0"/>
              <w:rPr>
                <w:sz w:val="20"/>
                <w:szCs w:val="20"/>
                <w:color w:val="auto"/>
              </w:rPr>
            </w:pPr>
            <w:r>
              <w:rPr>
                <w:rFonts w:ascii="Arial" w:cs="Arial" w:eastAsia="Arial" w:hAnsi="Arial"/>
                <w:sz w:val="13"/>
                <w:szCs w:val="13"/>
                <w:color w:val="auto"/>
              </w:rPr>
              <w:t>Segment operating income</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161,139</w:t>
            </w:r>
          </w:p>
        </w:tc>
        <w:tc>
          <w:tcPr>
            <w:tcW w:w="3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138,133</w:t>
            </w:r>
          </w:p>
        </w:tc>
        <w:tc>
          <w:tcPr>
            <w:tcW w:w="4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97,934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Less: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320"/>
              <w:spacing w:after="0"/>
              <w:rPr>
                <w:sz w:val="20"/>
                <w:szCs w:val="20"/>
                <w:color w:val="auto"/>
              </w:rPr>
            </w:pPr>
            <w:r>
              <w:rPr>
                <w:rFonts w:ascii="Arial" w:cs="Arial" w:eastAsia="Arial" w:hAnsi="Arial"/>
                <w:sz w:val="13"/>
                <w:szCs w:val="13"/>
                <w:color w:val="auto"/>
              </w:rPr>
              <w:t>Unallocated corporate expenses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(64,968)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(84,814)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(52,222)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96,171</w:t>
            </w:r>
          </w:p>
        </w:tc>
        <w:tc>
          <w:tcPr>
            <w:tcW w:w="3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53,319</w:t>
            </w: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Sales outside of the United States were included in the Direct segment.</w:t>
      </w:r>
    </w:p>
    <w:p>
      <w:pPr>
        <w:spacing w:after="0" w:line="229" w:lineRule="exact"/>
        <w:rPr>
          <w:sz w:val="20"/>
          <w:szCs w:val="20"/>
          <w:color w:val="auto"/>
        </w:rPr>
      </w:pPr>
    </w:p>
    <w:p>
      <w:pPr>
        <w:ind w:left="460" w:hanging="458"/>
        <w:spacing w:after="0"/>
        <w:tabs>
          <w:tab w:leader="none" w:pos="46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Information (Unaudited)</w:t>
      </w:r>
    </w:p>
    <w:p>
      <w:pPr>
        <w:spacing w:after="0" w:line="78"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2"/>
          <w:szCs w:val="12"/>
          <w:color w:val="auto"/>
        </w:rPr>
        <w:t>The table below sets forth selected quarterly financial data for each of the last two fiscal years (in thousands, except per share data). Each of the quarters presented was thirteen weeks in duration.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24"/>
        </w:trPr>
        <w:tc>
          <w:tcPr>
            <w:tcW w:w="36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0"/>
                <w:szCs w:val="10"/>
                <w:b w:val="1"/>
                <w:bCs w:val="1"/>
                <w:color w:val="auto"/>
              </w:rPr>
              <w:t>Fiscal Year Ended January 28, 2012</w:t>
            </w: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36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40" w:type="dxa"/>
            <w:vAlign w:val="bottom"/>
            <w:gridSpan w:val="2"/>
          </w:tcPr>
          <w:p>
            <w:pPr>
              <w:jc w:val="center"/>
              <w:ind w:right="300"/>
              <w:spacing w:after="0" w:line="92" w:lineRule="exact"/>
              <w:rPr>
                <w:sz w:val="20"/>
                <w:szCs w:val="20"/>
                <w:color w:val="auto"/>
              </w:rPr>
            </w:pPr>
            <w:r>
              <w:rPr>
                <w:rFonts w:ascii="Arial" w:cs="Arial" w:eastAsia="Arial" w:hAnsi="Arial"/>
                <w:sz w:val="10"/>
                <w:szCs w:val="10"/>
                <w:b w:val="1"/>
                <w:bCs w:val="1"/>
                <w:color w:val="auto"/>
                <w:w w:val="92"/>
              </w:rPr>
              <w:t>First</w:t>
            </w:r>
          </w:p>
        </w:tc>
        <w:tc>
          <w:tcPr>
            <w:tcW w:w="300" w:type="dxa"/>
            <w:vAlign w:val="bottom"/>
          </w:tcPr>
          <w:p>
            <w:pPr>
              <w:spacing w:after="0"/>
              <w:rPr>
                <w:sz w:val="8"/>
                <w:szCs w:val="8"/>
                <w:color w:val="auto"/>
              </w:rPr>
            </w:pPr>
          </w:p>
        </w:tc>
        <w:tc>
          <w:tcPr>
            <w:tcW w:w="960" w:type="dxa"/>
            <w:vAlign w:val="bottom"/>
            <w:gridSpan w:val="2"/>
          </w:tcPr>
          <w:p>
            <w:pPr>
              <w:jc w:val="center"/>
              <w:ind w:right="300"/>
              <w:spacing w:after="0" w:line="92" w:lineRule="exact"/>
              <w:rPr>
                <w:sz w:val="20"/>
                <w:szCs w:val="20"/>
                <w:color w:val="auto"/>
              </w:rPr>
            </w:pPr>
            <w:r>
              <w:rPr>
                <w:rFonts w:ascii="Arial" w:cs="Arial" w:eastAsia="Arial" w:hAnsi="Arial"/>
                <w:sz w:val="10"/>
                <w:szCs w:val="10"/>
                <w:b w:val="1"/>
                <w:bCs w:val="1"/>
                <w:color w:val="auto"/>
                <w:w w:val="82"/>
              </w:rPr>
              <w:t>Second</w:t>
            </w:r>
          </w:p>
        </w:tc>
        <w:tc>
          <w:tcPr>
            <w:tcW w:w="300" w:type="dxa"/>
            <w:vAlign w:val="bottom"/>
          </w:tcPr>
          <w:p>
            <w:pPr>
              <w:spacing w:after="0"/>
              <w:rPr>
                <w:sz w:val="8"/>
                <w:szCs w:val="8"/>
                <w:color w:val="auto"/>
              </w:rPr>
            </w:pPr>
          </w:p>
        </w:tc>
        <w:tc>
          <w:tcPr>
            <w:tcW w:w="1280" w:type="dxa"/>
            <w:vAlign w:val="bottom"/>
            <w:gridSpan w:val="2"/>
          </w:tcPr>
          <w:p>
            <w:pPr>
              <w:jc w:val="center"/>
              <w:ind w:right="620"/>
              <w:spacing w:after="0" w:line="92" w:lineRule="exact"/>
              <w:rPr>
                <w:sz w:val="20"/>
                <w:szCs w:val="20"/>
                <w:color w:val="auto"/>
              </w:rPr>
            </w:pPr>
            <w:r>
              <w:rPr>
                <w:rFonts w:ascii="Arial" w:cs="Arial" w:eastAsia="Arial" w:hAnsi="Arial"/>
                <w:sz w:val="10"/>
                <w:szCs w:val="10"/>
                <w:b w:val="1"/>
                <w:bCs w:val="1"/>
                <w:color w:val="auto"/>
              </w:rPr>
              <w:t>Third</w:t>
            </w:r>
          </w:p>
        </w:tc>
        <w:tc>
          <w:tcPr>
            <w:tcW w:w="6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4"/>
              </w:rPr>
              <w:t>Fourth</w:t>
            </w:r>
          </w:p>
        </w:tc>
        <w:tc>
          <w:tcPr>
            <w:tcW w:w="100" w:type="dxa"/>
            <w:vAlign w:val="bottom"/>
          </w:tcPr>
          <w:p>
            <w:pPr>
              <w:spacing w:after="0"/>
              <w:rPr>
                <w:sz w:val="8"/>
                <w:szCs w:val="8"/>
                <w:color w:val="auto"/>
              </w:rPr>
            </w:pPr>
          </w:p>
        </w:tc>
      </w:tr>
      <w:tr>
        <w:trPr>
          <w:trHeight w:val="124"/>
        </w:trPr>
        <w:tc>
          <w:tcPr>
            <w:tcW w:w="36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9"/>
              </w:rPr>
              <w:t>Quarter</w:t>
            </w:r>
          </w:p>
        </w:tc>
        <w:tc>
          <w:tcPr>
            <w:tcW w:w="300" w:type="dxa"/>
            <w:vAlign w:val="bottom"/>
          </w:tcPr>
          <w:p>
            <w:pPr>
              <w:spacing w:after="0"/>
              <w:rPr>
                <w:sz w:val="10"/>
                <w:szCs w:val="1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Quarter</w:t>
            </w:r>
          </w:p>
        </w:tc>
        <w:tc>
          <w:tcPr>
            <w:tcW w:w="300" w:type="dxa"/>
            <w:vAlign w:val="bottom"/>
          </w:tcPr>
          <w:p>
            <w:pPr>
              <w:spacing w:after="0"/>
              <w:rPr>
                <w:sz w:val="10"/>
                <w:szCs w:val="10"/>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9"/>
              </w:rPr>
              <w:t>Quarter</w:t>
            </w:r>
          </w:p>
        </w:tc>
        <w:tc>
          <w:tcPr>
            <w:tcW w:w="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Quarter</w:t>
            </w:r>
          </w:p>
        </w:tc>
      </w:tr>
      <w:tr>
        <w:trPr>
          <w:trHeight w:val="103"/>
        </w:trPr>
        <w:tc>
          <w:tcPr>
            <w:tcW w:w="36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4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5"/>
              </w:rPr>
              <w:t>(unaudited)</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(unaudited)</w:t>
            </w: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(unaudited)</w:t>
            </w:r>
          </w:p>
        </w:tc>
        <w:tc>
          <w:tcPr>
            <w:tcW w:w="620" w:type="dxa"/>
            <w:vAlign w:val="bottom"/>
          </w:tcPr>
          <w:p>
            <w:pPr>
              <w:spacing w:after="0"/>
              <w:rPr>
                <w:sz w:val="8"/>
                <w:szCs w:val="8"/>
                <w:color w:val="auto"/>
              </w:rPr>
            </w:pPr>
          </w:p>
        </w:tc>
        <w:tc>
          <w:tcPr>
            <w:tcW w:w="6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(unaudited)</w:t>
            </w:r>
          </w:p>
        </w:tc>
        <w:tc>
          <w:tcPr>
            <w:tcW w:w="100" w:type="dxa"/>
            <w:vAlign w:val="bottom"/>
          </w:tcPr>
          <w:p>
            <w:pPr>
              <w:spacing w:after="0"/>
              <w:rPr>
                <w:sz w:val="8"/>
                <w:szCs w:val="8"/>
                <w:color w:val="auto"/>
              </w:rPr>
            </w:pPr>
          </w:p>
        </w:tc>
      </w:tr>
      <w:tr>
        <w:trPr>
          <w:trHeight w:val="16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3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  101,390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  103,789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121,149</w:t>
            </w: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   134,515</w:t>
            </w:r>
          </w:p>
        </w:tc>
        <w:tc>
          <w:tcPr>
            <w:tcW w:w="100" w:type="dxa"/>
            <w:vAlign w:val="bottom"/>
            <w:shd w:val="clear" w:color="auto" w:fill="CCEEFF"/>
          </w:tcPr>
          <w:p>
            <w:pPr>
              <w:spacing w:after="0"/>
              <w:rPr>
                <w:sz w:val="14"/>
                <w:szCs w:val="14"/>
                <w:color w:val="auto"/>
              </w:rPr>
            </w:pPr>
          </w:p>
        </w:tc>
      </w:tr>
      <w:tr>
        <w:trPr>
          <w:trHeight w:val="164"/>
        </w:trPr>
        <w:tc>
          <w:tcPr>
            <w:tcW w:w="3620" w:type="dxa"/>
            <w:vAlign w:val="bottom"/>
          </w:tcPr>
          <w:p>
            <w:pPr>
              <w:spacing w:after="0"/>
              <w:rPr>
                <w:sz w:val="20"/>
                <w:szCs w:val="20"/>
                <w:color w:val="auto"/>
              </w:rPr>
            </w:pPr>
            <w:r>
              <w:rPr>
                <w:rFonts w:ascii="Arial" w:cs="Arial" w:eastAsia="Arial" w:hAnsi="Arial"/>
                <w:sz w:val="13"/>
                <w:szCs w:val="13"/>
                <w:color w:val="auto"/>
              </w:rPr>
              <w:t>Gross profit</w:t>
            </w:r>
          </w:p>
        </w:tc>
        <w:tc>
          <w:tcPr>
            <w:tcW w:w="3320" w:type="dxa"/>
            <w:vAlign w:val="bottom"/>
            <w:gridSpan w:val="3"/>
          </w:tcPr>
          <w:p>
            <w:pPr>
              <w:jc w:val="right"/>
              <w:ind w:right="300"/>
              <w:spacing w:after="0"/>
              <w:rPr>
                <w:sz w:val="20"/>
                <w:szCs w:val="20"/>
                <w:color w:val="auto"/>
              </w:rPr>
            </w:pPr>
            <w:r>
              <w:rPr>
                <w:rFonts w:ascii="Arial" w:cs="Arial" w:eastAsia="Arial" w:hAnsi="Arial"/>
                <w:sz w:val="13"/>
                <w:szCs w:val="13"/>
                <w:color w:val="auto"/>
              </w:rPr>
              <w:t>56,444</w:t>
            </w:r>
          </w:p>
        </w:tc>
        <w:tc>
          <w:tcPr>
            <w:tcW w:w="1260" w:type="dxa"/>
            <w:vAlign w:val="bottom"/>
            <w:gridSpan w:val="3"/>
          </w:tcPr>
          <w:p>
            <w:pPr>
              <w:jc w:val="right"/>
              <w:ind w:right="300"/>
              <w:spacing w:after="0"/>
              <w:rPr>
                <w:sz w:val="20"/>
                <w:szCs w:val="20"/>
                <w:color w:val="auto"/>
              </w:rPr>
            </w:pPr>
            <w:r>
              <w:rPr>
                <w:rFonts w:ascii="Arial" w:cs="Arial" w:eastAsia="Arial" w:hAnsi="Arial"/>
                <w:sz w:val="13"/>
                <w:szCs w:val="13"/>
                <w:color w:val="auto"/>
              </w:rPr>
              <w:t>59,628</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65,678</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75,873</w:t>
            </w:r>
          </w:p>
        </w:tc>
        <w:tc>
          <w:tcPr>
            <w:tcW w:w="100" w:type="dxa"/>
            <w:vAlign w:val="bottom"/>
          </w:tcPr>
          <w:p>
            <w:pPr>
              <w:spacing w:after="0"/>
              <w:rPr>
                <w:sz w:val="14"/>
                <w:szCs w:val="14"/>
                <w:color w:val="auto"/>
              </w:rPr>
            </w:pPr>
          </w:p>
        </w:tc>
      </w:tr>
      <w:tr>
        <w:trPr>
          <w:trHeight w:val="16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3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19,060</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22,926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21,519</w:t>
            </w: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32,666</w:t>
            </w:r>
          </w:p>
        </w:tc>
        <w:tc>
          <w:tcPr>
            <w:tcW w:w="100" w:type="dxa"/>
            <w:vAlign w:val="bottom"/>
            <w:shd w:val="clear" w:color="auto" w:fill="CCEEFF"/>
          </w:tcPr>
          <w:p>
            <w:pPr>
              <w:spacing w:after="0"/>
              <w:rPr>
                <w:sz w:val="14"/>
                <w:szCs w:val="14"/>
                <w:color w:val="auto"/>
              </w:rPr>
            </w:pPr>
          </w:p>
        </w:tc>
      </w:tr>
      <w:tr>
        <w:trPr>
          <w:trHeight w:val="164"/>
        </w:trPr>
        <w:tc>
          <w:tcPr>
            <w:tcW w:w="3620" w:type="dxa"/>
            <w:vAlign w:val="bottom"/>
          </w:tcPr>
          <w:p>
            <w:pPr>
              <w:spacing w:after="0"/>
              <w:rPr>
                <w:sz w:val="20"/>
                <w:szCs w:val="20"/>
                <w:color w:val="auto"/>
              </w:rPr>
            </w:pPr>
            <w:r>
              <w:rPr>
                <w:rFonts w:ascii="Arial" w:cs="Arial" w:eastAsia="Arial" w:hAnsi="Arial"/>
                <w:sz w:val="13"/>
                <w:szCs w:val="13"/>
                <w:color w:val="auto"/>
              </w:rPr>
              <w:t>Net income</w:t>
            </w:r>
          </w:p>
        </w:tc>
        <w:tc>
          <w:tcPr>
            <w:tcW w:w="3320" w:type="dxa"/>
            <w:vAlign w:val="bottom"/>
            <w:gridSpan w:val="3"/>
          </w:tcPr>
          <w:p>
            <w:pPr>
              <w:jc w:val="right"/>
              <w:ind w:right="300"/>
              <w:spacing w:after="0"/>
              <w:rPr>
                <w:sz w:val="20"/>
                <w:szCs w:val="20"/>
                <w:color w:val="auto"/>
              </w:rPr>
            </w:pPr>
            <w:r>
              <w:rPr>
                <w:rFonts w:ascii="Arial" w:cs="Arial" w:eastAsia="Arial" w:hAnsi="Arial"/>
                <w:sz w:val="13"/>
                <w:szCs w:val="13"/>
                <w:color w:val="auto"/>
              </w:rPr>
              <w:t>11,224</w:t>
            </w:r>
          </w:p>
        </w:tc>
        <w:tc>
          <w:tcPr>
            <w:tcW w:w="1260" w:type="dxa"/>
            <w:vAlign w:val="bottom"/>
            <w:gridSpan w:val="3"/>
          </w:tcPr>
          <w:p>
            <w:pPr>
              <w:jc w:val="right"/>
              <w:ind w:right="300"/>
              <w:spacing w:after="0"/>
              <w:rPr>
                <w:sz w:val="20"/>
                <w:szCs w:val="20"/>
                <w:color w:val="auto"/>
              </w:rPr>
            </w:pPr>
            <w:r>
              <w:rPr>
                <w:rFonts w:ascii="Arial" w:cs="Arial" w:eastAsia="Arial" w:hAnsi="Arial"/>
                <w:sz w:val="13"/>
                <w:szCs w:val="13"/>
                <w:color w:val="auto"/>
              </w:rPr>
              <w:t>13,633</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12,962</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20,102</w:t>
            </w:r>
          </w:p>
        </w:tc>
        <w:tc>
          <w:tcPr>
            <w:tcW w:w="100" w:type="dxa"/>
            <w:vAlign w:val="bottom"/>
          </w:tcPr>
          <w:p>
            <w:pPr>
              <w:spacing w:after="0"/>
              <w:rPr>
                <w:sz w:val="14"/>
                <w:szCs w:val="14"/>
                <w:color w:val="auto"/>
              </w:rPr>
            </w:pPr>
          </w:p>
        </w:tc>
      </w:tr>
      <w:tr>
        <w:trPr>
          <w:trHeight w:val="164"/>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common share</w:t>
            </w:r>
          </w:p>
        </w:tc>
        <w:tc>
          <w:tcPr>
            <w:tcW w:w="3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0.28</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0.34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100" w:type="dxa"/>
            <w:vAlign w:val="bottom"/>
            <w:shd w:val="clear" w:color="auto" w:fill="CCEEFF"/>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3"/>
                <w:szCs w:val="13"/>
                <w:color w:val="auto"/>
              </w:rPr>
              <w:t>Diluted net income per common share</w:t>
            </w:r>
          </w:p>
        </w:tc>
        <w:tc>
          <w:tcPr>
            <w:tcW w:w="3320" w:type="dxa"/>
            <w:vAlign w:val="bottom"/>
            <w:gridSpan w:val="3"/>
          </w:tcPr>
          <w:p>
            <w:pPr>
              <w:jc w:val="right"/>
              <w:ind w:right="300"/>
              <w:spacing w:after="0"/>
              <w:rPr>
                <w:sz w:val="20"/>
                <w:szCs w:val="20"/>
                <w:color w:val="auto"/>
              </w:rPr>
            </w:pPr>
            <w:r>
              <w:rPr>
                <w:rFonts w:ascii="Arial" w:cs="Arial" w:eastAsia="Arial" w:hAnsi="Arial"/>
                <w:sz w:val="13"/>
                <w:szCs w:val="13"/>
                <w:color w:val="auto"/>
              </w:rPr>
              <w:t>0.28</w:t>
            </w:r>
          </w:p>
        </w:tc>
        <w:tc>
          <w:tcPr>
            <w:tcW w:w="1260" w:type="dxa"/>
            <w:vAlign w:val="bottom"/>
            <w:gridSpan w:val="3"/>
          </w:tcPr>
          <w:p>
            <w:pPr>
              <w:jc w:val="right"/>
              <w:ind w:right="300"/>
              <w:spacing w:after="0"/>
              <w:rPr>
                <w:sz w:val="20"/>
                <w:szCs w:val="20"/>
                <w:color w:val="auto"/>
              </w:rPr>
            </w:pPr>
            <w:r>
              <w:rPr>
                <w:rFonts w:ascii="Arial" w:cs="Arial" w:eastAsia="Arial" w:hAnsi="Arial"/>
                <w:sz w:val="13"/>
                <w:szCs w:val="13"/>
                <w:color w:val="auto"/>
              </w:rPr>
              <w:t>0.34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0.32</w:t>
            </w:r>
          </w:p>
        </w:tc>
        <w:tc>
          <w:tcPr>
            <w:tcW w:w="6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0.50</w:t>
            </w:r>
          </w:p>
        </w:tc>
        <w:tc>
          <w:tcPr>
            <w:tcW w:w="100" w:type="dxa"/>
            <w:vAlign w:val="bottom"/>
          </w:tcPr>
          <w:p>
            <w:pPr>
              <w:spacing w:after="0"/>
              <w:rPr>
                <w:sz w:val="14"/>
                <w:szCs w:val="14"/>
                <w:color w:val="auto"/>
              </w:rPr>
            </w:pPr>
          </w:p>
        </w:tc>
      </w:tr>
      <w:tr>
        <w:trPr>
          <w:trHeight w:val="270"/>
        </w:trPr>
        <w:tc>
          <w:tcPr>
            <w:tcW w:w="3620" w:type="dxa"/>
            <w:vAlign w:val="bottom"/>
          </w:tcPr>
          <w:p>
            <w:pPr>
              <w:spacing w:after="0"/>
              <w:rPr>
                <w:sz w:val="23"/>
                <w:szCs w:val="23"/>
                <w:color w:val="auto"/>
              </w:rPr>
            </w:pPr>
          </w:p>
        </w:tc>
        <w:tc>
          <w:tcPr>
            <w:tcW w:w="2380" w:type="dxa"/>
            <w:vAlign w:val="bottom"/>
          </w:tcPr>
          <w:p>
            <w:pPr>
              <w:jc w:val="right"/>
              <w:ind w:right="593"/>
              <w:spacing w:after="0"/>
              <w:rPr>
                <w:sz w:val="20"/>
                <w:szCs w:val="20"/>
                <w:color w:val="auto"/>
              </w:rPr>
            </w:pPr>
            <w:r>
              <w:rPr>
                <w:rFonts w:ascii="Arial" w:cs="Arial" w:eastAsia="Arial" w:hAnsi="Arial"/>
                <w:sz w:val="13"/>
                <w:szCs w:val="13"/>
                <w:color w:val="auto"/>
              </w:rPr>
              <w:t>67</w:t>
            </w: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ectPr>
          <w:pgSz w:w="11900" w:h="16838" w:orient="portrait"/>
          <w:cols w:equalWidth="0" w:num="1">
            <w:col w:w="11440"/>
          </w:cols>
          <w:pgMar w:left="220" w:top="384"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Vera Bradley,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5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0"/>
                <w:szCs w:val="10"/>
                <w:b w:val="1"/>
                <w:bCs w:val="1"/>
                <w:color w:val="auto"/>
                <w:w w:val="94"/>
              </w:rPr>
              <w:t>Fiscal Year Ended January 29, 2011</w:t>
            </w: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2"/>
        </w:trPr>
        <w:tc>
          <w:tcPr>
            <w:tcW w:w="7560" w:type="dxa"/>
            <w:vAlign w:val="bottom"/>
          </w:tcPr>
          <w:p>
            <w:pPr>
              <w:spacing w:after="0"/>
              <w:rPr>
                <w:sz w:val="8"/>
                <w:szCs w:val="8"/>
                <w:color w:val="auto"/>
              </w:rPr>
            </w:pPr>
          </w:p>
        </w:tc>
        <w:tc>
          <w:tcPr>
            <w:tcW w:w="1080" w:type="dxa"/>
            <w:vAlign w:val="bottom"/>
            <w:gridSpan w:val="2"/>
          </w:tcPr>
          <w:p>
            <w:pPr>
              <w:jc w:val="center"/>
              <w:ind w:right="540"/>
              <w:spacing w:after="0" w:line="92" w:lineRule="exact"/>
              <w:rPr>
                <w:sz w:val="20"/>
                <w:szCs w:val="20"/>
                <w:color w:val="auto"/>
              </w:rPr>
            </w:pPr>
            <w:r>
              <w:rPr>
                <w:rFonts w:ascii="Arial" w:cs="Arial" w:eastAsia="Arial" w:hAnsi="Arial"/>
                <w:sz w:val="10"/>
                <w:szCs w:val="10"/>
                <w:b w:val="1"/>
                <w:bCs w:val="1"/>
                <w:color w:val="auto"/>
              </w:rPr>
              <w:t>First</w:t>
            </w:r>
          </w:p>
        </w:tc>
        <w:tc>
          <w:tcPr>
            <w:tcW w:w="54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82"/>
              </w:rPr>
              <w:t>Second</w:t>
            </w:r>
          </w:p>
        </w:tc>
        <w:tc>
          <w:tcPr>
            <w:tcW w:w="520" w:type="dxa"/>
            <w:vAlign w:val="bottom"/>
          </w:tcPr>
          <w:p>
            <w:pPr>
              <w:spacing w:after="0"/>
              <w:rPr>
                <w:sz w:val="8"/>
                <w:szCs w:val="8"/>
                <w:color w:val="auto"/>
              </w:rPr>
            </w:pPr>
          </w:p>
        </w:tc>
        <w:tc>
          <w:tcPr>
            <w:tcW w:w="1100" w:type="dxa"/>
            <w:vAlign w:val="bottom"/>
            <w:gridSpan w:val="2"/>
          </w:tcPr>
          <w:p>
            <w:pPr>
              <w:jc w:val="center"/>
              <w:ind w:right="520"/>
              <w:spacing w:after="0" w:line="92" w:lineRule="exact"/>
              <w:rPr>
                <w:sz w:val="20"/>
                <w:szCs w:val="20"/>
                <w:color w:val="auto"/>
              </w:rPr>
            </w:pPr>
            <w:r>
              <w:rPr>
                <w:rFonts w:ascii="Arial" w:cs="Arial" w:eastAsia="Arial" w:hAnsi="Arial"/>
                <w:sz w:val="10"/>
                <w:szCs w:val="10"/>
                <w:b w:val="1"/>
                <w:bCs w:val="1"/>
                <w:color w:val="auto"/>
              </w:rPr>
              <w:t>Third</w:t>
            </w:r>
          </w:p>
        </w:tc>
        <w:tc>
          <w:tcPr>
            <w:tcW w:w="58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4"/>
              </w:rPr>
              <w:t>Fourth</w:t>
            </w:r>
          </w:p>
        </w:tc>
        <w:tc>
          <w:tcPr>
            <w:tcW w:w="80" w:type="dxa"/>
            <w:vAlign w:val="bottom"/>
          </w:tcPr>
          <w:p>
            <w:pPr>
              <w:spacing w:after="0"/>
              <w:rPr>
                <w:sz w:val="8"/>
                <w:szCs w:val="8"/>
                <w:color w:val="auto"/>
              </w:rPr>
            </w:pPr>
          </w:p>
        </w:tc>
      </w:tr>
      <w:tr>
        <w:trPr>
          <w:trHeight w:val="124"/>
        </w:trPr>
        <w:tc>
          <w:tcPr>
            <w:tcW w:w="7560" w:type="dxa"/>
            <w:vAlign w:val="bottom"/>
          </w:tcPr>
          <w:p>
            <w:pPr>
              <w:spacing w:after="0"/>
              <w:rPr>
                <w:sz w:val="10"/>
                <w:szCs w:val="10"/>
                <w:color w:val="auto"/>
              </w:rPr>
            </w:pPr>
          </w:p>
        </w:tc>
        <w:tc>
          <w:tcPr>
            <w:tcW w:w="1080" w:type="dxa"/>
            <w:vAlign w:val="bottom"/>
            <w:gridSpan w:val="2"/>
          </w:tcPr>
          <w:p>
            <w:pPr>
              <w:jc w:val="center"/>
              <w:ind w:right="560"/>
              <w:spacing w:after="0" w:line="104" w:lineRule="exact"/>
              <w:rPr>
                <w:sz w:val="20"/>
                <w:szCs w:val="20"/>
                <w:color w:val="auto"/>
              </w:rPr>
            </w:pPr>
            <w:r>
              <w:rPr>
                <w:rFonts w:ascii="Arial" w:cs="Arial" w:eastAsia="Arial" w:hAnsi="Arial"/>
                <w:sz w:val="10"/>
                <w:szCs w:val="10"/>
                <w:b w:val="1"/>
                <w:bCs w:val="1"/>
                <w:color w:val="auto"/>
                <w:w w:val="99"/>
              </w:rPr>
              <w:t>Quarter</w:t>
            </w:r>
          </w:p>
        </w:tc>
        <w:tc>
          <w:tcPr>
            <w:tcW w:w="5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9"/>
              </w:rPr>
              <w:t>Quarter</w:t>
            </w:r>
          </w:p>
        </w:tc>
        <w:tc>
          <w:tcPr>
            <w:tcW w:w="520" w:type="dxa"/>
            <w:vAlign w:val="bottom"/>
          </w:tcPr>
          <w:p>
            <w:pPr>
              <w:spacing w:after="0"/>
              <w:rPr>
                <w:sz w:val="10"/>
                <w:szCs w:val="10"/>
                <w:color w:val="auto"/>
              </w:rPr>
            </w:pPr>
          </w:p>
        </w:tc>
        <w:tc>
          <w:tcPr>
            <w:tcW w:w="1100" w:type="dxa"/>
            <w:vAlign w:val="bottom"/>
            <w:gridSpan w:val="2"/>
          </w:tcPr>
          <w:p>
            <w:pPr>
              <w:jc w:val="center"/>
              <w:ind w:right="540"/>
              <w:spacing w:after="0" w:line="104" w:lineRule="exact"/>
              <w:rPr>
                <w:sz w:val="20"/>
                <w:szCs w:val="20"/>
                <w:color w:val="auto"/>
              </w:rPr>
            </w:pPr>
            <w:r>
              <w:rPr>
                <w:rFonts w:ascii="Arial" w:cs="Arial" w:eastAsia="Arial" w:hAnsi="Arial"/>
                <w:sz w:val="8"/>
                <w:szCs w:val="8"/>
                <w:b w:val="1"/>
                <w:bCs w:val="1"/>
                <w:color w:val="auto"/>
              </w:rPr>
              <w:t xml:space="preserve">Quarter </w:t>
            </w:r>
            <w:r>
              <w:rPr>
                <w:rFonts w:ascii="Arial" w:cs="Arial" w:eastAsia="Arial" w:hAnsi="Arial"/>
                <w:sz w:val="12"/>
                <w:szCs w:val="12"/>
                <w:b w:val="1"/>
                <w:bCs w:val="1"/>
                <w:color w:val="auto"/>
                <w:vertAlign w:val="subscript"/>
              </w:rPr>
              <w:t>(1)</w:t>
            </w:r>
          </w:p>
        </w:tc>
        <w:tc>
          <w:tcPr>
            <w:tcW w:w="660" w:type="dxa"/>
            <w:vAlign w:val="bottom"/>
            <w:gridSpan w:val="2"/>
          </w:tcPr>
          <w:p>
            <w:pPr>
              <w:jc w:val="center"/>
              <w:ind w:right="60"/>
              <w:spacing w:after="0" w:line="104" w:lineRule="exact"/>
              <w:rPr>
                <w:sz w:val="20"/>
                <w:szCs w:val="20"/>
                <w:color w:val="auto"/>
              </w:rPr>
            </w:pPr>
            <w:r>
              <w:rPr>
                <w:rFonts w:ascii="Arial" w:cs="Arial" w:eastAsia="Arial" w:hAnsi="Arial"/>
                <w:sz w:val="10"/>
                <w:szCs w:val="10"/>
                <w:b w:val="1"/>
                <w:bCs w:val="1"/>
                <w:color w:val="auto"/>
                <w:w w:val="99"/>
              </w:rPr>
              <w:t>Quarter</w:t>
            </w:r>
          </w:p>
        </w:tc>
      </w:tr>
      <w:tr>
        <w:trPr>
          <w:trHeight w:val="103"/>
        </w:trPr>
        <w:tc>
          <w:tcPr>
            <w:tcW w:w="7560" w:type="dxa"/>
            <w:vAlign w:val="bottom"/>
          </w:tcPr>
          <w:p>
            <w:pPr>
              <w:spacing w:after="0"/>
              <w:rPr>
                <w:sz w:val="8"/>
                <w:szCs w:val="8"/>
                <w:color w:val="auto"/>
              </w:rPr>
            </w:pPr>
          </w:p>
        </w:tc>
        <w:tc>
          <w:tcPr>
            <w:tcW w:w="54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(unaudited)</w:t>
            </w:r>
          </w:p>
        </w:tc>
        <w:tc>
          <w:tcPr>
            <w:tcW w:w="540" w:type="dxa"/>
            <w:vAlign w:val="bottom"/>
          </w:tcPr>
          <w:p>
            <w:pPr>
              <w:spacing w:after="0"/>
              <w:rPr>
                <w:sz w:val="8"/>
                <w:szCs w:val="8"/>
                <w:color w:val="auto"/>
              </w:rPr>
            </w:pPr>
          </w:p>
        </w:tc>
        <w:tc>
          <w:tcPr>
            <w:tcW w:w="54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(unaudited)</w:t>
            </w:r>
          </w:p>
        </w:tc>
        <w:tc>
          <w:tcPr>
            <w:tcW w:w="520" w:type="dxa"/>
            <w:vAlign w:val="bottom"/>
          </w:tcPr>
          <w:p>
            <w:pPr>
              <w:spacing w:after="0"/>
              <w:rPr>
                <w:sz w:val="8"/>
                <w:szCs w:val="8"/>
                <w:color w:val="auto"/>
              </w:rPr>
            </w:pPr>
          </w:p>
        </w:tc>
        <w:tc>
          <w:tcPr>
            <w:tcW w:w="5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5"/>
              </w:rPr>
              <w:t>(unaudited)</w:t>
            </w:r>
          </w:p>
        </w:tc>
        <w:tc>
          <w:tcPr>
            <w:tcW w:w="540" w:type="dxa"/>
            <w:vAlign w:val="bottom"/>
          </w:tcPr>
          <w:p>
            <w:pPr>
              <w:spacing w:after="0"/>
              <w:rPr>
                <w:sz w:val="8"/>
                <w:szCs w:val="8"/>
                <w:color w:val="auto"/>
              </w:rPr>
            </w:pPr>
          </w:p>
        </w:tc>
        <w:tc>
          <w:tcPr>
            <w:tcW w:w="58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1"/>
              </w:rPr>
              <w:t>(unaudited)</w:t>
            </w:r>
          </w:p>
        </w:tc>
        <w:tc>
          <w:tcPr>
            <w:tcW w:w="80" w:type="dxa"/>
            <w:vAlign w:val="bottom"/>
          </w:tcPr>
          <w:p>
            <w:pPr>
              <w:spacing w:after="0"/>
              <w:rPr>
                <w:sz w:val="8"/>
                <w:szCs w:val="8"/>
                <w:color w:val="auto"/>
              </w:rPr>
            </w:pPr>
          </w:p>
        </w:tc>
      </w:tr>
      <w:tr>
        <w:trPr>
          <w:trHeight w:val="164"/>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  85,002</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  80,076</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3"/>
                <w:szCs w:val="13"/>
                <w:color w:val="auto"/>
              </w:rPr>
              <w:t>$  91,595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$ 109,385</w:t>
            </w:r>
          </w:p>
        </w:tc>
        <w:tc>
          <w:tcPr>
            <w:tcW w:w="80" w:type="dxa"/>
            <w:vAlign w:val="bottom"/>
            <w:shd w:val="clear" w:color="auto" w:fill="CCEEFF"/>
          </w:tcPr>
          <w:p>
            <w:pPr>
              <w:spacing w:after="0"/>
              <w:rPr>
                <w:sz w:val="14"/>
                <w:szCs w:val="14"/>
                <w:color w:val="auto"/>
              </w:rPr>
            </w:pPr>
          </w:p>
        </w:tc>
      </w:tr>
      <w:tr>
        <w:trPr>
          <w:trHeight w:val="164"/>
        </w:trPr>
        <w:tc>
          <w:tcPr>
            <w:tcW w:w="7560" w:type="dxa"/>
            <w:vAlign w:val="bottom"/>
          </w:tcPr>
          <w:p>
            <w:pPr>
              <w:spacing w:after="0"/>
              <w:rPr>
                <w:sz w:val="20"/>
                <w:szCs w:val="20"/>
                <w:color w:val="auto"/>
              </w:rPr>
            </w:pPr>
            <w:r>
              <w:rPr>
                <w:rFonts w:ascii="Arial" w:cs="Arial" w:eastAsia="Arial" w:hAnsi="Arial"/>
                <w:sz w:val="13"/>
                <w:szCs w:val="13"/>
                <w:color w:val="auto"/>
              </w:rPr>
              <w:t>Gross profit</w:t>
            </w:r>
          </w:p>
        </w:tc>
        <w:tc>
          <w:tcPr>
            <w:tcW w:w="540" w:type="dxa"/>
            <w:vAlign w:val="bottom"/>
          </w:tcPr>
          <w:p>
            <w:pPr>
              <w:jc w:val="right"/>
              <w:spacing w:after="0"/>
              <w:rPr>
                <w:sz w:val="20"/>
                <w:szCs w:val="20"/>
                <w:color w:val="auto"/>
              </w:rPr>
            </w:pPr>
            <w:r>
              <w:rPr>
                <w:rFonts w:ascii="Arial" w:cs="Arial" w:eastAsia="Arial" w:hAnsi="Arial"/>
                <w:sz w:val="13"/>
                <w:szCs w:val="13"/>
                <w:color w:val="auto"/>
              </w:rPr>
              <w:t>48,813</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46,823</w:t>
            </w:r>
          </w:p>
        </w:tc>
        <w:tc>
          <w:tcPr>
            <w:tcW w:w="1620" w:type="dxa"/>
            <w:vAlign w:val="bottom"/>
            <w:gridSpan w:val="3"/>
          </w:tcPr>
          <w:p>
            <w:pPr>
              <w:jc w:val="right"/>
              <w:ind w:right="540"/>
              <w:spacing w:after="0"/>
              <w:rPr>
                <w:sz w:val="20"/>
                <w:szCs w:val="20"/>
                <w:color w:val="auto"/>
              </w:rPr>
            </w:pPr>
            <w:r>
              <w:rPr>
                <w:rFonts w:ascii="Arial" w:cs="Arial" w:eastAsia="Arial" w:hAnsi="Arial"/>
                <w:sz w:val="13"/>
                <w:szCs w:val="13"/>
                <w:color w:val="auto"/>
              </w:rPr>
              <w:t>51,674</w:t>
            </w:r>
          </w:p>
        </w:tc>
        <w:tc>
          <w:tcPr>
            <w:tcW w:w="580" w:type="dxa"/>
            <w:vAlign w:val="bottom"/>
          </w:tcPr>
          <w:p>
            <w:pPr>
              <w:jc w:val="right"/>
              <w:spacing w:after="0"/>
              <w:rPr>
                <w:sz w:val="20"/>
                <w:szCs w:val="20"/>
                <w:color w:val="auto"/>
              </w:rPr>
            </w:pPr>
            <w:r>
              <w:rPr>
                <w:rFonts w:ascii="Arial" w:cs="Arial" w:eastAsia="Arial" w:hAnsi="Arial"/>
                <w:sz w:val="13"/>
                <w:szCs w:val="13"/>
                <w:color w:val="auto"/>
              </w:rPr>
              <w:t>61,837</w:t>
            </w:r>
          </w:p>
        </w:tc>
        <w:tc>
          <w:tcPr>
            <w:tcW w:w="80" w:type="dxa"/>
            <w:vAlign w:val="bottom"/>
          </w:tcPr>
          <w:p>
            <w:pPr>
              <w:spacing w:after="0"/>
              <w:rPr>
                <w:sz w:val="14"/>
                <w:szCs w:val="14"/>
                <w:color w:val="auto"/>
              </w:rPr>
            </w:pPr>
          </w:p>
        </w:tc>
      </w:tr>
      <w:tr>
        <w:trPr>
          <w:trHeight w:val="164"/>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17,301</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9,662</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3"/>
                <w:szCs w:val="13"/>
                <w:color w:val="auto"/>
              </w:rPr>
              <w:t>(192)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26,547</w:t>
            </w:r>
          </w:p>
        </w:tc>
        <w:tc>
          <w:tcPr>
            <w:tcW w:w="80" w:type="dxa"/>
            <w:vAlign w:val="bottom"/>
            <w:shd w:val="clear" w:color="auto" w:fill="CCEEFF"/>
          </w:tcPr>
          <w:p>
            <w:pPr>
              <w:spacing w:after="0"/>
              <w:rPr>
                <w:sz w:val="14"/>
                <w:szCs w:val="14"/>
                <w:color w:val="auto"/>
              </w:rPr>
            </w:pPr>
          </w:p>
        </w:tc>
      </w:tr>
      <w:tr>
        <w:trPr>
          <w:trHeight w:val="164"/>
        </w:trPr>
        <w:tc>
          <w:tcPr>
            <w:tcW w:w="7560" w:type="dxa"/>
            <w:vAlign w:val="bottom"/>
          </w:tcPr>
          <w:p>
            <w:pPr>
              <w:spacing w:after="0"/>
              <w:rPr>
                <w:sz w:val="20"/>
                <w:szCs w:val="20"/>
                <w:color w:val="auto"/>
              </w:rPr>
            </w:pPr>
            <w:r>
              <w:rPr>
                <w:rFonts w:ascii="Arial" w:cs="Arial" w:eastAsia="Arial" w:hAnsi="Arial"/>
                <w:sz w:val="13"/>
                <w:szCs w:val="13"/>
                <w:color w:val="auto"/>
              </w:rPr>
              <w:t>Net income</w:t>
            </w:r>
          </w:p>
        </w:tc>
        <w:tc>
          <w:tcPr>
            <w:tcW w:w="540" w:type="dxa"/>
            <w:vAlign w:val="bottom"/>
          </w:tcPr>
          <w:p>
            <w:pPr>
              <w:jc w:val="right"/>
              <w:spacing w:after="0"/>
              <w:rPr>
                <w:sz w:val="20"/>
                <w:szCs w:val="20"/>
                <w:color w:val="auto"/>
              </w:rPr>
            </w:pPr>
            <w:r>
              <w:rPr>
                <w:rFonts w:ascii="Arial" w:cs="Arial" w:eastAsia="Arial" w:hAnsi="Arial"/>
                <w:sz w:val="13"/>
                <w:szCs w:val="13"/>
                <w:color w:val="auto"/>
              </w:rPr>
              <w:t>16,794</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9,170</w:t>
            </w:r>
          </w:p>
        </w:tc>
        <w:tc>
          <w:tcPr>
            <w:tcW w:w="1620" w:type="dxa"/>
            <w:vAlign w:val="bottom"/>
            <w:gridSpan w:val="3"/>
          </w:tcPr>
          <w:p>
            <w:pPr>
              <w:jc w:val="right"/>
              <w:ind w:right="540"/>
              <w:spacing w:after="0"/>
              <w:rPr>
                <w:sz w:val="20"/>
                <w:szCs w:val="20"/>
                <w:color w:val="auto"/>
              </w:rPr>
            </w:pPr>
            <w:r>
              <w:rPr>
                <w:rFonts w:ascii="Arial" w:cs="Arial" w:eastAsia="Arial" w:hAnsi="Arial"/>
                <w:sz w:val="13"/>
                <w:szCs w:val="13"/>
                <w:color w:val="auto"/>
              </w:rPr>
              <w:t>5,999</w:t>
            </w:r>
          </w:p>
        </w:tc>
        <w:tc>
          <w:tcPr>
            <w:tcW w:w="580" w:type="dxa"/>
            <w:vAlign w:val="bottom"/>
          </w:tcPr>
          <w:p>
            <w:pPr>
              <w:jc w:val="right"/>
              <w:spacing w:after="0"/>
              <w:rPr>
                <w:sz w:val="20"/>
                <w:szCs w:val="20"/>
                <w:color w:val="auto"/>
              </w:rPr>
            </w:pPr>
            <w:r>
              <w:rPr>
                <w:rFonts w:ascii="Arial" w:cs="Arial" w:eastAsia="Arial" w:hAnsi="Arial"/>
                <w:sz w:val="13"/>
                <w:szCs w:val="13"/>
                <w:color w:val="auto"/>
              </w:rPr>
              <w:t>14,235</w:t>
            </w:r>
          </w:p>
        </w:tc>
        <w:tc>
          <w:tcPr>
            <w:tcW w:w="80" w:type="dxa"/>
            <w:vAlign w:val="bottom"/>
          </w:tcPr>
          <w:p>
            <w:pPr>
              <w:spacing w:after="0"/>
              <w:rPr>
                <w:sz w:val="14"/>
                <w:szCs w:val="14"/>
                <w:color w:val="auto"/>
              </w:rPr>
            </w:pPr>
          </w:p>
        </w:tc>
      </w:tr>
      <w:tr>
        <w:trPr>
          <w:trHeight w:val="164"/>
        </w:trPr>
        <w:tc>
          <w:tcPr>
            <w:tcW w:w="756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common share</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3"/>
                <w:szCs w:val="13"/>
                <w:color w:val="auto"/>
              </w:rPr>
              <w:t>0.17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0.35</w:t>
            </w:r>
          </w:p>
        </w:tc>
        <w:tc>
          <w:tcPr>
            <w:tcW w:w="80" w:type="dxa"/>
            <w:vAlign w:val="bottom"/>
            <w:shd w:val="clear" w:color="auto" w:fill="CCEEFF"/>
          </w:tcPr>
          <w:p>
            <w:pPr>
              <w:spacing w:after="0"/>
              <w:rPr>
                <w:sz w:val="14"/>
                <w:szCs w:val="14"/>
                <w:color w:val="auto"/>
              </w:rPr>
            </w:pPr>
          </w:p>
        </w:tc>
      </w:tr>
      <w:tr>
        <w:trPr>
          <w:trHeight w:val="171"/>
        </w:trPr>
        <w:tc>
          <w:tcPr>
            <w:tcW w:w="7560" w:type="dxa"/>
            <w:vAlign w:val="bottom"/>
          </w:tcPr>
          <w:p>
            <w:pPr>
              <w:spacing w:after="0"/>
              <w:rPr>
                <w:sz w:val="20"/>
                <w:szCs w:val="20"/>
                <w:color w:val="auto"/>
              </w:rPr>
            </w:pPr>
            <w:r>
              <w:rPr>
                <w:rFonts w:ascii="Arial" w:cs="Arial" w:eastAsia="Arial" w:hAnsi="Arial"/>
                <w:sz w:val="13"/>
                <w:szCs w:val="13"/>
                <w:color w:val="auto"/>
              </w:rPr>
              <w:t>Diluted net income per common share</w:t>
            </w:r>
          </w:p>
        </w:tc>
        <w:tc>
          <w:tcPr>
            <w:tcW w:w="540" w:type="dxa"/>
            <w:vAlign w:val="bottom"/>
          </w:tcPr>
          <w:p>
            <w:pPr>
              <w:jc w:val="right"/>
              <w:spacing w:after="0"/>
              <w:rPr>
                <w:sz w:val="20"/>
                <w:szCs w:val="20"/>
                <w:color w:val="auto"/>
              </w:rPr>
            </w:pPr>
            <w:r>
              <w:rPr>
                <w:rFonts w:ascii="Arial" w:cs="Arial" w:eastAsia="Arial" w:hAnsi="Arial"/>
                <w:sz w:val="13"/>
                <w:szCs w:val="13"/>
                <w:color w:val="auto"/>
              </w:rPr>
              <w:t>0.47</w:t>
            </w:r>
          </w:p>
        </w:tc>
        <w:tc>
          <w:tcPr>
            <w:tcW w:w="5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0.26</w:t>
            </w:r>
          </w:p>
        </w:tc>
        <w:tc>
          <w:tcPr>
            <w:tcW w:w="1620" w:type="dxa"/>
            <w:vAlign w:val="bottom"/>
            <w:gridSpan w:val="3"/>
          </w:tcPr>
          <w:p>
            <w:pPr>
              <w:jc w:val="right"/>
              <w:ind w:right="540"/>
              <w:spacing w:after="0"/>
              <w:rPr>
                <w:sz w:val="20"/>
                <w:szCs w:val="20"/>
                <w:color w:val="auto"/>
              </w:rPr>
            </w:pPr>
            <w:r>
              <w:rPr>
                <w:rFonts w:ascii="Arial" w:cs="Arial" w:eastAsia="Arial" w:hAnsi="Arial"/>
                <w:sz w:val="13"/>
                <w:szCs w:val="13"/>
                <w:color w:val="auto"/>
              </w:rPr>
              <w:t>0.17</w:t>
            </w:r>
          </w:p>
        </w:tc>
        <w:tc>
          <w:tcPr>
            <w:tcW w:w="580" w:type="dxa"/>
            <w:vAlign w:val="bottom"/>
          </w:tcPr>
          <w:p>
            <w:pPr>
              <w:jc w:val="right"/>
              <w:spacing w:after="0"/>
              <w:rPr>
                <w:sz w:val="20"/>
                <w:szCs w:val="20"/>
                <w:color w:val="auto"/>
              </w:rPr>
            </w:pPr>
            <w:r>
              <w:rPr>
                <w:rFonts w:ascii="Arial" w:cs="Arial" w:eastAsia="Arial" w:hAnsi="Arial"/>
                <w:sz w:val="13"/>
                <w:szCs w:val="13"/>
                <w:color w:val="auto"/>
              </w:rPr>
              <w:t>0.35</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7302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250" cy="6350"/>
                    </a:xfrm>
                    <a:prstGeom prst="rect">
                      <a:avLst/>
                    </a:prstGeom>
                    <a:noFill/>
                  </pic:spPr>
                </pic:pic>
              </a:graphicData>
            </a:graphic>
          </wp:anchor>
        </w:drawing>
      </w:r>
    </w:p>
    <w:p>
      <w:pPr>
        <w:spacing w:after="0" w:line="79" w:lineRule="exact"/>
        <w:rPr>
          <w:sz w:val="20"/>
          <w:szCs w:val="20"/>
          <w:color w:val="auto"/>
        </w:rPr>
      </w:pPr>
    </w:p>
    <w:p>
      <w:pPr>
        <w:ind w:left="460" w:right="20" w:hanging="458"/>
        <w:spacing w:after="0" w:line="298" w:lineRule="auto"/>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discussed in Notes 2 and 6, during the third quarter of the fiscal year ended January 29, 2011, the Company converted from an “S” Corporation to a “C” corporation for income-tax purposes. Also during that quarter, as discussed in Note 10, the Company recognized $21.9 million of compensation expense related to restricted-stock awards.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460"/>
          </w:cols>
          <w:pgMar w:left="220" w:top="384" w:right="2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Disclosure Controls and Procedures</w:t>
      </w:r>
    </w:p>
    <w:p>
      <w:pPr>
        <w:spacing w:after="0" w:line="76" w:lineRule="exact"/>
        <w:rPr>
          <w:sz w:val="20"/>
          <w:szCs w:val="20"/>
          <w:color w:val="auto"/>
        </w:rPr>
      </w:pPr>
    </w:p>
    <w:p>
      <w:pPr>
        <w:jc w:val="both"/>
        <w:ind w:right="320"/>
        <w:spacing w:after="0" w:line="281" w:lineRule="auto"/>
        <w:rPr>
          <w:sz w:val="20"/>
          <w:szCs w:val="20"/>
          <w:color w:val="auto"/>
        </w:rPr>
      </w:pPr>
      <w:r>
        <w:rPr>
          <w:rFonts w:ascii="Arial" w:cs="Arial" w:eastAsia="Arial" w:hAnsi="Arial"/>
          <w:sz w:val="13"/>
          <w:szCs w:val="13"/>
          <w:color w:val="auto"/>
        </w:rPr>
        <w:t>Based on the evaluation of the Company’s disclosure controls and procedures, as that term is defined in Rule 13a-15(e) under the Securities Exchange Act of 1934, as amended (the “Exchange Act”), each of Michael C. Ray, the Chief Executive Officer of the Company, and Jeffrey A. Blade, the Chief Financial and Administrative Officer of the Company, has concluded that the Company’s disclosure controls and procedures are effective as of January 28, 2012.</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76" w:lineRule="exact"/>
        <w:rPr>
          <w:sz w:val="20"/>
          <w:szCs w:val="20"/>
          <w:color w:val="auto"/>
        </w:rPr>
      </w:pPr>
    </w:p>
    <w:p>
      <w:pPr>
        <w:ind w:right="20"/>
        <w:spacing w:after="0" w:line="300" w:lineRule="auto"/>
        <w:rPr>
          <w:sz w:val="20"/>
          <w:szCs w:val="20"/>
          <w:color w:val="auto"/>
        </w:rPr>
      </w:pPr>
      <w:r>
        <w:rPr>
          <w:rFonts w:ascii="Arial" w:cs="Arial" w:eastAsia="Arial" w:hAnsi="Arial"/>
          <w:sz w:val="12"/>
          <w:szCs w:val="12"/>
          <w:color w:val="auto"/>
        </w:rPr>
        <w:t xml:space="preserve">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Based on the results of that evaluation, management has concluded that such internal control over financial reporting was effective as of January 28, 2012.</w:t>
      </w:r>
    </w:p>
    <w:p>
      <w:pPr>
        <w:spacing w:after="0" w:line="2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effectiveness of the Company’s internal control over financial reporting as of January 28, 2012 has been audited by PricewaterhouseCoopers LLP, an independent registered public accounting firm, as stated in their report which appears on page 47 of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76"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360"/>
          </w:cols>
          <w:pgMar w:left="220" w:top="384" w:right="31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00" w:type="dxa"/>
            <w:vAlign w:val="bottom"/>
            <w:gridSpan w:val="3"/>
          </w:tcPr>
          <w:p>
            <w:pPr>
              <w:ind w:left="260"/>
              <w:spacing w:after="0"/>
              <w:rPr>
                <w:sz w:val="20"/>
                <w:szCs w:val="20"/>
                <w:color w:val="auto"/>
              </w:rPr>
            </w:pPr>
            <w:r>
              <w:rPr>
                <w:rFonts w:ascii="Arial" w:cs="Arial" w:eastAsia="Arial" w:hAnsi="Arial"/>
                <w:sz w:val="13"/>
                <w:szCs w:val="13"/>
                <w:b w:val="1"/>
                <w:bCs w:val="1"/>
                <w:color w:val="auto"/>
              </w:rPr>
              <w:t>PART III</w:t>
            </w:r>
          </w:p>
        </w:tc>
        <w:tc>
          <w:tcPr>
            <w:tcW w:w="10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Item 10.</w:t>
            </w:r>
          </w:p>
        </w:tc>
        <w:tc>
          <w:tcPr>
            <w:tcW w:w="4180" w:type="dxa"/>
            <w:vAlign w:val="bottom"/>
          </w:tcPr>
          <w:p>
            <w:pPr>
              <w:spacing w:after="0"/>
              <w:rPr>
                <w:sz w:val="20"/>
                <w:szCs w:val="20"/>
                <w:color w:val="auto"/>
              </w:rPr>
            </w:pPr>
            <w:r>
              <w:rPr>
                <w:rFonts w:ascii="Arial" w:cs="Arial" w:eastAsia="Arial" w:hAnsi="Arial"/>
                <w:sz w:val="13"/>
                <w:szCs w:val="13"/>
                <w:b w:val="1"/>
                <w:bCs w:val="1"/>
                <w:color w:val="auto"/>
              </w:rPr>
              <w:t>Executive Officers and Corporate Governance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26"/>
        </w:trPr>
        <w:tc>
          <w:tcPr>
            <w:tcW w:w="5200" w:type="dxa"/>
            <w:vAlign w:val="bottom"/>
            <w:gridSpan w:val="3"/>
          </w:tcPr>
          <w:p>
            <w:pPr>
              <w:spacing w:after="0"/>
              <w:rPr>
                <w:sz w:val="20"/>
                <w:szCs w:val="20"/>
                <w:color w:val="auto"/>
              </w:rPr>
            </w:pPr>
            <w:r>
              <w:rPr>
                <w:rFonts w:ascii="Arial" w:cs="Arial" w:eastAsia="Arial" w:hAnsi="Arial"/>
                <w:sz w:val="13"/>
                <w:szCs w:val="13"/>
                <w:b w:val="1"/>
                <w:bCs w:val="1"/>
                <w:color w:val="auto"/>
              </w:rPr>
              <w:t>Directors and Executive Officers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26"/>
        </w:trPr>
        <w:tc>
          <w:tcPr>
            <w:tcW w:w="5200" w:type="dxa"/>
            <w:vAlign w:val="bottom"/>
            <w:gridSpan w:val="3"/>
          </w:tcPr>
          <w:p>
            <w:pPr>
              <w:spacing w:after="0"/>
              <w:rPr>
                <w:sz w:val="20"/>
                <w:szCs w:val="20"/>
                <w:color w:val="auto"/>
              </w:rPr>
            </w:pPr>
            <w:r>
              <w:rPr>
                <w:rFonts w:ascii="Arial" w:cs="Arial" w:eastAsia="Arial" w:hAnsi="Arial"/>
                <w:sz w:val="13"/>
                <w:szCs w:val="13"/>
                <w:color w:val="auto"/>
                <w:w w:val="99"/>
              </w:rPr>
              <w:t>The following table sets forth certain information concerning each of our executive officers: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88"/>
        </w:trPr>
        <w:tc>
          <w:tcPr>
            <w:tcW w:w="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Name</w:t>
            </w:r>
          </w:p>
        </w:tc>
        <w:tc>
          <w:tcPr>
            <w:tcW w:w="7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4"/>
              </w:rPr>
              <w:t>Age</w:t>
            </w:r>
          </w:p>
        </w:tc>
        <w:tc>
          <w:tcPr>
            <w:tcW w:w="5360" w:type="dxa"/>
            <w:vAlign w:val="bottom"/>
            <w:gridSpan w:val="2"/>
          </w:tcPr>
          <w:p>
            <w:pPr>
              <w:ind w:left="100"/>
              <w:spacing w:after="0"/>
              <w:rPr>
                <w:sz w:val="20"/>
                <w:szCs w:val="20"/>
                <w:color w:val="auto"/>
              </w:rPr>
            </w:pPr>
            <w:r>
              <w:rPr>
                <w:rFonts w:ascii="Arial" w:cs="Arial" w:eastAsia="Arial" w:hAnsi="Arial"/>
                <w:sz w:val="10"/>
                <w:szCs w:val="10"/>
                <w:b w:val="1"/>
                <w:bCs w:val="1"/>
                <w:color w:val="auto"/>
              </w:rPr>
              <w:t>Position(s)</w:t>
            </w:r>
          </w:p>
        </w:tc>
      </w:tr>
      <w:tr>
        <w:trPr>
          <w:trHeight w:val="137"/>
        </w:trPr>
        <w:tc>
          <w:tcPr>
            <w:tcW w:w="1020" w:type="dxa"/>
            <w:vAlign w:val="bottom"/>
            <w:gridSpan w:val="2"/>
          </w:tcPr>
          <w:p>
            <w:pPr>
              <w:spacing w:after="0" w:line="138" w:lineRule="exact"/>
              <w:rPr>
                <w:sz w:val="20"/>
                <w:szCs w:val="20"/>
                <w:color w:val="auto"/>
              </w:rPr>
            </w:pPr>
            <w:r>
              <w:rPr>
                <w:rFonts w:ascii="Arial" w:cs="Arial" w:eastAsia="Arial" w:hAnsi="Arial"/>
                <w:sz w:val="13"/>
                <w:szCs w:val="13"/>
                <w:color w:val="auto"/>
              </w:rPr>
              <w:t>Michael C. Ray</w:t>
            </w:r>
          </w:p>
        </w:tc>
        <w:tc>
          <w:tcPr>
            <w:tcW w:w="4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6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color w:val="auto"/>
              </w:rPr>
              <w:t>Chief Executive Officer and Director</w:t>
            </w:r>
          </w:p>
        </w:tc>
      </w:tr>
      <w:tr>
        <w:trPr>
          <w:trHeight w:val="164"/>
        </w:trPr>
        <w:tc>
          <w:tcPr>
            <w:tcW w:w="5200" w:type="dxa"/>
            <w:vAlign w:val="bottom"/>
            <w:gridSpan w:val="3"/>
          </w:tcPr>
          <w:p>
            <w:pPr>
              <w:spacing w:after="0"/>
              <w:rPr>
                <w:sz w:val="20"/>
                <w:szCs w:val="20"/>
                <w:color w:val="auto"/>
              </w:rPr>
            </w:pPr>
            <w:r>
              <w:rPr>
                <w:rFonts w:ascii="Arial" w:cs="Arial" w:eastAsia="Arial" w:hAnsi="Arial"/>
                <w:sz w:val="13"/>
                <w:szCs w:val="13"/>
                <w:color w:val="auto"/>
              </w:rPr>
              <w:t>Barbara Bradley Baekgaard</w:t>
            </w: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73</w:t>
            </w:r>
          </w:p>
        </w:tc>
        <w:tc>
          <w:tcPr>
            <w:tcW w:w="5360" w:type="dxa"/>
            <w:vAlign w:val="bottom"/>
            <w:gridSpan w:val="2"/>
          </w:tcPr>
          <w:p>
            <w:pPr>
              <w:ind w:left="100"/>
              <w:spacing w:after="0"/>
              <w:rPr>
                <w:sz w:val="20"/>
                <w:szCs w:val="20"/>
                <w:color w:val="auto"/>
              </w:rPr>
            </w:pPr>
            <w:r>
              <w:rPr>
                <w:rFonts w:ascii="Arial" w:cs="Arial" w:eastAsia="Arial" w:hAnsi="Arial"/>
                <w:sz w:val="13"/>
                <w:szCs w:val="13"/>
                <w:color w:val="auto"/>
              </w:rPr>
              <w:t>Co-Founder, Chief Creative Officer, and Director</w:t>
            </w:r>
          </w:p>
        </w:tc>
      </w:tr>
      <w:tr>
        <w:trPr>
          <w:trHeight w:val="164"/>
        </w:trPr>
        <w:tc>
          <w:tcPr>
            <w:tcW w:w="1020" w:type="dxa"/>
            <w:vAlign w:val="bottom"/>
            <w:gridSpan w:val="2"/>
          </w:tcPr>
          <w:p>
            <w:pPr>
              <w:spacing w:after="0"/>
              <w:rPr>
                <w:sz w:val="20"/>
                <w:szCs w:val="20"/>
                <w:color w:val="auto"/>
              </w:rPr>
            </w:pPr>
            <w:r>
              <w:rPr>
                <w:rFonts w:ascii="Arial" w:cs="Arial" w:eastAsia="Arial" w:hAnsi="Arial"/>
                <w:sz w:val="13"/>
                <w:szCs w:val="13"/>
                <w:color w:val="auto"/>
              </w:rPr>
              <w:t>Patricia R. Miller</w:t>
            </w:r>
          </w:p>
        </w:tc>
        <w:tc>
          <w:tcPr>
            <w:tcW w:w="418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73</w:t>
            </w:r>
          </w:p>
        </w:tc>
        <w:tc>
          <w:tcPr>
            <w:tcW w:w="5360" w:type="dxa"/>
            <w:vAlign w:val="bottom"/>
            <w:gridSpan w:val="2"/>
          </w:tcPr>
          <w:p>
            <w:pPr>
              <w:ind w:left="100"/>
              <w:spacing w:after="0"/>
              <w:rPr>
                <w:sz w:val="20"/>
                <w:szCs w:val="20"/>
                <w:color w:val="auto"/>
              </w:rPr>
            </w:pPr>
            <w:r>
              <w:rPr>
                <w:rFonts w:ascii="Arial" w:cs="Arial" w:eastAsia="Arial" w:hAnsi="Arial"/>
                <w:sz w:val="13"/>
                <w:szCs w:val="13"/>
                <w:color w:val="auto"/>
              </w:rPr>
              <w:t>Co-Founder, National Spokesperson, and Director</w:t>
            </w:r>
          </w:p>
        </w:tc>
      </w:tr>
      <w:tr>
        <w:trPr>
          <w:trHeight w:val="164"/>
        </w:trPr>
        <w:tc>
          <w:tcPr>
            <w:tcW w:w="1020" w:type="dxa"/>
            <w:vAlign w:val="bottom"/>
            <w:gridSpan w:val="2"/>
          </w:tcPr>
          <w:p>
            <w:pPr>
              <w:spacing w:after="0"/>
              <w:rPr>
                <w:sz w:val="20"/>
                <w:szCs w:val="20"/>
                <w:color w:val="auto"/>
              </w:rPr>
            </w:pPr>
            <w:r>
              <w:rPr>
                <w:rFonts w:ascii="Arial" w:cs="Arial" w:eastAsia="Arial" w:hAnsi="Arial"/>
                <w:sz w:val="13"/>
                <w:szCs w:val="13"/>
                <w:color w:val="auto"/>
              </w:rPr>
              <w:t>Jeffrey A. Blade</w:t>
            </w:r>
          </w:p>
        </w:tc>
        <w:tc>
          <w:tcPr>
            <w:tcW w:w="418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50</w:t>
            </w:r>
          </w:p>
        </w:tc>
        <w:tc>
          <w:tcPr>
            <w:tcW w:w="5360" w:type="dxa"/>
            <w:vAlign w:val="bottom"/>
            <w:gridSpan w:val="2"/>
          </w:tcPr>
          <w:p>
            <w:pPr>
              <w:ind w:left="100"/>
              <w:spacing w:after="0"/>
              <w:rPr>
                <w:sz w:val="20"/>
                <w:szCs w:val="20"/>
                <w:color w:val="auto"/>
              </w:rPr>
            </w:pPr>
            <w:r>
              <w:rPr>
                <w:rFonts w:ascii="Arial" w:cs="Arial" w:eastAsia="Arial" w:hAnsi="Arial"/>
                <w:sz w:val="13"/>
                <w:szCs w:val="13"/>
                <w:color w:val="auto"/>
              </w:rPr>
              <w:t>Executive Vice President – Chief Financial and Administrative Officer</w:t>
            </w:r>
          </w:p>
        </w:tc>
      </w:tr>
      <w:tr>
        <w:trPr>
          <w:trHeight w:val="164"/>
        </w:trPr>
        <w:tc>
          <w:tcPr>
            <w:tcW w:w="1020" w:type="dxa"/>
            <w:vAlign w:val="bottom"/>
            <w:gridSpan w:val="2"/>
          </w:tcPr>
          <w:p>
            <w:pPr>
              <w:spacing w:after="0"/>
              <w:rPr>
                <w:sz w:val="20"/>
                <w:szCs w:val="20"/>
                <w:color w:val="auto"/>
              </w:rPr>
            </w:pPr>
            <w:r>
              <w:rPr>
                <w:rFonts w:ascii="Arial" w:cs="Arial" w:eastAsia="Arial" w:hAnsi="Arial"/>
                <w:sz w:val="13"/>
                <w:szCs w:val="13"/>
                <w:color w:val="auto"/>
                <w:w w:val="97"/>
              </w:rPr>
              <w:t>Kimberly F. Colby</w:t>
            </w:r>
          </w:p>
        </w:tc>
        <w:tc>
          <w:tcPr>
            <w:tcW w:w="418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50</w:t>
            </w:r>
          </w:p>
        </w:tc>
        <w:tc>
          <w:tcPr>
            <w:tcW w:w="5360" w:type="dxa"/>
            <w:vAlign w:val="bottom"/>
            <w:gridSpan w:val="2"/>
          </w:tcPr>
          <w:p>
            <w:pPr>
              <w:ind w:left="100"/>
              <w:spacing w:after="0"/>
              <w:rPr>
                <w:sz w:val="20"/>
                <w:szCs w:val="20"/>
                <w:color w:val="auto"/>
              </w:rPr>
            </w:pPr>
            <w:r>
              <w:rPr>
                <w:rFonts w:ascii="Arial" w:cs="Arial" w:eastAsia="Arial" w:hAnsi="Arial"/>
                <w:sz w:val="13"/>
                <w:szCs w:val="13"/>
                <w:color w:val="auto"/>
              </w:rPr>
              <w:t>Executive Vice President – Design</w:t>
            </w:r>
          </w:p>
        </w:tc>
      </w:tr>
      <w:tr>
        <w:trPr>
          <w:trHeight w:val="164"/>
        </w:trPr>
        <w:tc>
          <w:tcPr>
            <w:tcW w:w="1020" w:type="dxa"/>
            <w:vAlign w:val="bottom"/>
            <w:gridSpan w:val="2"/>
          </w:tcPr>
          <w:p>
            <w:pPr>
              <w:spacing w:after="0"/>
              <w:rPr>
                <w:sz w:val="20"/>
                <w:szCs w:val="20"/>
                <w:color w:val="auto"/>
              </w:rPr>
            </w:pPr>
            <w:r>
              <w:rPr>
                <w:rFonts w:ascii="Arial" w:cs="Arial" w:eastAsia="Arial" w:hAnsi="Arial"/>
                <w:sz w:val="13"/>
                <w:szCs w:val="13"/>
                <w:color w:val="auto"/>
              </w:rPr>
              <w:t>C. Roddy Mann</w:t>
            </w:r>
          </w:p>
        </w:tc>
        <w:tc>
          <w:tcPr>
            <w:tcW w:w="418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42</w:t>
            </w:r>
          </w:p>
        </w:tc>
        <w:tc>
          <w:tcPr>
            <w:tcW w:w="5360" w:type="dxa"/>
            <w:vAlign w:val="bottom"/>
            <w:gridSpan w:val="2"/>
          </w:tcPr>
          <w:p>
            <w:pPr>
              <w:ind w:left="100"/>
              <w:spacing w:after="0"/>
              <w:rPr>
                <w:sz w:val="20"/>
                <w:szCs w:val="20"/>
                <w:color w:val="auto"/>
              </w:rPr>
            </w:pPr>
            <w:r>
              <w:rPr>
                <w:rFonts w:ascii="Arial" w:cs="Arial" w:eastAsia="Arial" w:hAnsi="Arial"/>
                <w:sz w:val="13"/>
                <w:szCs w:val="13"/>
                <w:color w:val="auto"/>
              </w:rPr>
              <w:t>Executive Vice President – Strategy &amp; Business Development</w:t>
            </w:r>
          </w:p>
        </w:tc>
      </w:tr>
      <w:tr>
        <w:trPr>
          <w:trHeight w:val="164"/>
        </w:trPr>
        <w:tc>
          <w:tcPr>
            <w:tcW w:w="1020" w:type="dxa"/>
            <w:vAlign w:val="bottom"/>
            <w:gridSpan w:val="2"/>
          </w:tcPr>
          <w:p>
            <w:pPr>
              <w:spacing w:after="0"/>
              <w:rPr>
                <w:sz w:val="20"/>
                <w:szCs w:val="20"/>
                <w:color w:val="auto"/>
              </w:rPr>
            </w:pPr>
            <w:r>
              <w:rPr>
                <w:rFonts w:ascii="Arial" w:cs="Arial" w:eastAsia="Arial" w:hAnsi="Arial"/>
                <w:sz w:val="13"/>
                <w:szCs w:val="13"/>
                <w:color w:val="auto"/>
              </w:rPr>
              <w:t>Jill A. Nichols</w:t>
            </w:r>
          </w:p>
        </w:tc>
        <w:tc>
          <w:tcPr>
            <w:tcW w:w="418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51</w:t>
            </w:r>
          </w:p>
        </w:tc>
        <w:tc>
          <w:tcPr>
            <w:tcW w:w="5360" w:type="dxa"/>
            <w:vAlign w:val="bottom"/>
            <w:gridSpan w:val="2"/>
          </w:tcPr>
          <w:p>
            <w:pPr>
              <w:ind w:left="100"/>
              <w:spacing w:after="0"/>
              <w:rPr>
                <w:sz w:val="20"/>
                <w:szCs w:val="20"/>
                <w:color w:val="auto"/>
              </w:rPr>
            </w:pPr>
            <w:r>
              <w:rPr>
                <w:rFonts w:ascii="Arial" w:cs="Arial" w:eastAsia="Arial" w:hAnsi="Arial"/>
                <w:sz w:val="13"/>
                <w:szCs w:val="13"/>
                <w:color w:val="auto"/>
              </w:rPr>
              <w:t>Executive Vice President – Philanthropy and Community Relations</w:t>
            </w:r>
          </w:p>
        </w:tc>
      </w:tr>
      <w:tr>
        <w:trPr>
          <w:trHeight w:val="171"/>
        </w:trPr>
        <w:tc>
          <w:tcPr>
            <w:tcW w:w="5200" w:type="dxa"/>
            <w:vAlign w:val="bottom"/>
            <w:gridSpan w:val="3"/>
          </w:tcPr>
          <w:p>
            <w:pPr>
              <w:spacing w:after="0"/>
              <w:rPr>
                <w:sz w:val="20"/>
                <w:szCs w:val="20"/>
                <w:color w:val="auto"/>
              </w:rPr>
            </w:pPr>
            <w:r>
              <w:rPr>
                <w:rFonts w:ascii="Arial" w:cs="Arial" w:eastAsia="Arial" w:hAnsi="Arial"/>
                <w:sz w:val="13"/>
                <w:szCs w:val="13"/>
                <w:color w:val="auto"/>
              </w:rPr>
              <w:t>Matthew C. Wojewuczki</w:t>
            </w: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42</w:t>
            </w:r>
          </w:p>
        </w:tc>
        <w:tc>
          <w:tcPr>
            <w:tcW w:w="5360" w:type="dxa"/>
            <w:vAlign w:val="bottom"/>
            <w:gridSpan w:val="2"/>
          </w:tcPr>
          <w:p>
            <w:pPr>
              <w:ind w:left="100"/>
              <w:spacing w:after="0"/>
              <w:rPr>
                <w:sz w:val="20"/>
                <w:szCs w:val="20"/>
                <w:color w:val="auto"/>
              </w:rPr>
            </w:pPr>
            <w:r>
              <w:rPr>
                <w:rFonts w:ascii="Arial" w:cs="Arial" w:eastAsia="Arial" w:hAnsi="Arial"/>
                <w:sz w:val="13"/>
                <w:szCs w:val="13"/>
                <w:color w:val="auto"/>
              </w:rPr>
              <w:t>Executive Vice President – Operations</w:t>
            </w:r>
          </w:p>
        </w:tc>
      </w:tr>
    </w:tbl>
    <w:p>
      <w:pPr>
        <w:spacing w:after="0" w:line="117"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i w:val="1"/>
          <w:iCs w:val="1"/>
          <w:color w:val="auto"/>
        </w:rPr>
        <w:t xml:space="preserve">Michael C. Ray </w:t>
      </w:r>
      <w:r>
        <w:rPr>
          <w:rFonts w:ascii="Arial" w:cs="Arial" w:eastAsia="Arial" w:hAnsi="Arial"/>
          <w:sz w:val="13"/>
          <w:szCs w:val="13"/>
          <w:color w:val="auto"/>
        </w:rPr>
        <w:t>has served as our Chief Executive Officer since 2007 and as a director since June 2010. From 2004 to 2007, Mr. Ray served as our Executive Vice President of Sales and Marketing. From 1999 to</w:t>
      </w:r>
      <w:r>
        <w:rPr>
          <w:rFonts w:ascii="Arial" w:cs="Arial" w:eastAsia="Arial" w:hAnsi="Arial"/>
          <w:sz w:val="13"/>
          <w:szCs w:val="13"/>
          <w:i w:val="1"/>
          <w:iCs w:val="1"/>
          <w:color w:val="auto"/>
        </w:rPr>
        <w:t xml:space="preserve"> </w:t>
      </w:r>
      <w:r>
        <w:rPr>
          <w:rFonts w:ascii="Arial" w:cs="Arial" w:eastAsia="Arial" w:hAnsi="Arial"/>
          <w:sz w:val="13"/>
          <w:szCs w:val="13"/>
          <w:color w:val="auto"/>
        </w:rPr>
        <w:t>2004, he served as our National Sales Director. Mr. Ray joined Vera Bradley in 1998 as Director of Finance and served us in that capacity until being promoted to National Sales Director in 1999. He is a board member of the Riley Children’s Foundation in Indianapolis, Indiana.</w:t>
      </w:r>
    </w:p>
    <w:p>
      <w:pPr>
        <w:spacing w:after="0" w:line="91" w:lineRule="exact"/>
        <w:rPr>
          <w:sz w:val="20"/>
          <w:szCs w:val="20"/>
          <w:color w:val="auto"/>
        </w:rPr>
      </w:pPr>
    </w:p>
    <w:p>
      <w:pPr>
        <w:ind w:right="600"/>
        <w:spacing w:after="0" w:line="298" w:lineRule="auto"/>
        <w:rPr>
          <w:sz w:val="20"/>
          <w:szCs w:val="20"/>
          <w:color w:val="auto"/>
        </w:rPr>
      </w:pPr>
      <w:r>
        <w:rPr>
          <w:rFonts w:ascii="Arial" w:cs="Arial" w:eastAsia="Arial" w:hAnsi="Arial"/>
          <w:sz w:val="13"/>
          <w:szCs w:val="13"/>
          <w:color w:val="auto"/>
        </w:rPr>
        <w:t>Mr. Ray has been instrumental in our growth and the development and execution of our long-term strategic plans. He provides our board of directors with an in-depth knowledge of our products, industry, challenges, and opportunities, and he communicates management’s perspective on important matters.</w:t>
      </w:r>
    </w:p>
    <w:p>
      <w:pPr>
        <w:spacing w:after="0" w:line="81" w:lineRule="exact"/>
        <w:rPr>
          <w:sz w:val="20"/>
          <w:szCs w:val="20"/>
          <w:color w:val="auto"/>
        </w:rPr>
      </w:pPr>
    </w:p>
    <w:p>
      <w:pPr>
        <w:ind w:right="100"/>
        <w:spacing w:after="0" w:line="304" w:lineRule="auto"/>
        <w:rPr>
          <w:sz w:val="20"/>
          <w:szCs w:val="20"/>
          <w:color w:val="auto"/>
        </w:rPr>
      </w:pPr>
      <w:r>
        <w:rPr>
          <w:rFonts w:ascii="Arial" w:cs="Arial" w:eastAsia="Arial" w:hAnsi="Arial"/>
          <w:sz w:val="12"/>
          <w:szCs w:val="12"/>
          <w:i w:val="1"/>
          <w:iCs w:val="1"/>
          <w:color w:val="auto"/>
        </w:rPr>
        <w:t xml:space="preserve">Barbara Bradley Baekgaard </w:t>
      </w:r>
      <w:r>
        <w:rPr>
          <w:rFonts w:ascii="Arial" w:cs="Arial" w:eastAsia="Arial" w:hAnsi="Arial"/>
          <w:sz w:val="12"/>
          <w:szCs w:val="12"/>
          <w:color w:val="auto"/>
        </w:rPr>
        <w:t>co-founded Vera Bradley in 1982 and has served as a director since then. From 1982 through June 2010, she also served as Co-President. From the outset, Ms. Bradley Baekgaard has</w:t>
      </w:r>
      <w:r>
        <w:rPr>
          <w:rFonts w:ascii="Arial" w:cs="Arial" w:eastAsia="Arial" w:hAnsi="Arial"/>
          <w:sz w:val="12"/>
          <w:szCs w:val="12"/>
          <w:i w:val="1"/>
          <w:iCs w:val="1"/>
          <w:color w:val="auto"/>
        </w:rPr>
        <w:t xml:space="preserve"> </w:t>
      </w:r>
      <w:r>
        <w:rPr>
          <w:rFonts w:ascii="Arial" w:cs="Arial" w:eastAsia="Arial" w:hAnsi="Arial"/>
          <w:sz w:val="12"/>
          <w:szCs w:val="12"/>
          <w:color w:val="auto"/>
        </w:rPr>
        <w:t>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 Ms. Bradley Baekgaard’s most recent personal awards include 2007 Country Living Entrepreneur Award and 2006 Gifts and Decorative Accessories Industry Achievement Award.</w:t>
      </w:r>
    </w:p>
    <w:p>
      <w:pPr>
        <w:spacing w:after="0" w:line="82"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81"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i w:val="1"/>
          <w:iCs w:val="1"/>
          <w:color w:val="auto"/>
        </w:rPr>
        <w:t xml:space="preserve">Patricia R. Miller </w:t>
      </w:r>
      <w:r>
        <w:rPr>
          <w:rFonts w:ascii="Arial" w:cs="Arial" w:eastAsia="Arial" w:hAnsi="Arial"/>
          <w:sz w:val="13"/>
          <w:szCs w:val="13"/>
          <w:color w:val="auto"/>
        </w:rPr>
        <w:t>co-founded Vera Bradley in 1982 and has served as a director since then. From 1982 through June 2010, she also served as Co-President. From the outset, Ms. Miller has provided leadership and</w:t>
      </w:r>
      <w:r>
        <w:rPr>
          <w:rFonts w:ascii="Arial" w:cs="Arial" w:eastAsia="Arial" w:hAnsi="Arial"/>
          <w:sz w:val="13"/>
          <w:szCs w:val="13"/>
          <w:i w:val="1"/>
          <w:iCs w:val="1"/>
          <w:color w:val="auto"/>
        </w:rPr>
        <w:t xml:space="preserve"> </w:t>
      </w:r>
      <w:r>
        <w:rPr>
          <w:rFonts w:ascii="Arial" w:cs="Arial" w:eastAsia="Arial" w:hAnsi="Arial"/>
          <w:sz w:val="13"/>
          <w:szCs w:val="13"/>
          <w:color w:val="auto"/>
        </w:rPr>
        <w:t>strategic direction to the business, guiding the development of our operations and supply chain infrastructure and the growth of our employee base. Ms. Miller has also regularly provided a face for Vera Bradley. In June 2010, she was appointed National Spokesperson for the company where she will continue to promote our brand. Ms. Miller served as the first Secretary of Commerce for the State of Indiana and the Chief Executive Officer of the Indiana Economic Development Corporation from 2005 to 2006. Her most recent personal awards include the Ball State University Indiana Women of Achievement Award for Entrepreneurship in 2006 and the Indiana Historical Society Indiana Living Legend Award in 2008. Ms. Miller serves as a director for the Indiana University Foundation and for the Vera Bradley Foundation for Breast Cancer.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460"/>
          </w:cols>
          <w:pgMar w:left="220" w:top="384" w:right="2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4" w:lineRule="exact"/>
        <w:rPr>
          <w:sz w:val="20"/>
          <w:szCs w:val="20"/>
          <w:color w:val="auto"/>
        </w:rPr>
      </w:pPr>
    </w:p>
    <w:p>
      <w:pPr>
        <w:ind w:right="120"/>
        <w:spacing w:after="0" w:line="343" w:lineRule="auto"/>
        <w:rPr>
          <w:sz w:val="20"/>
          <w:szCs w:val="20"/>
          <w:color w:val="auto"/>
        </w:rPr>
      </w:pPr>
      <w:r>
        <w:rPr>
          <w:rFonts w:ascii="Arial" w:cs="Arial" w:eastAsia="Arial" w:hAnsi="Arial"/>
          <w:sz w:val="12"/>
          <w:szCs w:val="12"/>
          <w:color w:val="auto"/>
        </w:rPr>
        <w:t>As Co-Founder of Vera Bradley, Ms. Miller brings to our board of directors a broad array of institutional knowledge and historical perspective. Ms. Miller also provides insight and perspective on general strategic and business matters, stemming from her executive and finance experience as Secretary of Commerce for the State of Indiana and as Chief Executive Officer of the Indiana Economic Development Corporation.</w:t>
      </w:r>
    </w:p>
    <w:p>
      <w:pPr>
        <w:spacing w:after="0" w:line="58"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i w:val="1"/>
          <w:iCs w:val="1"/>
          <w:color w:val="auto"/>
        </w:rPr>
        <w:t xml:space="preserve">Jeffrey A. Blade </w:t>
      </w:r>
      <w:r>
        <w:rPr>
          <w:rFonts w:ascii="Arial" w:cs="Arial" w:eastAsia="Arial" w:hAnsi="Arial"/>
          <w:sz w:val="13"/>
          <w:szCs w:val="13"/>
          <w:color w:val="auto"/>
        </w:rPr>
        <w:t>has served as our Executive Vice President – Chief Financial and Administrative Officer since May 2010. Prior to joining Vera Bradley, from 2009 to January 2010 Mr. Blade served as Senior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 Chief Financial Officer and Secretary of Central Garden and Pet Company, a publicly traded consumer goods retailer. Mr. Blade previously served in various roles at Steak ‘n Shake from 2004 to 2008, including Interim President, Executive Vice President – Chief Financial and Administrative Officer, and Senior Vice President and Chief Financial Officer. From 1999 to 2004, Mr. Blade was Vice President of Finance for the U.S. operations of Cott Corporation. He served in various financial roles for Kraft Foods Corporation from 1988 to 1999.</w:t>
      </w:r>
    </w:p>
    <w:p>
      <w:pPr>
        <w:spacing w:after="0" w:line="95" w:lineRule="exact"/>
        <w:rPr>
          <w:sz w:val="20"/>
          <w:szCs w:val="20"/>
          <w:color w:val="auto"/>
        </w:rPr>
      </w:pPr>
    </w:p>
    <w:p>
      <w:pPr>
        <w:ind w:right="200"/>
        <w:spacing w:after="0" w:line="281" w:lineRule="auto"/>
        <w:rPr>
          <w:sz w:val="20"/>
          <w:szCs w:val="20"/>
          <w:color w:val="auto"/>
        </w:rPr>
      </w:pPr>
      <w:r>
        <w:rPr>
          <w:rFonts w:ascii="Arial" w:cs="Arial" w:eastAsia="Arial" w:hAnsi="Arial"/>
          <w:sz w:val="13"/>
          <w:szCs w:val="13"/>
          <w:i w:val="1"/>
          <w:iCs w:val="1"/>
          <w:color w:val="auto"/>
        </w:rPr>
        <w:t xml:space="preserve">Kimberly F. Colby </w:t>
      </w:r>
      <w:r>
        <w:rPr>
          <w:rFonts w:ascii="Arial" w:cs="Arial" w:eastAsia="Arial" w:hAnsi="Arial"/>
          <w:sz w:val="13"/>
          <w:szCs w:val="13"/>
          <w:color w:val="auto"/>
        </w:rPr>
        <w:t>has served as our Executive Vice President – Design since 2005. From 2003 through 2005, she served as our Vice President of Design. From 1989 to 2003, Ms. Colby served as our Design</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 responsible for Marketing and Product Development. Ms. Colby’s professional history includes retail advertising, public relations, direct mail creative direction and management, special event planning, and interior design.</w:t>
      </w:r>
    </w:p>
    <w:p>
      <w:pPr>
        <w:spacing w:after="0" w:line="91" w:lineRule="exact"/>
        <w:rPr>
          <w:sz w:val="20"/>
          <w:szCs w:val="20"/>
          <w:color w:val="auto"/>
        </w:rPr>
      </w:pPr>
    </w:p>
    <w:p>
      <w:pPr>
        <w:ind w:right="180"/>
        <w:spacing w:after="0" w:line="275" w:lineRule="auto"/>
        <w:rPr>
          <w:sz w:val="20"/>
          <w:szCs w:val="20"/>
          <w:color w:val="auto"/>
        </w:rPr>
      </w:pPr>
      <w:r>
        <w:rPr>
          <w:rFonts w:ascii="Arial" w:cs="Arial" w:eastAsia="Arial" w:hAnsi="Arial"/>
          <w:sz w:val="13"/>
          <w:szCs w:val="13"/>
          <w:i w:val="1"/>
          <w:iCs w:val="1"/>
          <w:color w:val="auto"/>
        </w:rPr>
        <w:t xml:space="preserve">C. Roddy Mann </w:t>
      </w:r>
      <w:r>
        <w:rPr>
          <w:rFonts w:ascii="Arial" w:cs="Arial" w:eastAsia="Arial" w:hAnsi="Arial"/>
          <w:sz w:val="13"/>
          <w:szCs w:val="13"/>
          <w:color w:val="auto"/>
        </w:rPr>
        <w:t>has served as our Executive Vice President – Strategy and Business Development since April 2010 and is responsible for the development of our strategies and new business opportunities in both</w:t>
      </w:r>
      <w:r>
        <w:rPr>
          <w:rFonts w:ascii="Arial" w:cs="Arial" w:eastAsia="Arial" w:hAnsi="Arial"/>
          <w:sz w:val="13"/>
          <w:szCs w:val="13"/>
          <w:i w:val="1"/>
          <w:iCs w:val="1"/>
          <w:color w:val="auto"/>
        </w:rPr>
        <w:t xml:space="preserve"> </w:t>
      </w:r>
      <w:r>
        <w:rPr>
          <w:rFonts w:ascii="Arial" w:cs="Arial" w:eastAsia="Arial" w:hAnsi="Arial"/>
          <w:sz w:val="13"/>
          <w:szCs w:val="13"/>
          <w:color w:val="auto"/>
        </w:rPr>
        <w:t>our Indirect and Direct channels.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95"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i w:val="1"/>
          <w:iCs w:val="1"/>
          <w:color w:val="auto"/>
        </w:rPr>
        <w:t xml:space="preserve">Jill A. Nichols </w:t>
      </w:r>
      <w:r>
        <w:rPr>
          <w:rFonts w:ascii="Arial" w:cs="Arial" w:eastAsia="Arial" w:hAnsi="Arial"/>
          <w:sz w:val="13"/>
          <w:szCs w:val="13"/>
          <w:color w:val="auto"/>
        </w:rPr>
        <w:t>has served as our Executive Vice President – Philanthropy and Community Relations since April 2010. From 1997 to April 2010, Ms. Nichols served as our Executive Vice President and Chief</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Officer. From 1992 to 1997, she served as our Director of Operations and, from 1989 to 1992, she served as our Controller and Operations Manager. Prior to joining Vera Bradley, Ms. Nichols held finance positions with the YWCA and Coopers &amp; Lybrand (which later merged with Price Waterhouse to become PricewaterhouseCoopers). She became a Certified Public Accountant in 1986. Ms. Nichols serves as the treasurer and a director of the Vera Bradley Foundation for Breast Cancer.</w:t>
      </w:r>
    </w:p>
    <w:p>
      <w:pPr>
        <w:spacing w:after="0" w:line="95" w:lineRule="exact"/>
        <w:rPr>
          <w:sz w:val="20"/>
          <w:szCs w:val="20"/>
          <w:color w:val="auto"/>
        </w:rPr>
      </w:pPr>
    </w:p>
    <w:p>
      <w:pPr>
        <w:spacing w:after="0" w:line="314" w:lineRule="auto"/>
        <w:rPr>
          <w:sz w:val="20"/>
          <w:szCs w:val="20"/>
          <w:color w:val="auto"/>
        </w:rPr>
      </w:pPr>
      <w:r>
        <w:rPr>
          <w:rFonts w:ascii="Arial" w:cs="Arial" w:eastAsia="Arial" w:hAnsi="Arial"/>
          <w:sz w:val="12"/>
          <w:szCs w:val="12"/>
          <w:i w:val="1"/>
          <w:iCs w:val="1"/>
          <w:color w:val="auto"/>
        </w:rPr>
        <w:t xml:space="preserve">Matthew C. Wojewuczki </w:t>
      </w:r>
      <w:r>
        <w:rPr>
          <w:rFonts w:ascii="Arial" w:cs="Arial" w:eastAsia="Arial" w:hAnsi="Arial"/>
          <w:sz w:val="12"/>
          <w:szCs w:val="12"/>
          <w:color w:val="auto"/>
        </w:rPr>
        <w:t>has served as our Executive Vice President – Operations since April 2010. From 2003 to April 2010, Mr. Wojewuczki served as our Vice President – Operations. Prior to joining Vera</w:t>
      </w:r>
      <w:r>
        <w:rPr>
          <w:rFonts w:ascii="Arial" w:cs="Arial" w:eastAsia="Arial" w:hAnsi="Arial"/>
          <w:sz w:val="12"/>
          <w:szCs w:val="12"/>
          <w:i w:val="1"/>
          <w:iCs w:val="1"/>
          <w:color w:val="auto"/>
        </w:rPr>
        <w:t xml:space="preserve"> </w:t>
      </w:r>
      <w:r>
        <w:rPr>
          <w:rFonts w:ascii="Arial" w:cs="Arial" w:eastAsia="Arial" w:hAnsi="Arial"/>
          <w:sz w:val="12"/>
          <w:szCs w:val="12"/>
          <w:color w:val="auto"/>
        </w:rPr>
        <w:t>Bradley, he served as Vice President of Manufacturing and Supply Chain Management of Wabash Alloys, a secondary aluminum producer, from 2000 to 2003. From 1997 to 2000, he served as a principal consultant in the Management Consulting Services Group of PricewaterhouseCoopers. In addition, Mr. Wojewuczki is a Commissioned Officer in the U.S. Air Force Reserves, where he holds the rank of Major.</w:t>
      </w:r>
    </w:p>
    <w:p>
      <w:pPr>
        <w:spacing w:after="0" w:line="75"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information set forth in the Proxy Statement for the 2012 Annual Meeting of Shareholders under the headings “Family Relationships,” Section 16(a) Beneficial Ownership Reporting Compliance,”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460"/>
          </w:cols>
          <w:pgMar w:left="220" w:top="384" w:right="21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78" w:lineRule="exact"/>
        <w:rPr>
          <w:sz w:val="20"/>
          <w:szCs w:val="20"/>
          <w:color w:val="auto"/>
        </w:rPr>
      </w:pPr>
    </w:p>
    <w:p>
      <w:pPr>
        <w:spacing w:after="0" w:line="343" w:lineRule="auto"/>
        <w:rPr>
          <w:sz w:val="20"/>
          <w:szCs w:val="20"/>
          <w:color w:val="auto"/>
        </w:rPr>
      </w:pPr>
      <w:r>
        <w:rPr>
          <w:rFonts w:ascii="Arial" w:cs="Arial" w:eastAsia="Arial" w:hAnsi="Arial"/>
          <w:sz w:val="12"/>
          <w:szCs w:val="12"/>
          <w:color w:val="auto"/>
        </w:rPr>
        <w:t>The information set forth in the Proxy Statement for the 2012 Annual Meeting of Shareholders under the heading “Executive Compensation Discussion and Analysis”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48"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information set forth in the Proxy Statement for the 2012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2"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information set forth in the Proxy Statement for the 2012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2" w:lineRule="exact"/>
        <w:rPr>
          <w:sz w:val="20"/>
          <w:szCs w:val="20"/>
          <w:color w:val="auto"/>
        </w:rPr>
      </w:pPr>
    </w:p>
    <w:p>
      <w:pPr>
        <w:spacing w:after="0"/>
        <w:tabs>
          <w:tab w:leader="none" w:pos="10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Accounting Fees and Services</w:t>
      </w:r>
    </w:p>
    <w:p>
      <w:pPr>
        <w:spacing w:after="0" w:line="78" w:lineRule="exact"/>
        <w:rPr>
          <w:sz w:val="20"/>
          <w:szCs w:val="20"/>
          <w:color w:val="auto"/>
        </w:rPr>
      </w:pPr>
    </w:p>
    <w:p>
      <w:pPr>
        <w:ind w:right="360"/>
        <w:spacing w:after="0" w:line="298" w:lineRule="auto"/>
        <w:rPr>
          <w:sz w:val="20"/>
          <w:szCs w:val="20"/>
          <w:color w:val="auto"/>
        </w:rPr>
      </w:pPr>
      <w:r>
        <w:rPr>
          <w:rFonts w:ascii="Arial" w:cs="Arial" w:eastAsia="Arial" w:hAnsi="Arial"/>
          <w:sz w:val="13"/>
          <w:szCs w:val="13"/>
          <w:color w:val="auto"/>
        </w:rPr>
        <w:t>The information required by this item is incorporated herein by reference to our 2012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420"/>
          </w:cols>
          <w:pgMar w:left="220" w:top="384" w:right="2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gridSpan w:val="4"/>
          </w:tcPr>
          <w:p>
            <w:pPr>
              <w:ind w:left="1460"/>
              <w:spacing w:after="0"/>
              <w:rPr>
                <w:sz w:val="20"/>
                <w:szCs w:val="20"/>
                <w:color w:val="auto"/>
              </w:rPr>
            </w:pPr>
            <w:r>
              <w:rPr>
                <w:rFonts w:ascii="Arial" w:cs="Arial" w:eastAsia="Arial" w:hAnsi="Arial"/>
                <w:sz w:val="13"/>
                <w:szCs w:val="13"/>
                <w:b w:val="1"/>
                <w:bCs w:val="1"/>
                <w:color w:val="auto"/>
              </w:rPr>
              <w:t>PART IV</w:t>
            </w:r>
          </w:p>
        </w:tc>
        <w:tc>
          <w:tcPr>
            <w:tcW w:w="1480" w:type="dxa"/>
            <w:vAlign w:val="bottom"/>
          </w:tcPr>
          <w:p>
            <w:pPr>
              <w:spacing w:after="0"/>
              <w:rPr>
                <w:sz w:val="15"/>
                <w:szCs w:val="15"/>
                <w:color w:val="auto"/>
              </w:rPr>
            </w:pPr>
          </w:p>
        </w:tc>
      </w:tr>
      <w:tr>
        <w:trPr>
          <w:trHeight w:val="318"/>
        </w:trPr>
        <w:tc>
          <w:tcPr>
            <w:tcW w:w="74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9180" w:type="dxa"/>
            <w:vAlign w:val="bottom"/>
            <w:gridSpan w:val="7"/>
          </w:tcPr>
          <w:p>
            <w:pPr>
              <w:ind w:left="280"/>
              <w:spacing w:after="0"/>
              <w:rPr>
                <w:sz w:val="20"/>
                <w:szCs w:val="20"/>
                <w:color w:val="auto"/>
              </w:rPr>
            </w:pPr>
            <w:r>
              <w:rPr>
                <w:rFonts w:ascii="Arial" w:cs="Arial" w:eastAsia="Arial" w:hAnsi="Arial"/>
                <w:sz w:val="13"/>
                <w:szCs w:val="13"/>
                <w:b w:val="1"/>
                <w:bCs w:val="1"/>
                <w:color w:val="auto"/>
              </w:rPr>
              <w:t>Exhibits, Financial Statement Schedules</w:t>
            </w:r>
          </w:p>
        </w:tc>
        <w:tc>
          <w:tcPr>
            <w:tcW w:w="1480" w:type="dxa"/>
            <w:vAlign w:val="bottom"/>
          </w:tcPr>
          <w:p>
            <w:pPr>
              <w:spacing w:after="0"/>
              <w:rPr>
                <w:sz w:val="24"/>
                <w:szCs w:val="24"/>
                <w:color w:val="auto"/>
              </w:rPr>
            </w:pPr>
          </w:p>
        </w:tc>
      </w:tr>
      <w:tr>
        <w:trPr>
          <w:trHeight w:val="226"/>
        </w:trPr>
        <w:tc>
          <w:tcPr>
            <w:tcW w:w="9920" w:type="dxa"/>
            <w:vAlign w:val="bottom"/>
            <w:gridSpan w:val="8"/>
          </w:tcPr>
          <w:p>
            <w:pPr>
              <w:spacing w:after="0"/>
              <w:rPr>
                <w:sz w:val="20"/>
                <w:szCs w:val="20"/>
                <w:color w:val="auto"/>
              </w:rPr>
            </w:pPr>
            <w:r>
              <w:rPr>
                <w:rFonts w:ascii="Arial" w:cs="Arial" w:eastAsia="Arial" w:hAnsi="Arial"/>
                <w:sz w:val="13"/>
                <w:szCs w:val="13"/>
                <w:b w:val="1"/>
                <w:bCs w:val="1"/>
                <w:color w:val="auto"/>
              </w:rPr>
              <w:t>(1) Consolidated Financial Statements</w:t>
            </w:r>
          </w:p>
        </w:tc>
        <w:tc>
          <w:tcPr>
            <w:tcW w:w="1480" w:type="dxa"/>
            <w:vAlign w:val="bottom"/>
          </w:tcPr>
          <w:p>
            <w:pPr>
              <w:spacing w:after="0"/>
              <w:rPr>
                <w:sz w:val="19"/>
                <w:szCs w:val="19"/>
                <w:color w:val="auto"/>
              </w:rPr>
            </w:pPr>
          </w:p>
        </w:tc>
      </w:tr>
      <w:tr>
        <w:trPr>
          <w:trHeight w:val="288"/>
        </w:trPr>
        <w:tc>
          <w:tcPr>
            <w:tcW w:w="9920" w:type="dxa"/>
            <w:vAlign w:val="bottom"/>
            <w:gridSpan w:val="8"/>
          </w:tcPr>
          <w:p>
            <w:pPr>
              <w:spacing w:after="0"/>
              <w:rPr>
                <w:sz w:val="20"/>
                <w:szCs w:val="20"/>
                <w:color w:val="auto"/>
              </w:rPr>
            </w:pPr>
            <w:r>
              <w:rPr>
                <w:rFonts w:ascii="Arial" w:cs="Arial" w:eastAsia="Arial" w:hAnsi="Arial"/>
                <w:sz w:val="13"/>
                <w:szCs w:val="13"/>
                <w:color w:val="auto"/>
              </w:rPr>
              <w:t>The following consolidated financial statements of Vera Bradley, Inc. are filed as part of this report under Item 8. Financial Statements and Supplementary Data:</w:t>
            </w:r>
          </w:p>
        </w:tc>
        <w:tc>
          <w:tcPr>
            <w:tcW w:w="1480" w:type="dxa"/>
            <w:vAlign w:val="bottom"/>
          </w:tcPr>
          <w:p>
            <w:pPr>
              <w:spacing w:after="0"/>
              <w:rPr>
                <w:sz w:val="24"/>
                <w:szCs w:val="24"/>
                <w:color w:val="auto"/>
              </w:rPr>
            </w:pPr>
          </w:p>
        </w:tc>
      </w:tr>
      <w:tr>
        <w:trPr>
          <w:trHeight w:val="289"/>
        </w:trPr>
        <w:tc>
          <w:tcPr>
            <w:tcW w:w="3140" w:type="dxa"/>
            <w:vAlign w:val="bottom"/>
            <w:tcBorders>
              <w:bottom w:val="single" w:sz="8" w:color="0000EE"/>
            </w:tcBorders>
            <w:gridSpan w:val="3"/>
          </w:tcPr>
          <w:p>
            <w:pPr>
              <w:spacing w:after="0"/>
              <w:rPr>
                <w:rFonts w:ascii="Arial" w:cs="Arial" w:eastAsia="Arial" w:hAnsi="Arial"/>
                <w:sz w:val="13"/>
                <w:szCs w:val="13"/>
                <w:color w:val="0000EE"/>
                <w:w w:val="93"/>
              </w:rPr>
            </w:pPr>
            <w:hyperlink w:anchor="page47">
              <w:r>
                <w:rPr>
                  <w:rFonts w:ascii="Arial" w:cs="Arial" w:eastAsia="Arial" w:hAnsi="Arial"/>
                  <w:sz w:val="13"/>
                  <w:szCs w:val="13"/>
                  <w:color w:val="0000EE"/>
                  <w:w w:val="93"/>
                </w:rPr>
                <w:t>Report of Independent Registered Public Accounting Firm</w:t>
              </w:r>
            </w:hyperlink>
          </w:p>
        </w:tc>
        <w:tc>
          <w:tcPr>
            <w:tcW w:w="6780" w:type="dxa"/>
            <w:vAlign w:val="bottom"/>
            <w:gridSpan w:val="5"/>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44"/>
        </w:trPr>
        <w:tc>
          <w:tcPr>
            <w:tcW w:w="4000" w:type="dxa"/>
            <w:vAlign w:val="bottom"/>
            <w:tcBorders>
              <w:bottom w:val="single" w:sz="8" w:color="0000EE"/>
            </w:tcBorders>
            <w:gridSpan w:val="4"/>
          </w:tcPr>
          <w:p>
            <w:pPr>
              <w:spacing w:after="0" w:line="144" w:lineRule="exact"/>
              <w:rPr>
                <w:rFonts w:ascii="Arial" w:cs="Arial" w:eastAsia="Arial" w:hAnsi="Arial"/>
                <w:sz w:val="13"/>
                <w:szCs w:val="13"/>
                <w:color w:val="0000EE"/>
                <w:w w:val="90"/>
              </w:rPr>
            </w:pPr>
            <w:hyperlink w:anchor="page48">
              <w:r>
                <w:rPr>
                  <w:rFonts w:ascii="Arial" w:cs="Arial" w:eastAsia="Arial" w:hAnsi="Arial"/>
                  <w:sz w:val="13"/>
                  <w:szCs w:val="13"/>
                  <w:color w:val="0000EE"/>
                  <w:w w:val="90"/>
                </w:rPr>
                <w:t>Consolidated Balance Sheets as of January 28, 2012, and January 29, 2011</w:t>
              </w:r>
            </w:hyperlink>
          </w:p>
        </w:tc>
        <w:tc>
          <w:tcPr>
            <w:tcW w:w="5920" w:type="dxa"/>
            <w:vAlign w:val="bottom"/>
            <w:gridSpan w:val="4"/>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r>
      <w:tr>
        <w:trPr>
          <w:trHeight w:val="144"/>
        </w:trPr>
        <w:tc>
          <w:tcPr>
            <w:tcW w:w="6460" w:type="dxa"/>
            <w:vAlign w:val="bottom"/>
            <w:tcBorders>
              <w:bottom w:val="single" w:sz="8" w:color="0000EE"/>
            </w:tcBorders>
            <w:gridSpan w:val="5"/>
          </w:tcPr>
          <w:p>
            <w:pPr>
              <w:spacing w:after="0" w:line="144" w:lineRule="exact"/>
              <w:rPr>
                <w:rFonts w:ascii="Arial" w:cs="Arial" w:eastAsia="Arial" w:hAnsi="Arial"/>
                <w:sz w:val="13"/>
                <w:szCs w:val="13"/>
                <w:color w:val="0000EE"/>
                <w:w w:val="92"/>
              </w:rPr>
            </w:pPr>
            <w:hyperlink w:anchor="page49">
              <w:r>
                <w:rPr>
                  <w:rFonts w:ascii="Arial" w:cs="Arial" w:eastAsia="Arial" w:hAnsi="Arial"/>
                  <w:sz w:val="13"/>
                  <w:szCs w:val="13"/>
                  <w:color w:val="0000EE"/>
                  <w:w w:val="92"/>
                </w:rPr>
                <w:t>Consolidated Statements of Income for the fiscal years ended January 28, 2012, January 29, 2011, and January 30, 2010</w:t>
              </w:r>
            </w:hyperlink>
          </w:p>
        </w:tc>
        <w:tc>
          <w:tcPr>
            <w:tcW w:w="3460" w:type="dxa"/>
            <w:vAlign w:val="bottom"/>
            <w:gridSpan w:val="3"/>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Arial" w:cs="Arial" w:eastAsia="Arial" w:hAnsi="Arial"/>
                <w:sz w:val="13"/>
                <w:szCs w:val="13"/>
                <w:color w:val="auto"/>
              </w:rPr>
              <w:t>49</w:t>
            </w:r>
          </w:p>
        </w:tc>
      </w:tr>
      <w:tr>
        <w:trPr>
          <w:trHeight w:val="144"/>
        </w:trPr>
        <w:tc>
          <w:tcPr>
            <w:tcW w:w="9920" w:type="dxa"/>
            <w:vAlign w:val="bottom"/>
            <w:gridSpan w:val="8"/>
          </w:tcPr>
          <w:p>
            <w:pPr>
              <w:spacing w:after="0" w:line="144" w:lineRule="exact"/>
              <w:rPr>
                <w:rFonts w:ascii="Arial" w:cs="Arial" w:eastAsia="Arial" w:hAnsi="Arial"/>
                <w:sz w:val="13"/>
                <w:szCs w:val="13"/>
                <w:color w:val="0000EE"/>
              </w:rPr>
            </w:pPr>
            <w:hyperlink w:anchor="page50">
              <w:r>
                <w:rPr>
                  <w:rFonts w:ascii="Arial" w:cs="Arial" w:eastAsia="Arial" w:hAnsi="Arial"/>
                  <w:sz w:val="13"/>
                  <w:szCs w:val="13"/>
                  <w:color w:val="0000EE"/>
                </w:rPr>
                <w:t>Consolidated Statements of Shareholders’ Equity for the fiscal years ended January 28, 2012, January 29, 2011, and January 30, 2010</w:t>
              </w:r>
            </w:hyperlink>
          </w:p>
        </w:tc>
        <w:tc>
          <w:tcPr>
            <w:tcW w:w="148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r>
      <w:tr>
        <w:trPr>
          <w:trHeight w:val="144"/>
        </w:trPr>
        <w:tc>
          <w:tcPr>
            <w:tcW w:w="6680" w:type="dxa"/>
            <w:vAlign w:val="bottom"/>
            <w:tcBorders>
              <w:top w:val="single" w:sz="8" w:color="0000EE"/>
              <w:bottom w:val="single" w:sz="8" w:color="0000EE"/>
            </w:tcBorders>
            <w:gridSpan w:val="6"/>
          </w:tcPr>
          <w:p>
            <w:pPr>
              <w:spacing w:after="0" w:line="144" w:lineRule="exact"/>
              <w:rPr>
                <w:rFonts w:ascii="Arial" w:cs="Arial" w:eastAsia="Arial" w:hAnsi="Arial"/>
                <w:sz w:val="13"/>
                <w:szCs w:val="13"/>
                <w:color w:val="0000EE"/>
                <w:w w:val="91"/>
              </w:rPr>
            </w:pPr>
            <w:hyperlink w:anchor="page51">
              <w:r>
                <w:rPr>
                  <w:rFonts w:ascii="Arial" w:cs="Arial" w:eastAsia="Arial" w:hAnsi="Arial"/>
                  <w:sz w:val="13"/>
                  <w:szCs w:val="13"/>
                  <w:color w:val="0000EE"/>
                  <w:w w:val="91"/>
                </w:rPr>
                <w:t>Consolidated Statements of Cash Flows for the fiscal years ended January 28, 2012, January 29, 2011, and January 30, 2010</w:t>
              </w:r>
            </w:hyperlink>
          </w:p>
        </w:tc>
        <w:tc>
          <w:tcPr>
            <w:tcW w:w="500" w:type="dxa"/>
            <w:vAlign w:val="bottom"/>
            <w:tcBorders>
              <w:top w:val="single" w:sz="8" w:color="0000EE"/>
            </w:tcBorders>
          </w:tcPr>
          <w:p>
            <w:pPr>
              <w:spacing w:after="0"/>
              <w:rPr>
                <w:sz w:val="12"/>
                <w:szCs w:val="12"/>
                <w:color w:val="auto"/>
              </w:rPr>
            </w:pPr>
          </w:p>
        </w:tc>
        <w:tc>
          <w:tcPr>
            <w:tcW w:w="2740" w:type="dxa"/>
            <w:vAlign w:val="bottom"/>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Arial" w:cs="Arial" w:eastAsia="Arial" w:hAnsi="Arial"/>
                <w:sz w:val="13"/>
                <w:szCs w:val="13"/>
                <w:color w:val="auto"/>
              </w:rPr>
              <w:t>51</w:t>
            </w:r>
          </w:p>
        </w:tc>
      </w:tr>
      <w:tr>
        <w:trPr>
          <w:trHeight w:val="144"/>
        </w:trPr>
        <w:tc>
          <w:tcPr>
            <w:tcW w:w="2340" w:type="dxa"/>
            <w:vAlign w:val="bottom"/>
            <w:tcBorders>
              <w:bottom w:val="single" w:sz="8" w:color="0000EE"/>
            </w:tcBorders>
            <w:gridSpan w:val="2"/>
          </w:tcPr>
          <w:p>
            <w:pPr>
              <w:spacing w:after="0" w:line="144" w:lineRule="exact"/>
              <w:rPr>
                <w:rFonts w:ascii="Arial" w:cs="Arial" w:eastAsia="Arial" w:hAnsi="Arial"/>
                <w:sz w:val="13"/>
                <w:szCs w:val="13"/>
                <w:color w:val="0000EE"/>
                <w:w w:val="91"/>
              </w:rPr>
            </w:pPr>
            <w:hyperlink w:anchor="page52">
              <w:r>
                <w:rPr>
                  <w:rFonts w:ascii="Arial" w:cs="Arial" w:eastAsia="Arial" w:hAnsi="Arial"/>
                  <w:sz w:val="13"/>
                  <w:szCs w:val="13"/>
                  <w:color w:val="0000EE"/>
                  <w:w w:val="91"/>
                </w:rPr>
                <w:t>Notes to Consolidated Financial Statements</w:t>
              </w:r>
            </w:hyperlink>
          </w:p>
        </w:tc>
        <w:tc>
          <w:tcPr>
            <w:tcW w:w="7580" w:type="dxa"/>
            <w:vAlign w:val="bottom"/>
            <w:gridSpan w:val="6"/>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Arial" w:cs="Arial" w:eastAsia="Arial" w:hAnsi="Arial"/>
                <w:sz w:val="13"/>
                <w:szCs w:val="13"/>
                <w:color w:val="auto"/>
              </w:rPr>
              <w:t>52</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Financial Statement Schedules</w:t>
      </w:r>
    </w:p>
    <w:p>
      <w:pPr>
        <w:spacing w:after="0" w:line="78" w:lineRule="exact"/>
        <w:rPr>
          <w:sz w:val="20"/>
          <w:szCs w:val="20"/>
          <w:color w:val="auto"/>
        </w:rPr>
      </w:pPr>
    </w:p>
    <w:p>
      <w:pPr>
        <w:ind w:right="180"/>
        <w:spacing w:after="0" w:line="298" w:lineRule="auto"/>
        <w:rPr>
          <w:sz w:val="20"/>
          <w:szCs w:val="20"/>
          <w:color w:val="auto"/>
        </w:rPr>
      </w:pPr>
      <w:r>
        <w:rPr>
          <w:rFonts w:ascii="Arial" w:cs="Arial" w:eastAsia="Arial" w:hAnsi="Arial"/>
          <w:sz w:val="13"/>
          <w:szCs w:val="13"/>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List of Exhibits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The exhibits listed in the accompanying index to exhibits are filed or incorporated by reference as part of this Form 10-K.</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400"/>
          </w:cols>
          <w:pgMar w:left="220" w:top="384" w:right="2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SIGNATURES</w:t>
      </w:r>
    </w:p>
    <w:p>
      <w:pPr>
        <w:spacing w:after="0" w:line="140" w:lineRule="exact"/>
        <w:rPr>
          <w:sz w:val="20"/>
          <w:szCs w:val="20"/>
          <w:color w:val="auto"/>
        </w:rPr>
      </w:pPr>
    </w:p>
    <w:p>
      <w:pPr>
        <w:ind w:right="340"/>
        <w:spacing w:after="0" w:line="298" w:lineRule="auto"/>
        <w:rPr>
          <w:sz w:val="20"/>
          <w:szCs w:val="20"/>
          <w:color w:val="auto"/>
        </w:rPr>
      </w:pPr>
      <w:r>
        <w:rPr>
          <w:rFonts w:ascii="Arial" w:cs="Arial" w:eastAsia="Arial" w:hAnsi="Arial"/>
          <w:sz w:val="13"/>
          <w:szCs w:val="13"/>
          <w:color w:val="auto"/>
        </w:rPr>
        <w:t>Pursuant to the requirements of Section 13 or 15(d) of the Securities Exchange Act of 1934, as amended, the registrant has duly caused this report to be signed on its behalf by the undersigned, thereunto duly authorized, on March 27, 2012.</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Vera Bradley, Inc.</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wp:posOffset>
            </wp:positionV>
            <wp:extent cx="280479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04795" cy="63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Jeffrey A. Blade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 Chief Financial and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Administrative Officer</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POWER OF ATTORNEY</w:t>
      </w:r>
    </w:p>
    <w:p>
      <w:pPr>
        <w:spacing w:after="0" w:line="140" w:lineRule="exact"/>
        <w:rPr>
          <w:sz w:val="20"/>
          <w:szCs w:val="20"/>
          <w:color w:val="auto"/>
        </w:rPr>
      </w:pPr>
    </w:p>
    <w:p>
      <w:pPr>
        <w:spacing w:after="0" w:line="300"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Jeffrey A. Blade and Michael C. Ray,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Registrant and in the capacities indicated on March 27,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60" w:type="dxa"/>
            <w:vAlign w:val="bottom"/>
          </w:tcPr>
          <w:p>
            <w:pPr>
              <w:spacing w:after="0"/>
              <w:rPr>
                <w:sz w:val="20"/>
                <w:szCs w:val="20"/>
                <w:color w:val="auto"/>
              </w:rPr>
            </w:pPr>
            <w:r>
              <w:rPr>
                <w:rFonts w:ascii="Arial" w:cs="Arial" w:eastAsia="Arial" w:hAnsi="Arial"/>
                <w:sz w:val="10"/>
                <w:szCs w:val="10"/>
                <w:b w:val="1"/>
                <w:bCs w:val="1"/>
                <w:color w:val="auto"/>
                <w:w w:val="95"/>
              </w:rPr>
              <w:t>Signature</w:t>
            </w:r>
          </w:p>
        </w:tc>
        <w:tc>
          <w:tcPr>
            <w:tcW w:w="4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60" w:type="dxa"/>
            <w:vAlign w:val="bottom"/>
            <w:gridSpan w:val="2"/>
          </w:tcPr>
          <w:p>
            <w:pPr>
              <w:spacing w:after="0"/>
              <w:rPr>
                <w:sz w:val="20"/>
                <w:szCs w:val="20"/>
                <w:color w:val="auto"/>
              </w:rPr>
            </w:pPr>
            <w:r>
              <w:rPr>
                <w:rFonts w:ascii="Arial" w:cs="Arial" w:eastAsia="Arial" w:hAnsi="Arial"/>
                <w:sz w:val="10"/>
                <w:szCs w:val="10"/>
                <w:b w:val="1"/>
                <w:bCs w:val="1"/>
                <w:color w:val="auto"/>
              </w:rPr>
              <w:t>Title</w:t>
            </w:r>
          </w:p>
        </w:tc>
      </w:tr>
      <w:tr>
        <w:trPr>
          <w:trHeight w:val="20"/>
        </w:trPr>
        <w:tc>
          <w:tcPr>
            <w:tcW w:w="4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18"/>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Michael C. Ray</w:t>
            </w:r>
          </w:p>
        </w:tc>
        <w:tc>
          <w:tcPr>
            <w:tcW w:w="5820" w:type="dxa"/>
            <w:vAlign w:val="bottom"/>
            <w:gridSpan w:val="3"/>
          </w:tcPr>
          <w:p>
            <w:pPr>
              <w:ind w:left="560"/>
              <w:spacing w:after="0"/>
              <w:rPr>
                <w:sz w:val="20"/>
                <w:szCs w:val="20"/>
                <w:color w:val="auto"/>
              </w:rPr>
            </w:pPr>
            <w:r>
              <w:rPr>
                <w:rFonts w:ascii="Arial" w:cs="Arial" w:eastAsia="Arial" w:hAnsi="Arial"/>
                <w:sz w:val="13"/>
                <w:szCs w:val="13"/>
                <w:color w:val="auto"/>
              </w:rPr>
              <w:t>Director and Chief Executive Officer (principal executive officer)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Michael C. Ray</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Barbara Bradley Baekgaard</w:t>
            </w:r>
          </w:p>
        </w:tc>
        <w:tc>
          <w:tcPr>
            <w:tcW w:w="58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Barbara Bradley Baekgaard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Patricia R. Miller</w:t>
            </w:r>
          </w:p>
        </w:tc>
        <w:tc>
          <w:tcPr>
            <w:tcW w:w="58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Patricia R. Miller</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Jeffrey A. Blade</w:t>
            </w:r>
          </w:p>
        </w:tc>
        <w:tc>
          <w:tcPr>
            <w:tcW w:w="5820" w:type="dxa"/>
            <w:vAlign w:val="bottom"/>
            <w:gridSpan w:val="3"/>
          </w:tcPr>
          <w:p>
            <w:pPr>
              <w:ind w:left="560"/>
              <w:spacing w:after="0"/>
              <w:rPr>
                <w:sz w:val="20"/>
                <w:szCs w:val="20"/>
                <w:color w:val="auto"/>
              </w:rPr>
            </w:pPr>
            <w:r>
              <w:rPr>
                <w:rFonts w:ascii="Arial" w:cs="Arial" w:eastAsia="Arial" w:hAnsi="Arial"/>
                <w:sz w:val="13"/>
                <w:szCs w:val="13"/>
                <w:color w:val="auto"/>
                <w:w w:val="95"/>
              </w:rPr>
              <w:t>Executive Vice President – Chief Financial and Administrative Officer (principal financial officer)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Jeffrey A. Blade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Richard Baum</w:t>
            </w:r>
          </w:p>
        </w:tc>
        <w:tc>
          <w:tcPr>
            <w:tcW w:w="58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Richard Baum</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Stephen J. Hackman</w:t>
            </w:r>
          </w:p>
        </w:tc>
        <w:tc>
          <w:tcPr>
            <w:tcW w:w="58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Stephen J. Hackman</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280"/>
        </w:trPr>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5060" w:type="dxa"/>
            <w:vAlign w:val="bottom"/>
          </w:tcPr>
          <w:p>
            <w:pPr>
              <w:spacing w:after="0"/>
              <w:rPr>
                <w:sz w:val="24"/>
                <w:szCs w:val="24"/>
                <w:color w:val="auto"/>
              </w:rPr>
            </w:pPr>
          </w:p>
        </w:tc>
      </w:tr>
    </w:tbl>
    <w:p>
      <w:pPr>
        <w:sectPr>
          <w:pgSz w:w="11900" w:h="16838" w:orient="portrait"/>
          <w:cols w:equalWidth="0" w:num="1">
            <w:col w:w="11400"/>
          </w:cols>
          <w:pgMar w:left="220" w:top="384" w:right="2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60" w:type="dxa"/>
            <w:vAlign w:val="bottom"/>
          </w:tcPr>
          <w:p>
            <w:pPr>
              <w:spacing w:after="0"/>
              <w:rPr>
                <w:sz w:val="20"/>
                <w:szCs w:val="20"/>
                <w:color w:val="auto"/>
              </w:rPr>
            </w:pPr>
            <w:r>
              <w:rPr>
                <w:rFonts w:ascii="Arial" w:cs="Arial" w:eastAsia="Arial" w:hAnsi="Arial"/>
                <w:sz w:val="10"/>
                <w:szCs w:val="10"/>
                <w:b w:val="1"/>
                <w:bCs w:val="1"/>
                <w:color w:val="auto"/>
                <w:w w:val="95"/>
              </w:rPr>
              <w:t>Signature</w:t>
            </w:r>
          </w:p>
        </w:tc>
        <w:tc>
          <w:tcPr>
            <w:tcW w:w="4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60" w:type="dxa"/>
            <w:vAlign w:val="bottom"/>
            <w:gridSpan w:val="2"/>
          </w:tcPr>
          <w:p>
            <w:pPr>
              <w:spacing w:after="0"/>
              <w:rPr>
                <w:sz w:val="20"/>
                <w:szCs w:val="20"/>
                <w:color w:val="auto"/>
              </w:rPr>
            </w:pPr>
            <w:r>
              <w:rPr>
                <w:rFonts w:ascii="Arial" w:cs="Arial" w:eastAsia="Arial" w:hAnsi="Arial"/>
                <w:sz w:val="10"/>
                <w:szCs w:val="10"/>
                <w:b w:val="1"/>
                <w:bCs w:val="1"/>
                <w:color w:val="auto"/>
              </w:rPr>
              <w:t>Title</w:t>
            </w:r>
          </w:p>
        </w:tc>
      </w:tr>
      <w:tr>
        <w:trPr>
          <w:trHeight w:val="20"/>
        </w:trPr>
        <w:tc>
          <w:tcPr>
            <w:tcW w:w="4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318"/>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Robert J. Hall</w:t>
            </w:r>
          </w:p>
        </w:tc>
        <w:tc>
          <w:tcPr>
            <w:tcW w:w="34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Robert J. Hall</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John E. Kyees</w:t>
            </w:r>
          </w:p>
        </w:tc>
        <w:tc>
          <w:tcPr>
            <w:tcW w:w="34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John E. Kyees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Matthew McEvoy</w:t>
            </w:r>
          </w:p>
        </w:tc>
        <w:tc>
          <w:tcPr>
            <w:tcW w:w="34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Matthew McEvoy</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P. Michael Miller</w:t>
            </w:r>
          </w:p>
        </w:tc>
        <w:tc>
          <w:tcPr>
            <w:tcW w:w="34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P. Michael Miller</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Frances P. Philip</w:t>
            </w:r>
          </w:p>
        </w:tc>
        <w:tc>
          <w:tcPr>
            <w:tcW w:w="34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Frances P. Philip</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Edward M. Schmults</w:t>
            </w:r>
          </w:p>
        </w:tc>
        <w:tc>
          <w:tcPr>
            <w:tcW w:w="3420" w:type="dxa"/>
            <w:vAlign w:val="bottom"/>
            <w:gridSpan w:val="3"/>
          </w:tcPr>
          <w:p>
            <w:pPr>
              <w:ind w:left="560"/>
              <w:spacing w:after="0"/>
              <w:rPr>
                <w:sz w:val="20"/>
                <w:szCs w:val="20"/>
                <w:color w:val="auto"/>
              </w:rPr>
            </w:pPr>
            <w:r>
              <w:rPr>
                <w:rFonts w:ascii="Arial" w:cs="Arial" w:eastAsia="Arial" w:hAnsi="Arial"/>
                <w:sz w:val="13"/>
                <w:szCs w:val="13"/>
                <w:color w:val="auto"/>
              </w:rPr>
              <w:t>Director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Edward M. Schmults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3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Kevin J. Sierks</w:t>
            </w:r>
          </w:p>
        </w:tc>
        <w:tc>
          <w:tcPr>
            <w:tcW w:w="3420" w:type="dxa"/>
            <w:vAlign w:val="bottom"/>
            <w:gridSpan w:val="3"/>
          </w:tcPr>
          <w:p>
            <w:pPr>
              <w:ind w:left="560"/>
              <w:spacing w:after="0"/>
              <w:rPr>
                <w:sz w:val="20"/>
                <w:szCs w:val="20"/>
                <w:color w:val="auto"/>
              </w:rPr>
            </w:pPr>
            <w:r>
              <w:rPr>
                <w:rFonts w:ascii="Arial" w:cs="Arial" w:eastAsia="Arial" w:hAnsi="Arial"/>
                <w:sz w:val="13"/>
                <w:szCs w:val="13"/>
                <w:color w:val="auto"/>
                <w:w w:val="94"/>
              </w:rPr>
              <w:t>Vice President – Controller (chief accounting officer)</w:t>
            </w: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color w:val="auto"/>
              </w:rPr>
              <w:t>Kevin J. Sierks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280"/>
        </w:trPr>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2660" w:type="dxa"/>
            <w:vAlign w:val="bottom"/>
          </w:tcPr>
          <w:p>
            <w:pPr>
              <w:spacing w:after="0"/>
              <w:rPr>
                <w:sz w:val="24"/>
                <w:szCs w:val="24"/>
                <w:color w:val="auto"/>
              </w:rPr>
            </w:pPr>
          </w:p>
        </w:tc>
      </w:tr>
    </w:tbl>
    <w:p>
      <w:pPr>
        <w:sectPr>
          <w:pgSz w:w="11900" w:h="16838" w:orient="portrait"/>
          <w:cols w:equalWidth="0" w:num="1">
            <w:col w:w="10239"/>
          </w:cols>
          <w:pgMar w:left="220" w:top="384"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INDEX</w:t>
      </w:r>
    </w:p>
    <w:p>
      <w:pPr>
        <w:spacing w:after="0" w:line="168"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10"/>
          <w:szCs w:val="10"/>
          <w:b w:val="1"/>
          <w:bCs w:val="1"/>
          <w:u w:val="single" w:color="auto"/>
          <w:color w:val="auto"/>
        </w:rPr>
        <w:t>Exhibit No.</w:t>
      </w:r>
      <w:r>
        <w:rPr>
          <w:sz w:val="20"/>
          <w:szCs w:val="20"/>
          <w:color w:val="auto"/>
        </w:rPr>
        <w:tab/>
      </w:r>
      <w:r>
        <w:rPr>
          <w:rFonts w:ascii="Arial" w:cs="Arial" w:eastAsia="Arial" w:hAnsi="Arial"/>
          <w:sz w:val="9"/>
          <w:szCs w:val="9"/>
          <w:b w:val="1"/>
          <w:bCs w:val="1"/>
          <w:u w:val="single" w:color="auto"/>
          <w:color w:val="auto"/>
        </w:rPr>
        <w:t>Description</w:t>
      </w:r>
    </w:p>
    <w:p>
      <w:pPr>
        <w:spacing w:after="0" w:line="94"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Second Amended and Restated Articles of Incorporation (Incorporated by reference to Exhibit 3.1 to the Registration Statement on Form S-1, Registration No. 333-167934)</w:t>
      </w:r>
    </w:p>
    <w:p>
      <w:pPr>
        <w:spacing w:after="0" w:line="9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color w:val="auto"/>
        </w:rPr>
        <w:t>Amended and Restated Bylaws (Incorporated by reference to Exhibit 3.2 to the Registration Statement on Form S-1, Registration No. 333-167934)</w:t>
      </w:r>
    </w:p>
    <w:p>
      <w:pPr>
        <w:spacing w:after="0" w:line="9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Common Stock Certificate (Incorporated by reference to Exhibit 4.1 to the Registration Statement on Form S-1, Registration No. 333-167934)</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Vera Bradley, Inc. 2010 Equity and Incentive Plan (Incorporated by reference to Exhibit 10.1 to the Registration Statement on Form S-1, Registration No. 333-167934)</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color w:val="auto"/>
        </w:rPr>
        <w:t>Letter Agreement with Jeffrey A. Blade (Incorporated by reference to Exhibit 10.2 to the Registration Statement on Form S-1, Registration No. 333-167934)</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color w:val="auto"/>
        </w:rPr>
        <w:t>Vera Bradley Designs, Inc. 2010 Restricted Stock Plan (Incorporated by reference to Exhibit 10.3 to the Registration Statement on Form S-1, Registration No. 333-167934)</w:t>
      </w:r>
    </w:p>
    <w:p>
      <w:pPr>
        <w:spacing w:after="0" w:line="97" w:lineRule="exact"/>
        <w:rPr>
          <w:sz w:val="20"/>
          <w:szCs w:val="20"/>
          <w:color w:val="auto"/>
        </w:rPr>
      </w:pPr>
    </w:p>
    <w:p>
      <w:pPr>
        <w:ind w:left="580" w:hanging="584"/>
        <w:spacing w:after="0" w:line="298" w:lineRule="auto"/>
        <w:tabs>
          <w:tab w:leader="none" w:pos="5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Form of Restricted Stock Award Agreement under Vera Bradley Designs, Inc. 2010 Restricted Stock Plan (Incorporated by reference to Exhibit 10.4 to the Registration Statement on Form S-1, Registration No. 333-167934)</w:t>
      </w:r>
    </w:p>
    <w:p>
      <w:pPr>
        <w:spacing w:after="0" w:line="40"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Form of Indemnification Agreement (Incorporated by reference to Exhibit 10.5 to the Registration Statement on Form S-1, Registration No. 333-167934)</w:t>
      </w:r>
    </w:p>
    <w:p>
      <w:pPr>
        <w:spacing w:after="0" w:line="97" w:lineRule="exact"/>
        <w:rPr>
          <w:sz w:val="20"/>
          <w:szCs w:val="20"/>
          <w:color w:val="auto"/>
        </w:rPr>
      </w:pPr>
    </w:p>
    <w:p>
      <w:pPr>
        <w:ind w:left="580" w:right="220" w:hanging="584"/>
        <w:spacing w:after="0" w:line="298" w:lineRule="auto"/>
        <w:tabs>
          <w:tab w:leader="none" w:pos="56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Amended and Restated Credit Agreement dated as of October 4, 2010 among Vera Bradley Designs, Inc. and JPMorgan Chase Bank, N.A. (Incorporated by reference to Exhibit 10.6 to the Registration Statement on Form S-1, Registration No. 333-167934)</w:t>
      </w:r>
    </w:p>
    <w:p>
      <w:pPr>
        <w:spacing w:after="0" w:line="40" w:lineRule="exact"/>
        <w:rPr>
          <w:sz w:val="20"/>
          <w:szCs w:val="20"/>
          <w:color w:val="auto"/>
        </w:rPr>
      </w:pPr>
    </w:p>
    <w:p>
      <w:pPr>
        <w:ind w:left="580" w:right="280" w:hanging="584"/>
        <w:spacing w:after="0" w:line="298" w:lineRule="auto"/>
        <w:tabs>
          <w:tab w:leader="none" w:pos="56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Parent Guaranty dated as of October 4, 2010 made by Vera Bradley, Inc. in favor of JPMorgan Chase Bank, N.A. (Incorporated by reference to Exhibit 10.7 to the Registration Statement on Form S-1, Registration No. 333-167934)</w:t>
      </w:r>
    </w:p>
    <w:p>
      <w:pPr>
        <w:spacing w:after="0" w:line="40" w:lineRule="exact"/>
        <w:rPr>
          <w:sz w:val="20"/>
          <w:szCs w:val="20"/>
          <w:color w:val="auto"/>
        </w:rPr>
      </w:pPr>
    </w:p>
    <w:p>
      <w:pPr>
        <w:ind w:left="580" w:right="300" w:hanging="584"/>
        <w:spacing w:after="0" w:line="298" w:lineRule="auto"/>
        <w:tabs>
          <w:tab w:leader="none" w:pos="56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Reaffirmation of Guaranty and Security Documents dated as of October 4, 2010 by Vera Bradley Designs, Inc., Vera Bradley Retail Stores, LLC and Vera Bradley International, LLC for the benefit of JPMorgan Chase Bank, N.A. (Incorporated by reference to Exhibit 10.13 to the Registration Statement on Form S-1, Registration No. 333-167934)</w:t>
      </w:r>
    </w:p>
    <w:p>
      <w:pPr>
        <w:spacing w:after="0" w:line="40"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Form of Lock-Up Agreement (filed as Exhibit D to Exhibit 1.1) (Incorporated by reference to Exhibit 10.15 to the Registration Statement on Form S-1, Registration No. 333-167934)</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Form of Subscription Agreement (Incorporated by reference to Exhibit 10.16 to the Registration Statement on Form S-1, Registration No. 333-167934)</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Form of Share Repurchase Agreement (Incorporated by reference to Exhibit 10.17 to the Registration Statement on Form S-1, Registration No. 333-167934)</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2"/>
          <w:szCs w:val="12"/>
          <w:color w:val="auto"/>
        </w:rPr>
        <w:t>2011 Restricted Stock Unit Terms And Conditions for Employees (Incorporated by reference to Exhibit 10.2 to the Quarterly Report on Form 10-Q for the fiscal quarter ended April 30, 2011)</w:t>
      </w:r>
    </w:p>
    <w:p>
      <w:pPr>
        <w:spacing w:after="0" w:line="9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2"/>
          <w:szCs w:val="12"/>
          <w:color w:val="auto"/>
        </w:rPr>
        <w:t>2011 Restricted Stock Unit Terms And Conditions for Non-Employee Directors (Incorporated by reference to Exhibit 10.3 to the Quarterly Report on Form 10-Q for the fiscal quarter ended April 30, 2011)</w:t>
      </w:r>
    </w:p>
    <w:p>
      <w:pPr>
        <w:spacing w:after="0" w:line="97" w:lineRule="exact"/>
        <w:rPr>
          <w:sz w:val="20"/>
          <w:szCs w:val="20"/>
          <w:color w:val="auto"/>
        </w:rPr>
      </w:pPr>
    </w:p>
    <w:p>
      <w:pPr>
        <w:ind w:left="580" w:right="160" w:hanging="584"/>
        <w:spacing w:after="0" w:line="298" w:lineRule="auto"/>
        <w:tabs>
          <w:tab w:leader="none" w:pos="56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Lease Agreement, dated as of March 28, 2011, by and between Vera Bradley Designs, Inc., as tenant, and Great Dane Realty, LLC, as landlord (Incorporated by reference to Exhibit 10.4 to the Quarterly Report on Form 10-Q for the fiscal quarter ended April 30, 2011)</w:t>
      </w:r>
    </w:p>
    <w:p>
      <w:pPr>
        <w:spacing w:after="0" w:line="7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540"/>
          </w:cols>
          <w:pgMar w:left="220" w:top="384" w:right="1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128270</wp:posOffset>
            </wp:positionH>
            <wp:positionV relativeFrom="page">
              <wp:posOffset>88900</wp:posOffset>
            </wp:positionV>
            <wp:extent cx="731774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7740" cy="3238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5"/>
              </w:rPr>
              <w:t>Exhibit No.</w:t>
            </w:r>
          </w:p>
        </w:tc>
        <w:tc>
          <w:tcPr>
            <w:tcW w:w="5640" w:type="dxa"/>
            <w:vAlign w:val="bottom"/>
          </w:tcPr>
          <w:p>
            <w:pPr>
              <w:spacing w:after="0"/>
              <w:rPr>
                <w:sz w:val="10"/>
                <w:szCs w:val="1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0"/>
              </w:rPr>
              <w:t>Description</w:t>
            </w:r>
          </w:p>
        </w:tc>
        <w:tc>
          <w:tcPr>
            <w:tcW w:w="4640" w:type="dxa"/>
            <w:vAlign w:val="bottom"/>
          </w:tcPr>
          <w:p>
            <w:pPr>
              <w:spacing w:after="0"/>
              <w:rPr>
                <w:sz w:val="10"/>
                <w:szCs w:val="10"/>
                <w:color w:val="auto"/>
              </w:rPr>
            </w:pPr>
          </w:p>
        </w:tc>
      </w:tr>
      <w:tr>
        <w:trPr>
          <w:trHeight w:val="229"/>
        </w:trPr>
        <w:tc>
          <w:tcPr>
            <w:tcW w:w="540" w:type="dxa"/>
            <w:vAlign w:val="bottom"/>
          </w:tcPr>
          <w:p>
            <w:pPr>
              <w:spacing w:after="0"/>
              <w:rPr>
                <w:sz w:val="20"/>
                <w:szCs w:val="20"/>
                <w:color w:val="auto"/>
              </w:rPr>
            </w:pPr>
            <w:r>
              <w:rPr>
                <w:rFonts w:ascii="Arial" w:cs="Arial" w:eastAsia="Arial" w:hAnsi="Arial"/>
                <w:sz w:val="13"/>
                <w:szCs w:val="13"/>
                <w:color w:val="auto"/>
              </w:rPr>
              <w:t>10.15</w:t>
            </w: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w w:val="93"/>
              </w:rPr>
              <w:t>Lease Extension, dated April 19, 2011, by and between Vera Bradley, Inc., as tenant, and Milburn, LLC, as landlord (Incorporated by reference to Exhibit 10.5 to the Quarterly Report on</w:t>
            </w:r>
          </w:p>
        </w:tc>
      </w:tr>
      <w:tr>
        <w:trPr>
          <w:trHeight w:val="171"/>
        </w:trPr>
        <w:tc>
          <w:tcPr>
            <w:tcW w:w="540" w:type="dxa"/>
            <w:vAlign w:val="bottom"/>
          </w:tcPr>
          <w:p>
            <w:pPr>
              <w:spacing w:after="0"/>
              <w:rPr>
                <w:sz w:val="14"/>
                <w:szCs w:val="14"/>
                <w:color w:val="auto"/>
              </w:rPr>
            </w:pP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rPr>
              <w:t>Form 10-Q for the fiscal quarter ended April 30, 2011)</w:t>
            </w:r>
          </w:p>
        </w:tc>
      </w:tr>
      <w:tr>
        <w:trPr>
          <w:trHeight w:val="240"/>
        </w:trPr>
        <w:tc>
          <w:tcPr>
            <w:tcW w:w="540" w:type="dxa"/>
            <w:vAlign w:val="bottom"/>
          </w:tcPr>
          <w:p>
            <w:pPr>
              <w:spacing w:after="0"/>
              <w:rPr>
                <w:sz w:val="20"/>
                <w:szCs w:val="20"/>
                <w:color w:val="auto"/>
              </w:rPr>
            </w:pPr>
            <w:r>
              <w:rPr>
                <w:rFonts w:ascii="Arial" w:cs="Arial" w:eastAsia="Arial" w:hAnsi="Arial"/>
                <w:sz w:val="13"/>
                <w:szCs w:val="13"/>
                <w:color w:val="auto"/>
              </w:rPr>
              <w:t>10.16</w:t>
            </w: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w w:val="95"/>
              </w:rPr>
              <w:t>Underwriting Agreement, dated April 13, 2011, with Robert W. Baird &amp; Co. Incorporated, Piper Jaffray &amp; Co. and the underwriters named therein (Incorporated by reference to Exhibit</w:t>
            </w:r>
          </w:p>
        </w:tc>
      </w:tr>
      <w:tr>
        <w:trPr>
          <w:trHeight w:val="171"/>
        </w:trPr>
        <w:tc>
          <w:tcPr>
            <w:tcW w:w="540" w:type="dxa"/>
            <w:vAlign w:val="bottom"/>
          </w:tcPr>
          <w:p>
            <w:pPr>
              <w:spacing w:after="0"/>
              <w:rPr>
                <w:sz w:val="14"/>
                <w:szCs w:val="14"/>
                <w:color w:val="auto"/>
              </w:rPr>
            </w:pP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rPr>
              <w:t>10.6 to the Quarterly Report on Form 10-Q for the fiscal quarter ended April 30, 2011)</w:t>
            </w:r>
          </w:p>
        </w:tc>
      </w:tr>
      <w:tr>
        <w:trPr>
          <w:trHeight w:val="247"/>
        </w:trPr>
        <w:tc>
          <w:tcPr>
            <w:tcW w:w="540" w:type="dxa"/>
            <w:vAlign w:val="bottom"/>
          </w:tcPr>
          <w:p>
            <w:pPr>
              <w:spacing w:after="0"/>
              <w:rPr>
                <w:sz w:val="20"/>
                <w:szCs w:val="20"/>
                <w:color w:val="auto"/>
              </w:rPr>
            </w:pPr>
            <w:r>
              <w:rPr>
                <w:rFonts w:ascii="Arial" w:cs="Arial" w:eastAsia="Arial" w:hAnsi="Arial"/>
                <w:sz w:val="13"/>
                <w:szCs w:val="13"/>
                <w:color w:val="auto"/>
              </w:rPr>
              <w:t>21.1*</w:t>
            </w: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rPr>
              <w:t>Subsidiaries of Vera Bradley, Inc.</w:t>
            </w:r>
          </w:p>
        </w:tc>
      </w:tr>
      <w:tr>
        <w:trPr>
          <w:trHeight w:val="247"/>
        </w:trPr>
        <w:tc>
          <w:tcPr>
            <w:tcW w:w="540" w:type="dxa"/>
            <w:vAlign w:val="bottom"/>
          </w:tcPr>
          <w:p>
            <w:pPr>
              <w:spacing w:after="0"/>
              <w:rPr>
                <w:sz w:val="20"/>
                <w:szCs w:val="20"/>
                <w:color w:val="auto"/>
              </w:rPr>
            </w:pPr>
            <w:r>
              <w:rPr>
                <w:rFonts w:ascii="Arial" w:cs="Arial" w:eastAsia="Arial" w:hAnsi="Arial"/>
                <w:sz w:val="13"/>
                <w:szCs w:val="13"/>
                <w:color w:val="auto"/>
              </w:rPr>
              <w:t>23.1*</w:t>
            </w: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rPr>
              <w:t>Consent of PricewaterhouseCoopers LLP</w:t>
            </w:r>
          </w:p>
        </w:tc>
      </w:tr>
      <w:tr>
        <w:trPr>
          <w:trHeight w:val="247"/>
        </w:trPr>
        <w:tc>
          <w:tcPr>
            <w:tcW w:w="540" w:type="dxa"/>
            <w:vAlign w:val="bottom"/>
          </w:tcPr>
          <w:p>
            <w:pPr>
              <w:spacing w:after="0"/>
              <w:rPr>
                <w:sz w:val="20"/>
                <w:szCs w:val="20"/>
                <w:color w:val="auto"/>
              </w:rPr>
            </w:pPr>
            <w:r>
              <w:rPr>
                <w:rFonts w:ascii="Arial" w:cs="Arial" w:eastAsia="Arial" w:hAnsi="Arial"/>
                <w:sz w:val="13"/>
                <w:szCs w:val="13"/>
                <w:color w:val="auto"/>
              </w:rPr>
              <w:t>31.1*</w:t>
            </w: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rPr>
              <w:t>Rule 13a-14(a)/15d-4(a) Certification of Chief Executive Officer</w:t>
            </w:r>
          </w:p>
        </w:tc>
      </w:tr>
      <w:tr>
        <w:trPr>
          <w:trHeight w:val="247"/>
        </w:trPr>
        <w:tc>
          <w:tcPr>
            <w:tcW w:w="540" w:type="dxa"/>
            <w:vAlign w:val="bottom"/>
          </w:tcPr>
          <w:p>
            <w:pPr>
              <w:spacing w:after="0"/>
              <w:rPr>
                <w:sz w:val="20"/>
                <w:szCs w:val="20"/>
                <w:color w:val="auto"/>
              </w:rPr>
            </w:pPr>
            <w:r>
              <w:rPr>
                <w:rFonts w:ascii="Arial" w:cs="Arial" w:eastAsia="Arial" w:hAnsi="Arial"/>
                <w:sz w:val="13"/>
                <w:szCs w:val="13"/>
                <w:color w:val="auto"/>
              </w:rPr>
              <w:t>31.2*</w:t>
            </w: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rPr>
              <w:t>Rule 13a-14(a)/15d-14(a) Certification of Chief Financial Officer</w:t>
            </w:r>
          </w:p>
        </w:tc>
      </w:tr>
      <w:tr>
        <w:trPr>
          <w:trHeight w:val="247"/>
        </w:trPr>
        <w:tc>
          <w:tcPr>
            <w:tcW w:w="540" w:type="dxa"/>
            <w:vAlign w:val="bottom"/>
          </w:tcPr>
          <w:p>
            <w:pPr>
              <w:spacing w:after="0"/>
              <w:rPr>
                <w:sz w:val="20"/>
                <w:szCs w:val="20"/>
                <w:color w:val="auto"/>
              </w:rPr>
            </w:pPr>
            <w:r>
              <w:rPr>
                <w:rFonts w:ascii="Arial" w:cs="Arial" w:eastAsia="Arial" w:hAnsi="Arial"/>
                <w:sz w:val="13"/>
                <w:szCs w:val="13"/>
                <w:color w:val="auto"/>
              </w:rPr>
              <w:t>32.1*</w:t>
            </w:r>
          </w:p>
        </w:tc>
        <w:tc>
          <w:tcPr>
            <w:tcW w:w="10820" w:type="dxa"/>
            <w:vAlign w:val="bottom"/>
            <w:gridSpan w:val="3"/>
          </w:tcPr>
          <w:p>
            <w:pPr>
              <w:ind w:left="900"/>
              <w:spacing w:after="0"/>
              <w:rPr>
                <w:sz w:val="20"/>
                <w:szCs w:val="20"/>
                <w:color w:val="auto"/>
              </w:rPr>
            </w:pPr>
            <w:r>
              <w:rPr>
                <w:rFonts w:ascii="Arial" w:cs="Arial" w:eastAsia="Arial" w:hAnsi="Arial"/>
                <w:sz w:val="13"/>
                <w:szCs w:val="13"/>
                <w:color w:val="auto"/>
              </w:rPr>
              <w:t>Section 1350 Certifications</w:t>
            </w:r>
          </w:p>
        </w:tc>
      </w:tr>
    </w:tbl>
    <w:p>
      <w:pPr>
        <w:spacing w:after="0" w:line="76" w:lineRule="exact"/>
        <w:rPr>
          <w:sz w:val="20"/>
          <w:szCs w:val="20"/>
          <w:color w:val="auto"/>
        </w:rPr>
      </w:pPr>
    </w:p>
    <w:p>
      <w:pPr>
        <w:ind w:left="1440" w:hanging="1438"/>
        <w:spacing w:after="0"/>
        <w:tabs>
          <w:tab w:leader="none" w:pos="14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following materials from the Vera Bradley, Inc.’s Annual Report on Form 10-K for the year ended January 28, 2012 formatted in Extensible Business Reporting Language (XBRL):</w:t>
      </w:r>
    </w:p>
    <w:p>
      <w:pPr>
        <w:spacing w:after="0" w:line="32" w:lineRule="exact"/>
        <w:rPr>
          <w:rFonts w:ascii="Arial" w:cs="Arial" w:eastAsia="Arial" w:hAnsi="Arial"/>
          <w:sz w:val="12"/>
          <w:szCs w:val="12"/>
          <w:color w:val="auto"/>
        </w:rPr>
      </w:pPr>
    </w:p>
    <w:p>
      <w:pPr>
        <w:ind w:left="1440"/>
        <w:spacing w:after="0" w:line="347" w:lineRule="auto"/>
        <w:rPr>
          <w:rFonts w:ascii="Arial" w:cs="Arial" w:eastAsia="Arial" w:hAnsi="Arial"/>
          <w:sz w:val="12"/>
          <w:szCs w:val="12"/>
          <w:color w:val="auto"/>
        </w:rPr>
      </w:pPr>
      <w:r>
        <w:rPr>
          <w:rFonts w:ascii="Arial" w:cs="Arial" w:eastAsia="Arial" w:hAnsi="Arial"/>
          <w:sz w:val="11"/>
          <w:szCs w:val="11"/>
          <w:color w:val="auto"/>
        </w:rPr>
        <w:t>(i) Consolidated Statements of Operations and Comprehensive Income for the fiscal years ended January 28, 2012, January 29, 2011, and January 30, 2010; (ii) Consolidated Balance Sheets as of January 28, 2012, and January 29, 2011; (iii) Consolidated Statements of Shareholders’ Equity for the fiscal years ended January 28, 2012, January 29, 2011, and January 30, 2010; (iv) Consolidated Statements of Cash Flows for the fiscal years ended January 28, 2012, January 29, 2011, and January 30, 2010; and (v) related notes, tagged as blocks of text.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302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0" cy="6350"/>
                    </a:xfrm>
                    <a:prstGeom prst="rect">
                      <a:avLst/>
                    </a:prstGeom>
                    <a:noFill/>
                  </pic:spPr>
                </pic:pic>
              </a:graphicData>
            </a:graphic>
          </wp:anchor>
        </w:drawing>
      </w:r>
    </w:p>
    <w:p>
      <w:pPr>
        <w:spacing w:after="0" w:line="31" w:lineRule="exact"/>
        <w:rPr>
          <w:sz w:val="20"/>
          <w:szCs w:val="20"/>
          <w:color w:val="auto"/>
        </w:rPr>
      </w:pPr>
    </w:p>
    <w:p>
      <w:pPr>
        <w:ind w:left="460" w:hanging="458"/>
        <w:spacing w:after="0"/>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21" w:lineRule="exact"/>
        <w:rPr>
          <w:sz w:val="20"/>
          <w:szCs w:val="20"/>
          <w:color w:val="auto"/>
        </w:rPr>
      </w:pPr>
    </w:p>
    <w:p>
      <w:pPr>
        <w:ind w:left="460" w:right="60" w:hanging="458"/>
        <w:spacing w:after="0" w:line="275" w:lineRule="auto"/>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380"/>
          </w:cols>
          <w:pgMar w:left="220" w:top="384" w:right="299" w:bottom="1440" w:gutter="0" w:footer="0" w:header="0"/>
        </w:sectPr>
      </w:pPr>
    </w:p>
    <w:bookmarkStart w:id="77" w:name="page78"/>
    <w:bookmarkEnd w:id="77"/>
    <w:p>
      <w:pPr>
        <w:jc w:val="right"/>
        <w:spacing w:after="0"/>
        <w:rPr>
          <w:sz w:val="20"/>
          <w:szCs w:val="20"/>
          <w:color w:val="auto"/>
        </w:rPr>
      </w:pPr>
      <w:r>
        <w:rPr>
          <w:rFonts w:ascii="Arial" w:cs="Arial" w:eastAsia="Arial" w:hAnsi="Arial"/>
          <w:sz w:val="13"/>
          <w:szCs w:val="13"/>
          <w:b w:val="1"/>
          <w:bCs w:val="1"/>
          <w:color w:val="auto"/>
        </w:rPr>
        <w:t>Exhibit 21.1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60" w:type="dxa"/>
            <w:vAlign w:val="bottom"/>
            <w:gridSpan w:val="3"/>
          </w:tcPr>
          <w:p>
            <w:pPr>
              <w:ind w:left="1200"/>
              <w:spacing w:after="0"/>
              <w:rPr>
                <w:sz w:val="20"/>
                <w:szCs w:val="20"/>
                <w:color w:val="auto"/>
              </w:rPr>
            </w:pPr>
            <w:r>
              <w:rPr>
                <w:rFonts w:ascii="Arial" w:cs="Arial" w:eastAsia="Arial" w:hAnsi="Arial"/>
                <w:sz w:val="13"/>
                <w:szCs w:val="13"/>
                <w:b w:val="1"/>
                <w:bCs w:val="1"/>
                <w:color w:val="auto"/>
              </w:rPr>
              <w:t>Vera Bradley, Inc.</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660" w:type="dxa"/>
            <w:vAlign w:val="bottom"/>
            <w:gridSpan w:val="3"/>
          </w:tcPr>
          <w:p>
            <w:pPr>
              <w:ind w:left="1360"/>
              <w:spacing w:after="0"/>
              <w:rPr>
                <w:sz w:val="20"/>
                <w:szCs w:val="20"/>
                <w:color w:val="auto"/>
              </w:rPr>
            </w:pPr>
            <w:r>
              <w:rPr>
                <w:rFonts w:ascii="Arial" w:cs="Arial" w:eastAsia="Arial" w:hAnsi="Arial"/>
                <w:sz w:val="13"/>
                <w:szCs w:val="13"/>
                <w:b w:val="1"/>
                <w:bCs w:val="1"/>
                <w:color w:val="auto"/>
              </w:rPr>
              <w:t>Subsidiaries</w:t>
            </w:r>
          </w:p>
        </w:tc>
        <w:tc>
          <w:tcPr>
            <w:tcW w:w="0" w:type="dxa"/>
            <w:vAlign w:val="bottom"/>
          </w:tcPr>
          <w:p>
            <w:pPr>
              <w:spacing w:after="0"/>
              <w:rPr>
                <w:sz w:val="1"/>
                <w:szCs w:val="1"/>
                <w:color w:val="auto"/>
              </w:rPr>
            </w:pPr>
          </w:p>
        </w:tc>
      </w:tr>
      <w:tr>
        <w:trPr>
          <w:trHeight w:val="268"/>
        </w:trPr>
        <w:tc>
          <w:tcPr>
            <w:tcW w:w="500" w:type="dxa"/>
            <w:vAlign w:val="bottom"/>
          </w:tcPr>
          <w:p>
            <w:pPr>
              <w:spacing w:after="0"/>
              <w:rPr>
                <w:sz w:val="20"/>
                <w:szCs w:val="20"/>
                <w:color w:val="auto"/>
              </w:rPr>
            </w:pPr>
            <w:r>
              <w:rPr>
                <w:rFonts w:ascii="Arial" w:cs="Arial" w:eastAsia="Arial" w:hAnsi="Arial"/>
                <w:sz w:val="10"/>
                <w:szCs w:val="10"/>
                <w:b w:val="1"/>
                <w:bCs w:val="1"/>
                <w:color w:val="auto"/>
                <w:w w:val="93"/>
              </w:rPr>
              <w:t>Subsidiary</w:t>
            </w:r>
          </w:p>
        </w:tc>
        <w:tc>
          <w:tcPr>
            <w:tcW w:w="3520" w:type="dxa"/>
            <w:vAlign w:val="bottom"/>
          </w:tcPr>
          <w:p>
            <w:pPr>
              <w:spacing w:after="0"/>
              <w:rPr>
                <w:sz w:val="23"/>
                <w:szCs w:val="23"/>
                <w:color w:val="auto"/>
              </w:rPr>
            </w:pPr>
          </w:p>
        </w:tc>
        <w:tc>
          <w:tcPr>
            <w:tcW w:w="3660" w:type="dxa"/>
            <w:vAlign w:val="bottom"/>
            <w:gridSpan w:val="3"/>
          </w:tcPr>
          <w:p>
            <w:pPr>
              <w:ind w:left="1960"/>
              <w:spacing w:after="0"/>
              <w:rPr>
                <w:sz w:val="20"/>
                <w:szCs w:val="20"/>
                <w:color w:val="auto"/>
              </w:rPr>
            </w:pPr>
            <w:r>
              <w:rPr>
                <w:rFonts w:ascii="Arial" w:cs="Arial" w:eastAsia="Arial" w:hAnsi="Arial"/>
                <w:sz w:val="10"/>
                <w:szCs w:val="10"/>
                <w:b w:val="1"/>
                <w:bCs w:val="1"/>
                <w:color w:val="auto"/>
              </w:rPr>
              <w:t>State of Incorporation / Formation</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6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20" w:type="dxa"/>
            <w:vAlign w:val="bottom"/>
            <w:gridSpan w:val="2"/>
          </w:tcPr>
          <w:p>
            <w:pPr>
              <w:spacing w:after="0" w:line="147" w:lineRule="exact"/>
              <w:rPr>
                <w:sz w:val="20"/>
                <w:szCs w:val="20"/>
                <w:color w:val="auto"/>
              </w:rPr>
            </w:pPr>
            <w:r>
              <w:rPr>
                <w:rFonts w:ascii="Arial" w:cs="Arial" w:eastAsia="Arial" w:hAnsi="Arial"/>
                <w:sz w:val="13"/>
                <w:szCs w:val="13"/>
                <w:color w:val="auto"/>
              </w:rPr>
              <w:t>Vera Bradley Designs, Inc.</w:t>
            </w:r>
          </w:p>
        </w:tc>
        <w:tc>
          <w:tcPr>
            <w:tcW w:w="1960" w:type="dxa"/>
            <w:vAlign w:val="bottom"/>
            <w:vMerge w:val="continue"/>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020" w:type="dxa"/>
            <w:vAlign w:val="bottom"/>
            <w:gridSpan w:val="2"/>
          </w:tcPr>
          <w:p>
            <w:pPr>
              <w:spacing w:after="0"/>
              <w:rPr>
                <w:sz w:val="20"/>
                <w:szCs w:val="20"/>
                <w:color w:val="auto"/>
              </w:rPr>
            </w:pPr>
            <w:r>
              <w:rPr>
                <w:rFonts w:ascii="Arial" w:cs="Arial" w:eastAsia="Arial" w:hAnsi="Arial"/>
                <w:sz w:val="13"/>
                <w:szCs w:val="13"/>
                <w:color w:val="auto"/>
              </w:rPr>
              <w:t>Vera Bradley International, LLC</w:t>
            </w:r>
          </w:p>
        </w:tc>
        <w:tc>
          <w:tcPr>
            <w:tcW w:w="3660" w:type="dxa"/>
            <w:vAlign w:val="bottom"/>
            <w:gridSpan w:val="3"/>
          </w:tcPr>
          <w:p>
            <w:pPr>
              <w:ind w:left="1960"/>
              <w:spacing w:after="0"/>
              <w:rPr>
                <w:sz w:val="20"/>
                <w:szCs w:val="20"/>
                <w:color w:val="auto"/>
              </w:rPr>
            </w:pPr>
            <w:r>
              <w:rPr>
                <w:rFonts w:ascii="Arial" w:cs="Arial" w:eastAsia="Arial" w:hAnsi="Arial"/>
                <w:sz w:val="13"/>
                <w:szCs w:val="13"/>
                <w:color w:val="auto"/>
              </w:rPr>
              <w:t>Indiana</w:t>
            </w:r>
          </w:p>
        </w:tc>
        <w:tc>
          <w:tcPr>
            <w:tcW w:w="0" w:type="dxa"/>
            <w:vAlign w:val="bottom"/>
          </w:tcPr>
          <w:p>
            <w:pPr>
              <w:spacing w:after="0"/>
              <w:rPr>
                <w:sz w:val="1"/>
                <w:szCs w:val="1"/>
                <w:color w:val="auto"/>
              </w:rPr>
            </w:pPr>
          </w:p>
        </w:tc>
      </w:tr>
      <w:tr>
        <w:trPr>
          <w:trHeight w:val="164"/>
        </w:trPr>
        <w:tc>
          <w:tcPr>
            <w:tcW w:w="4020" w:type="dxa"/>
            <w:vAlign w:val="bottom"/>
            <w:gridSpan w:val="2"/>
          </w:tcPr>
          <w:p>
            <w:pPr>
              <w:spacing w:after="0"/>
              <w:rPr>
                <w:sz w:val="20"/>
                <w:szCs w:val="20"/>
                <w:color w:val="auto"/>
              </w:rPr>
            </w:pPr>
            <w:r>
              <w:rPr>
                <w:rFonts w:ascii="Arial" w:cs="Arial" w:eastAsia="Arial" w:hAnsi="Arial"/>
                <w:sz w:val="13"/>
                <w:szCs w:val="13"/>
                <w:color w:val="auto"/>
              </w:rPr>
              <w:t>Vera Bradley Sales, LLC</w:t>
            </w:r>
          </w:p>
        </w:tc>
        <w:tc>
          <w:tcPr>
            <w:tcW w:w="3660" w:type="dxa"/>
            <w:vAlign w:val="bottom"/>
            <w:gridSpan w:val="3"/>
          </w:tcPr>
          <w:p>
            <w:pPr>
              <w:ind w:left="1960"/>
              <w:spacing w:after="0"/>
              <w:rPr>
                <w:sz w:val="20"/>
                <w:szCs w:val="20"/>
                <w:color w:val="auto"/>
              </w:rPr>
            </w:pPr>
            <w:r>
              <w:rPr>
                <w:rFonts w:ascii="Arial" w:cs="Arial" w:eastAsia="Arial" w:hAnsi="Arial"/>
                <w:sz w:val="13"/>
                <w:szCs w:val="13"/>
                <w:color w:val="auto"/>
              </w:rPr>
              <w:t>Indiana</w:t>
            </w:r>
          </w:p>
        </w:tc>
        <w:tc>
          <w:tcPr>
            <w:tcW w:w="0" w:type="dxa"/>
            <w:vAlign w:val="bottom"/>
          </w:tcPr>
          <w:p>
            <w:pPr>
              <w:spacing w:after="0"/>
              <w:rPr>
                <w:sz w:val="1"/>
                <w:szCs w:val="1"/>
                <w:color w:val="auto"/>
              </w:rPr>
            </w:pPr>
          </w:p>
        </w:tc>
      </w:tr>
      <w:tr>
        <w:trPr>
          <w:trHeight w:val="164"/>
        </w:trPr>
        <w:tc>
          <w:tcPr>
            <w:tcW w:w="4020" w:type="dxa"/>
            <w:vAlign w:val="bottom"/>
            <w:gridSpan w:val="2"/>
          </w:tcPr>
          <w:p>
            <w:pPr>
              <w:spacing w:after="0"/>
              <w:rPr>
                <w:sz w:val="20"/>
                <w:szCs w:val="20"/>
                <w:color w:val="auto"/>
              </w:rPr>
            </w:pPr>
            <w:r>
              <w:rPr>
                <w:rFonts w:ascii="Arial" w:cs="Arial" w:eastAsia="Arial" w:hAnsi="Arial"/>
                <w:sz w:val="13"/>
                <w:szCs w:val="13"/>
                <w:color w:val="auto"/>
              </w:rPr>
              <w:t>Vera Bradley Handbag Design (Dongguan) Co., Ltd.</w:t>
            </w:r>
          </w:p>
        </w:tc>
        <w:tc>
          <w:tcPr>
            <w:tcW w:w="3660" w:type="dxa"/>
            <w:vAlign w:val="bottom"/>
            <w:gridSpan w:val="3"/>
          </w:tcPr>
          <w:p>
            <w:pPr>
              <w:ind w:left="1960"/>
              <w:spacing w:after="0"/>
              <w:rPr>
                <w:sz w:val="20"/>
                <w:szCs w:val="20"/>
                <w:color w:val="auto"/>
              </w:rPr>
            </w:pPr>
            <w:r>
              <w:rPr>
                <w:rFonts w:ascii="Arial" w:cs="Arial" w:eastAsia="Arial" w:hAnsi="Arial"/>
                <w:sz w:val="13"/>
                <w:szCs w:val="13"/>
                <w:color w:val="auto"/>
                <w:w w:val="92"/>
              </w:rPr>
              <w:t>The People’s Republic of China</w:t>
            </w: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Vera Bradley (Japan) K.K.</w:t>
            </w:r>
          </w:p>
        </w:tc>
        <w:tc>
          <w:tcPr>
            <w:tcW w:w="3660" w:type="dxa"/>
            <w:vAlign w:val="bottom"/>
            <w:gridSpan w:val="3"/>
          </w:tcPr>
          <w:p>
            <w:pPr>
              <w:ind w:left="1960"/>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bl>
    <w:p>
      <w:pPr>
        <w:sectPr>
          <w:pgSz w:w="11900" w:h="16838" w:orient="portrait"/>
          <w:cols w:equalWidth="0" w:num="1">
            <w:col w:w="11460"/>
          </w:cols>
          <w:pgMar w:left="220" w:top="130"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b w:val="1"/>
          <w:bCs w:val="1"/>
          <w:color w:val="auto"/>
        </w:rPr>
        <w:t>Exhibit 23.1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13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We hereby consent to the incorporation by reference in the Registration Statement on Form S-8 (No. 333-170062) of Vera Bradley, Inc. of our report dated March 27, 2012 relating to the financial statements and the effectiveness of internal control over financial reporting which appear in this Form 10-K.</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Indianapolis, Indiana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March 27, 2012</w:t>
      </w:r>
    </w:p>
    <w:p>
      <w:pPr>
        <w:sectPr>
          <w:pgSz w:w="11900" w:h="16838" w:orient="portrait"/>
          <w:cols w:equalWidth="0" w:num="1">
            <w:col w:w="11460"/>
          </w:cols>
          <w:pgMar w:left="220" w:top="130" w:right="219" w:bottom="1440" w:gutter="0" w:footer="0" w:header="0"/>
        </w:sectPr>
      </w:pPr>
    </w:p>
    <w:bookmarkStart w:id="79" w:name="page80"/>
    <w:bookmarkEnd w:id="79"/>
    <w:p>
      <w:pPr>
        <w:jc w:val="right"/>
        <w:spacing w:after="0"/>
        <w:rPr>
          <w:sz w:val="20"/>
          <w:szCs w:val="20"/>
          <w:color w:val="auto"/>
        </w:rPr>
      </w:pPr>
      <w:r>
        <w:rPr>
          <w:rFonts w:ascii="Arial" w:cs="Arial" w:eastAsia="Arial" w:hAnsi="Arial"/>
          <w:sz w:val="13"/>
          <w:szCs w:val="13"/>
          <w:b w:val="1"/>
          <w:bCs w:val="1"/>
          <w:color w:val="auto"/>
        </w:rPr>
        <w:t>Exhibit 31.1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 Michael C. Ray, certify that:</w:t>
      </w:r>
    </w:p>
    <w:p>
      <w:pPr>
        <w:spacing w:after="0" w:line="76" w:lineRule="exact"/>
        <w:rPr>
          <w:sz w:val="20"/>
          <w:szCs w:val="20"/>
          <w:color w:val="auto"/>
        </w:rPr>
      </w:pPr>
    </w:p>
    <w:p>
      <w:pPr>
        <w:ind w:left="460" w:hanging="458"/>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Vera Bradley, Inc.;</w:t>
      </w:r>
    </w:p>
    <w:p>
      <w:pPr>
        <w:spacing w:after="0" w:line="76" w:lineRule="exact"/>
        <w:rPr>
          <w:rFonts w:ascii="Arial" w:cs="Arial" w:eastAsia="Arial" w:hAnsi="Arial"/>
          <w:sz w:val="13"/>
          <w:szCs w:val="13"/>
          <w:color w:val="auto"/>
        </w:rPr>
      </w:pPr>
    </w:p>
    <w:p>
      <w:pPr>
        <w:ind w:left="460" w:right="100" w:hanging="458"/>
        <w:spacing w:after="0" w:line="298" w:lineRule="auto"/>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9" w:lineRule="exact"/>
        <w:rPr>
          <w:rFonts w:ascii="Arial" w:cs="Arial" w:eastAsia="Arial" w:hAnsi="Arial"/>
          <w:sz w:val="13"/>
          <w:szCs w:val="13"/>
          <w:color w:val="auto"/>
        </w:rPr>
      </w:pPr>
    </w:p>
    <w:p>
      <w:pPr>
        <w:ind w:left="460" w:right="40" w:hanging="458"/>
        <w:spacing w:after="0" w:line="298" w:lineRule="auto"/>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9" w:lineRule="exact"/>
        <w:rPr>
          <w:rFonts w:ascii="Arial" w:cs="Arial" w:eastAsia="Arial" w:hAnsi="Arial"/>
          <w:sz w:val="13"/>
          <w:szCs w:val="13"/>
          <w:color w:val="auto"/>
        </w:rPr>
      </w:pPr>
    </w:p>
    <w:p>
      <w:pPr>
        <w:ind w:left="460" w:right="100" w:hanging="458"/>
        <w:spacing w:after="0" w:line="298" w:lineRule="auto"/>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13a-15(f) and 15d-15(f)) and internal control over financial reporting (as defined in Exchange Act Rules 13a-15(f) and 15d-15(f))for the registrant and have:</w:t>
      </w:r>
    </w:p>
    <w:p>
      <w:pPr>
        <w:spacing w:after="0" w:line="19" w:lineRule="exact"/>
        <w:rPr>
          <w:rFonts w:ascii="Arial" w:cs="Arial" w:eastAsia="Arial" w:hAnsi="Arial"/>
          <w:sz w:val="13"/>
          <w:szCs w:val="13"/>
          <w:color w:val="auto"/>
        </w:rPr>
      </w:pPr>
    </w:p>
    <w:p>
      <w:pPr>
        <w:ind w:left="920" w:right="260" w:hanging="1"/>
        <w:spacing w:after="0" w:line="339" w:lineRule="auto"/>
        <w:tabs>
          <w:tab w:leader="none" w:pos="1102" w:val="left"/>
        </w:tabs>
        <w:numPr>
          <w:ilvl w:val="1"/>
          <w:numId w:val="4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100" w:hanging="1"/>
        <w:spacing w:after="0" w:line="298" w:lineRule="auto"/>
        <w:tabs>
          <w:tab w:leader="none" w:pos="1109" w:val="left"/>
        </w:tabs>
        <w:numPr>
          <w:ilvl w:val="1"/>
          <w:numId w:val="4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3"/>
          <w:szCs w:val="13"/>
          <w:color w:val="auto"/>
        </w:rPr>
      </w:pPr>
    </w:p>
    <w:p>
      <w:pPr>
        <w:ind w:left="920" w:right="20" w:hanging="1"/>
        <w:spacing w:after="0" w:line="298" w:lineRule="auto"/>
        <w:tabs>
          <w:tab w:leader="none" w:pos="1102" w:val="left"/>
        </w:tabs>
        <w:numPr>
          <w:ilvl w:val="1"/>
          <w:numId w:val="4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3"/>
          <w:szCs w:val="13"/>
          <w:color w:val="auto"/>
        </w:rPr>
      </w:pPr>
    </w:p>
    <w:p>
      <w:pPr>
        <w:ind w:left="920" w:right="80" w:hanging="1"/>
        <w:spacing w:after="0" w:line="298" w:lineRule="auto"/>
        <w:tabs>
          <w:tab w:leader="none" w:pos="1109" w:val="left"/>
        </w:tabs>
        <w:numPr>
          <w:ilvl w:val="1"/>
          <w:numId w:val="4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3"/>
          <w:szCs w:val="13"/>
          <w:color w:val="auto"/>
        </w:rPr>
      </w:pPr>
    </w:p>
    <w:p>
      <w:pPr>
        <w:ind w:left="460" w:right="260" w:hanging="458"/>
        <w:spacing w:after="0" w:line="298" w:lineRule="auto"/>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3"/>
          <w:szCs w:val="13"/>
          <w:color w:val="auto"/>
        </w:rPr>
      </w:pPr>
    </w:p>
    <w:p>
      <w:pPr>
        <w:ind w:left="920" w:right="20" w:hanging="1"/>
        <w:spacing w:after="0" w:line="298" w:lineRule="auto"/>
        <w:tabs>
          <w:tab w:leader="none" w:pos="1102" w:val="left"/>
        </w:tabs>
        <w:numPr>
          <w:ilvl w:val="1"/>
          <w:numId w:val="4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3"/>
          <w:szCs w:val="13"/>
          <w:color w:val="auto"/>
        </w:rPr>
      </w:pPr>
    </w:p>
    <w:p>
      <w:pPr>
        <w:ind w:left="1100" w:hanging="181"/>
        <w:spacing w:after="0"/>
        <w:tabs>
          <w:tab w:leader="none" w:pos="11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20" w:type="dxa"/>
            <w:vAlign w:val="bottom"/>
          </w:tcPr>
          <w:p>
            <w:pPr>
              <w:spacing w:after="0"/>
              <w:rPr>
                <w:sz w:val="20"/>
                <w:szCs w:val="20"/>
                <w:color w:val="auto"/>
              </w:rPr>
            </w:pPr>
            <w:r>
              <w:rPr>
                <w:rFonts w:ascii="Arial" w:cs="Arial" w:eastAsia="Arial" w:hAnsi="Arial"/>
                <w:sz w:val="13"/>
                <w:szCs w:val="13"/>
                <w:color w:val="auto"/>
              </w:rPr>
              <w:t>Date: March 27, 2012</w:t>
            </w:r>
          </w:p>
        </w:tc>
        <w:tc>
          <w:tcPr>
            <w:tcW w:w="504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color w:val="auto"/>
                <w:w w:val="94"/>
              </w:rPr>
              <w:t>/s/ Michael C. Ray</w:t>
            </w:r>
          </w:p>
        </w:tc>
      </w:tr>
      <w:tr>
        <w:trPr>
          <w:trHeight w:val="147"/>
        </w:trPr>
        <w:tc>
          <w:tcPr>
            <w:tcW w:w="6420" w:type="dxa"/>
            <w:vAlign w:val="bottom"/>
          </w:tcPr>
          <w:p>
            <w:pPr>
              <w:spacing w:after="0"/>
              <w:rPr>
                <w:sz w:val="12"/>
                <w:szCs w:val="12"/>
                <w:color w:val="auto"/>
              </w:rPr>
            </w:pPr>
          </w:p>
        </w:tc>
        <w:tc>
          <w:tcPr>
            <w:tcW w:w="5040" w:type="dxa"/>
            <w:vAlign w:val="bottom"/>
          </w:tcPr>
          <w:p>
            <w:pPr>
              <w:jc w:val="center"/>
              <w:ind w:left="293"/>
              <w:spacing w:after="0" w:line="148" w:lineRule="exact"/>
              <w:rPr>
                <w:sz w:val="20"/>
                <w:szCs w:val="20"/>
                <w:color w:val="auto"/>
              </w:rPr>
            </w:pPr>
            <w:r>
              <w:rPr>
                <w:rFonts w:ascii="Arial" w:cs="Arial" w:eastAsia="Arial" w:hAnsi="Arial"/>
                <w:sz w:val="13"/>
                <w:szCs w:val="13"/>
                <w:color w:val="auto"/>
                <w:w w:val="95"/>
              </w:rPr>
              <w:t>Michael C. Ray</w:t>
            </w:r>
          </w:p>
        </w:tc>
      </w:tr>
      <w:tr>
        <w:trPr>
          <w:trHeight w:val="171"/>
        </w:trPr>
        <w:tc>
          <w:tcPr>
            <w:tcW w:w="6420" w:type="dxa"/>
            <w:vAlign w:val="bottom"/>
          </w:tcPr>
          <w:p>
            <w:pPr>
              <w:spacing w:after="0"/>
              <w:rPr>
                <w:sz w:val="14"/>
                <w:szCs w:val="14"/>
                <w:color w:val="auto"/>
              </w:rPr>
            </w:pPr>
          </w:p>
        </w:tc>
        <w:tc>
          <w:tcPr>
            <w:tcW w:w="5040" w:type="dxa"/>
            <w:vAlign w:val="bottom"/>
          </w:tcPr>
          <w:p>
            <w:pPr>
              <w:jc w:val="center"/>
              <w:ind w:left="293"/>
              <w:spacing w:after="0"/>
              <w:rPr>
                <w:sz w:val="20"/>
                <w:szCs w:val="20"/>
                <w:color w:val="auto"/>
              </w:rPr>
            </w:pPr>
            <w:r>
              <w:rPr>
                <w:rFonts w:ascii="Arial" w:cs="Arial" w:eastAsia="Arial" w:hAnsi="Arial"/>
                <w:sz w:val="13"/>
                <w:szCs w:val="13"/>
                <w:i w:val="1"/>
                <w:iCs w:val="1"/>
                <w:color w:val="auto"/>
                <w:w w:val="93"/>
              </w:rPr>
              <w:t>Chief Executive Officer</w:t>
            </w:r>
          </w:p>
        </w:tc>
      </w:tr>
    </w:tbl>
    <w:p>
      <w:pPr>
        <w:sectPr>
          <w:pgSz w:w="11900" w:h="16838" w:orient="portrait"/>
          <w:cols w:equalWidth="0" w:num="1">
            <w:col w:w="11460"/>
          </w:cols>
          <w:pgMar w:left="220" w:top="130" w:right="219" w:bottom="1440" w:gutter="0" w:footer="0" w:header="0"/>
        </w:sectPr>
      </w:pPr>
    </w:p>
    <w:bookmarkStart w:id="80" w:name="page81"/>
    <w:bookmarkEnd w:id="80"/>
    <w:p>
      <w:pPr>
        <w:jc w:val="right"/>
        <w:spacing w:after="0"/>
        <w:rPr>
          <w:sz w:val="20"/>
          <w:szCs w:val="20"/>
          <w:color w:val="auto"/>
        </w:rPr>
      </w:pPr>
      <w:r>
        <w:rPr>
          <w:rFonts w:ascii="Arial" w:cs="Arial" w:eastAsia="Arial" w:hAnsi="Arial"/>
          <w:sz w:val="13"/>
          <w:szCs w:val="13"/>
          <w:b w:val="1"/>
          <w:bCs w:val="1"/>
          <w:color w:val="auto"/>
        </w:rPr>
        <w:t>Exhibit 31.2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 Jeffrey A. Blade, certify that:</w:t>
      </w:r>
    </w:p>
    <w:p>
      <w:pPr>
        <w:spacing w:after="0" w:line="76" w:lineRule="exact"/>
        <w:rPr>
          <w:sz w:val="20"/>
          <w:szCs w:val="20"/>
          <w:color w:val="auto"/>
        </w:rPr>
      </w:pPr>
    </w:p>
    <w:p>
      <w:pPr>
        <w:ind w:left="460" w:hanging="458"/>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Vera Bradley, Inc.;</w:t>
      </w:r>
    </w:p>
    <w:p>
      <w:pPr>
        <w:spacing w:after="0" w:line="76" w:lineRule="exact"/>
        <w:rPr>
          <w:rFonts w:ascii="Arial" w:cs="Arial" w:eastAsia="Arial" w:hAnsi="Arial"/>
          <w:sz w:val="13"/>
          <w:szCs w:val="13"/>
          <w:color w:val="auto"/>
        </w:rPr>
      </w:pPr>
    </w:p>
    <w:p>
      <w:pPr>
        <w:ind w:left="460" w:right="100" w:hanging="458"/>
        <w:spacing w:after="0" w:line="298"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9" w:lineRule="exact"/>
        <w:rPr>
          <w:rFonts w:ascii="Arial" w:cs="Arial" w:eastAsia="Arial" w:hAnsi="Arial"/>
          <w:sz w:val="13"/>
          <w:szCs w:val="13"/>
          <w:color w:val="auto"/>
        </w:rPr>
      </w:pPr>
    </w:p>
    <w:p>
      <w:pPr>
        <w:ind w:left="460" w:right="40" w:hanging="458"/>
        <w:spacing w:after="0" w:line="298"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9" w:lineRule="exact"/>
        <w:rPr>
          <w:rFonts w:ascii="Arial" w:cs="Arial" w:eastAsia="Arial" w:hAnsi="Arial"/>
          <w:sz w:val="13"/>
          <w:szCs w:val="13"/>
          <w:color w:val="auto"/>
        </w:rPr>
      </w:pPr>
    </w:p>
    <w:p>
      <w:pPr>
        <w:ind w:left="460" w:right="100" w:hanging="458"/>
        <w:spacing w:after="0" w:line="298"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13a-15(f) and 15d-15(f)) and internal control over financial reporting (as defined in Exchange Act Rules 13a-15(f) and 15d-15(f))for the registrant and have:</w:t>
      </w:r>
    </w:p>
    <w:p>
      <w:pPr>
        <w:spacing w:after="0" w:line="19" w:lineRule="exact"/>
        <w:rPr>
          <w:rFonts w:ascii="Arial" w:cs="Arial" w:eastAsia="Arial" w:hAnsi="Arial"/>
          <w:sz w:val="13"/>
          <w:szCs w:val="13"/>
          <w:color w:val="auto"/>
        </w:rPr>
      </w:pPr>
    </w:p>
    <w:p>
      <w:pPr>
        <w:ind w:left="920" w:right="260" w:hanging="1"/>
        <w:spacing w:after="0" w:line="339" w:lineRule="auto"/>
        <w:tabs>
          <w:tab w:leader="none" w:pos="1102"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20" w:right="100" w:hanging="1"/>
        <w:spacing w:after="0" w:line="298" w:lineRule="auto"/>
        <w:tabs>
          <w:tab w:leader="none" w:pos="1109" w:val="left"/>
        </w:tabs>
        <w:numPr>
          <w:ilvl w:val="1"/>
          <w:numId w:val="4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3"/>
          <w:szCs w:val="13"/>
          <w:color w:val="auto"/>
        </w:rPr>
      </w:pPr>
    </w:p>
    <w:p>
      <w:pPr>
        <w:ind w:left="920" w:right="20" w:hanging="1"/>
        <w:spacing w:after="0" w:line="298" w:lineRule="auto"/>
        <w:tabs>
          <w:tab w:leader="none" w:pos="1102" w:val="left"/>
        </w:tabs>
        <w:numPr>
          <w:ilvl w:val="1"/>
          <w:numId w:val="4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3"/>
          <w:szCs w:val="13"/>
          <w:color w:val="auto"/>
        </w:rPr>
      </w:pPr>
    </w:p>
    <w:p>
      <w:pPr>
        <w:ind w:left="920" w:right="80" w:hanging="1"/>
        <w:spacing w:after="0" w:line="298" w:lineRule="auto"/>
        <w:tabs>
          <w:tab w:leader="none" w:pos="1109" w:val="left"/>
        </w:tabs>
        <w:numPr>
          <w:ilvl w:val="1"/>
          <w:numId w:val="4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3"/>
          <w:szCs w:val="13"/>
          <w:color w:val="auto"/>
        </w:rPr>
      </w:pPr>
    </w:p>
    <w:p>
      <w:pPr>
        <w:ind w:left="460" w:right="260" w:hanging="458"/>
        <w:spacing w:after="0" w:line="298"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3"/>
          <w:szCs w:val="13"/>
          <w:color w:val="auto"/>
        </w:rPr>
      </w:pPr>
    </w:p>
    <w:p>
      <w:pPr>
        <w:ind w:left="920" w:right="20" w:hanging="1"/>
        <w:spacing w:after="0" w:line="298" w:lineRule="auto"/>
        <w:tabs>
          <w:tab w:leader="none" w:pos="1102" w:val="left"/>
        </w:tabs>
        <w:numPr>
          <w:ilvl w:val="1"/>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3"/>
          <w:szCs w:val="13"/>
          <w:color w:val="auto"/>
        </w:rPr>
      </w:pPr>
    </w:p>
    <w:p>
      <w:pPr>
        <w:ind w:left="1100" w:hanging="181"/>
        <w:spacing w:after="0"/>
        <w:tabs>
          <w:tab w:leader="none" w:pos="11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20" w:type="dxa"/>
            <w:vAlign w:val="bottom"/>
          </w:tcPr>
          <w:p>
            <w:pPr>
              <w:spacing w:after="0"/>
              <w:rPr>
                <w:sz w:val="20"/>
                <w:szCs w:val="20"/>
                <w:color w:val="auto"/>
              </w:rPr>
            </w:pPr>
            <w:r>
              <w:rPr>
                <w:rFonts w:ascii="Arial" w:cs="Arial" w:eastAsia="Arial" w:hAnsi="Arial"/>
                <w:sz w:val="13"/>
                <w:szCs w:val="13"/>
                <w:color w:val="auto"/>
              </w:rPr>
              <w:t>Date: March 27, 2012</w:t>
            </w:r>
          </w:p>
        </w:tc>
        <w:tc>
          <w:tcPr>
            <w:tcW w:w="504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w w:val="93"/>
              </w:rPr>
              <w:t>/s/ Jeffrey A. Blade</w:t>
            </w:r>
          </w:p>
        </w:tc>
      </w:tr>
      <w:tr>
        <w:trPr>
          <w:trHeight w:val="147"/>
        </w:trPr>
        <w:tc>
          <w:tcPr>
            <w:tcW w:w="6420" w:type="dxa"/>
            <w:vAlign w:val="bottom"/>
          </w:tcPr>
          <w:p>
            <w:pPr>
              <w:spacing w:after="0"/>
              <w:rPr>
                <w:sz w:val="12"/>
                <w:szCs w:val="12"/>
                <w:color w:val="auto"/>
              </w:rPr>
            </w:pPr>
          </w:p>
        </w:tc>
        <w:tc>
          <w:tcPr>
            <w:tcW w:w="5040" w:type="dxa"/>
            <w:vAlign w:val="bottom"/>
          </w:tcPr>
          <w:p>
            <w:pPr>
              <w:jc w:val="center"/>
              <w:ind w:left="153"/>
              <w:spacing w:after="0" w:line="148" w:lineRule="exact"/>
              <w:rPr>
                <w:sz w:val="20"/>
                <w:szCs w:val="20"/>
                <w:color w:val="auto"/>
              </w:rPr>
            </w:pPr>
            <w:r>
              <w:rPr>
                <w:rFonts w:ascii="Arial" w:cs="Arial" w:eastAsia="Arial" w:hAnsi="Arial"/>
                <w:sz w:val="13"/>
                <w:szCs w:val="13"/>
                <w:color w:val="auto"/>
                <w:w w:val="93"/>
              </w:rPr>
              <w:t>Jeffrey A. Blade</w:t>
            </w:r>
          </w:p>
        </w:tc>
      </w:tr>
      <w:tr>
        <w:trPr>
          <w:trHeight w:val="164"/>
        </w:trPr>
        <w:tc>
          <w:tcPr>
            <w:tcW w:w="6420" w:type="dxa"/>
            <w:vAlign w:val="bottom"/>
          </w:tcPr>
          <w:p>
            <w:pPr>
              <w:spacing w:after="0"/>
              <w:rPr>
                <w:sz w:val="14"/>
                <w:szCs w:val="14"/>
                <w:color w:val="auto"/>
              </w:rPr>
            </w:pPr>
          </w:p>
        </w:tc>
        <w:tc>
          <w:tcPr>
            <w:tcW w:w="5040" w:type="dxa"/>
            <w:vAlign w:val="bottom"/>
          </w:tcPr>
          <w:p>
            <w:pPr>
              <w:jc w:val="center"/>
              <w:ind w:left="153"/>
              <w:spacing w:after="0"/>
              <w:rPr>
                <w:sz w:val="20"/>
                <w:szCs w:val="20"/>
                <w:color w:val="auto"/>
              </w:rPr>
            </w:pPr>
            <w:r>
              <w:rPr>
                <w:rFonts w:ascii="Arial" w:cs="Arial" w:eastAsia="Arial" w:hAnsi="Arial"/>
                <w:sz w:val="13"/>
                <w:szCs w:val="13"/>
                <w:i w:val="1"/>
                <w:iCs w:val="1"/>
                <w:color w:val="auto"/>
                <w:w w:val="93"/>
              </w:rPr>
              <w:t>Executive Vice-President – Chief Financial and</w:t>
            </w:r>
          </w:p>
        </w:tc>
      </w:tr>
      <w:tr>
        <w:trPr>
          <w:trHeight w:val="171"/>
        </w:trPr>
        <w:tc>
          <w:tcPr>
            <w:tcW w:w="6420" w:type="dxa"/>
            <w:vAlign w:val="bottom"/>
          </w:tcPr>
          <w:p>
            <w:pPr>
              <w:spacing w:after="0"/>
              <w:rPr>
                <w:sz w:val="14"/>
                <w:szCs w:val="14"/>
                <w:color w:val="auto"/>
              </w:rPr>
            </w:pPr>
          </w:p>
        </w:tc>
        <w:tc>
          <w:tcPr>
            <w:tcW w:w="5040" w:type="dxa"/>
            <w:vAlign w:val="bottom"/>
          </w:tcPr>
          <w:p>
            <w:pPr>
              <w:jc w:val="center"/>
              <w:ind w:left="173"/>
              <w:spacing w:after="0"/>
              <w:rPr>
                <w:sz w:val="20"/>
                <w:szCs w:val="20"/>
                <w:color w:val="auto"/>
              </w:rPr>
            </w:pPr>
            <w:r>
              <w:rPr>
                <w:rFonts w:ascii="Arial" w:cs="Arial" w:eastAsia="Arial" w:hAnsi="Arial"/>
                <w:sz w:val="13"/>
                <w:szCs w:val="13"/>
                <w:i w:val="1"/>
                <w:iCs w:val="1"/>
                <w:color w:val="auto"/>
                <w:w w:val="97"/>
              </w:rPr>
              <w:t>Administrative Officer</w:t>
            </w:r>
          </w:p>
        </w:tc>
      </w:tr>
    </w:tbl>
    <w:p>
      <w:pPr>
        <w:sectPr>
          <w:pgSz w:w="11900" w:h="16838" w:orient="portrait"/>
          <w:cols w:equalWidth="0" w:num="1">
            <w:col w:w="11460"/>
          </w:cols>
          <w:pgMar w:left="220" w:top="130"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3"/>
          <w:szCs w:val="13"/>
          <w:b w:val="1"/>
          <w:bCs w:val="1"/>
          <w:color w:val="auto"/>
        </w:rPr>
        <w:t>Exhibit 32.1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 Pursuant to 18 U.S.C. Section 1350 As Adopted Pursuant to Section 906 of the Sarbanes – Oxley Act of 2002</w:t>
      </w:r>
    </w:p>
    <w:p>
      <w:pPr>
        <w:spacing w:after="0" w:line="140" w:lineRule="exact"/>
        <w:rPr>
          <w:sz w:val="20"/>
          <w:szCs w:val="20"/>
          <w:color w:val="auto"/>
        </w:rPr>
      </w:pPr>
    </w:p>
    <w:p>
      <w:pPr>
        <w:ind w:right="480" w:firstLine="458"/>
        <w:spacing w:after="0" w:line="281" w:lineRule="auto"/>
        <w:rPr>
          <w:sz w:val="20"/>
          <w:szCs w:val="20"/>
          <w:color w:val="auto"/>
        </w:rPr>
      </w:pPr>
      <w:r>
        <w:rPr>
          <w:rFonts w:ascii="Arial" w:cs="Arial" w:eastAsia="Arial" w:hAnsi="Arial"/>
          <w:sz w:val="13"/>
          <w:szCs w:val="13"/>
          <w:color w:val="auto"/>
        </w:rPr>
        <w:t>I, Michael C. Ray, the Chief Executive Officer of Vera Bradley, Inc., certify that (i) the annual report on Form 10-K for the fiscal year ended January 29,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22"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14605</wp:posOffset>
            </wp:positionV>
            <wp:extent cx="290893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08935" cy="6350"/>
                    </a:xfrm>
                    <a:prstGeom prst="rect">
                      <a:avLst/>
                    </a:prstGeom>
                    <a:noFill/>
                  </pic:spPr>
                </pic:pic>
              </a:graphicData>
            </a:graphic>
          </wp:anchor>
        </w:drawing>
      </w:r>
    </w:p>
    <w:p>
      <w:pPr>
        <w:spacing w:after="0" w:line="15" w:lineRule="exact"/>
        <w:rPr>
          <w:sz w:val="20"/>
          <w:szCs w:val="20"/>
          <w:color w:val="auto"/>
        </w:rPr>
      </w:pPr>
    </w:p>
    <w:p>
      <w:pPr>
        <w:ind w:left="8760"/>
        <w:spacing w:after="0"/>
        <w:rPr>
          <w:sz w:val="20"/>
          <w:szCs w:val="20"/>
          <w:color w:val="auto"/>
        </w:rPr>
      </w:pPr>
      <w:r>
        <w:rPr>
          <w:rFonts w:ascii="Arial" w:cs="Arial" w:eastAsia="Arial" w:hAnsi="Arial"/>
          <w:sz w:val="13"/>
          <w:szCs w:val="13"/>
          <w:color w:val="auto"/>
        </w:rPr>
        <w:t>Michael C. Ray</w:t>
      </w:r>
    </w:p>
    <w:p>
      <w:pPr>
        <w:spacing w:after="0" w:line="21" w:lineRule="exact"/>
        <w:rPr>
          <w:sz w:val="20"/>
          <w:szCs w:val="20"/>
          <w:color w:val="auto"/>
        </w:rPr>
      </w:pPr>
    </w:p>
    <w:p>
      <w:pPr>
        <w:ind w:left="8540"/>
        <w:spacing w:after="0"/>
        <w:rPr>
          <w:sz w:val="20"/>
          <w:szCs w:val="20"/>
          <w:color w:val="auto"/>
        </w:rPr>
      </w:pPr>
      <w:r>
        <w:rPr>
          <w:rFonts w:ascii="Arial" w:cs="Arial" w:eastAsia="Arial" w:hAnsi="Arial"/>
          <w:sz w:val="13"/>
          <w:szCs w:val="13"/>
          <w:i w:val="1"/>
          <w:iCs w:val="1"/>
          <w:color w:val="auto"/>
        </w:rPr>
        <w:t>Chief Executive Officer</w:t>
      </w:r>
    </w:p>
    <w:p>
      <w:pPr>
        <w:spacing w:after="0" w:line="90" w:lineRule="exact"/>
        <w:rPr>
          <w:sz w:val="20"/>
          <w:szCs w:val="20"/>
          <w:color w:val="auto"/>
        </w:rPr>
      </w:pPr>
    </w:p>
    <w:p>
      <w:pPr>
        <w:ind w:left="8760"/>
        <w:spacing w:after="0"/>
        <w:rPr>
          <w:sz w:val="20"/>
          <w:szCs w:val="20"/>
          <w:color w:val="auto"/>
        </w:rPr>
      </w:pPr>
      <w:r>
        <w:rPr>
          <w:rFonts w:ascii="Arial" w:cs="Arial" w:eastAsia="Arial" w:hAnsi="Arial"/>
          <w:sz w:val="13"/>
          <w:szCs w:val="13"/>
          <w:color w:val="auto"/>
        </w:rPr>
        <w:t>March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14605</wp:posOffset>
            </wp:positionV>
            <wp:extent cx="29089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08935" cy="6350"/>
                    </a:xfrm>
                    <a:prstGeom prst="rect">
                      <a:avLst/>
                    </a:prstGeom>
                    <a:noFill/>
                  </pic:spPr>
                </pic:pic>
              </a:graphicData>
            </a:graphic>
          </wp:anchor>
        </w:drawing>
      </w:r>
    </w:p>
    <w:p>
      <w:pPr>
        <w:spacing w:after="0" w:line="15" w:lineRule="exact"/>
        <w:rPr>
          <w:sz w:val="20"/>
          <w:szCs w:val="20"/>
          <w:color w:val="auto"/>
        </w:rPr>
      </w:pPr>
    </w:p>
    <w:p>
      <w:pPr>
        <w:ind w:left="9040"/>
        <w:spacing w:after="0"/>
        <w:rPr>
          <w:sz w:val="20"/>
          <w:szCs w:val="20"/>
          <w:color w:val="auto"/>
        </w:rPr>
      </w:pPr>
      <w:r>
        <w:rPr>
          <w:rFonts w:ascii="Arial" w:cs="Arial" w:eastAsia="Arial" w:hAnsi="Arial"/>
          <w:sz w:val="13"/>
          <w:szCs w:val="13"/>
          <w:color w:val="auto"/>
        </w:rPr>
        <w:t>Date</w:t>
      </w:r>
    </w:p>
    <w:p>
      <w:pPr>
        <w:spacing w:after="0" w:line="138" w:lineRule="exact"/>
        <w:rPr>
          <w:sz w:val="20"/>
          <w:szCs w:val="20"/>
          <w:color w:val="auto"/>
        </w:rPr>
      </w:pPr>
    </w:p>
    <w:p>
      <w:pPr>
        <w:ind w:firstLine="458"/>
        <w:spacing w:after="0" w:line="281" w:lineRule="auto"/>
        <w:rPr>
          <w:sz w:val="20"/>
          <w:szCs w:val="20"/>
          <w:color w:val="auto"/>
        </w:rPr>
      </w:pPr>
      <w:r>
        <w:rPr>
          <w:rFonts w:ascii="Arial" w:cs="Arial" w:eastAsia="Arial" w:hAnsi="Arial"/>
          <w:sz w:val="13"/>
          <w:szCs w:val="13"/>
          <w:color w:val="auto"/>
        </w:rPr>
        <w:t>I, Jeffrey A. Blade, the Executive Vice-President – Chief Financial and Administrative Officer of Vera Bradley, Inc., certify that (i) the annual report on Form 10-K for the fiscal year ended January 29,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22" w:lineRule="exact"/>
        <w:rPr>
          <w:sz w:val="20"/>
          <w:szCs w:val="20"/>
          <w:color w:val="auto"/>
        </w:rPr>
      </w:pPr>
    </w:p>
    <w:p>
      <w:pPr>
        <w:ind w:left="8660"/>
        <w:spacing w:after="0"/>
        <w:rPr>
          <w:sz w:val="20"/>
          <w:szCs w:val="20"/>
          <w:color w:val="auto"/>
        </w:rPr>
      </w:pPr>
      <w:r>
        <w:rPr>
          <w:rFonts w:ascii="Arial" w:cs="Arial" w:eastAsia="Arial" w:hAnsi="Arial"/>
          <w:sz w:val="13"/>
          <w:szCs w:val="13"/>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14605</wp:posOffset>
            </wp:positionV>
            <wp:extent cx="290893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08935" cy="6350"/>
                    </a:xfrm>
                    <a:prstGeom prst="rect">
                      <a:avLst/>
                    </a:prstGeom>
                    <a:noFill/>
                  </pic:spPr>
                </pic:pic>
              </a:graphicData>
            </a:graphic>
          </wp:anchor>
        </w:drawing>
      </w:r>
    </w:p>
    <w:p>
      <w:pPr>
        <w:spacing w:after="0" w:line="15"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Jeffrey A. Blade</w:t>
      </w:r>
    </w:p>
    <w:p>
      <w:pPr>
        <w:spacing w:after="0" w:line="21" w:lineRule="exact"/>
        <w:rPr>
          <w:sz w:val="20"/>
          <w:szCs w:val="20"/>
          <w:color w:val="auto"/>
        </w:rPr>
      </w:pPr>
    </w:p>
    <w:p>
      <w:pPr>
        <w:ind w:left="7280"/>
        <w:spacing w:after="0"/>
        <w:rPr>
          <w:sz w:val="20"/>
          <w:szCs w:val="20"/>
          <w:color w:val="auto"/>
        </w:rPr>
      </w:pPr>
      <w:r>
        <w:rPr>
          <w:rFonts w:ascii="Arial" w:cs="Arial" w:eastAsia="Arial" w:hAnsi="Arial"/>
          <w:sz w:val="13"/>
          <w:szCs w:val="13"/>
          <w:i w:val="1"/>
          <w:iCs w:val="1"/>
          <w:color w:val="auto"/>
        </w:rPr>
        <w:t>Executive Vice-President – Chief Financial and Administrative Officer</w:t>
      </w:r>
    </w:p>
    <w:p>
      <w:pPr>
        <w:spacing w:after="0" w:line="90" w:lineRule="exact"/>
        <w:rPr>
          <w:sz w:val="20"/>
          <w:szCs w:val="20"/>
          <w:color w:val="auto"/>
        </w:rPr>
      </w:pPr>
    </w:p>
    <w:p>
      <w:pPr>
        <w:ind w:left="8760"/>
        <w:spacing w:after="0"/>
        <w:rPr>
          <w:sz w:val="20"/>
          <w:szCs w:val="20"/>
          <w:color w:val="auto"/>
        </w:rPr>
      </w:pPr>
      <w:r>
        <w:rPr>
          <w:rFonts w:ascii="Arial" w:cs="Arial" w:eastAsia="Arial" w:hAnsi="Arial"/>
          <w:sz w:val="13"/>
          <w:szCs w:val="13"/>
          <w:color w:val="auto"/>
        </w:rPr>
        <w:t>March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14605</wp:posOffset>
            </wp:positionV>
            <wp:extent cx="290893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08935" cy="6350"/>
                    </a:xfrm>
                    <a:prstGeom prst="rect">
                      <a:avLst/>
                    </a:prstGeom>
                    <a:noFill/>
                  </pic:spPr>
                </pic:pic>
              </a:graphicData>
            </a:graphic>
          </wp:anchor>
        </w:drawing>
      </w:r>
    </w:p>
    <w:p>
      <w:pPr>
        <w:spacing w:after="0" w:line="15" w:lineRule="exact"/>
        <w:rPr>
          <w:sz w:val="20"/>
          <w:szCs w:val="20"/>
          <w:color w:val="auto"/>
        </w:rPr>
      </w:pPr>
    </w:p>
    <w:p>
      <w:pPr>
        <w:ind w:left="9040"/>
        <w:spacing w:after="0"/>
        <w:rPr>
          <w:sz w:val="20"/>
          <w:szCs w:val="20"/>
          <w:color w:val="auto"/>
        </w:rPr>
      </w:pPr>
      <w:r>
        <w:rPr>
          <w:rFonts w:ascii="Arial" w:cs="Arial" w:eastAsia="Arial" w:hAnsi="Arial"/>
          <w:sz w:val="13"/>
          <w:szCs w:val="13"/>
          <w:color w:val="auto"/>
        </w:rPr>
        <w:t>Date</w:t>
      </w:r>
    </w:p>
    <w:sectPr>
      <w:pgSz w:w="11900" w:h="16838" w:orient="portrait"/>
      <w:cols w:equalWidth="0" w:num="1">
        <w:col w:w="11460"/>
      </w:cols>
      <w:pgMar w:left="220" w:top="13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lowerRoman"/>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3"/>
    </w:lvl>
  </w:abstractNum>
  <w:abstractNum w:abstractNumId="26">
    <w:nsid w:val="419AC241"/>
    <w:multiLevelType w:val="hybridMultilevel"/>
    <w:lvl w:ilvl="0">
      <w:lvlJc w:val="left"/>
      <w:lvlText w:val="%1."/>
      <w:numFmt w:val="decimal"/>
      <w:start w:val="4"/>
    </w:lvl>
  </w:abstractNum>
  <w:abstractNum w:abstractNumId="27">
    <w:nsid w:val="5577F8E1"/>
    <w:multiLevelType w:val="hybridMultilevel"/>
    <w:lvl w:ilvl="0">
      <w:lvlJc w:val="left"/>
      <w:lvlText w:val="%1."/>
      <w:numFmt w:val="decimal"/>
      <w:start w:val="6"/>
    </w:lvl>
  </w:abstractNum>
  <w:abstractNum w:abstractNumId="28">
    <w:nsid w:val="440BADFC"/>
    <w:multiLevelType w:val="hybridMultilevel"/>
    <w:lvl w:ilvl="0">
      <w:lvlJc w:val="left"/>
      <w:lvlText w:val="%1."/>
      <w:numFmt w:val="decimal"/>
      <w:start w:val="7"/>
    </w:lvl>
  </w:abstractNum>
  <w:abstractNum w:abstractNumId="29">
    <w:nsid w:val="5072367"/>
    <w:multiLevelType w:val="hybridMultilevel"/>
    <w:lvl w:ilvl="0">
      <w:lvlJc w:val="left"/>
      <w:lvlText w:val="%1."/>
      <w:numFmt w:val="decimal"/>
      <w:start w:val="8"/>
    </w:lvl>
  </w:abstractNum>
  <w:abstractNum w:abstractNumId="30">
    <w:nsid w:val="3804823E"/>
    <w:multiLevelType w:val="hybridMultilevel"/>
    <w:lvl w:ilvl="0">
      <w:lvlJc w:val="left"/>
      <w:lvlText w:val="%1."/>
      <w:numFmt w:val="decimal"/>
      <w:start w:val="9"/>
    </w:lvl>
  </w:abstractNum>
  <w:abstractNum w:abstractNumId="31">
    <w:nsid w:val="77465F01"/>
    <w:multiLevelType w:val="hybridMultilevel"/>
    <w:lvl w:ilvl="0">
      <w:lvlJc w:val="left"/>
      <w:lvlText w:val="%1."/>
      <w:numFmt w:val="decimal"/>
      <w:start w:val="11"/>
    </w:lvl>
  </w:abstractNum>
  <w:abstractNum w:abstractNumId="32">
    <w:nsid w:val="7724C67E"/>
    <w:multiLevelType w:val="hybridMultilevel"/>
    <w:lvl w:ilvl="0">
      <w:lvlJc w:val="left"/>
      <w:lvlText w:val="%1."/>
      <w:numFmt w:val="decimal"/>
      <w:start w:val="13"/>
    </w:lvl>
  </w:abstractNum>
  <w:abstractNum w:abstractNumId="33">
    <w:nsid w:val="5C482A97"/>
    <w:multiLevelType w:val="hybridMultilevel"/>
    <w:lvl w:ilvl="0">
      <w:lvlJc w:val="left"/>
      <w:lvlText w:val="%1."/>
      <w:numFmt w:val="decimal"/>
      <w:start w:val="14"/>
    </w:lvl>
  </w:abstractNum>
  <w:abstractNum w:abstractNumId="34">
    <w:nsid w:val="2463B9EA"/>
    <w:multiLevelType w:val="hybridMultilevel"/>
    <w:lvl w:ilvl="0">
      <w:lvlJc w:val="left"/>
      <w:lvlText w:val="%1."/>
      <w:numFmt w:val="decimal"/>
      <w:start w:val="15"/>
    </w:lvl>
  </w:abstractNum>
  <w:abstractNum w:abstractNumId="35">
    <w:nsid w:val="5E884ADC"/>
    <w:multiLevelType w:val="hybridMultilevel"/>
    <w:lvl w:ilvl="0">
      <w:lvlJc w:val="left"/>
      <w:lvlText w:val="%1."/>
      <w:numFmt w:val="decimal"/>
      <w:start w:val="16"/>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0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2019-12-09T19:57:08Z</dcterms:created>
  <dcterms:modified xsi:type="dcterms:W3CDTF">2019-12-09T19:57:08Z</dcterms:modified>
</cp:coreProperties>
</file>